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emf" ContentType="image/x-emf"/>
  <Default Extension="png" ContentType="image/png"/>
  <Default Extension="bmp" ContentType="image/bmp"/>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2003-2010___8.vsd" ContentType="application/vnd.visio"/>
  <Override PartName="/word/embeddings/Microsoft_Visio___1.vsdx" ContentType="application/vnd.ms-visio.drawing"/>
  <Override PartName="/word/embeddings/Microsoft_Visio___2.vsdx" ContentType="application/vnd.ms-visio.drawing"/>
  <Override PartName="/word/embeddings/Microsoft_Visio___3.vsdx" ContentType="application/vnd.ms-visio.drawing"/>
  <Override PartName="/word/embeddings/Microsoft_Visio___4.vsdx" ContentType="application/vnd.ms-visio.drawing"/>
  <Override PartName="/word/embeddings/Microsoft_Visio___5.vsdx" ContentType="application/vnd.ms-visio.drawing"/>
  <Override PartName="/word/embeddings/Microsoft_Visio___6.vsdx" ContentType="application/vnd.ms-visio.drawing"/>
  <Override PartName="/word/embeddings/Microsoft_Visio___7.vsdx" ContentType="application/vnd.ms-visio.drawing"/>
  <Override PartName="/word/embeddings/Microsoft_Visio___9.vsdx" ContentType="application/vnd.ms-visio.drawing"/>
  <Override PartName="/word/fontTable.xml" ContentType="application/vnd.openxmlformats-officedocument.wordprocessingml.fontTable+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40"/>
        <w:widowControl w:val="0"/>
        <w:tabs>
          <w:tab w:val="right" w:pos="13892"/>
          <w:tab w:val="clear" w:pos="9360"/>
        </w:tabs>
        <w:rPr>
          <w:rFonts w:ascii="Arial" w:hAnsi="Arial" w:cs="Arial"/>
          <w:b/>
          <w:bCs/>
          <w:lang w:val="en-GB"/>
        </w:rPr>
      </w:pPr>
      <w:r>
        <w:rPr>
          <w:rFonts w:ascii="Arial" w:hAnsi="Arial" w:cs="Arial"/>
          <w:b/>
          <w:bCs/>
          <w:lang w:val="en-GB"/>
        </w:rPr>
        <w:t>3GPP TSG RAN WG1#108</w:t>
      </w:r>
      <w:r>
        <w:rPr>
          <w:rFonts w:ascii="Arial" w:hAnsi="Arial" w:cs="Arial"/>
          <w:b/>
          <w:bCs/>
          <w:lang w:val="en-GB"/>
        </w:rPr>
        <w:tab/>
      </w:r>
      <w:r>
        <w:rPr>
          <w:rFonts w:ascii="Arial" w:hAnsi="Arial" w:cs="Arial"/>
          <w:b/>
          <w:bCs/>
          <w:lang w:val="en-GB" w:eastAsia="zh-CN"/>
        </w:rPr>
        <w:tab/>
      </w:r>
      <w:r>
        <w:rPr>
          <w:rFonts w:ascii="Arial" w:hAnsi="Arial" w:cs="Arial"/>
          <w:b/>
          <w:bCs/>
          <w:lang w:val="en-GB"/>
        </w:rPr>
        <w:t>R1-22xxxxx</w:t>
      </w:r>
    </w:p>
    <w:p>
      <w:pPr>
        <w:pStyle w:val="40"/>
        <w:widowControl w:val="0"/>
        <w:rPr>
          <w:rFonts w:ascii="Arial" w:hAnsi="Arial" w:cs="Arial"/>
          <w:b/>
          <w:bCs/>
          <w:lang w:val="en-GB"/>
        </w:rPr>
      </w:pPr>
      <w:r>
        <w:rPr>
          <w:rFonts w:ascii="Arial" w:hAnsi="Arial" w:cs="Arial"/>
          <w:b/>
          <w:bCs/>
          <w:lang w:val="en-GB"/>
        </w:rPr>
        <w:t>e-Meeting, February 21st – March 3rd, 2022</w:t>
      </w:r>
    </w:p>
    <w:p>
      <w:pPr>
        <w:pBdr>
          <w:top w:val="single" w:color="auto" w:sz="4" w:space="2"/>
        </w:pBdr>
        <w:spacing w:after="0"/>
        <w:rPr>
          <w:rFonts w:ascii="Arial" w:hAnsi="Arial" w:cs="Arial"/>
          <w:b/>
          <w:kern w:val="2"/>
          <w:sz w:val="24"/>
          <w:highlight w:val="yellow"/>
          <w:lang w:val="en-GB" w:eastAsia="zh-CN"/>
        </w:rPr>
      </w:pPr>
    </w:p>
    <w:p>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r>
      <w:r>
        <w:rPr>
          <w:rFonts w:ascii="Arial" w:hAnsi="Arial" w:cs="Arial"/>
          <w:b/>
          <w:bCs/>
          <w:szCs w:val="20"/>
          <w:lang w:val="en-GB" w:eastAsia="zh-CN"/>
        </w:rPr>
        <w:t>8.2.2</w:t>
      </w:r>
    </w:p>
    <w:p>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r>
      <w:r>
        <w:rPr>
          <w:rFonts w:ascii="Arial" w:hAnsi="Arial" w:cs="Arial"/>
          <w:b/>
          <w:bCs/>
          <w:szCs w:val="20"/>
          <w:lang w:val="en-GB" w:eastAsia="zh-CN"/>
        </w:rPr>
        <w:t>Moderator (Lenovo)</w:t>
      </w:r>
    </w:p>
    <w:p>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r>
      <w:r>
        <w:rPr>
          <w:rFonts w:ascii="Arial" w:hAnsi="Arial" w:cs="Arial"/>
          <w:b/>
          <w:bCs/>
          <w:szCs w:val="20"/>
          <w:lang w:val="en-GB" w:eastAsia="zh-CN"/>
        </w:rPr>
        <w:t>Email discussion [108-e-NR-52-71GHz-02] for B52.6 GHz PDCCH monitoring enhancements</w:t>
      </w:r>
    </w:p>
    <w:p>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r>
      <w:r>
        <w:rPr>
          <w:rFonts w:ascii="Arial" w:hAnsi="Arial" w:cs="Arial"/>
          <w:b/>
          <w:bCs/>
          <w:szCs w:val="20"/>
          <w:lang w:val="en-GB" w:eastAsia="zh-CN"/>
        </w:rPr>
        <w:t>Discussion, Decision</w:t>
      </w:r>
    </w:p>
    <w:p>
      <w:pPr>
        <w:pStyle w:val="2"/>
      </w:pPr>
      <w:r>
        <w:t>Introduction</w:t>
      </w:r>
    </w:p>
    <w:p>
      <w:pPr>
        <w:rPr>
          <w:lang w:val="en-GB" w:eastAsia="zh-CN"/>
        </w:rPr>
      </w:pPr>
      <w:r>
        <w:rPr>
          <w:lang w:val="en-GB" w:eastAsia="zh-CN"/>
        </w:rPr>
        <w:t xml:space="preserve">As stated by the chairman: </w:t>
      </w:r>
    </w:p>
    <w:p>
      <w:pPr>
        <w:rPr>
          <w:lang w:eastAsia="zh-CN"/>
        </w:rPr>
      </w:pPr>
      <w:r>
        <w:rPr>
          <w:highlight w:val="cyan"/>
          <w:lang w:eastAsia="zh-CN"/>
        </w:rPr>
        <w:t>[108-e-NR-52-71GHz-02] Email discussion for maintenance on PDCCH monitoring enhancements – Alex (Lenovo)</w:t>
      </w:r>
    </w:p>
    <w:p>
      <w:pPr>
        <w:numPr>
          <w:ilvl w:val="0"/>
          <w:numId w:val="20"/>
        </w:numPr>
        <w:autoSpaceDE/>
        <w:autoSpaceDN/>
        <w:adjustRightInd/>
        <w:snapToGrid/>
        <w:spacing w:after="0" w:line="240" w:lineRule="auto"/>
        <w:rPr>
          <w:highlight w:val="cyan"/>
          <w:lang w:eastAsia="zh-CN"/>
        </w:rPr>
      </w:pPr>
      <w:r>
        <w:rPr>
          <w:rFonts w:hint="eastAsia"/>
          <w:highlight w:val="cyan"/>
          <w:lang w:eastAsia="zh-CN"/>
        </w:rPr>
        <w:t>1</w:t>
      </w:r>
      <w:r>
        <w:rPr>
          <w:rFonts w:hint="eastAsia"/>
          <w:highlight w:val="cyan"/>
          <w:vertAlign w:val="superscript"/>
          <w:lang w:eastAsia="zh-CN"/>
        </w:rPr>
        <w:t>st</w:t>
      </w:r>
      <w:r>
        <w:rPr>
          <w:rFonts w:hint="eastAsia"/>
          <w:highlight w:val="cyan"/>
          <w:lang w:eastAsia="zh-CN"/>
        </w:rPr>
        <w:t xml:space="preserve"> check point: </w:t>
      </w:r>
      <w:r>
        <w:rPr>
          <w:highlight w:val="cyan"/>
        </w:rPr>
        <w:t>February</w:t>
      </w:r>
      <w:r>
        <w:rPr>
          <w:rFonts w:hint="eastAsia"/>
          <w:highlight w:val="cyan"/>
        </w:rPr>
        <w:t xml:space="preserve"> </w:t>
      </w:r>
      <w:r>
        <w:rPr>
          <w:highlight w:val="cyan"/>
        </w:rPr>
        <w:t>25</w:t>
      </w:r>
    </w:p>
    <w:p>
      <w:pPr>
        <w:numPr>
          <w:ilvl w:val="0"/>
          <w:numId w:val="20"/>
        </w:numPr>
        <w:autoSpaceDE/>
        <w:autoSpaceDN/>
        <w:adjustRightInd/>
        <w:snapToGrid/>
        <w:spacing w:after="0" w:line="240" w:lineRule="auto"/>
        <w:rPr>
          <w:highlight w:val="cyan"/>
          <w:lang w:eastAsia="zh-CN"/>
        </w:rPr>
      </w:pPr>
      <w:r>
        <w:rPr>
          <w:highlight w:val="cyan"/>
          <w:lang w:eastAsia="zh-CN"/>
        </w:rPr>
        <w:t>Final</w:t>
      </w:r>
      <w:r>
        <w:rPr>
          <w:rFonts w:hint="eastAsia"/>
          <w:highlight w:val="cyan"/>
          <w:lang w:eastAsia="zh-CN"/>
        </w:rPr>
        <w:t xml:space="preserve"> check point: </w:t>
      </w:r>
      <w:r>
        <w:rPr>
          <w:highlight w:val="cyan"/>
        </w:rPr>
        <w:t>March 3</w:t>
      </w:r>
    </w:p>
    <w:p>
      <w:pPr>
        <w:rPr>
          <w:lang w:eastAsia="zh-CN"/>
        </w:rPr>
      </w:pPr>
    </w:p>
    <w:p>
      <w:pPr>
        <w:rPr>
          <w:lang w:eastAsia="zh-CN"/>
        </w:rPr>
      </w:pPr>
      <w:r>
        <w:rPr>
          <w:lang w:eastAsia="zh-CN"/>
        </w:rPr>
        <w:t>Depending on the progress, new questions or proposals may be added for individual items.</w:t>
      </w:r>
    </w:p>
    <w:p>
      <w:pPr>
        <w:pStyle w:val="2"/>
      </w:pPr>
      <w:r>
        <w:t>Discussion</w:t>
      </w:r>
    </w:p>
    <w:p>
      <w:pPr>
        <w:rPr>
          <w:lang w:val="en-GB" w:eastAsia="zh-CN"/>
        </w:rPr>
      </w:pPr>
      <w:r>
        <w:rPr>
          <w:highlight w:val="cyan"/>
          <w:lang w:val="en-GB" w:eastAsia="zh-CN"/>
        </w:rPr>
        <w:t>FL NOTE: Excerpts from submitted documents are listed in Section 3.</w:t>
      </w:r>
    </w:p>
    <w:p>
      <w:pPr>
        <w:pStyle w:val="3"/>
      </w:pPr>
      <w:r>
        <w:t>Topic A1: Blind Decoding Capability, Multi-slot monitoring</w:t>
      </w:r>
    </w:p>
    <w:p>
      <w:pPr>
        <w:pStyle w:val="4"/>
      </w:pPr>
      <w:r>
        <w:t>(Closed) Issue A1-1: Configuration of multi-slot monitoring, general MSM capability</w:t>
      </w:r>
    </w:p>
    <w:p>
      <w:pPr>
        <w:pStyle w:val="5"/>
      </w:pPr>
      <w:r>
        <w:t>First round discussion</w:t>
      </w:r>
    </w:p>
    <w:p/>
    <w:p>
      <w:pPr>
        <w:numPr>
          <w:ilvl w:val="1"/>
          <w:numId w:val="0"/>
        </w:numPr>
        <w:spacing w:before="180" w:line="260" w:lineRule="auto"/>
        <w:jc w:val="both"/>
        <w:rPr>
          <w:b/>
          <w:bCs/>
          <w:lang w:eastAsia="zh-CN"/>
        </w:rPr>
      </w:pPr>
      <w:r>
        <w:rPr>
          <w:b/>
          <w:bCs/>
          <w:u w:val="single"/>
          <w:lang w:eastAsia="zh-CN"/>
        </w:rPr>
        <w:t>Proposal A1-1.1</w:t>
      </w:r>
      <w:r>
        <w:rPr>
          <w:b/>
          <w:bCs/>
          <w:lang w:eastAsia="zh-CN"/>
        </w:rPr>
        <w:t xml:space="preserve"> (see R1-2201914): Adopt the following TP to cover the RAN1#107-e agreement: </w:t>
      </w:r>
      <w:r>
        <w:rPr>
          <w:lang w:eastAsia="ja-JP"/>
        </w:rPr>
        <w:t>BD attempts for Type0-CSS</w:t>
      </w:r>
      <w:r>
        <w:rPr>
          <w:lang w:eastAsia="zh-CN"/>
        </w:rPr>
        <w:t xml:space="preserve"> for SSB/CORESET 0 multiplexing pattern 1</w:t>
      </w:r>
      <w:r>
        <w:rPr>
          <w:lang w:eastAsia="ja-JP"/>
        </w:rPr>
        <w:t xml:space="preserve">, and additionally for Type0A/2-CSS if </w:t>
      </w:r>
      <w:r>
        <w:rPr>
          <w:i/>
          <w:iCs/>
          <w:lang w:eastAsia="ja-JP"/>
        </w:rPr>
        <w:t>searchSpaceId</w:t>
      </w:r>
      <w:r>
        <w:rPr>
          <w:lang w:eastAsia="ja-JP"/>
        </w:rPr>
        <w:t xml:space="preserve"> = 0, occur in slots with index n0 and n0+X0, where n0 is as in Rel-15, X0=4 for 480 kHz SCS and X0=8 for 960 kHz SCS</w:t>
      </w:r>
      <w:r>
        <w:rPr>
          <w:lang w:eastAsia="zh-CN"/>
        </w:rPr>
        <w:t>.</w:t>
      </w:r>
    </w:p>
    <w:tbl>
      <w:tblPr>
        <w:tblStyle w:val="55"/>
        <w:tblW w:w="139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9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44" w:type="dxa"/>
            <w:vAlign w:val="center"/>
          </w:tcPr>
          <w:p>
            <w:pPr>
              <w:widowControl w:val="0"/>
              <w:rPr>
                <w:b/>
                <w:sz w:val="24"/>
                <w:lang w:eastAsia="zh-CN"/>
              </w:rPr>
            </w:pPr>
            <w:r>
              <w:rPr>
                <w:b/>
                <w:sz w:val="24"/>
                <w:lang w:eastAsia="zh-CN"/>
              </w:rPr>
              <w:t>TS 38.213 Clause 13</w:t>
            </w:r>
          </w:p>
          <w:p>
            <w:pPr>
              <w:widowControl w:val="0"/>
              <w:rPr>
                <w:lang w:eastAsia="zh-CN"/>
              </w:rPr>
            </w:pPr>
            <w:r>
              <w:rPr>
                <w:lang w:eastAsia="zh-CN"/>
              </w:rPr>
              <w:t>============================= Unchanged part omitted =========================================</w:t>
            </w:r>
          </w:p>
          <w:p>
            <w:pPr>
              <w:widowControl w:val="0"/>
              <w:rPr>
                <w:b/>
                <w:sz w:val="28"/>
                <w:szCs w:val="28"/>
              </w:rPr>
            </w:pPr>
            <w:r>
              <w:rPr>
                <w:rFonts w:hint="eastAsia"/>
                <w:b/>
                <w:sz w:val="28"/>
                <w:szCs w:val="28"/>
              </w:rPr>
              <w:t>1</w:t>
            </w:r>
            <w:r>
              <w:rPr>
                <w:b/>
                <w:sz w:val="28"/>
                <w:szCs w:val="28"/>
              </w:rPr>
              <w:t>3</w:t>
            </w:r>
            <w:r>
              <w:rPr>
                <w:b/>
                <w:sz w:val="28"/>
                <w:szCs w:val="28"/>
              </w:rPr>
              <w:tab/>
            </w:r>
            <w:r>
              <w:rPr>
                <w:b/>
                <w:sz w:val="28"/>
                <w:szCs w:val="28"/>
              </w:rPr>
              <w:tab/>
            </w:r>
            <w:r>
              <w:rPr>
                <w:b/>
                <w:sz w:val="28"/>
                <w:szCs w:val="28"/>
              </w:rPr>
              <w:t>UE procedure for monitoring Type0-PDCCH CSS sets</w:t>
            </w:r>
          </w:p>
          <w:p>
            <w:pPr>
              <w:widowControl w:val="0"/>
              <w:textAlignment w:val="bottom"/>
            </w:pPr>
            <w:r>
              <w:t xml:space="preserve">If during cell search a UE determines from </w:t>
            </w:r>
            <w:r>
              <w:rPr>
                <w:rFonts w:eastAsia="Yu Mincho"/>
                <w:i/>
                <w:szCs w:val="24"/>
              </w:rPr>
              <w:t>MIB</w:t>
            </w:r>
            <w:r>
              <w:t xml:space="preserve"> </w:t>
            </w:r>
            <w:r>
              <w:rPr>
                <w:szCs w:val="24"/>
              </w:rPr>
              <w:t>that a CORESET for Type0-PDCCH CSS set is present, as described in clause 4.1,</w:t>
            </w:r>
            <w:r>
              <w:t xml:space="preserve"> the UE determines a number of consecutive resource blocks and a number of consecutive symbols for the CORESET of the Type0-PDCCH CSS set from </w:t>
            </w:r>
            <w:r>
              <w:rPr>
                <w:i/>
                <w:iCs/>
              </w:rPr>
              <w:t>controlResourceSetZero</w:t>
            </w:r>
            <w:r>
              <w:rPr>
                <w:iCs/>
              </w:rPr>
              <w:t xml:space="preserve"> in</w:t>
            </w:r>
            <w:r>
              <w:t xml:space="preserve"> </w:t>
            </w:r>
            <w:r>
              <w:rPr>
                <w:i/>
              </w:rPr>
              <w:t>pdcch-ConfigSIB1</w:t>
            </w:r>
            <w:r>
              <w:t xml:space="preserve">, as described in Tables 13-1 through 13-10, for operation without shared spectrum channel access in FR1 and FR2-1, or as described in Tables 13-1A and 13-4A for operation with shared spectrum channel access in FR1, or as described in Tables 13-10A, 13-10B and 13-10C for FR2-2, and determines PDCCH monitoring occasions from </w:t>
            </w:r>
            <w:r>
              <w:rPr>
                <w:i/>
                <w:iCs/>
              </w:rPr>
              <w:t>searchSpaceZero</w:t>
            </w:r>
            <w:r>
              <w:rPr>
                <w:iCs/>
              </w:rPr>
              <w:t xml:space="preserve"> in </w:t>
            </w:r>
            <w:r>
              <w:rPr>
                <w:i/>
              </w:rPr>
              <w:t>pdcch-ConfigSIB1</w:t>
            </w:r>
            <w:r>
              <w:t xml:space="preserve">, </w:t>
            </w:r>
            <w:r>
              <w:rPr>
                <w:rFonts w:eastAsia="MS Mincho"/>
              </w:rPr>
              <w:t xml:space="preserve">included in </w:t>
            </w:r>
            <w:r>
              <w:rPr>
                <w:i/>
              </w:rPr>
              <w:t>MIB</w:t>
            </w:r>
            <w:r>
              <w:t xml:space="preserve">, as described in Tables 13-11 through 13-15. </w:t>
            </w:r>
            <m:oMath>
              <m:sSub>
                <m:sSubPr>
                  <m:ctrlPr>
                    <w:rPr>
                      <w:rFonts w:ascii="Cambria Math" w:hAnsi="Cambria Math"/>
                      <w:iCs/>
                    </w:rPr>
                  </m:ctrlPr>
                </m:sSubPr>
                <m:e>
                  <m:r>
                    <m:rPr>
                      <m:sty m:val="p"/>
                    </m:rPr>
                    <w:rPr>
                      <w:rFonts w:ascii="Cambria Math" w:hAnsi="Cambria Math"/>
                    </w:rPr>
                    <m:t>SFN</m:t>
                  </m:r>
                  <m:ctrlPr>
                    <w:rPr>
                      <w:rFonts w:ascii="Cambria Math" w:hAnsi="Cambria Math"/>
                      <w:iCs/>
                    </w:rPr>
                  </m:ctrlPr>
                </m:e>
                <m:sub>
                  <m:r>
                    <m:rPr>
                      <m:sty m:val="p"/>
                    </m:rPr>
                    <w:rPr>
                      <w:rFonts w:ascii="Cambria Math" w:hAnsi="Cambria Math"/>
                    </w:rPr>
                    <m:t>c</m:t>
                  </m:r>
                  <m:ctrlPr>
                    <w:rPr>
                      <w:rFonts w:ascii="Cambria Math" w:hAnsi="Cambria Math"/>
                      <w:iCs/>
                    </w:rPr>
                  </m:ctrlPr>
                </m:sub>
              </m:sSub>
            </m:oMath>
            <w:r>
              <w:t xml:space="preserve"> and </w:t>
            </w:r>
            <m:oMath>
              <m:sSub>
                <m:sSubPr>
                  <m:ctrlPr>
                    <w:rPr>
                      <w:rFonts w:ascii="Cambria Math" w:hAnsi="Cambria Math"/>
                      <w:iCs/>
                    </w:rPr>
                  </m:ctrlPr>
                </m:sSubPr>
                <m:e>
                  <m:r>
                    <w:rPr>
                      <w:rFonts w:ascii="Cambria Math" w:hAnsi="Cambria Math"/>
                    </w:rPr>
                    <m:t>n</m:t>
                  </m:r>
                  <m:ctrlPr>
                    <w:rPr>
                      <w:rFonts w:ascii="Cambria Math" w:hAnsi="Cambria Math"/>
                      <w:iCs/>
                    </w:rPr>
                  </m:ctrlPr>
                </m:e>
                <m:sub>
                  <m:r>
                    <m:rPr>
                      <m:sty m:val="p"/>
                    </m:rPr>
                    <w:rPr>
                      <w:rFonts w:ascii="Cambria Math" w:hAnsi="Cambria Math"/>
                    </w:rPr>
                    <m:t>c</m:t>
                  </m:r>
                  <m:ctrlPr>
                    <w:rPr>
                      <w:rFonts w:ascii="Cambria Math" w:hAnsi="Cambria Math"/>
                      <w:iCs/>
                    </w:rPr>
                  </m:ctrlPr>
                </m:sub>
              </m:sSub>
            </m:oMath>
            <w:r>
              <w:t xml:space="preserve"> are the SFN and slot index within a frame of the CORESET based on SCS of the CORESET and </w:t>
            </w:r>
            <m:oMath>
              <m:sSub>
                <m:sSubPr>
                  <m:ctrlPr>
                    <w:rPr>
                      <w:rFonts w:ascii="Cambria Math" w:hAnsi="Cambria Math"/>
                      <w:iCs/>
                    </w:rPr>
                  </m:ctrlPr>
                </m:sSubPr>
                <m:e>
                  <m:r>
                    <m:rPr>
                      <m:sty m:val="p"/>
                    </m:rPr>
                    <w:rPr>
                      <w:rFonts w:ascii="Cambria Math" w:hAnsi="Cambria Math"/>
                    </w:rPr>
                    <m:t>SFN</m:t>
                  </m:r>
                  <m:ctrlPr>
                    <w:rPr>
                      <w:rFonts w:ascii="Cambria Math" w:hAnsi="Cambria Math"/>
                      <w:iCs/>
                    </w:rPr>
                  </m:ctrlPr>
                </m:e>
                <m:sub>
                  <m:r>
                    <m:rPr>
                      <m:sty m:val="p"/>
                    </m:rPr>
                    <w:rPr>
                      <w:rFonts w:ascii="Cambria Math" w:hAnsi="Cambria Math"/>
                    </w:rPr>
                    <m:t>SSB,</m:t>
                  </m:r>
                  <m:r>
                    <w:rPr>
                      <w:rFonts w:ascii="Cambria Math" w:hAnsi="Cambria Math"/>
                    </w:rPr>
                    <m:t>i</m:t>
                  </m:r>
                  <m:ctrlPr>
                    <w:rPr>
                      <w:rFonts w:ascii="Cambria Math" w:hAnsi="Cambria Math"/>
                      <w:iCs/>
                    </w:rPr>
                  </m:ctrlPr>
                </m:sub>
              </m:sSub>
            </m:oMath>
            <w:r>
              <w:t xml:space="preserve"> and </w:t>
            </w:r>
            <m:oMath>
              <m:sSub>
                <m:sSubPr>
                  <m:ctrlPr>
                    <w:rPr>
                      <w:rFonts w:ascii="Cambria Math" w:hAnsi="Cambria Math"/>
                      <w:iCs/>
                    </w:rPr>
                  </m:ctrlPr>
                </m:sSubPr>
                <m:e>
                  <m:r>
                    <w:rPr>
                      <w:rFonts w:ascii="Cambria Math" w:hAnsi="Cambria Math"/>
                    </w:rPr>
                    <m:t>n</m:t>
                  </m:r>
                  <m:ctrlPr>
                    <w:rPr>
                      <w:rFonts w:ascii="Cambria Math" w:hAnsi="Cambria Math"/>
                      <w:iCs/>
                    </w:rPr>
                  </m:ctrlPr>
                </m:e>
                <m:sub>
                  <m:r>
                    <m:rPr>
                      <m:sty m:val="p"/>
                    </m:rPr>
                    <w:rPr>
                      <w:rFonts w:ascii="Cambria Math" w:hAnsi="Cambria Math"/>
                    </w:rPr>
                    <m:t>SSB,</m:t>
                  </m:r>
                  <m:r>
                    <w:rPr>
                      <w:rFonts w:ascii="Cambria Math" w:hAnsi="Cambria Math"/>
                    </w:rPr>
                    <m:t>i</m:t>
                  </m:r>
                  <m:ctrlPr>
                    <w:rPr>
                      <w:rFonts w:ascii="Cambria Math" w:hAnsi="Cambria Math"/>
                      <w:iCs/>
                    </w:rPr>
                  </m:ctrlPr>
                </m:sub>
              </m:sSub>
            </m:oMath>
            <w:r>
              <w:t xml:space="preserve"> are the SFN and slot index based on SCS of the CORESET, respectively, where the SS/PBCH block with index </w:t>
            </w:r>
            <m:oMath>
              <m:r>
                <w:rPr>
                  <w:rFonts w:ascii="Cambria Math" w:hAnsi="Cambria Math"/>
                </w:rPr>
                <m:t>i</m:t>
              </m:r>
            </m:oMath>
            <w:r>
              <w:t xml:space="preserve"> overlaps in time with system frame </w:t>
            </w:r>
            <m:oMath>
              <m:sSub>
                <m:sSubPr>
                  <m:ctrlPr>
                    <w:rPr>
                      <w:rFonts w:ascii="Cambria Math" w:hAnsi="Cambria Math"/>
                      <w:iCs/>
                    </w:rPr>
                  </m:ctrlPr>
                </m:sSubPr>
                <m:e>
                  <m:r>
                    <m:rPr>
                      <m:sty m:val="p"/>
                    </m:rPr>
                    <w:rPr>
                      <w:rFonts w:ascii="Cambria Math" w:hAnsi="Cambria Math"/>
                    </w:rPr>
                    <m:t>SFN</m:t>
                  </m:r>
                  <m:ctrlPr>
                    <w:rPr>
                      <w:rFonts w:ascii="Cambria Math" w:hAnsi="Cambria Math"/>
                      <w:iCs/>
                    </w:rPr>
                  </m:ctrlPr>
                </m:e>
                <m:sub>
                  <m:r>
                    <m:rPr>
                      <m:sty m:val="p"/>
                    </m:rPr>
                    <w:rPr>
                      <w:rFonts w:ascii="Cambria Math" w:hAnsi="Cambria Math"/>
                    </w:rPr>
                    <m:t>SSB,</m:t>
                  </m:r>
                  <m:r>
                    <w:rPr>
                      <w:rFonts w:ascii="Cambria Math" w:hAnsi="Cambria Math"/>
                    </w:rPr>
                    <m:t>i</m:t>
                  </m:r>
                  <m:ctrlPr>
                    <w:rPr>
                      <w:rFonts w:ascii="Cambria Math" w:hAnsi="Cambria Math"/>
                      <w:iCs/>
                    </w:rPr>
                  </m:ctrlPr>
                </m:sub>
              </m:sSub>
            </m:oMath>
            <w:r>
              <w:t xml:space="preserve"> and slot </w:t>
            </w:r>
            <m:oMath>
              <m:sSub>
                <m:sSubPr>
                  <m:ctrlPr>
                    <w:rPr>
                      <w:rFonts w:ascii="Cambria Math" w:hAnsi="Cambria Math"/>
                      <w:iCs/>
                    </w:rPr>
                  </m:ctrlPr>
                </m:sSubPr>
                <m:e>
                  <m:r>
                    <w:rPr>
                      <w:rFonts w:ascii="Cambria Math" w:hAnsi="Cambria Math"/>
                    </w:rPr>
                    <m:t>n</m:t>
                  </m:r>
                  <m:ctrlPr>
                    <w:rPr>
                      <w:rFonts w:ascii="Cambria Math" w:hAnsi="Cambria Math"/>
                      <w:iCs/>
                    </w:rPr>
                  </m:ctrlPr>
                </m:e>
                <m:sub>
                  <m:r>
                    <m:rPr>
                      <m:sty m:val="p"/>
                    </m:rPr>
                    <w:rPr>
                      <w:rFonts w:ascii="Cambria Math" w:hAnsi="Cambria Math"/>
                    </w:rPr>
                    <m:t>SSB,</m:t>
                  </m:r>
                  <m:r>
                    <w:rPr>
                      <w:rFonts w:ascii="Cambria Math" w:hAnsi="Cambria Math"/>
                    </w:rPr>
                    <m:t>i</m:t>
                  </m:r>
                  <m:ctrlPr>
                    <w:rPr>
                      <w:rFonts w:ascii="Cambria Math" w:hAnsi="Cambria Math"/>
                      <w:iCs/>
                    </w:rPr>
                  </m:ctrlPr>
                </m:sub>
              </m:sSub>
            </m:oMath>
            <w:r>
              <w:t xml:space="preserve">. The symbols of the CORESET associated </w:t>
            </w:r>
            <w:r>
              <w:rPr>
                <w:lang w:eastAsia="zh-CN"/>
              </w:rPr>
              <w:t xml:space="preserve">with </w:t>
            </w:r>
            <w:r>
              <w:rPr>
                <w:i/>
              </w:rPr>
              <w:t>pdcch-ConfigSIB1</w:t>
            </w:r>
            <w:r>
              <w:t xml:space="preserve"> </w:t>
            </w:r>
            <w:r>
              <w:rPr>
                <w:rFonts w:eastAsia="MS Mincho"/>
              </w:rPr>
              <w:t xml:space="preserve">in </w:t>
            </w:r>
            <w:r>
              <w:rPr>
                <w:i/>
              </w:rPr>
              <w:t>MIB</w:t>
            </w:r>
            <w:r>
              <w:rPr>
                <w:lang w:eastAsia="zh-CN"/>
              </w:rPr>
              <w:t xml:space="preserve"> or with </w:t>
            </w:r>
            <w:r>
              <w:rPr>
                <w:i/>
                <w:iCs/>
                <w:lang w:eastAsia="zh-CN"/>
              </w:rPr>
              <w:t xml:space="preserve">searchSpaceSIB1 </w:t>
            </w:r>
            <w:r>
              <w:rPr>
                <w:iCs/>
                <w:lang w:eastAsia="zh-CN"/>
              </w:rPr>
              <w:t xml:space="preserve">in </w:t>
            </w:r>
            <w:r>
              <w:rPr>
                <w:i/>
                <w:iCs/>
                <w:lang w:eastAsia="zh-CN"/>
              </w:rPr>
              <w:t>PDCCH-ConfigCommon</w:t>
            </w:r>
            <w:r>
              <w:rPr>
                <w:iCs/>
                <w:lang w:eastAsia="zh-CN"/>
              </w:rPr>
              <w:t xml:space="preserve"> have normal cyclic prefix. </w:t>
            </w:r>
          </w:p>
          <w:p>
            <w:pPr>
              <w:widowControl w:val="0"/>
              <w:jc w:val="center"/>
            </w:pPr>
            <w:r>
              <w:rPr>
                <w:rFonts w:hint="eastAsia"/>
                <w:iCs/>
                <w:lang w:eastAsia="zh-CN"/>
              </w:rPr>
              <w:t>*&lt;</w:t>
            </w:r>
            <w:r>
              <w:rPr>
                <w:iCs/>
                <w:lang w:eastAsia="zh-CN"/>
              </w:rPr>
              <w:t>omitted text&gt;*</w:t>
            </w:r>
            <w:r>
              <w:rPr>
                <w:iCs/>
              </w:rPr>
              <w:t>.</w:t>
            </w:r>
          </w:p>
          <w:p>
            <w:pPr>
              <w:widowControl w:val="0"/>
            </w:pPr>
            <w:r>
              <w:t xml:space="preserve">For operation without shared spectrum channel access and for the SS/PBCH block and CORESET multiplexing pattern 1, </w:t>
            </w:r>
            <w:ins w:id="0" w:author="Fu Ting" w:date="2022-01-05T13:41:00Z">
              <w:r>
                <w:rPr/>
                <w:t xml:space="preserve">for FR1 </w:t>
              </w:r>
            </w:ins>
            <w:ins w:id="1" w:author="Fu Ting" w:date="2022-01-05T13:41:00Z">
              <w:r>
                <w:rPr>
                  <w:rFonts w:hint="eastAsia"/>
                  <w:lang w:eastAsia="zh-CN"/>
                </w:rPr>
                <w:t>and</w:t>
              </w:r>
            </w:ins>
            <w:ins w:id="2" w:author="Fu Ting" w:date="2022-01-05T13:41:00Z">
              <w:r>
                <w:rPr/>
                <w:t xml:space="preserve"> FR2-1</w:t>
              </w:r>
            </w:ins>
            <w:ins w:id="3" w:author="Fu Ting" w:date="2022-01-05T14:11:00Z">
              <w:r>
                <w:rPr/>
                <w:t>,</w:t>
              </w:r>
            </w:ins>
            <w:r>
              <w:t xml:space="preserve"> a UE monitors PDCCH in the Type0-PDCCH CSS set over two consecutive slots starting from slot </w:t>
            </w:r>
            <w:r>
              <w:rPr>
                <w:position w:val="-10"/>
              </w:rPr>
              <w:drawing>
                <wp:inline distT="0" distB="0" distL="0" distR="0">
                  <wp:extent cx="178435" cy="20193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ins w:id="4" w:author="Fu Ting" w:date="2022-01-05T13:41:00Z">
              <w:r>
                <w:rPr>
                  <w:lang w:eastAsia="zh-CN"/>
                </w:rPr>
                <w:t xml:space="preserve">. </w:t>
              </w:r>
            </w:ins>
            <w:ins w:id="5" w:author="Fu Ting" w:date="2022-01-05T14:11:00Z">
              <w:r>
                <w:rPr>
                  <w:lang w:eastAsia="zh-CN"/>
                </w:rPr>
                <w:t xml:space="preserve">For FR2, </w:t>
              </w:r>
            </w:ins>
            <w:ins w:id="6" w:author="Fu Ting" w:date="2022-01-05T13:41:00Z">
              <w:r>
                <w:rPr>
                  <w:lang w:eastAsia="zh-CN"/>
                </w:rPr>
                <w:t>UE monitor</w:t>
              </w:r>
            </w:ins>
            <w:ins w:id="7" w:author="Fu Ting" w:date="2022-01-05T13:43:00Z">
              <w:r>
                <w:rPr>
                  <w:lang w:eastAsia="zh-CN"/>
                </w:rPr>
                <w:t>s</w:t>
              </w:r>
            </w:ins>
            <w:ins w:id="8" w:author="Fu Ting" w:date="2022-01-05T13:44:00Z">
              <w:r>
                <w:rPr/>
                <w:t xml:space="preserve"> PDCCH in the Type0-PDCCH CSS set over two slots, slot </w:t>
              </w:r>
            </w:ins>
            <w:ins w:id="9" w:author="Fu Ting" w:date="2022-01-05T13:44:00Z">
              <w:r>
                <w:rPr>
                  <w:position w:val="-10"/>
                </w:rPr>
                <w:drawing>
                  <wp:inline distT="0" distB="0" distL="0" distR="0">
                    <wp:extent cx="178435" cy="20193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ins>
            <w:ins w:id="11" w:author="Fu Ting" w:date="2022-01-05T13:44:00Z">
              <w:r>
                <w:rPr/>
                <w:t xml:space="preserve"> </w:t>
              </w:r>
            </w:ins>
            <w:ins w:id="12" w:author="Fu Ting" w:date="2022-01-05T13:45:00Z">
              <w:r>
                <w:rPr/>
                <w:t xml:space="preserve">and </w:t>
              </w:r>
            </w:ins>
            <w:ins w:id="13" w:author="Fu Ting" w:date="2022-01-05T13:46:00Z"/>
            <w:ins w:id="14" w:author="Fu Ting" w:date="2022-01-05T13:46:00Z"/>
            <w:ins w:id="15" w:author="Fu Ting" w:date="2022-01-05T13:46:00Z"/>
            <w:ins w:id="16" w:author="Fu Ting" w:date="2022-01-05T13:46:00Z">
              <w:r>
                <w:rPr>
                  <w:position w:val="-12"/>
                </w:rPr>
                <w:object>
                  <v:shape id="_x0000_i1025" o:spt="75" type="#_x0000_t75" style="height:16.5pt;width:34.5pt;" o:ole="t" filled="f" o:preferrelative="t" stroked="f" coordsize="21600,21600">
                    <v:path/>
                    <v:fill on="f" focussize="0,0"/>
                    <v:stroke on="f" joinstyle="miter"/>
                    <v:imagedata r:id="rId6" o:title=""/>
                    <o:lock v:ext="edit" aspectratio="t"/>
                    <w10:wrap type="none"/>
                    <w10:anchorlock/>
                  </v:shape>
                  <o:OLEObject Type="Embed" ProgID="Equation.DSMT4" ShapeID="_x0000_i1025" DrawAspect="Content" ObjectID="_1468075725" r:id="rId5">
                    <o:LockedField>false</o:LockedField>
                  </o:OLEObject>
                </w:object>
              </w:r>
            </w:ins>
            <w:ins w:id="18" w:author="Fu Ting" w:date="2022-01-05T13:46:00Z"/>
            <w:ins w:id="19" w:author="Fu Ting" w:date="2022-01-05T13:44:00Z">
              <w:r>
                <w:rPr/>
                <w:t xml:space="preserve"> </w:t>
              </w:r>
            </w:ins>
            <w:ins w:id="20" w:author="Fu Ting" w:date="2022-01-05T13:47:00Z">
              <w:r>
                <w:rPr>
                  <w:rFonts w:hint="eastAsia"/>
                  <w:lang w:eastAsia="zh-CN"/>
                </w:rPr>
                <w:t>,</w:t>
              </w:r>
            </w:ins>
            <w:ins w:id="21" w:author="Fu Ting" w:date="2022-01-05T13:47:00Z">
              <w:r>
                <w:rPr>
                  <w:lang w:eastAsia="zh-CN"/>
                </w:rPr>
                <w:t xml:space="preserve"> </w:t>
              </w:r>
            </w:ins>
            <w:ins w:id="22" w:author="Fu Ting" w:date="2022-01-05T13:47:00Z">
              <w:r>
                <w:rPr>
                  <w:rFonts w:hint="eastAsia"/>
                  <w:lang w:eastAsia="zh-CN"/>
                </w:rPr>
                <w:t>where</w:t>
              </w:r>
            </w:ins>
            <w:ins w:id="23" w:author="Fu Ting" w:date="2022-01-05T13:47:00Z">
              <w:r>
                <w:rPr>
                  <w:lang w:eastAsia="zh-CN"/>
                </w:rPr>
                <w:t xml:space="preserve"> </w:t>
              </w:r>
            </w:ins>
            <w:ins w:id="24" w:author="Fu Ting" w:date="2022-01-05T13:47:00Z"/>
            <w:ins w:id="25" w:author="Fu Ting" w:date="2022-01-05T13:47:00Z"/>
            <w:ins w:id="26" w:author="Fu Ting" w:date="2022-01-05T13:47:00Z"/>
            <w:ins w:id="27" w:author="Fu Ting" w:date="2022-01-05T13:47:00Z">
              <w:r>
                <w:rPr>
                  <w:position w:val="-12"/>
                  <w:lang w:eastAsia="zh-CN"/>
                </w:rPr>
                <w:object>
                  <v:shape id="_x0000_i1026" o:spt="75" type="#_x0000_t75" style="height:13.5pt;width:30pt;" o:ole="t" filled="f" o:preferrelative="t" stroked="f" coordsize="21600,21600">
                    <v:path/>
                    <v:fill on="f" focussize="0,0"/>
                    <v:stroke on="f" joinstyle="miter"/>
                    <v:imagedata r:id="rId8" o:title=""/>
                    <o:lock v:ext="edit" aspectratio="t"/>
                    <w10:wrap type="none"/>
                    <w10:anchorlock/>
                  </v:shape>
                  <o:OLEObject Type="Embed" ProgID="Equation.DSMT4" ShapeID="_x0000_i1026" DrawAspect="Content" ObjectID="_1468075726" r:id="rId7">
                    <o:LockedField>false</o:LockedField>
                  </o:OLEObject>
                </w:object>
              </w:r>
            </w:ins>
            <w:ins w:id="29" w:author="Fu Ting" w:date="2022-01-05T13:47:00Z"/>
            <w:ins w:id="30" w:author="Fu Ting" w:date="2022-01-05T13:47:00Z">
              <w:r>
                <w:rPr>
                  <w:lang w:eastAsia="zh-CN"/>
                </w:rPr>
                <w:t xml:space="preserve">if </w:t>
              </w:r>
            </w:ins>
            <w:ins w:id="31" w:author="Fu Ting" w:date="2022-01-05T13:48:00Z">
              <w:r>
                <w:rPr/>
                <w:t>SCS of the CORESET for Type0-PDCCH CSS is 480</w:t>
              </w:r>
            </w:ins>
            <w:ins w:id="32" w:author="Fu Ting" w:date="2022-01-05T13:49:00Z">
              <w:r>
                <w:rPr/>
                <w:t>kHz</w:t>
              </w:r>
            </w:ins>
            <w:ins w:id="33" w:author="Fu Ting" w:date="2022-01-05T13:49:00Z">
              <w:r>
                <w:rPr>
                  <w:rFonts w:hint="eastAsia"/>
                  <w:lang w:eastAsia="zh-CN"/>
                </w:rPr>
                <w:t>,</w:t>
              </w:r>
            </w:ins>
            <w:ins w:id="34" w:author="Fu Ting" w:date="2022-01-05T13:49:00Z">
              <w:r>
                <w:rPr>
                  <w:lang w:eastAsia="zh-CN"/>
                </w:rPr>
                <w:t xml:space="preserve"> and </w:t>
              </w:r>
            </w:ins>
            <w:ins w:id="35" w:author="Fu Ting" w:date="2022-01-05T13:49:00Z"/>
            <w:ins w:id="36" w:author="Fu Ting" w:date="2022-01-05T13:49:00Z"/>
            <w:ins w:id="37" w:author="Fu Ting" w:date="2022-01-05T13:49:00Z"/>
            <w:ins w:id="38" w:author="Fu Ting" w:date="2022-01-05T13:49:00Z">
              <w:r>
                <w:rPr>
                  <w:position w:val="-12"/>
                  <w:lang w:eastAsia="zh-CN"/>
                </w:rPr>
                <w:object>
                  <v:shape id="_x0000_i1027" o:spt="75" type="#_x0000_t75" style="height:13.5pt;width:30pt;" o:ole="t" filled="f" o:preferrelative="t" stroked="f" coordsize="21600,21600">
                    <v:path/>
                    <v:fill on="f" focussize="0,0"/>
                    <v:stroke on="f" joinstyle="miter"/>
                    <v:imagedata r:id="rId10" o:title=""/>
                    <o:lock v:ext="edit" aspectratio="t"/>
                    <w10:wrap type="none"/>
                    <w10:anchorlock/>
                  </v:shape>
                  <o:OLEObject Type="Embed" ProgID="Equation.DSMT4" ShapeID="_x0000_i1027" DrawAspect="Content" ObjectID="_1468075727" r:id="rId9">
                    <o:LockedField>false</o:LockedField>
                  </o:OLEObject>
                </w:object>
              </w:r>
            </w:ins>
            <w:ins w:id="40" w:author="Fu Ting" w:date="2022-01-05T13:49:00Z"/>
            <w:ins w:id="41" w:author="Fu Ting" w:date="2022-01-05T13:49:00Z">
              <w:r>
                <w:rPr>
                  <w:lang w:eastAsia="zh-CN"/>
                </w:rPr>
                <w:t xml:space="preserve"> if </w:t>
              </w:r>
            </w:ins>
            <w:ins w:id="42" w:author="Fu Ting" w:date="2022-01-05T13:49:00Z">
              <w:r>
                <w:rPr/>
                <w:t>SCS of the CORESET for Type0-PDCCH CSS is 960kHz</w:t>
              </w:r>
            </w:ins>
            <w:ins w:id="43" w:author="Fu Ting" w:date="2022-01-05T13:49:00Z">
              <w:r>
                <w:rPr>
                  <w:lang w:eastAsia="zh-CN"/>
                </w:rPr>
                <w:t>.</w:t>
              </w:r>
            </w:ins>
            <w:ins w:id="44" w:author="Fu Ting" w:date="2022-01-05T13:50:00Z">
              <w:r>
                <w:rPr>
                  <w:lang w:eastAsia="zh-CN"/>
                </w:rPr>
                <w:t xml:space="preserve"> </w:t>
              </w:r>
            </w:ins>
            <w:r>
              <w:t xml:space="preserve">For SS/PBCH block with index </w:t>
            </w:r>
            <w:r>
              <w:rPr>
                <w:position w:val="-6"/>
              </w:rPr>
              <w:drawing>
                <wp:inline distT="0" distB="0" distL="0" distR="0">
                  <wp:extent cx="95250" cy="17843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an index of slot </w:t>
            </w:r>
            <w:r>
              <w:rPr>
                <w:position w:val="-10"/>
              </w:rPr>
              <w:drawing>
                <wp:inline distT="0" distB="0" distL="0" distR="0">
                  <wp:extent cx="178435" cy="201930"/>
                  <wp:effectExtent l="0" t="0" r="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as </w:t>
            </w:r>
            <w:r>
              <w:rPr>
                <w:position w:val="-10"/>
              </w:rPr>
              <w:drawing>
                <wp:inline distT="0" distB="0" distL="0" distR="0">
                  <wp:extent cx="1733550" cy="23749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1733550" cy="237490"/>
                          </a:xfrm>
                          <a:prstGeom prst="rect">
                            <a:avLst/>
                          </a:prstGeom>
                          <a:noFill/>
                          <a:ln>
                            <a:noFill/>
                          </a:ln>
                        </pic:spPr>
                      </pic:pic>
                    </a:graphicData>
                  </a:graphic>
                </wp:inline>
              </w:drawing>
            </w:r>
            <w:r>
              <w:t xml:space="preserve"> that is in a frame with system frame number (SFN) </w:t>
            </w:r>
            <w:r>
              <w:rPr>
                <w:position w:val="-10"/>
              </w:rPr>
              <w:drawing>
                <wp:inline distT="0" distB="0" distL="0" distR="0">
                  <wp:extent cx="320675" cy="178435"/>
                  <wp:effectExtent l="0" t="0" r="317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320675" cy="178435"/>
                          </a:xfrm>
                          <a:prstGeom prst="rect">
                            <a:avLst/>
                          </a:prstGeom>
                          <a:noFill/>
                          <a:ln>
                            <a:noFill/>
                          </a:ln>
                        </pic:spPr>
                      </pic:pic>
                    </a:graphicData>
                  </a:graphic>
                </wp:inline>
              </w:drawing>
            </w:r>
            <w:r>
              <w:t xml:space="preserve"> satisfying </w:t>
            </w:r>
            <w:r>
              <w:rPr>
                <w:position w:val="-10"/>
              </w:rPr>
              <w:drawing>
                <wp:inline distT="0" distB="0" distL="0" distR="0">
                  <wp:extent cx="902335" cy="20193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902335" cy="201930"/>
                          </a:xfrm>
                          <a:prstGeom prst="rect">
                            <a:avLst/>
                          </a:prstGeom>
                          <a:noFill/>
                          <a:ln>
                            <a:noFill/>
                          </a:ln>
                        </pic:spPr>
                      </pic:pic>
                    </a:graphicData>
                  </a:graphic>
                </wp:inline>
              </w:drawing>
            </w:r>
            <w:r>
              <w:t xml:space="preserve"> if </w:t>
            </w:r>
            <w:r>
              <w:rPr>
                <w:position w:val="-10"/>
              </w:rPr>
              <w:drawing>
                <wp:inline distT="0" distB="0" distL="0" distR="0">
                  <wp:extent cx="1924050" cy="23749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924050" cy="237490"/>
                          </a:xfrm>
                          <a:prstGeom prst="rect">
                            <a:avLst/>
                          </a:prstGeom>
                          <a:noFill/>
                          <a:ln>
                            <a:noFill/>
                          </a:ln>
                        </pic:spPr>
                      </pic:pic>
                    </a:graphicData>
                  </a:graphic>
                </wp:inline>
              </w:drawing>
            </w:r>
            <w:r>
              <w:t xml:space="preserve">, or in a frame with SFN satisfying </w:t>
            </w:r>
            <w:r>
              <w:rPr>
                <w:position w:val="-10"/>
              </w:rPr>
              <w:drawing>
                <wp:inline distT="0" distB="0" distL="0" distR="0">
                  <wp:extent cx="819150" cy="201930"/>
                  <wp:effectExtent l="0" t="0" r="0"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819150" cy="201930"/>
                          </a:xfrm>
                          <a:prstGeom prst="rect">
                            <a:avLst/>
                          </a:prstGeom>
                          <a:noFill/>
                          <a:ln>
                            <a:noFill/>
                          </a:ln>
                        </pic:spPr>
                      </pic:pic>
                    </a:graphicData>
                  </a:graphic>
                </wp:inline>
              </w:drawing>
            </w:r>
            <w:r>
              <w:t xml:space="preserve"> if </w:t>
            </w:r>
            <w:r>
              <w:rPr>
                <w:position w:val="-10"/>
              </w:rPr>
              <w:drawing>
                <wp:inline distT="0" distB="0" distL="0" distR="0">
                  <wp:extent cx="1828800" cy="201930"/>
                  <wp:effectExtent l="0" t="0" r="0" b="762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828800" cy="201930"/>
                          </a:xfrm>
                          <a:prstGeom prst="rect">
                            <a:avLst/>
                          </a:prstGeom>
                          <a:noFill/>
                          <a:ln>
                            <a:noFill/>
                          </a:ln>
                        </pic:spPr>
                      </pic:pic>
                    </a:graphicData>
                  </a:graphic>
                </wp:inline>
              </w:drawing>
            </w:r>
            <w:r>
              <w:t xml:space="preserve">. </w:t>
            </w:r>
            <w:r>
              <w:rPr>
                <w:position w:val="-4"/>
              </w:rPr>
              <w:drawing>
                <wp:inline distT="0" distB="0" distL="0" distR="0">
                  <wp:extent cx="178435" cy="14224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178435" cy="142240"/>
                          </a:xfrm>
                          <a:prstGeom prst="rect">
                            <a:avLst/>
                          </a:prstGeom>
                          <a:noFill/>
                          <a:ln>
                            <a:noFill/>
                          </a:ln>
                        </pic:spPr>
                      </pic:pic>
                    </a:graphicData>
                  </a:graphic>
                </wp:inline>
              </w:drawing>
            </w:r>
            <w:r>
              <w:t xml:space="preserve"> and </w:t>
            </w:r>
            <w:r>
              <w:rPr>
                <w:position w:val="-6"/>
              </w:rPr>
              <w:drawing>
                <wp:inline distT="0" distB="0" distL="0" distR="0">
                  <wp:extent cx="178435" cy="166370"/>
                  <wp:effectExtent l="0" t="0" r="0" b="508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178435" cy="166370"/>
                          </a:xfrm>
                          <a:prstGeom prst="rect">
                            <a:avLst/>
                          </a:prstGeom>
                          <a:noFill/>
                          <a:ln>
                            <a:noFill/>
                          </a:ln>
                        </pic:spPr>
                      </pic:pic>
                    </a:graphicData>
                  </a:graphic>
                </wp:inline>
              </w:drawing>
            </w:r>
            <w:r>
              <w:t xml:space="preserve"> are provided by Tables 13-11 and 13-12, and </w:t>
            </w:r>
            <w:r>
              <w:rPr>
                <w:position w:val="-10"/>
              </w:rPr>
              <w:drawing>
                <wp:inline distT="0" distB="0" distL="0" distR="0">
                  <wp:extent cx="641350" cy="189865"/>
                  <wp:effectExtent l="0" t="0" r="6350" b="63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641350" cy="189865"/>
                          </a:xfrm>
                          <a:prstGeom prst="rect">
                            <a:avLst/>
                          </a:prstGeom>
                          <a:noFill/>
                          <a:ln>
                            <a:noFill/>
                          </a:ln>
                        </pic:spPr>
                      </pic:pic>
                    </a:graphicData>
                  </a:graphic>
                </wp:inline>
              </w:drawing>
            </w:r>
            <w:r>
              <w:t xml:space="preserve"> based on the SCS for PDCCH receptions in the CORESET [4, TS 38.211]. The index for the first symbol of the CORESET in slots </w:t>
            </w:r>
            <w:r>
              <w:rPr>
                <w:position w:val="-10"/>
              </w:rPr>
              <w:drawing>
                <wp:inline distT="0" distB="0" distL="0" distR="0">
                  <wp:extent cx="178435" cy="17843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w:t>
            </w:r>
            <w:r>
              <w:rPr>
                <w:lang w:eastAsia="zh-CN"/>
              </w:rPr>
              <w:t xml:space="preserve">and </w:t>
            </w:r>
            <w:r>
              <w:rPr>
                <w:position w:val="-10"/>
              </w:rPr>
              <w:drawing>
                <wp:inline distT="0" distB="0" distL="0" distR="0">
                  <wp:extent cx="356235" cy="178435"/>
                  <wp:effectExtent l="0" t="0" r="571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356235" cy="178435"/>
                          </a:xfrm>
                          <a:prstGeom prst="rect">
                            <a:avLst/>
                          </a:prstGeom>
                          <a:noFill/>
                          <a:ln>
                            <a:noFill/>
                          </a:ln>
                        </pic:spPr>
                      </pic:pic>
                    </a:graphicData>
                  </a:graphic>
                </wp:inline>
              </w:drawing>
            </w:r>
            <w:r>
              <w:t xml:space="preserve"> </w:t>
            </w:r>
            <w:ins w:id="45" w:author="Fu Ting" w:date="2022-01-05T13:51:00Z">
              <w:r>
                <w:rPr/>
                <w:t xml:space="preserve">and </w:t>
              </w:r>
            </w:ins>
            <w:ins w:id="46" w:author="Fu Ting" w:date="2022-01-05T13:51:00Z"/>
            <w:ins w:id="47" w:author="Fu Ting" w:date="2022-01-05T13:51:00Z"/>
            <w:ins w:id="48" w:author="Fu Ting" w:date="2022-01-05T13:51:00Z"/>
            <w:ins w:id="49" w:author="Fu Ting" w:date="2022-01-05T13:51:00Z">
              <w:r>
                <w:rPr>
                  <w:position w:val="-12"/>
                </w:rPr>
                <w:object>
                  <v:shape id="_x0000_i1028" o:spt="75" type="#_x0000_t75" style="height:16.5pt;width:34.5pt;" o:ole="t" filled="f" o:preferrelative="t" stroked="f" coordsize="21600,21600">
                    <v:path/>
                    <v:fill on="f" focussize="0,0"/>
                    <v:stroke on="f" joinstyle="miter"/>
                    <v:imagedata r:id="rId6" o:title=""/>
                    <o:lock v:ext="edit" aspectratio="t"/>
                    <w10:wrap type="none"/>
                    <w10:anchorlock/>
                  </v:shape>
                  <o:OLEObject Type="Embed" ProgID="Equation.DSMT4" ShapeID="_x0000_i1028" DrawAspect="Content" ObjectID="_1468075728" r:id="rId22">
                    <o:LockedField>false</o:LockedField>
                  </o:OLEObject>
                </w:object>
              </w:r>
            </w:ins>
            <w:ins w:id="51" w:author="Fu Ting" w:date="2022-01-05T13:51:00Z"/>
            <w:ins w:id="52" w:author="Fu Ting" w:date="2022-01-05T13:51:00Z">
              <w:r>
                <w:rPr/>
                <w:t xml:space="preserve"> </w:t>
              </w:r>
            </w:ins>
            <w:r>
              <w:t>is the first symbol index provided by Tables 13-11 and 13-12.</w:t>
            </w:r>
          </w:p>
          <w:p>
            <w:pPr>
              <w:widowControl w:val="0"/>
              <w:jc w:val="both"/>
            </w:pPr>
            <w:r>
              <w:t xml:space="preserve">For operation with shared spectrum channel access and for the SS/PBCH block and CORESET multiplexing pattern 1, a UE monitors PDCCH in the Type0-PDCCH CSS set over slots that include Type0-PDCCH monitoring occasions associated with </w:t>
            </w:r>
            <w:r>
              <w:rPr>
                <w:lang w:eastAsia="ja-JP"/>
              </w:rPr>
              <w:t xml:space="preserve">SS/PBCH blocks that are </w:t>
            </w:r>
            <w:r>
              <w:t xml:space="preserve">quasi co-located </w:t>
            </w:r>
            <w:r>
              <w:rPr>
                <w:lang w:eastAsia="ja-JP"/>
              </w:rPr>
              <w:t>with the SS/PBCH block that provides a CORESET for Type0-PDCCH CSS set</w:t>
            </w:r>
            <w:r>
              <w:t xml:space="preserve"> with respect to average gain, quasi co-location 'typeA' and 'typeD' properties, when applicable</w:t>
            </w:r>
            <w:r>
              <w:rPr>
                <w:kern w:val="2"/>
                <w:lang w:eastAsia="zh-CN"/>
              </w:rPr>
              <w:t xml:space="preserve"> [6, TS 38.214]. </w:t>
            </w:r>
            <w:ins w:id="53" w:author="Fu Ting" w:date="2022-01-05T13:52:00Z">
              <w:r>
                <w:rPr>
                  <w:kern w:val="2"/>
                  <w:lang w:eastAsia="zh-CN"/>
                </w:rPr>
                <w:t xml:space="preserve">For FR1 </w:t>
              </w:r>
            </w:ins>
            <w:ins w:id="54" w:author="Fu Ting" w:date="2022-01-05T13:52:00Z">
              <w:r>
                <w:rPr>
                  <w:rFonts w:hint="eastAsia"/>
                  <w:kern w:val="2"/>
                  <w:lang w:eastAsia="zh-CN"/>
                </w:rPr>
                <w:t>and</w:t>
              </w:r>
            </w:ins>
            <w:ins w:id="55" w:author="Fu Ting" w:date="2022-01-05T13:52:00Z">
              <w:r>
                <w:rPr>
                  <w:kern w:val="2"/>
                  <w:lang w:eastAsia="zh-CN"/>
                </w:rPr>
                <w:t xml:space="preserve"> FR 2-1, </w:t>
              </w:r>
            </w:ins>
            <w:ins w:id="56" w:author="Fu Ting" w:date="2022-01-05T13:52:00Z">
              <w:r>
                <w:rPr>
                  <w:rFonts w:hint="eastAsia"/>
                  <w:lang w:eastAsia="zh-CN"/>
                </w:rPr>
                <w:t>for</w:t>
              </w:r>
            </w:ins>
            <w:del w:id="57" w:author="Fu Ting" w:date="2022-01-05T13:52:00Z">
              <w:r>
                <w:rPr/>
                <w:delText>For</w:delText>
              </w:r>
            </w:del>
            <w:r>
              <w:t xml:space="preserve"> a candidate SS/PBCH block index </w:t>
            </w:r>
            <m:oMath>
              <m:acc>
                <m:accPr>
                  <m:chr m:val="̅"/>
                  <m:ctrlPr>
                    <w:rPr>
                      <w:rFonts w:ascii="Cambria Math" w:hAnsi="Cambria Math"/>
                      <w:i/>
                    </w:rPr>
                  </m:ctrlPr>
                </m:accPr>
                <m:e>
                  <m:r>
                    <w:rPr>
                      <w:rFonts w:ascii="Cambria Math" w:hAnsi="Cambria Math"/>
                    </w:rPr>
                    <m:t>i</m:t>
                  </m:r>
                  <m:ctrlPr>
                    <w:rPr>
                      <w:rFonts w:ascii="Cambria Math" w:hAnsi="Cambria Math"/>
                      <w:i/>
                    </w:rPr>
                  </m:ctrlPr>
                </m:e>
              </m:acc>
            </m:oMath>
            <w:r>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ctrlPr>
                    <w:rPr>
                      <w:rFonts w:ascii="Cambria Math" w:hAnsi="Cambria Math"/>
                      <w:i/>
                    </w:rPr>
                  </m:ctrlP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ctrlPr>
                        <w:rPr>
                          <w:rFonts w:ascii="Cambria Math" w:hAnsi="Cambria Math"/>
                          <w:i/>
                        </w:rPr>
                      </m:ctrlPr>
                    </m:e>
                  </m:acc>
                  <m:ctrlPr>
                    <w:rPr>
                      <w:rFonts w:ascii="Cambria Math" w:hAnsi="Cambria Math"/>
                      <w:i/>
                    </w:rPr>
                  </m:ctrlPr>
                </m:e>
                <m:sub>
                  <m:r>
                    <w:rPr>
                      <w:rFonts w:ascii="Cambria Math" w:hAnsi="Cambria Math"/>
                    </w:rPr>
                    <m:t>max</m:t>
                  </m:r>
                  <m:ctrlPr>
                    <w:rPr>
                      <w:rFonts w:ascii="Cambria Math" w:hAnsi="Cambria Math"/>
                      <w:i/>
                    </w:rPr>
                  </m:ctrlPr>
                </m:sub>
              </m:sSub>
              <m:r>
                <w:rPr>
                  <w:rFonts w:ascii="Cambria Math" w:hAnsi="Cambria Math"/>
                </w:rPr>
                <m:t>-1</m:t>
              </m:r>
            </m:oMath>
            <w:r>
              <w:t xml:space="preserve">, two consecutive slots starting from slot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oMath>
            <w:r>
              <w:t xml:space="preserve"> include the associated Type0-PDCCH monitoring occasions. </w:t>
            </w:r>
            <w:ins w:id="58" w:author="Fu Ting" w:date="2022-01-05T14:08:00Z">
              <w:r>
                <w:rPr>
                  <w:kern w:val="2"/>
                  <w:lang w:eastAsia="zh-CN"/>
                </w:rPr>
                <w:t>For FR</w:t>
              </w:r>
            </w:ins>
            <w:ins w:id="59" w:author="Fu Ting" w:date="2022-01-05T14:12:00Z">
              <w:r>
                <w:rPr>
                  <w:kern w:val="2"/>
                  <w:lang w:eastAsia="zh-CN"/>
                </w:rPr>
                <w:t>2</w:t>
              </w:r>
            </w:ins>
            <w:ins w:id="60" w:author="Fu Ting" w:date="2022-01-05T14:08:00Z">
              <w:r>
                <w:rPr>
                  <w:kern w:val="2"/>
                  <w:lang w:eastAsia="zh-CN"/>
                </w:rPr>
                <w:t xml:space="preserve">, </w:t>
              </w:r>
            </w:ins>
            <w:ins w:id="61" w:author="Fu Ting" w:date="2022-01-05T14:08:00Z">
              <w:r>
                <w:rPr>
                  <w:rFonts w:hint="eastAsia"/>
                  <w:lang w:eastAsia="zh-CN"/>
                </w:rPr>
                <w:t>for</w:t>
              </w:r>
            </w:ins>
            <w:ins w:id="62" w:author="Fu Ting" w:date="2022-01-05T14:08:00Z">
              <w:r>
                <w:rPr/>
                <w:t xml:space="preserve"> a candidate SS/PBCH block index </w:t>
              </w:r>
            </w:ins>
            <m:oMath>
              <m:acc>
                <m:accPr>
                  <m:chr m:val="̅"/>
                  <m:ctrlPr>
                    <w:rPr>
                      <w:rFonts w:ascii="Cambria Math" w:hAnsi="Cambria Math"/>
                      <w:i/>
                    </w:rPr>
                  </m:ctrlPr>
                </m:accPr>
                <m:e>
                  <m:r>
                    <w:rPr>
                      <w:rFonts w:ascii="Cambria Math" w:hAnsi="Cambria Math"/>
                    </w:rPr>
                    <m:t>i</m:t>
                  </m:r>
                  <m:ctrlPr>
                    <w:rPr>
                      <w:rFonts w:ascii="Cambria Math" w:hAnsi="Cambria Math"/>
                      <w:i/>
                    </w:rPr>
                  </m:ctrlPr>
                </m:e>
              </m:acc>
            </m:oMath>
            <w:ins w:id="63" w:author="Fu Ting" w:date="2022-01-05T14:08:00Z">
              <w:r>
                <w:rPr/>
                <w:t xml:space="preserve">, where </w:t>
              </w:r>
            </w:ins>
            <m:oMath>
              <m:r>
                <w:rPr>
                  <w:rFonts w:ascii="Cambria Math" w:hAnsi="Cambria Math"/>
                </w:rPr>
                <m:t>0≤</m:t>
              </m:r>
              <m:acc>
                <m:accPr>
                  <m:chr m:val="̅"/>
                  <m:ctrlPr>
                    <w:rPr>
                      <w:rFonts w:ascii="Cambria Math" w:hAnsi="Cambria Math"/>
                      <w:i/>
                    </w:rPr>
                  </m:ctrlPr>
                </m:accPr>
                <m:e>
                  <m:r>
                    <w:rPr>
                      <w:rFonts w:ascii="Cambria Math" w:hAnsi="Cambria Math"/>
                    </w:rPr>
                    <m:t>i</m:t>
                  </m:r>
                  <m:ctrlPr>
                    <w:rPr>
                      <w:rFonts w:ascii="Cambria Math" w:hAnsi="Cambria Math"/>
                      <w:i/>
                    </w:rPr>
                  </m:ctrlP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ctrlPr>
                        <w:rPr>
                          <w:rFonts w:ascii="Cambria Math" w:hAnsi="Cambria Math"/>
                          <w:i/>
                        </w:rPr>
                      </m:ctrlPr>
                    </m:e>
                  </m:acc>
                  <m:ctrlPr>
                    <w:rPr>
                      <w:rFonts w:ascii="Cambria Math" w:hAnsi="Cambria Math"/>
                      <w:i/>
                    </w:rPr>
                  </m:ctrlPr>
                </m:e>
                <m:sub>
                  <m:r>
                    <w:rPr>
                      <w:rFonts w:ascii="Cambria Math" w:hAnsi="Cambria Math"/>
                    </w:rPr>
                    <m:t>max</m:t>
                  </m:r>
                  <m:ctrlPr>
                    <w:rPr>
                      <w:rFonts w:ascii="Cambria Math" w:hAnsi="Cambria Math"/>
                      <w:i/>
                    </w:rPr>
                  </m:ctrlPr>
                </m:sub>
              </m:sSub>
              <m:r>
                <w:rPr>
                  <w:rFonts w:ascii="Cambria Math" w:hAnsi="Cambria Math"/>
                </w:rPr>
                <m:t>-1</m:t>
              </m:r>
            </m:oMath>
            <w:ins w:id="64" w:author="Fu Ting" w:date="2022-01-05T14:08:00Z">
              <w:r>
                <w:rPr/>
                <w:t>, two slots</w:t>
              </w:r>
            </w:ins>
            <w:ins w:id="65" w:author="Fu Ting" w:date="2022-01-05T14:09:00Z">
              <w:r>
                <w:rPr>
                  <w:rFonts w:hint="eastAsia"/>
                  <w:lang w:eastAsia="zh-CN"/>
                </w:rPr>
                <w:t>,</w:t>
              </w:r>
            </w:ins>
            <w:ins w:id="66" w:author="Fu Ting" w:date="2022-01-05T14:09:00Z">
              <w:r>
                <w:rPr/>
                <w:t xml:space="preserve"> </w:t>
              </w:r>
            </w:ins>
            <w:ins w:id="67" w:author="Fu Ting" w:date="2022-01-05T14:08:00Z">
              <w:r>
                <w:rPr/>
                <w:t xml:space="preserve">slot </w:t>
              </w:r>
            </w:ins>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oMath>
            <w:ins w:id="68" w:author="Fu Ting" w:date="2022-01-05T14:08:00Z">
              <w:r>
                <w:rPr/>
                <w:t xml:space="preserve"> </w:t>
              </w:r>
            </w:ins>
            <w:ins w:id="69" w:author="Fu Ting" w:date="2022-01-05T14:09:00Z">
              <w:r>
                <w:rPr/>
                <w:t xml:space="preserve">and </w:t>
              </w:r>
            </w:ins>
            <w:ins w:id="70" w:author="Fu Ting" w:date="2022-01-05T14:09:00Z"/>
            <w:ins w:id="71" w:author="Fu Ting" w:date="2022-01-05T14:09:00Z"/>
            <w:ins w:id="72" w:author="Fu Ting" w:date="2022-01-05T14:09:00Z"/>
            <w:ins w:id="73" w:author="Fu Ting" w:date="2022-01-05T14:09:00Z">
              <w:r>
                <w:rPr>
                  <w:position w:val="-12"/>
                </w:rPr>
                <w:object>
                  <v:shape id="_x0000_i1029" o:spt="75" type="#_x0000_t75" style="height:16.5pt;width:34.5pt;" o:ole="t" filled="f" o:preferrelative="t" stroked="f" coordsize="21600,21600">
                    <v:path/>
                    <v:fill on="f" focussize="0,0"/>
                    <v:stroke on="f" joinstyle="miter"/>
                    <v:imagedata r:id="rId6" o:title=""/>
                    <o:lock v:ext="edit" aspectratio="t"/>
                    <w10:wrap type="none"/>
                    <w10:anchorlock/>
                  </v:shape>
                  <o:OLEObject Type="Embed" ProgID="Equation.DSMT4" ShapeID="_x0000_i1029" DrawAspect="Content" ObjectID="_1468075729" r:id="rId23">
                    <o:LockedField>false</o:LockedField>
                  </o:OLEObject>
                </w:object>
              </w:r>
            </w:ins>
            <w:ins w:id="75" w:author="Fu Ting" w:date="2022-01-05T14:09:00Z"/>
            <w:ins w:id="76" w:author="Fu Ting" w:date="2022-01-05T14:09:00Z">
              <w:r>
                <w:rPr/>
                <w:t xml:space="preserve"> </w:t>
              </w:r>
            </w:ins>
            <w:ins w:id="77" w:author="Fu Ting" w:date="2022-01-05T14:09:00Z">
              <w:r>
                <w:rPr>
                  <w:rFonts w:hint="eastAsia"/>
                  <w:lang w:eastAsia="zh-CN"/>
                </w:rPr>
                <w:t>,</w:t>
              </w:r>
            </w:ins>
            <w:ins w:id="78" w:author="Fu Ting" w:date="2022-01-05T14:09:00Z">
              <w:r>
                <w:rPr>
                  <w:lang w:eastAsia="zh-CN"/>
                </w:rPr>
                <w:t xml:space="preserve"> </w:t>
              </w:r>
            </w:ins>
            <w:ins w:id="79" w:author="Fu Ting" w:date="2022-01-05T14:09:00Z">
              <w:r>
                <w:rPr>
                  <w:rFonts w:hint="eastAsia"/>
                  <w:lang w:eastAsia="zh-CN"/>
                </w:rPr>
                <w:t>where</w:t>
              </w:r>
            </w:ins>
            <w:ins w:id="80" w:author="Fu Ting" w:date="2022-01-05T14:09:00Z">
              <w:r>
                <w:rPr>
                  <w:lang w:eastAsia="zh-CN"/>
                </w:rPr>
                <w:t xml:space="preserve"> </w:t>
              </w:r>
            </w:ins>
            <w:ins w:id="81" w:author="Fu Ting" w:date="2022-01-05T14:09:00Z"/>
            <w:ins w:id="82" w:author="Fu Ting" w:date="2022-01-05T14:09:00Z"/>
            <w:ins w:id="83" w:author="Fu Ting" w:date="2022-01-05T14:09:00Z"/>
            <w:ins w:id="84" w:author="Fu Ting" w:date="2022-01-05T14:09:00Z">
              <w:r>
                <w:rPr>
                  <w:position w:val="-12"/>
                  <w:lang w:eastAsia="zh-CN"/>
                </w:rPr>
                <w:object>
                  <v:shape id="_x0000_i1030" o:spt="75" type="#_x0000_t75" style="height:13.5pt;width:30pt;" o:ole="t" filled="f" o:preferrelative="t" stroked="f" coordsize="21600,21600">
                    <v:path/>
                    <v:fill on="f" focussize="0,0"/>
                    <v:stroke on="f" joinstyle="miter"/>
                    <v:imagedata r:id="rId8" o:title=""/>
                    <o:lock v:ext="edit" aspectratio="t"/>
                    <w10:wrap type="none"/>
                    <w10:anchorlock/>
                  </v:shape>
                  <o:OLEObject Type="Embed" ProgID="Equation.DSMT4" ShapeID="_x0000_i1030" DrawAspect="Content" ObjectID="_1468075730" r:id="rId24">
                    <o:LockedField>false</o:LockedField>
                  </o:OLEObject>
                </w:object>
              </w:r>
            </w:ins>
            <w:ins w:id="86" w:author="Fu Ting" w:date="2022-01-05T14:09:00Z"/>
            <w:ins w:id="87" w:author="Fu Ting" w:date="2022-01-05T14:09:00Z">
              <w:r>
                <w:rPr>
                  <w:lang w:eastAsia="zh-CN"/>
                </w:rPr>
                <w:t xml:space="preserve">if </w:t>
              </w:r>
            </w:ins>
            <w:ins w:id="88" w:author="Fu Ting" w:date="2022-01-05T14:09:00Z">
              <w:r>
                <w:rPr/>
                <w:t>SCS of the CORESET for Type0-PDCCH CSS is 480kHz</w:t>
              </w:r>
            </w:ins>
            <w:ins w:id="89" w:author="Fu Ting" w:date="2022-01-05T14:09:00Z">
              <w:r>
                <w:rPr>
                  <w:rFonts w:hint="eastAsia"/>
                  <w:lang w:eastAsia="zh-CN"/>
                </w:rPr>
                <w:t>,</w:t>
              </w:r>
            </w:ins>
            <w:ins w:id="90" w:author="Fu Ting" w:date="2022-01-05T14:09:00Z">
              <w:r>
                <w:rPr>
                  <w:lang w:eastAsia="zh-CN"/>
                </w:rPr>
                <w:t xml:space="preserve"> and </w:t>
              </w:r>
            </w:ins>
            <w:ins w:id="91" w:author="Fu Ting" w:date="2022-01-05T14:09:00Z"/>
            <w:ins w:id="92" w:author="Fu Ting" w:date="2022-01-05T14:09:00Z"/>
            <w:ins w:id="93" w:author="Fu Ting" w:date="2022-01-05T14:09:00Z"/>
            <w:ins w:id="94" w:author="Fu Ting" w:date="2022-01-05T14:09:00Z">
              <w:r>
                <w:rPr>
                  <w:position w:val="-12"/>
                  <w:lang w:eastAsia="zh-CN"/>
                </w:rPr>
                <w:object>
                  <v:shape id="_x0000_i1031" o:spt="75" type="#_x0000_t75" style="height:13.5pt;width:30pt;" o:ole="t" filled="f" o:preferrelative="t" stroked="f" coordsize="21600,21600">
                    <v:path/>
                    <v:fill on="f" focussize="0,0"/>
                    <v:stroke on="f" joinstyle="miter"/>
                    <v:imagedata r:id="rId10" o:title=""/>
                    <o:lock v:ext="edit" aspectratio="t"/>
                    <w10:wrap type="none"/>
                    <w10:anchorlock/>
                  </v:shape>
                  <o:OLEObject Type="Embed" ProgID="Equation.DSMT4" ShapeID="_x0000_i1031" DrawAspect="Content" ObjectID="_1468075731" r:id="rId25">
                    <o:LockedField>false</o:LockedField>
                  </o:OLEObject>
                </w:object>
              </w:r>
            </w:ins>
            <w:ins w:id="96" w:author="Fu Ting" w:date="2022-01-05T14:09:00Z"/>
            <w:ins w:id="97" w:author="Fu Ting" w:date="2022-01-05T14:09:00Z">
              <w:r>
                <w:rPr>
                  <w:lang w:eastAsia="zh-CN"/>
                </w:rPr>
                <w:t xml:space="preserve"> if </w:t>
              </w:r>
            </w:ins>
            <w:ins w:id="98" w:author="Fu Ting" w:date="2022-01-05T14:09:00Z">
              <w:r>
                <w:rPr/>
                <w:t>SCS of the CORESET for Type0-PDCCH CSS is 960kHz</w:t>
              </w:r>
            </w:ins>
            <w:ins w:id="99" w:author="Fu Ting" w:date="2022-01-05T14:09:00Z">
              <w:r>
                <w:rPr>
                  <w:lang w:eastAsia="zh-CN"/>
                </w:rPr>
                <w:t xml:space="preserve">, </w:t>
              </w:r>
            </w:ins>
            <w:ins w:id="100" w:author="Fu Ting" w:date="2022-01-05T14:08:00Z">
              <w:r>
                <w:rPr/>
                <w:t>include the associated Type0-PDCCH monitoring occasions.</w:t>
              </w:r>
            </w:ins>
            <w:ins w:id="101" w:author="Fu Ting" w:date="2022-01-05T14:12:00Z">
              <w:r>
                <w:rPr/>
                <w:t xml:space="preserve"> </w:t>
              </w:r>
            </w:ins>
            <w:r>
              <w:t xml:space="preserve">The UE determines an index of slot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oMath>
            <w:r>
              <w:t xml:space="preserve"> as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ctrlPr>
                        <w:rPr>
                          <w:rFonts w:ascii="Cambria Math" w:hAnsi="Cambria Math"/>
                          <w:i/>
                        </w:rPr>
                      </m:ctrlPr>
                    </m:e>
                    <m:sup>
                      <m:r>
                        <w:rPr>
                          <w:rFonts w:ascii="Cambria Math" w:hAnsi="Cambria Math"/>
                        </w:rPr>
                        <m:t>μ</m:t>
                      </m:r>
                      <m:ctrlPr>
                        <w:rPr>
                          <w:rFonts w:ascii="Cambria Math" w:hAnsi="Cambria Math"/>
                          <w:i/>
                        </w:rPr>
                      </m:ctrlP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ctrlPr>
                            <w:rPr>
                              <w:rFonts w:ascii="Cambria Math" w:hAnsi="Cambria Math"/>
                              <w:i/>
                            </w:rPr>
                          </m:ctrlPr>
                        </m:e>
                      </m:acc>
                      <m:r>
                        <w:rPr>
                          <w:rFonts w:ascii="Cambria Math" w:hAnsi="Cambria Math"/>
                        </w:rPr>
                        <m:t>⋅M</m:t>
                      </m:r>
                      <m:ctrlPr>
                        <w:rPr>
                          <w:rFonts w:ascii="Cambria Math" w:hAnsi="Cambria Math"/>
                          <w:i/>
                        </w:rPr>
                      </m:ctrlPr>
                    </m:e>
                  </m:d>
                  <m:ctrlPr>
                    <w:rPr>
                      <w:rFonts w:ascii="Cambria Math" w:hAnsi="Cambria Math"/>
                      <w:i/>
                    </w:rPr>
                  </m:ctrlPr>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ctrlPr>
                    <w:rPr>
                      <w:rFonts w:ascii="Cambria Math" w:hAnsi="Cambria Math"/>
                      <w:i/>
                    </w:rPr>
                  </m:ctrlPr>
                </m:e>
                <m:sub>
                  <m:r>
                    <m:rPr>
                      <m:sty m:val="p"/>
                    </m:rPr>
                    <w:rPr>
                      <w:rFonts w:ascii="Cambria Math" w:hAnsi="Cambria Math"/>
                    </w:rPr>
                    <m:t>slot</m:t>
                  </m:r>
                  <m:ctrlPr>
                    <w:rPr>
                      <w:rFonts w:ascii="Cambria Math" w:hAnsi="Cambria Math"/>
                      <w:i/>
                    </w:rPr>
                  </m:ctrlPr>
                </m:sub>
                <m:sup>
                  <m:r>
                    <m:rPr>
                      <m:sty m:val="p"/>
                    </m:rPr>
                    <w:rPr>
                      <w:rFonts w:ascii="Cambria Math" w:hAnsi="Cambria Math"/>
                    </w:rPr>
                    <m:t>frame, μ</m:t>
                  </m:r>
                  <m:ctrlPr>
                    <w:rPr>
                      <w:rFonts w:ascii="Cambria Math" w:hAnsi="Cambria Math"/>
                      <w:i/>
                    </w:rPr>
                  </m:ctrlPr>
                </m:sup>
              </m:sSubSup>
            </m:oMath>
            <w:r>
              <w:t xml:space="preserve"> that is in a frame with system frame number (SFN) </w:t>
            </w:r>
            <m:oMath>
              <m:sSub>
                <m:sSubPr>
                  <m:ctrlPr>
                    <w:rPr>
                      <w:rFonts w:ascii="Cambria Math" w:hAnsi="Cambria Math"/>
                      <w:i/>
                    </w:rPr>
                  </m:ctrlPr>
                </m:sSubPr>
                <m:e>
                  <m:r>
                    <m:rPr>
                      <m:sty m:val="p"/>
                    </m:rPr>
                    <w:rPr>
                      <w:rFonts w:ascii="Cambria Math" w:hAnsi="Cambria Math"/>
                    </w:rPr>
                    <m:t>SFN</m:t>
                  </m:r>
                  <m:ctrlPr>
                    <w:rPr>
                      <w:rFonts w:ascii="Cambria Math" w:hAnsi="Cambria Math"/>
                      <w:i/>
                    </w:rPr>
                  </m:ctrlPr>
                </m:e>
                <m:sub>
                  <m:r>
                    <w:rPr>
                      <w:rFonts w:ascii="Cambria Math" w:hAnsi="Cambria Math"/>
                    </w:rPr>
                    <m:t>C</m:t>
                  </m:r>
                  <m:ctrlPr>
                    <w:rPr>
                      <w:rFonts w:ascii="Cambria Math" w:hAnsi="Cambria Math"/>
                      <w:i/>
                    </w:rPr>
                  </m:ctrlPr>
                </m:sub>
              </m:sSub>
            </m:oMath>
            <w:r>
              <w:t xml:space="preserve"> satisfying </w:t>
            </w:r>
            <m:oMath>
              <m:sSub>
                <m:sSubPr>
                  <m:ctrlPr>
                    <w:rPr>
                      <w:rFonts w:ascii="Cambria Math" w:hAnsi="Cambria Math"/>
                      <w:i/>
                    </w:rPr>
                  </m:ctrlPr>
                </m:sSubPr>
                <m:e>
                  <m:r>
                    <m:rPr>
                      <m:sty m:val="p"/>
                    </m:rPr>
                    <w:rPr>
                      <w:rFonts w:ascii="Cambria Math" w:hAnsi="Cambria Math"/>
                    </w:rPr>
                    <m:t>SFN</m:t>
                  </m:r>
                  <m:ctrlPr>
                    <w:rPr>
                      <w:rFonts w:ascii="Cambria Math" w:hAnsi="Cambria Math"/>
                      <w:i/>
                    </w:rPr>
                  </m:ctrlPr>
                </m:e>
                <m:sub>
                  <m:r>
                    <w:rPr>
                      <w:rFonts w:ascii="Cambria Math" w:hAnsi="Cambria Math"/>
                    </w:rPr>
                    <m:t>C</m:t>
                  </m:r>
                  <m:ctrlPr>
                    <w:rPr>
                      <w:rFonts w:ascii="Cambria Math" w:hAnsi="Cambria Math"/>
                      <w:i/>
                    </w:rPr>
                  </m:ctrlPr>
                </m:sub>
              </m:sSub>
              <m:r>
                <w:rPr>
                  <w:rFonts w:ascii="Cambria Math" w:hAnsi="Cambria Math"/>
                </w:rPr>
                <m:t xml:space="preserve"> mod 2=0</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ctrlPr>
                            <w:rPr>
                              <w:rFonts w:ascii="Cambria Math" w:hAnsi="Cambria Math"/>
                              <w:i/>
                            </w:rPr>
                          </m:ctrlPr>
                        </m:e>
                        <m:sup>
                          <m:r>
                            <w:rPr>
                              <w:rFonts w:ascii="Cambria Math" w:hAnsi="Cambria Math"/>
                            </w:rPr>
                            <m:t>μ</m:t>
                          </m:r>
                          <m:ctrlPr>
                            <w:rPr>
                              <w:rFonts w:ascii="Cambria Math" w:hAnsi="Cambria Math"/>
                              <w:i/>
                            </w:rPr>
                          </m:ctrlP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ctrlPr>
                                <w:rPr>
                                  <w:rFonts w:ascii="Cambria Math" w:hAnsi="Cambria Math"/>
                                  <w:i/>
                                </w:rPr>
                              </m:ctrlPr>
                            </m:e>
                          </m:acc>
                          <m:r>
                            <w:rPr>
                              <w:rFonts w:ascii="Cambria Math" w:hAnsi="Cambria Math"/>
                            </w:rPr>
                            <m:t>⋅M</m:t>
                          </m:r>
                          <m:ctrlPr>
                            <w:rPr>
                              <w:rFonts w:ascii="Cambria Math" w:hAnsi="Cambria Math"/>
                              <w:i/>
                            </w:rPr>
                          </m:ctrlPr>
                        </m:e>
                      </m:d>
                      <m:ctrlPr>
                        <w:rPr>
                          <w:rFonts w:ascii="Cambria Math" w:hAnsi="Cambria Math"/>
                          <w:i/>
                        </w:rPr>
                      </m:ctrlPr>
                    </m:e>
                  </m:d>
                  <m:r>
                    <m:rPr>
                      <m:sty m:val="p"/>
                    </m:rPr>
                    <w:rPr>
                      <w:rFonts w:ascii="Cambria Math" w:hAnsi="Cambria Math"/>
                    </w:rPr>
                    <m:t>/</m:t>
                  </m:r>
                  <m:sSubSup>
                    <m:sSubSupPr>
                      <m:ctrlPr>
                        <w:rPr>
                          <w:rFonts w:ascii="Cambria Math" w:hAnsi="Cambria Math"/>
                          <w:i/>
                        </w:rPr>
                      </m:ctrlPr>
                    </m:sSubSupPr>
                    <m:e>
                      <m:r>
                        <w:rPr>
                          <w:rFonts w:ascii="Cambria Math" w:hAnsi="Cambria Math"/>
                        </w:rPr>
                        <m:t>N</m:t>
                      </m:r>
                      <m:ctrlPr>
                        <w:rPr>
                          <w:rFonts w:ascii="Cambria Math" w:hAnsi="Cambria Math"/>
                          <w:i/>
                        </w:rPr>
                      </m:ctrlPr>
                    </m:e>
                    <m:sub>
                      <m:r>
                        <m:rPr>
                          <m:sty m:val="p"/>
                        </m:rPr>
                        <w:rPr>
                          <w:rFonts w:ascii="Cambria Math" w:hAnsi="Cambria Math"/>
                        </w:rPr>
                        <m:t>slot</m:t>
                      </m:r>
                      <m:ctrlPr>
                        <w:rPr>
                          <w:rFonts w:ascii="Cambria Math" w:hAnsi="Cambria Math"/>
                          <w:i/>
                        </w:rPr>
                      </m:ctrlPr>
                    </m:sub>
                    <m:sup>
                      <m:r>
                        <m:rPr>
                          <m:sty m:val="p"/>
                        </m:rPr>
                        <w:rPr>
                          <w:rFonts w:ascii="Cambria Math" w:hAnsi="Cambria Math"/>
                        </w:rPr>
                        <m:t>frame, μ</m:t>
                      </m:r>
                      <m:ctrlPr>
                        <w:rPr>
                          <w:rFonts w:ascii="Cambria Math" w:hAnsi="Cambria Math"/>
                          <w:i/>
                        </w:rPr>
                      </m:ctrlPr>
                    </m:sup>
                  </m:sSubSup>
                  <m:ctrlPr>
                    <w:rPr>
                      <w:rFonts w:ascii="Cambria Math" w:hAnsi="Cambria Math"/>
                      <w:i/>
                    </w:rPr>
                  </m:ctrlPr>
                </m:e>
              </m:d>
              <m:r>
                <w:rPr>
                  <w:rFonts w:ascii="Cambria Math" w:hAnsi="Cambria Math"/>
                </w:rPr>
                <m:t xml:space="preserve"> mod 2=0</m:t>
              </m:r>
            </m:oMath>
            <w:r>
              <w:t xml:space="preserve">, or in a frame with SFN satisfying </w:t>
            </w:r>
            <m:oMath>
              <m:sSub>
                <m:sSubPr>
                  <m:ctrlPr>
                    <w:rPr>
                      <w:rFonts w:ascii="Cambria Math" w:hAnsi="Cambria Math"/>
                      <w:i/>
                    </w:rPr>
                  </m:ctrlPr>
                </m:sSubPr>
                <m:e>
                  <m:r>
                    <m:rPr>
                      <m:sty m:val="p"/>
                    </m:rPr>
                    <w:rPr>
                      <w:rFonts w:ascii="Cambria Math" w:hAnsi="Cambria Math"/>
                    </w:rPr>
                    <m:t>SFN</m:t>
                  </m:r>
                  <m:ctrlPr>
                    <w:rPr>
                      <w:rFonts w:ascii="Cambria Math" w:hAnsi="Cambria Math"/>
                      <w:i/>
                    </w:rPr>
                  </m:ctrlPr>
                </m:e>
                <m:sub>
                  <m:r>
                    <w:rPr>
                      <w:rFonts w:ascii="Cambria Math" w:hAnsi="Cambria Math"/>
                    </w:rPr>
                    <m:t>C</m:t>
                  </m:r>
                  <m:ctrlPr>
                    <w:rPr>
                      <w:rFonts w:ascii="Cambria Math" w:hAnsi="Cambria Math"/>
                      <w:i/>
                    </w:rPr>
                  </m:ctrlPr>
                </m:sub>
              </m:sSub>
              <m:r>
                <w:rPr>
                  <w:rFonts w:ascii="Cambria Math" w:hAnsi="Cambria Math"/>
                </w:rPr>
                <m:t xml:space="preserve"> mod 2=1</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ctrlPr>
                            <w:rPr>
                              <w:rFonts w:ascii="Cambria Math" w:hAnsi="Cambria Math"/>
                              <w:i/>
                            </w:rPr>
                          </m:ctrlPr>
                        </m:e>
                        <m:sup>
                          <m:r>
                            <w:rPr>
                              <w:rFonts w:ascii="Cambria Math" w:hAnsi="Cambria Math"/>
                            </w:rPr>
                            <m:t>μ</m:t>
                          </m:r>
                          <m:ctrlPr>
                            <w:rPr>
                              <w:rFonts w:ascii="Cambria Math" w:hAnsi="Cambria Math"/>
                              <w:i/>
                            </w:rPr>
                          </m:ctrlP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ctrlPr>
                                <w:rPr>
                                  <w:rFonts w:ascii="Cambria Math" w:hAnsi="Cambria Math"/>
                                  <w:i/>
                                </w:rPr>
                              </m:ctrlPr>
                            </m:e>
                          </m:acc>
                          <m:r>
                            <w:rPr>
                              <w:rFonts w:ascii="Cambria Math" w:hAnsi="Cambria Math"/>
                            </w:rPr>
                            <m:t>⋅M</m:t>
                          </m:r>
                          <m:ctrlPr>
                            <w:rPr>
                              <w:rFonts w:ascii="Cambria Math" w:hAnsi="Cambria Math"/>
                              <w:i/>
                            </w:rPr>
                          </m:ctrlPr>
                        </m:e>
                      </m:d>
                      <m:ctrlPr>
                        <w:rPr>
                          <w:rFonts w:ascii="Cambria Math" w:hAnsi="Cambria Math"/>
                          <w:i/>
                        </w:rPr>
                      </m:ctrlPr>
                    </m:e>
                  </m:d>
                  <m:r>
                    <m:rPr>
                      <m:sty m:val="p"/>
                    </m:rPr>
                    <w:rPr>
                      <w:rFonts w:ascii="Cambria Math" w:hAnsi="Cambria Math"/>
                    </w:rPr>
                    <m:t>/</m:t>
                  </m:r>
                  <m:sSubSup>
                    <m:sSubSupPr>
                      <m:ctrlPr>
                        <w:rPr>
                          <w:rFonts w:ascii="Cambria Math" w:hAnsi="Cambria Math"/>
                          <w:i/>
                        </w:rPr>
                      </m:ctrlPr>
                    </m:sSubSupPr>
                    <m:e>
                      <m:r>
                        <w:rPr>
                          <w:rFonts w:ascii="Cambria Math" w:hAnsi="Cambria Math"/>
                        </w:rPr>
                        <m:t>N</m:t>
                      </m:r>
                      <m:ctrlPr>
                        <w:rPr>
                          <w:rFonts w:ascii="Cambria Math" w:hAnsi="Cambria Math"/>
                          <w:i/>
                        </w:rPr>
                      </m:ctrlPr>
                    </m:e>
                    <m:sub>
                      <m:r>
                        <m:rPr>
                          <m:sty m:val="p"/>
                        </m:rPr>
                        <w:rPr>
                          <w:rFonts w:ascii="Cambria Math" w:hAnsi="Cambria Math"/>
                        </w:rPr>
                        <m:t>slot</m:t>
                      </m:r>
                      <m:ctrlPr>
                        <w:rPr>
                          <w:rFonts w:ascii="Cambria Math" w:hAnsi="Cambria Math"/>
                          <w:i/>
                        </w:rPr>
                      </m:ctrlPr>
                    </m:sub>
                    <m:sup>
                      <m:r>
                        <m:rPr>
                          <m:sty m:val="p"/>
                        </m:rPr>
                        <w:rPr>
                          <w:rFonts w:ascii="Cambria Math" w:hAnsi="Cambria Math"/>
                        </w:rPr>
                        <m:t>frame, μ</m:t>
                      </m:r>
                      <m:ctrlPr>
                        <w:rPr>
                          <w:rFonts w:ascii="Cambria Math" w:hAnsi="Cambria Math"/>
                          <w:i/>
                        </w:rPr>
                      </m:ctrlPr>
                    </m:sup>
                  </m:sSubSup>
                  <m:ctrlPr>
                    <w:rPr>
                      <w:rFonts w:ascii="Cambria Math" w:hAnsi="Cambria Math"/>
                      <w:i/>
                    </w:rPr>
                  </m:ctrlPr>
                </m:e>
              </m:d>
              <m:r>
                <w:rPr>
                  <w:rFonts w:ascii="Cambria Math" w:hAnsi="Cambria Math"/>
                </w:rPr>
                <m:t xml:space="preserve"> mod 2=1</m:t>
              </m:r>
            </m:oMath>
            <w:r>
              <w:t xml:space="preserve">. </w:t>
            </w:r>
            <m:oMath>
              <m:r>
                <w:rPr>
                  <w:rFonts w:ascii="Cambria Math" w:hAnsi="Cambria Math"/>
                </w:rPr>
                <m:t>M</m:t>
              </m:r>
            </m:oMath>
            <w:r>
              <w:t xml:space="preserve"> and </w:t>
            </w:r>
            <m:oMath>
              <m:r>
                <w:rPr>
                  <w:rFonts w:ascii="Cambria Math" w:hAnsi="Cambria Math"/>
                </w:rPr>
                <m:t>O</m:t>
              </m:r>
            </m:oMath>
            <w:r>
              <w:t xml:space="preserve"> are provided by Table 13-11, and </w:t>
            </w:r>
            <m:oMath>
              <m:r>
                <w:rPr>
                  <w:rFonts w:ascii="Cambria Math" w:hAnsi="Cambria Math"/>
                </w:rPr>
                <m:t>μ∈{0, 1}</m:t>
              </m:r>
            </m:oMath>
            <w:r>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oMath>
            <w:r>
              <w:t xml:space="preserve"> </w:t>
            </w:r>
            <w:r>
              <w:rPr>
                <w:lang w:eastAsia="zh-CN"/>
              </w:rPr>
              <w:t xml:space="preserve">and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r>
                <w:rPr>
                  <w:rFonts w:ascii="Cambria Math" w:hAnsi="Cambria Math"/>
                </w:rPr>
                <m:t>+1</m:t>
              </m:r>
            </m:oMath>
            <w:r>
              <w:t xml:space="preserve"> is the first symbol index provided by Table 13-11. The UE does not expect to be configured with </w:t>
            </w:r>
            <m:oMath>
              <m:r>
                <w:rPr>
                  <w:rFonts w:ascii="Cambria Math" w:hAnsi="Cambria Math"/>
                </w:rPr>
                <m:t>M=1/2</m:t>
              </m:r>
            </m:oMath>
            <w:r>
              <w:t xml:space="preserve">, or with </w:t>
            </w:r>
            <m:oMath>
              <m:r>
                <w:rPr>
                  <w:rFonts w:ascii="Cambria Math" w:hAnsi="Cambria Math"/>
                </w:rPr>
                <m:t>M=2</m:t>
              </m:r>
            </m:oMath>
            <w:r>
              <w:t xml:space="preserve">, when </w:t>
            </w:r>
            <m:oMath>
              <m:sSubSup>
                <m:sSubSupPr>
                  <m:ctrlPr>
                    <w:rPr>
                      <w:rFonts w:ascii="Cambria Math" w:hAnsi="Cambria Math"/>
                      <w:i/>
                    </w:rPr>
                  </m:ctrlPr>
                </m:sSubSupPr>
                <m:e>
                  <m:r>
                    <w:rPr>
                      <w:rFonts w:ascii="Cambria Math"/>
                    </w:rPr>
                    <m:t>N</m:t>
                  </m:r>
                  <m:ctrlPr>
                    <w:rPr>
                      <w:rFonts w:ascii="Cambria Math" w:hAnsi="Cambria Math"/>
                      <w:i/>
                    </w:rPr>
                  </m:ctrlPr>
                </m:e>
                <m:sub>
                  <m:r>
                    <w:rPr>
                      <w:rFonts w:ascii="Cambria Math"/>
                    </w:rPr>
                    <m:t>SSB</m:t>
                  </m:r>
                  <m:ctrlPr>
                    <w:rPr>
                      <w:rFonts w:ascii="Cambria Math" w:hAnsi="Cambria Math"/>
                      <w:i/>
                    </w:rPr>
                  </m:ctrlPr>
                </m:sub>
                <m:sup>
                  <m:r>
                    <w:rPr>
                      <w:rFonts w:ascii="Cambria Math"/>
                    </w:rPr>
                    <m:t>QCL</m:t>
                  </m:r>
                  <m:ctrlPr>
                    <w:rPr>
                      <w:rFonts w:ascii="Cambria Math" w:hAnsi="Cambria Math"/>
                      <w:i/>
                    </w:rPr>
                  </m:ctrlPr>
                </m:sup>
              </m:sSubSup>
              <m:r>
                <w:rPr>
                  <w:rFonts w:ascii="Cambria Math"/>
                </w:rPr>
                <m:t>=1</m:t>
              </m:r>
            </m:oMath>
            <w:r>
              <w:t>.</w:t>
            </w:r>
          </w:p>
          <w:p>
            <w:pPr>
              <w:widowControl w:val="0"/>
            </w:pPr>
            <w:r>
              <w:t xml:space="preserve">For the SS/PBCH block and CORESET multiplexing patterns 2 and 3, a UE monitors PDCCH in the Type0-PDCCH CSS set over one slot with Type0-PDCCH CSS set periodicity equal to the periodicity of SS/PBCH block. 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CSS set. For a SS/PBCH block with index </w:t>
            </w:r>
            <w:r>
              <w:rPr>
                <w:position w:val="-6"/>
              </w:rPr>
              <w:drawing>
                <wp:inline distT="0" distB="0" distL="0" distR="0">
                  <wp:extent cx="95250" cy="17843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the slot index </w:t>
            </w:r>
            <w:r>
              <w:rPr>
                <w:position w:val="-12"/>
              </w:rPr>
              <w:drawing>
                <wp:inline distT="0" distB="0" distL="0" distR="0">
                  <wp:extent cx="178435" cy="17843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and </w:t>
            </w:r>
            <w:r>
              <w:rPr>
                <w:position w:val="-10"/>
              </w:rPr>
              <w:drawing>
                <wp:inline distT="0" distB="0" distL="0" distR="0">
                  <wp:extent cx="273050" cy="17843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273050" cy="178435"/>
                          </a:xfrm>
                          <a:prstGeom prst="rect">
                            <a:avLst/>
                          </a:prstGeom>
                          <a:noFill/>
                          <a:ln>
                            <a:noFill/>
                          </a:ln>
                        </pic:spPr>
                      </pic:pic>
                    </a:graphicData>
                  </a:graphic>
                </wp:inline>
              </w:drawing>
            </w:r>
            <w:r>
              <w:t xml:space="preserve"> based on parameters provided by Tables 13-13 through 13-15.</w:t>
            </w:r>
          </w:p>
          <w:p>
            <w:pPr>
              <w:widowControl w:val="0"/>
              <w:rPr>
                <w:lang w:eastAsia="zh-CN"/>
              </w:rPr>
            </w:pPr>
            <w:r>
              <w:rPr>
                <w:lang w:eastAsia="zh-CN"/>
              </w:rPr>
              <w:t>============================= Unchanged part omitted =========================================</w:t>
            </w:r>
          </w:p>
          <w:p>
            <w:pPr>
              <w:widowControl w:val="0"/>
              <w:rPr>
                <w:bCs/>
                <w:iCs/>
                <w:color w:val="000000"/>
                <w:sz w:val="20"/>
                <w:szCs w:val="20"/>
              </w:rPr>
            </w:pPr>
          </w:p>
        </w:tc>
      </w:tr>
    </w:tbl>
    <w:p>
      <w:pPr>
        <w:rPr>
          <w:bCs/>
          <w:iCs/>
          <w:color w:val="000000"/>
          <w:sz w:val="20"/>
          <w:szCs w:val="20"/>
        </w:rPr>
      </w:pP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We believe the technical aspect of this TP has already been addressed by current specification, and the TP is not using the latest version of the specification.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Ericsson</w:t>
            </w:r>
          </w:p>
        </w:tc>
        <w:tc>
          <w:tcPr>
            <w:tcW w:w="12176" w:type="dxa"/>
            <w:vAlign w:val="center"/>
          </w:tcPr>
          <w:p>
            <w:pPr>
              <w:widowControl w:val="0"/>
              <w:rPr>
                <w:sz w:val="20"/>
                <w:lang w:eastAsia="zh-CN"/>
              </w:rPr>
            </w:pPr>
            <w:r>
              <w:rPr>
                <w:sz w:val="20"/>
                <w:lang w:eastAsia="zh-CN"/>
              </w:rPr>
              <w:t xml:space="preserve">Agree with Samsung that the agreement on monitoring in slots n0 and n0+X is already captured in the most recent version of 38.213. But we did notice a </w:t>
            </w:r>
            <w:r>
              <w:rPr>
                <w:color w:val="FF0000"/>
                <w:sz w:val="20"/>
                <w:lang w:eastAsia="zh-CN"/>
              </w:rPr>
              <w:t xml:space="preserve">typo </w:t>
            </w:r>
            <w:r>
              <w:rPr>
                <w:sz w:val="20"/>
                <w:lang w:eastAsia="zh-CN"/>
              </w:rPr>
              <w:t>in Section 13 just now, and maybe we can agree on correcting it:</w:t>
            </w:r>
          </w:p>
          <w:p>
            <w:pPr>
              <w:widowControl w:val="0"/>
              <w:autoSpaceDE/>
              <w:autoSpaceDN/>
              <w:adjustRightInd/>
              <w:snapToGrid/>
              <w:spacing w:after="180" w:line="240" w:lineRule="auto"/>
              <w:ind w:left="284"/>
              <w:rPr>
                <w:rFonts w:eastAsia="宋体"/>
                <w:sz w:val="20"/>
                <w:szCs w:val="20"/>
                <w:lang w:val="en-GB"/>
              </w:rPr>
            </w:pPr>
            <w:r>
              <w:rPr>
                <w:rFonts w:eastAsia="宋体"/>
                <w:sz w:val="20"/>
                <w:szCs w:val="20"/>
              </w:rPr>
              <w:t xml:space="preserve">For </w:t>
            </w:r>
            <w:r>
              <w:rPr>
                <w:rFonts w:eastAsia="宋体"/>
                <w:sz w:val="20"/>
                <w:szCs w:val="20"/>
                <w:lang w:val="en-GB"/>
              </w:rPr>
              <w:t>operation without shared spectrum channel access and for</w:t>
            </w:r>
            <w:r>
              <w:rPr>
                <w:rFonts w:eastAsia="宋体"/>
                <w:sz w:val="20"/>
                <w:szCs w:val="20"/>
              </w:rPr>
              <w:t xml:space="preserve"> the SS/PBCH block and CORESET multiplexing pattern 1, a UE monitors PDCCH in the Type0-PDCCH CSS set over two slots </w:t>
            </w:r>
            <m:oMath>
              <m:sSub>
                <m:sSubPr>
                  <m:ctrlPr>
                    <w:rPr>
                      <w:rFonts w:ascii="Cambria Math" w:hAnsi="Cambria Math" w:eastAsia="宋体"/>
                      <w:iCs/>
                      <w:strike/>
                      <w:color w:val="FF0000"/>
                      <w:sz w:val="20"/>
                      <w:szCs w:val="20"/>
                    </w:rPr>
                  </m:ctrlPr>
                </m:sSubPr>
                <m:e>
                  <m:r>
                    <w:rPr>
                      <w:rFonts w:ascii="Cambria Math" w:hAnsi="Cambria Math" w:eastAsia="宋体"/>
                      <w:strike/>
                      <w:color w:val="FF0000"/>
                      <w:sz w:val="20"/>
                      <w:szCs w:val="20"/>
                    </w:rPr>
                    <m:t>n</m:t>
                  </m:r>
                  <m:ctrlPr>
                    <w:rPr>
                      <w:rFonts w:ascii="Cambria Math" w:hAnsi="Cambria Math" w:eastAsia="宋体"/>
                      <w:iCs/>
                      <w:strike/>
                      <w:color w:val="FF0000"/>
                      <w:sz w:val="20"/>
                      <w:szCs w:val="20"/>
                    </w:rPr>
                  </m:ctrlPr>
                </m:e>
                <m:sub>
                  <m:r>
                    <m:rPr>
                      <m:sty m:val="p"/>
                    </m:rPr>
                    <w:rPr>
                      <w:rFonts w:ascii="Cambria Math" w:hAnsi="Cambria Math" w:eastAsia="宋体"/>
                      <w:strike/>
                      <w:color w:val="FF0000"/>
                      <w:sz w:val="20"/>
                      <w:szCs w:val="20"/>
                    </w:rPr>
                    <m:t>0</m:t>
                  </m:r>
                  <m:ctrlPr>
                    <w:rPr>
                      <w:rFonts w:ascii="Cambria Math" w:hAnsi="Cambria Math" w:eastAsia="宋体"/>
                      <w:iCs/>
                      <w:strike/>
                      <w:color w:val="FF0000"/>
                      <w:sz w:val="20"/>
                      <w:szCs w:val="20"/>
                    </w:rPr>
                  </m:ctrlPr>
                </m:sub>
              </m:sSub>
            </m:oMath>
            <w:r>
              <w:rPr>
                <w:rFonts w:eastAsia="宋体"/>
                <w:sz w:val="20"/>
                <w:szCs w:val="20"/>
              </w:rPr>
              <w:t xml:space="preserve">. For SS/PBCH block with index </w:t>
            </w:r>
            <m:oMath>
              <m:r>
                <w:rPr>
                  <w:rFonts w:ascii="Cambria Math" w:hAnsi="Cambria Math" w:eastAsia="宋体"/>
                  <w:sz w:val="20"/>
                  <w:szCs w:val="20"/>
                </w:rPr>
                <m:t>i</m:t>
              </m:r>
            </m:oMath>
            <w:r>
              <w:rPr>
                <w:rFonts w:eastAsia="宋体"/>
                <w:sz w:val="20"/>
                <w:szCs w:val="20"/>
                <w:lang w:val="en-GB"/>
              </w:rPr>
              <w:t xml:space="preserve">, the UE determines an index of slot </w:t>
            </w:r>
            <m:oMath>
              <m:sSub>
                <m:sSubPr>
                  <m:ctrlPr>
                    <w:rPr>
                      <w:rFonts w:ascii="Cambria Math" w:hAnsi="Cambria Math" w:eastAsia="宋体"/>
                      <w:iCs/>
                      <w:sz w:val="20"/>
                      <w:szCs w:val="20"/>
                    </w:rPr>
                  </m:ctrlPr>
                </m:sSubPr>
                <m:e>
                  <m:r>
                    <w:rPr>
                      <w:rFonts w:ascii="Cambria Math" w:hAnsi="Cambria Math" w:eastAsia="宋体"/>
                      <w:sz w:val="20"/>
                      <w:szCs w:val="20"/>
                    </w:rPr>
                    <m:t>n</m:t>
                  </m:r>
                  <m:ctrlPr>
                    <w:rPr>
                      <w:rFonts w:ascii="Cambria Math" w:hAnsi="Cambria Math" w:eastAsia="宋体"/>
                      <w:iCs/>
                      <w:sz w:val="20"/>
                      <w:szCs w:val="20"/>
                    </w:rPr>
                  </m:ctrlPr>
                </m:e>
                <m:sub>
                  <m:r>
                    <m:rPr>
                      <m:sty m:val="p"/>
                    </m:rPr>
                    <w:rPr>
                      <w:rFonts w:ascii="Cambria Math" w:hAnsi="Cambria Math" w:eastAsia="宋体"/>
                      <w:sz w:val="20"/>
                      <w:szCs w:val="20"/>
                    </w:rPr>
                    <m:t>0</m:t>
                  </m:r>
                  <m:ctrlPr>
                    <w:rPr>
                      <w:rFonts w:ascii="Cambria Math" w:hAnsi="Cambria Math" w:eastAsia="宋体"/>
                      <w:iCs/>
                      <w:sz w:val="20"/>
                      <w:szCs w:val="20"/>
                    </w:rPr>
                  </m:ctrlPr>
                </m:sub>
              </m:sSub>
            </m:oMath>
            <w:r>
              <w:rPr>
                <w:rFonts w:eastAsia="宋体"/>
                <w:sz w:val="20"/>
                <w:szCs w:val="20"/>
                <w:lang w:val="en-GB"/>
              </w:rPr>
              <w:t xml:space="preserve"> as </w:t>
            </w:r>
            <m:oMath>
              <m:sSub>
                <m:sSubPr>
                  <m:ctrlPr>
                    <w:rPr>
                      <w:rFonts w:ascii="Cambria Math" w:hAnsi="Cambria Math" w:eastAsia="宋体"/>
                      <w:iCs/>
                      <w:sz w:val="20"/>
                      <w:szCs w:val="20"/>
                    </w:rPr>
                  </m:ctrlPr>
                </m:sSubPr>
                <m:e>
                  <m:r>
                    <w:rPr>
                      <w:rFonts w:ascii="Cambria Math" w:hAnsi="Cambria Math" w:eastAsia="宋体"/>
                      <w:sz w:val="20"/>
                      <w:szCs w:val="20"/>
                    </w:rPr>
                    <m:t>n</m:t>
                  </m:r>
                  <m:ctrlPr>
                    <w:rPr>
                      <w:rFonts w:ascii="Cambria Math" w:hAnsi="Cambria Math" w:eastAsia="宋体"/>
                      <w:iCs/>
                      <w:sz w:val="20"/>
                      <w:szCs w:val="20"/>
                    </w:rPr>
                  </m:ctrlPr>
                </m:e>
                <m:sub>
                  <m:r>
                    <m:rPr>
                      <m:sty m:val="p"/>
                    </m:rPr>
                    <w:rPr>
                      <w:rFonts w:ascii="Cambria Math" w:hAnsi="Cambria Math" w:eastAsia="宋体"/>
                      <w:sz w:val="20"/>
                      <w:szCs w:val="20"/>
                    </w:rPr>
                    <m:t>0</m:t>
                  </m:r>
                  <m:ctrlPr>
                    <w:rPr>
                      <w:rFonts w:ascii="Cambria Math" w:hAnsi="Cambria Math" w:eastAsia="宋体"/>
                      <w:iCs/>
                      <w:sz w:val="20"/>
                      <w:szCs w:val="20"/>
                    </w:rPr>
                  </m:ctrlPr>
                </m:sub>
              </m:sSub>
              <m:r>
                <w:rPr>
                  <w:rFonts w:ascii="Cambria Math" w:hAnsi="Cambria Math" w:eastAsia="宋体"/>
                  <w:sz w:val="20"/>
                  <w:szCs w:val="20"/>
                </w:rPr>
                <m:t>=</m:t>
              </m:r>
              <m:d>
                <m:dPr>
                  <m:ctrlPr>
                    <w:rPr>
                      <w:rFonts w:ascii="Cambria Math" w:hAnsi="Cambria Math" w:eastAsia="宋体"/>
                      <w:i/>
                      <w:iCs/>
                      <w:sz w:val="20"/>
                      <w:szCs w:val="20"/>
                    </w:rPr>
                  </m:ctrlPr>
                </m:dPr>
                <m:e>
                  <m:r>
                    <w:rPr>
                      <w:rFonts w:ascii="Cambria Math" w:hAnsi="Cambria Math" w:eastAsia="宋体"/>
                      <w:sz w:val="20"/>
                      <w:szCs w:val="20"/>
                    </w:rPr>
                    <m:t>O</m:t>
                  </m:r>
                  <m:r>
                    <w:rPr>
                      <w:rFonts w:ascii="Cambria Math" w:hAnsi="Cambria Math" w:eastAsia="宋体"/>
                      <w:sz w:val="20"/>
                      <w:szCs w:val="20"/>
                      <w:lang w:val="en-GB"/>
                    </w:rPr>
                    <m:t>∙</m:t>
                  </m:r>
                  <m:sSup>
                    <m:sSupPr>
                      <m:ctrlPr>
                        <w:rPr>
                          <w:rFonts w:ascii="Cambria Math" w:hAnsi="Cambria Math" w:eastAsia="宋体"/>
                          <w:i/>
                          <w:sz w:val="20"/>
                          <w:szCs w:val="20"/>
                          <w:lang w:val="en-GB"/>
                        </w:rPr>
                      </m:ctrlPr>
                    </m:sSupPr>
                    <m:e>
                      <m:r>
                        <w:rPr>
                          <w:rFonts w:ascii="Cambria Math" w:hAnsi="Cambria Math" w:eastAsia="宋体"/>
                          <w:sz w:val="20"/>
                          <w:szCs w:val="20"/>
                          <w:lang w:val="en-GB"/>
                        </w:rPr>
                        <m:t>2</m:t>
                      </m:r>
                      <m:ctrlPr>
                        <w:rPr>
                          <w:rFonts w:ascii="Cambria Math" w:hAnsi="Cambria Math" w:eastAsia="宋体"/>
                          <w:i/>
                          <w:sz w:val="20"/>
                          <w:szCs w:val="20"/>
                          <w:lang w:val="en-GB"/>
                        </w:rPr>
                      </m:ctrlPr>
                    </m:e>
                    <m:sup>
                      <m:r>
                        <w:rPr>
                          <w:rFonts w:ascii="Cambria Math" w:hAnsi="Cambria Math" w:eastAsia="宋体"/>
                          <w:sz w:val="20"/>
                          <w:szCs w:val="20"/>
                          <w:lang w:val="en-GB"/>
                        </w:rPr>
                        <m:t>μ</m:t>
                      </m:r>
                      <m:ctrlPr>
                        <w:rPr>
                          <w:rFonts w:ascii="Cambria Math" w:hAnsi="Cambria Math" w:eastAsia="宋体"/>
                          <w:i/>
                          <w:sz w:val="20"/>
                          <w:szCs w:val="20"/>
                          <w:lang w:val="en-GB"/>
                        </w:rPr>
                      </m:ctrlPr>
                    </m:sup>
                  </m:sSup>
                  <m:r>
                    <w:rPr>
                      <w:rFonts w:ascii="Cambria Math" w:hAnsi="Cambria Math" w:eastAsia="宋体"/>
                      <w:sz w:val="20"/>
                      <w:szCs w:val="20"/>
                      <w:lang w:val="en-GB"/>
                    </w:rPr>
                    <m:t>+</m:t>
                  </m:r>
                  <m:d>
                    <m:dPr>
                      <m:begChr m:val="⌊"/>
                      <m:endChr m:val="⌋"/>
                      <m:ctrlPr>
                        <w:rPr>
                          <w:rFonts w:ascii="Cambria Math" w:hAnsi="Cambria Math" w:eastAsia="宋体"/>
                          <w:i/>
                          <w:sz w:val="20"/>
                          <w:szCs w:val="20"/>
                          <w:lang w:val="en-GB"/>
                        </w:rPr>
                      </m:ctrlPr>
                    </m:dPr>
                    <m:e>
                      <m:r>
                        <w:rPr>
                          <w:rFonts w:ascii="Cambria Math" w:hAnsi="Cambria Math" w:eastAsia="宋体"/>
                          <w:sz w:val="20"/>
                          <w:szCs w:val="20"/>
                          <w:lang w:val="en-GB"/>
                        </w:rPr>
                        <m:t>i∙M</m:t>
                      </m:r>
                      <m:ctrlPr>
                        <w:rPr>
                          <w:rFonts w:ascii="Cambria Math" w:hAnsi="Cambria Math" w:eastAsia="宋体"/>
                          <w:i/>
                          <w:sz w:val="20"/>
                          <w:szCs w:val="20"/>
                          <w:lang w:val="en-GB"/>
                        </w:rPr>
                      </m:ctrlPr>
                    </m:e>
                  </m:d>
                  <m:ctrlPr>
                    <w:rPr>
                      <w:rFonts w:ascii="Cambria Math" w:hAnsi="Cambria Math" w:eastAsia="宋体"/>
                      <w:i/>
                      <w:iCs/>
                      <w:sz w:val="20"/>
                      <w:szCs w:val="20"/>
                    </w:rPr>
                  </m:ctrlPr>
                </m:e>
              </m:d>
              <m:r>
                <m:rPr>
                  <m:sty m:val="p"/>
                </m:rPr>
                <w:rPr>
                  <w:rFonts w:ascii="Cambria Math" w:hAnsi="Cambria Math" w:eastAsia="宋体"/>
                  <w:sz w:val="20"/>
                  <w:szCs w:val="20"/>
                </w:rPr>
                <m:t>mod</m:t>
              </m:r>
              <m:sSubSup>
                <m:sSubSupPr>
                  <m:ctrlPr>
                    <w:rPr>
                      <w:rFonts w:ascii="Cambria Math" w:hAnsi="Cambria Math" w:eastAsia="宋体"/>
                      <w:i/>
                      <w:iCs/>
                      <w:sz w:val="20"/>
                      <w:szCs w:val="20"/>
                    </w:rPr>
                  </m:ctrlPr>
                </m:sSubSupPr>
                <m:e>
                  <m:r>
                    <w:rPr>
                      <w:rFonts w:ascii="Cambria Math" w:hAnsi="Cambria Math" w:eastAsia="宋体"/>
                      <w:sz w:val="20"/>
                      <w:szCs w:val="20"/>
                    </w:rPr>
                    <m:t>N</m:t>
                  </m:r>
                  <m:ctrlPr>
                    <w:rPr>
                      <w:rFonts w:ascii="Cambria Math" w:hAnsi="Cambria Math" w:eastAsia="宋体"/>
                      <w:i/>
                      <w:iCs/>
                      <w:sz w:val="20"/>
                      <w:szCs w:val="20"/>
                    </w:rPr>
                  </m:ctrlPr>
                </m:e>
                <m:sub>
                  <m:r>
                    <m:rPr>
                      <m:sty m:val="p"/>
                    </m:rPr>
                    <w:rPr>
                      <w:rFonts w:ascii="Cambria Math" w:hAnsi="Cambria Math" w:eastAsia="宋体"/>
                      <w:sz w:val="20"/>
                      <w:szCs w:val="20"/>
                    </w:rPr>
                    <m:t>slot</m:t>
                  </m:r>
                  <m:ctrlPr>
                    <w:rPr>
                      <w:rFonts w:ascii="Cambria Math" w:hAnsi="Cambria Math" w:eastAsia="宋体"/>
                      <w:i/>
                      <w:iCs/>
                      <w:sz w:val="20"/>
                      <w:szCs w:val="20"/>
                    </w:rPr>
                  </m:ctrlPr>
                </m:sub>
                <m:sup>
                  <m:r>
                    <m:rPr>
                      <m:sty m:val="p"/>
                    </m:rPr>
                    <w:rPr>
                      <w:rFonts w:ascii="Cambria Math" w:hAnsi="Cambria Math" w:eastAsia="宋体"/>
                      <w:sz w:val="20"/>
                      <w:szCs w:val="20"/>
                    </w:rPr>
                    <m:t>frame</m:t>
                  </m:r>
                  <m:r>
                    <w:rPr>
                      <w:rFonts w:ascii="Cambria Math" w:hAnsi="Cambria Math" w:eastAsia="宋体"/>
                      <w:sz w:val="20"/>
                      <w:szCs w:val="20"/>
                    </w:rPr>
                    <m:t>,μ</m:t>
                  </m:r>
                  <m:ctrlPr>
                    <w:rPr>
                      <w:rFonts w:ascii="Cambria Math" w:hAnsi="Cambria Math" w:eastAsia="宋体"/>
                      <w:i/>
                      <w:iCs/>
                      <w:sz w:val="20"/>
                      <w:szCs w:val="20"/>
                    </w:rPr>
                  </m:ctrlPr>
                </m:sup>
              </m:sSubSup>
              <m:r>
                <w:rPr>
                  <w:rFonts w:ascii="Cambria Math" w:hAnsi="Cambria Math" w:eastAsia="宋体"/>
                  <w:sz w:val="20"/>
                  <w:szCs w:val="20"/>
                </w:rPr>
                <m:t xml:space="preserve"> </m:t>
              </m:r>
            </m:oMath>
            <w:r>
              <w:rPr>
                <w:rFonts w:eastAsia="宋体"/>
                <w:sz w:val="20"/>
                <w:szCs w:val="20"/>
                <w:lang w:val="en-GB"/>
              </w:rPr>
              <w:t xml:space="preserve"> that is in a frame with system frame number (SFN) </w:t>
            </w:r>
            <m:oMath>
              <m:sSub>
                <m:sSubPr>
                  <m:ctrlPr>
                    <w:rPr>
                      <w:rFonts w:ascii="Cambria Math" w:hAnsi="Cambria Math" w:eastAsia="宋体"/>
                      <w:iCs/>
                      <w:sz w:val="20"/>
                      <w:szCs w:val="20"/>
                    </w:rPr>
                  </m:ctrlPr>
                </m:sSubPr>
                <m:e>
                  <m:r>
                    <m:rPr>
                      <m:sty m:val="p"/>
                    </m:rPr>
                    <w:rPr>
                      <w:rFonts w:ascii="Cambria Math" w:hAnsi="Cambria Math" w:eastAsia="宋体"/>
                      <w:sz w:val="20"/>
                      <w:szCs w:val="20"/>
                    </w:rPr>
                    <m:t>SFN</m:t>
                  </m:r>
                  <m:ctrlPr>
                    <w:rPr>
                      <w:rFonts w:ascii="Cambria Math" w:hAnsi="Cambria Math" w:eastAsia="宋体"/>
                      <w:iCs/>
                      <w:sz w:val="20"/>
                      <w:szCs w:val="20"/>
                    </w:rPr>
                  </m:ctrlPr>
                </m:e>
                <m:sub>
                  <m:r>
                    <m:rPr>
                      <m:sty m:val="p"/>
                    </m:rPr>
                    <w:rPr>
                      <w:rFonts w:ascii="Cambria Math" w:hAnsi="Cambria Math" w:eastAsia="宋体"/>
                      <w:sz w:val="20"/>
                      <w:szCs w:val="20"/>
                    </w:rPr>
                    <m:t>C</m:t>
                  </m:r>
                  <m:ctrlPr>
                    <w:rPr>
                      <w:rFonts w:ascii="Cambria Math" w:hAnsi="Cambria Math" w:eastAsia="宋体"/>
                      <w:iCs/>
                      <w:sz w:val="20"/>
                      <w:szCs w:val="20"/>
                    </w:rPr>
                  </m:ctrlPr>
                </m:sub>
              </m:sSub>
            </m:oMath>
            <w:r>
              <w:rPr>
                <w:rFonts w:eastAsia="宋体"/>
                <w:sz w:val="20"/>
                <w:szCs w:val="20"/>
                <w:lang w:val="en-GB"/>
              </w:rPr>
              <w:t xml:space="preserve"> satisfying </w:t>
            </w:r>
            <m:oMath>
              <m:sSub>
                <m:sSubPr>
                  <m:ctrlPr>
                    <w:rPr>
                      <w:rFonts w:ascii="Cambria Math" w:hAnsi="Cambria Math" w:eastAsia="宋体"/>
                      <w:iCs/>
                      <w:sz w:val="20"/>
                      <w:szCs w:val="20"/>
                    </w:rPr>
                  </m:ctrlPr>
                </m:sSubPr>
                <m:e>
                  <m:r>
                    <m:rPr>
                      <m:sty m:val="p"/>
                    </m:rPr>
                    <w:rPr>
                      <w:rFonts w:ascii="Cambria Math" w:hAnsi="Cambria Math" w:eastAsia="宋体"/>
                      <w:sz w:val="20"/>
                      <w:szCs w:val="20"/>
                    </w:rPr>
                    <m:t>SFN</m:t>
                  </m:r>
                  <m:ctrlPr>
                    <w:rPr>
                      <w:rFonts w:ascii="Cambria Math" w:hAnsi="Cambria Math" w:eastAsia="宋体"/>
                      <w:iCs/>
                      <w:sz w:val="20"/>
                      <w:szCs w:val="20"/>
                    </w:rPr>
                  </m:ctrlPr>
                </m:e>
                <m:sub>
                  <m:r>
                    <m:rPr>
                      <m:sty m:val="p"/>
                    </m:rPr>
                    <w:rPr>
                      <w:rFonts w:ascii="Cambria Math" w:hAnsi="Cambria Math" w:eastAsia="宋体"/>
                      <w:sz w:val="20"/>
                      <w:szCs w:val="20"/>
                    </w:rPr>
                    <m:t>c</m:t>
                  </m:r>
                  <m:ctrlPr>
                    <w:rPr>
                      <w:rFonts w:ascii="Cambria Math" w:hAnsi="Cambria Math" w:eastAsia="宋体"/>
                      <w:iCs/>
                      <w:sz w:val="20"/>
                      <w:szCs w:val="20"/>
                    </w:rPr>
                  </m:ctrlPr>
                </m:sub>
              </m:sSub>
              <m:r>
                <m:rPr>
                  <m:sty m:val="p"/>
                </m:rPr>
                <w:rPr>
                  <w:rFonts w:ascii="Cambria Math" w:hAnsi="Cambria Math" w:eastAsia="宋体"/>
                  <w:sz w:val="20"/>
                  <w:szCs w:val="20"/>
                </w:rPr>
                <m:t>mod</m:t>
              </m:r>
              <m:r>
                <w:rPr>
                  <w:rFonts w:ascii="Cambria Math" w:hAnsi="Cambria Math" w:eastAsia="宋体"/>
                  <w:sz w:val="20"/>
                  <w:szCs w:val="20"/>
                </w:rPr>
                <m:t>2=0</m:t>
              </m:r>
            </m:oMath>
            <w:r>
              <w:rPr>
                <w:rFonts w:eastAsia="宋体"/>
                <w:sz w:val="20"/>
                <w:szCs w:val="20"/>
                <w:lang w:val="en-GB"/>
              </w:rPr>
              <w:t xml:space="preserve"> if </w:t>
            </w:r>
            <m:oMath>
              <m:d>
                <m:dPr>
                  <m:begChr m:val="⌊"/>
                  <m:endChr m:val="⌋"/>
                  <m:ctrlPr>
                    <w:rPr>
                      <w:rFonts w:ascii="Cambria Math" w:hAnsi="Cambria Math" w:eastAsia="宋体"/>
                      <w:i/>
                      <w:iCs/>
                      <w:sz w:val="20"/>
                      <w:szCs w:val="20"/>
                    </w:rPr>
                  </m:ctrlPr>
                </m:dPr>
                <m:e>
                  <m:f>
                    <m:fPr>
                      <m:type m:val="lin"/>
                      <m:ctrlPr>
                        <w:rPr>
                          <w:rFonts w:ascii="Cambria Math" w:hAnsi="Cambria Math" w:eastAsia="宋体"/>
                          <w:i/>
                          <w:iCs/>
                          <w:sz w:val="20"/>
                          <w:szCs w:val="20"/>
                        </w:rPr>
                      </m:ctrlPr>
                    </m:fPr>
                    <m:num>
                      <m:d>
                        <m:dPr>
                          <m:ctrlPr>
                            <w:rPr>
                              <w:rFonts w:ascii="Cambria Math" w:hAnsi="Cambria Math" w:eastAsia="宋体"/>
                              <w:i/>
                              <w:iCs/>
                              <w:sz w:val="20"/>
                              <w:szCs w:val="20"/>
                            </w:rPr>
                          </m:ctrlPr>
                        </m:dPr>
                        <m:e>
                          <m:r>
                            <w:rPr>
                              <w:rFonts w:ascii="Cambria Math" w:hAnsi="Cambria Math" w:eastAsia="宋体"/>
                              <w:sz w:val="20"/>
                              <w:szCs w:val="20"/>
                            </w:rPr>
                            <m:t>O</m:t>
                          </m:r>
                          <m:r>
                            <w:rPr>
                              <w:rFonts w:ascii="Cambria Math" w:hAnsi="Cambria Math" w:eastAsia="宋体"/>
                              <w:sz w:val="20"/>
                              <w:szCs w:val="20"/>
                              <w:lang w:val="en-GB"/>
                            </w:rPr>
                            <m:t>∙</m:t>
                          </m:r>
                          <m:sSup>
                            <m:sSupPr>
                              <m:ctrlPr>
                                <w:rPr>
                                  <w:rFonts w:ascii="Cambria Math" w:hAnsi="Cambria Math" w:eastAsia="宋体"/>
                                  <w:i/>
                                  <w:sz w:val="20"/>
                                  <w:szCs w:val="20"/>
                                  <w:lang w:val="en-GB"/>
                                </w:rPr>
                              </m:ctrlPr>
                            </m:sSupPr>
                            <m:e>
                              <m:r>
                                <w:rPr>
                                  <w:rFonts w:ascii="Cambria Math" w:hAnsi="Cambria Math" w:eastAsia="宋体"/>
                                  <w:sz w:val="20"/>
                                  <w:szCs w:val="20"/>
                                  <w:lang w:val="en-GB"/>
                                </w:rPr>
                                <m:t>2</m:t>
                              </m:r>
                              <m:ctrlPr>
                                <w:rPr>
                                  <w:rFonts w:ascii="Cambria Math" w:hAnsi="Cambria Math" w:eastAsia="宋体"/>
                                  <w:i/>
                                  <w:sz w:val="20"/>
                                  <w:szCs w:val="20"/>
                                  <w:lang w:val="en-GB"/>
                                </w:rPr>
                              </m:ctrlPr>
                            </m:e>
                            <m:sup>
                              <m:r>
                                <w:rPr>
                                  <w:rFonts w:ascii="Cambria Math" w:hAnsi="Cambria Math" w:eastAsia="宋体"/>
                                  <w:sz w:val="20"/>
                                  <w:szCs w:val="20"/>
                                  <w:lang w:val="en-GB"/>
                                </w:rPr>
                                <m:t>μ</m:t>
                              </m:r>
                              <m:ctrlPr>
                                <w:rPr>
                                  <w:rFonts w:ascii="Cambria Math" w:hAnsi="Cambria Math" w:eastAsia="宋体"/>
                                  <w:i/>
                                  <w:sz w:val="20"/>
                                  <w:szCs w:val="20"/>
                                  <w:lang w:val="en-GB"/>
                                </w:rPr>
                              </m:ctrlPr>
                            </m:sup>
                          </m:sSup>
                          <m:r>
                            <w:rPr>
                              <w:rFonts w:ascii="Cambria Math" w:hAnsi="Cambria Math" w:eastAsia="宋体"/>
                              <w:sz w:val="20"/>
                              <w:szCs w:val="20"/>
                              <w:lang w:val="en-GB"/>
                            </w:rPr>
                            <m:t>+</m:t>
                          </m:r>
                          <m:d>
                            <m:dPr>
                              <m:begChr m:val="⌊"/>
                              <m:endChr m:val="⌋"/>
                              <m:ctrlPr>
                                <w:rPr>
                                  <w:rFonts w:ascii="Cambria Math" w:hAnsi="Cambria Math" w:eastAsia="宋体"/>
                                  <w:i/>
                                  <w:sz w:val="20"/>
                                  <w:szCs w:val="20"/>
                                  <w:lang w:val="en-GB"/>
                                </w:rPr>
                              </m:ctrlPr>
                            </m:dPr>
                            <m:e>
                              <m:r>
                                <w:rPr>
                                  <w:rFonts w:ascii="Cambria Math" w:hAnsi="Cambria Math" w:eastAsia="宋体"/>
                                  <w:sz w:val="20"/>
                                  <w:szCs w:val="20"/>
                                  <w:lang w:val="en-GB"/>
                                </w:rPr>
                                <m:t>i∙M</m:t>
                              </m:r>
                              <m:ctrlPr>
                                <w:rPr>
                                  <w:rFonts w:ascii="Cambria Math" w:hAnsi="Cambria Math" w:eastAsia="宋体"/>
                                  <w:i/>
                                  <w:sz w:val="20"/>
                                  <w:szCs w:val="20"/>
                                  <w:lang w:val="en-GB"/>
                                </w:rPr>
                              </m:ctrlPr>
                            </m:e>
                          </m:d>
                          <m:ctrlPr>
                            <w:rPr>
                              <w:rFonts w:ascii="Cambria Math" w:hAnsi="Cambria Math" w:eastAsia="宋体"/>
                              <w:i/>
                              <w:iCs/>
                              <w:sz w:val="20"/>
                              <w:szCs w:val="20"/>
                            </w:rPr>
                          </m:ctrlPr>
                        </m:e>
                      </m:d>
                      <m:ctrlPr>
                        <w:rPr>
                          <w:rFonts w:ascii="Cambria Math" w:hAnsi="Cambria Math" w:eastAsia="宋体"/>
                          <w:i/>
                          <w:iCs/>
                          <w:sz w:val="20"/>
                          <w:szCs w:val="20"/>
                        </w:rPr>
                      </m:ctrlPr>
                    </m:num>
                    <m:den>
                      <m:sSubSup>
                        <m:sSubSupPr>
                          <m:ctrlPr>
                            <w:rPr>
                              <w:rFonts w:ascii="Cambria Math" w:hAnsi="Cambria Math" w:eastAsia="宋体"/>
                              <w:i/>
                              <w:iCs/>
                              <w:sz w:val="20"/>
                              <w:szCs w:val="20"/>
                            </w:rPr>
                          </m:ctrlPr>
                        </m:sSubSupPr>
                        <m:e>
                          <m:r>
                            <w:rPr>
                              <w:rFonts w:ascii="Cambria Math" w:hAnsi="Cambria Math" w:eastAsia="宋体"/>
                              <w:sz w:val="20"/>
                              <w:szCs w:val="20"/>
                            </w:rPr>
                            <m:t>N</m:t>
                          </m:r>
                          <m:ctrlPr>
                            <w:rPr>
                              <w:rFonts w:ascii="Cambria Math" w:hAnsi="Cambria Math" w:eastAsia="宋体"/>
                              <w:i/>
                              <w:iCs/>
                              <w:sz w:val="20"/>
                              <w:szCs w:val="20"/>
                            </w:rPr>
                          </m:ctrlPr>
                        </m:e>
                        <m:sub>
                          <m:r>
                            <m:rPr>
                              <m:sty m:val="p"/>
                            </m:rPr>
                            <w:rPr>
                              <w:rFonts w:ascii="Cambria Math" w:hAnsi="Cambria Math" w:eastAsia="宋体"/>
                              <w:sz w:val="20"/>
                              <w:szCs w:val="20"/>
                            </w:rPr>
                            <m:t>slot</m:t>
                          </m:r>
                          <m:ctrlPr>
                            <w:rPr>
                              <w:rFonts w:ascii="Cambria Math" w:hAnsi="Cambria Math" w:eastAsia="宋体"/>
                              <w:i/>
                              <w:iCs/>
                              <w:sz w:val="20"/>
                              <w:szCs w:val="20"/>
                            </w:rPr>
                          </m:ctrlPr>
                        </m:sub>
                        <m:sup>
                          <m:r>
                            <m:rPr>
                              <m:sty m:val="p"/>
                            </m:rPr>
                            <w:rPr>
                              <w:rFonts w:ascii="Cambria Math" w:hAnsi="Cambria Math" w:eastAsia="宋体"/>
                              <w:sz w:val="20"/>
                              <w:szCs w:val="20"/>
                            </w:rPr>
                            <m:t>frame</m:t>
                          </m:r>
                          <m:r>
                            <w:rPr>
                              <w:rFonts w:ascii="Cambria Math" w:hAnsi="Cambria Math" w:eastAsia="宋体"/>
                              <w:sz w:val="20"/>
                              <w:szCs w:val="20"/>
                            </w:rPr>
                            <m:t>,μ</m:t>
                          </m:r>
                          <m:ctrlPr>
                            <w:rPr>
                              <w:rFonts w:ascii="Cambria Math" w:hAnsi="Cambria Math" w:eastAsia="宋体"/>
                              <w:i/>
                              <w:iCs/>
                              <w:sz w:val="20"/>
                              <w:szCs w:val="20"/>
                            </w:rPr>
                          </m:ctrlPr>
                        </m:sup>
                      </m:sSubSup>
                      <m:ctrlPr>
                        <w:rPr>
                          <w:rFonts w:ascii="Cambria Math" w:hAnsi="Cambria Math" w:eastAsia="宋体"/>
                          <w:i/>
                          <w:iCs/>
                          <w:sz w:val="20"/>
                          <w:szCs w:val="20"/>
                        </w:rPr>
                      </m:ctrlPr>
                    </m:den>
                  </m:f>
                  <m:ctrlPr>
                    <w:rPr>
                      <w:rFonts w:ascii="Cambria Math" w:hAnsi="Cambria Math" w:eastAsia="宋体"/>
                      <w:i/>
                      <w:iCs/>
                      <w:sz w:val="20"/>
                      <w:szCs w:val="20"/>
                    </w:rPr>
                  </m:ctrlPr>
                </m:e>
              </m:d>
              <m:r>
                <m:rPr>
                  <m:sty m:val="p"/>
                </m:rPr>
                <w:rPr>
                  <w:rFonts w:ascii="Cambria Math" w:hAnsi="Cambria Math" w:eastAsia="宋体"/>
                  <w:sz w:val="20"/>
                  <w:szCs w:val="20"/>
                </w:rPr>
                <m:t>mod</m:t>
              </m:r>
              <m:r>
                <w:rPr>
                  <w:rFonts w:ascii="Cambria Math" w:hAnsi="Cambria Math" w:eastAsia="宋体"/>
                  <w:sz w:val="20"/>
                  <w:szCs w:val="20"/>
                </w:rPr>
                <m:t>2=0</m:t>
              </m:r>
            </m:oMath>
            <w:r>
              <w:rPr>
                <w:rFonts w:eastAsia="宋体"/>
                <w:sz w:val="20"/>
                <w:szCs w:val="20"/>
                <w:lang w:val="en-GB"/>
              </w:rPr>
              <w:t xml:space="preserve">, or in a frame with SFN satisfying </w:t>
            </w:r>
            <m:oMath>
              <m:sSub>
                <m:sSubPr>
                  <m:ctrlPr>
                    <w:rPr>
                      <w:rFonts w:ascii="Cambria Math" w:hAnsi="Cambria Math" w:eastAsia="宋体"/>
                      <w:iCs/>
                      <w:sz w:val="20"/>
                      <w:szCs w:val="20"/>
                    </w:rPr>
                  </m:ctrlPr>
                </m:sSubPr>
                <m:e>
                  <m:r>
                    <m:rPr>
                      <m:sty m:val="p"/>
                    </m:rPr>
                    <w:rPr>
                      <w:rFonts w:ascii="Cambria Math" w:hAnsi="Cambria Math" w:eastAsia="宋体"/>
                      <w:sz w:val="20"/>
                      <w:szCs w:val="20"/>
                    </w:rPr>
                    <m:t>SFN</m:t>
                  </m:r>
                  <m:ctrlPr>
                    <w:rPr>
                      <w:rFonts w:ascii="Cambria Math" w:hAnsi="Cambria Math" w:eastAsia="宋体"/>
                      <w:iCs/>
                      <w:sz w:val="20"/>
                      <w:szCs w:val="20"/>
                    </w:rPr>
                  </m:ctrlPr>
                </m:e>
                <m:sub>
                  <m:r>
                    <m:rPr>
                      <m:sty m:val="p"/>
                    </m:rPr>
                    <w:rPr>
                      <w:rFonts w:ascii="Cambria Math" w:hAnsi="Cambria Math" w:eastAsia="宋体"/>
                      <w:sz w:val="20"/>
                      <w:szCs w:val="20"/>
                    </w:rPr>
                    <m:t>c</m:t>
                  </m:r>
                  <m:ctrlPr>
                    <w:rPr>
                      <w:rFonts w:ascii="Cambria Math" w:hAnsi="Cambria Math" w:eastAsia="宋体"/>
                      <w:iCs/>
                      <w:sz w:val="20"/>
                      <w:szCs w:val="20"/>
                    </w:rPr>
                  </m:ctrlPr>
                </m:sub>
              </m:sSub>
              <m:r>
                <m:rPr>
                  <m:sty m:val="p"/>
                </m:rPr>
                <w:rPr>
                  <w:rFonts w:ascii="Cambria Math" w:hAnsi="Cambria Math" w:eastAsia="宋体"/>
                  <w:sz w:val="20"/>
                  <w:szCs w:val="20"/>
                </w:rPr>
                <m:t>mod</m:t>
              </m:r>
              <m:r>
                <w:rPr>
                  <w:rFonts w:ascii="Cambria Math" w:hAnsi="Cambria Math" w:eastAsia="宋体"/>
                  <w:sz w:val="20"/>
                  <w:szCs w:val="20"/>
                </w:rPr>
                <m:t>2=1</m:t>
              </m:r>
            </m:oMath>
            <w:r>
              <w:rPr>
                <w:rFonts w:eastAsia="宋体"/>
                <w:sz w:val="20"/>
                <w:szCs w:val="20"/>
                <w:lang w:val="en-GB"/>
              </w:rPr>
              <w:t xml:space="preserve"> if </w:t>
            </w:r>
            <m:oMath>
              <m:d>
                <m:dPr>
                  <m:begChr m:val="⌊"/>
                  <m:endChr m:val="⌋"/>
                  <m:ctrlPr>
                    <w:rPr>
                      <w:rFonts w:ascii="Cambria Math" w:hAnsi="Cambria Math" w:eastAsia="宋体"/>
                      <w:i/>
                      <w:iCs/>
                      <w:sz w:val="20"/>
                      <w:szCs w:val="20"/>
                    </w:rPr>
                  </m:ctrlPr>
                </m:dPr>
                <m:e>
                  <m:f>
                    <m:fPr>
                      <m:type m:val="lin"/>
                      <m:ctrlPr>
                        <w:rPr>
                          <w:rFonts w:ascii="Cambria Math" w:hAnsi="Cambria Math" w:eastAsia="宋体"/>
                          <w:i/>
                          <w:iCs/>
                          <w:sz w:val="20"/>
                          <w:szCs w:val="20"/>
                        </w:rPr>
                      </m:ctrlPr>
                    </m:fPr>
                    <m:num>
                      <m:d>
                        <m:dPr>
                          <m:ctrlPr>
                            <w:rPr>
                              <w:rFonts w:ascii="Cambria Math" w:hAnsi="Cambria Math" w:eastAsia="宋体"/>
                              <w:i/>
                              <w:iCs/>
                              <w:sz w:val="20"/>
                              <w:szCs w:val="20"/>
                            </w:rPr>
                          </m:ctrlPr>
                        </m:dPr>
                        <m:e>
                          <m:r>
                            <w:rPr>
                              <w:rFonts w:ascii="Cambria Math" w:hAnsi="Cambria Math" w:eastAsia="宋体"/>
                              <w:sz w:val="20"/>
                              <w:szCs w:val="20"/>
                            </w:rPr>
                            <m:t>O</m:t>
                          </m:r>
                          <m:r>
                            <w:rPr>
                              <w:rFonts w:ascii="Cambria Math" w:hAnsi="Cambria Math" w:eastAsia="宋体"/>
                              <w:sz w:val="20"/>
                              <w:szCs w:val="20"/>
                              <w:lang w:val="en-GB"/>
                            </w:rPr>
                            <m:t>∙</m:t>
                          </m:r>
                          <m:sSup>
                            <m:sSupPr>
                              <m:ctrlPr>
                                <w:rPr>
                                  <w:rFonts w:ascii="Cambria Math" w:hAnsi="Cambria Math" w:eastAsia="宋体"/>
                                  <w:i/>
                                  <w:sz w:val="20"/>
                                  <w:szCs w:val="20"/>
                                  <w:lang w:val="en-GB"/>
                                </w:rPr>
                              </m:ctrlPr>
                            </m:sSupPr>
                            <m:e>
                              <m:r>
                                <w:rPr>
                                  <w:rFonts w:ascii="Cambria Math" w:hAnsi="Cambria Math" w:eastAsia="宋体"/>
                                  <w:sz w:val="20"/>
                                  <w:szCs w:val="20"/>
                                  <w:lang w:val="en-GB"/>
                                </w:rPr>
                                <m:t>2</m:t>
                              </m:r>
                              <m:ctrlPr>
                                <w:rPr>
                                  <w:rFonts w:ascii="Cambria Math" w:hAnsi="Cambria Math" w:eastAsia="宋体"/>
                                  <w:i/>
                                  <w:sz w:val="20"/>
                                  <w:szCs w:val="20"/>
                                  <w:lang w:val="en-GB"/>
                                </w:rPr>
                              </m:ctrlPr>
                            </m:e>
                            <m:sup>
                              <m:r>
                                <w:rPr>
                                  <w:rFonts w:ascii="Cambria Math" w:hAnsi="Cambria Math" w:eastAsia="宋体"/>
                                  <w:sz w:val="20"/>
                                  <w:szCs w:val="20"/>
                                  <w:lang w:val="en-GB"/>
                                </w:rPr>
                                <m:t>μ</m:t>
                              </m:r>
                              <m:ctrlPr>
                                <w:rPr>
                                  <w:rFonts w:ascii="Cambria Math" w:hAnsi="Cambria Math" w:eastAsia="宋体"/>
                                  <w:i/>
                                  <w:sz w:val="20"/>
                                  <w:szCs w:val="20"/>
                                  <w:lang w:val="en-GB"/>
                                </w:rPr>
                              </m:ctrlPr>
                            </m:sup>
                          </m:sSup>
                          <m:r>
                            <w:rPr>
                              <w:rFonts w:ascii="Cambria Math" w:hAnsi="Cambria Math" w:eastAsia="宋体"/>
                              <w:sz w:val="20"/>
                              <w:szCs w:val="20"/>
                              <w:lang w:val="en-GB"/>
                            </w:rPr>
                            <m:t>+</m:t>
                          </m:r>
                          <m:d>
                            <m:dPr>
                              <m:begChr m:val="⌊"/>
                              <m:endChr m:val="⌋"/>
                              <m:ctrlPr>
                                <w:rPr>
                                  <w:rFonts w:ascii="Cambria Math" w:hAnsi="Cambria Math" w:eastAsia="宋体"/>
                                  <w:i/>
                                  <w:sz w:val="20"/>
                                  <w:szCs w:val="20"/>
                                  <w:lang w:val="en-GB"/>
                                </w:rPr>
                              </m:ctrlPr>
                            </m:dPr>
                            <m:e>
                              <m:r>
                                <w:rPr>
                                  <w:rFonts w:ascii="Cambria Math" w:hAnsi="Cambria Math" w:eastAsia="宋体"/>
                                  <w:sz w:val="20"/>
                                  <w:szCs w:val="20"/>
                                  <w:lang w:val="en-GB"/>
                                </w:rPr>
                                <m:t>i∙M</m:t>
                              </m:r>
                              <m:ctrlPr>
                                <w:rPr>
                                  <w:rFonts w:ascii="Cambria Math" w:hAnsi="Cambria Math" w:eastAsia="宋体"/>
                                  <w:i/>
                                  <w:sz w:val="20"/>
                                  <w:szCs w:val="20"/>
                                  <w:lang w:val="en-GB"/>
                                </w:rPr>
                              </m:ctrlPr>
                            </m:e>
                          </m:d>
                          <m:ctrlPr>
                            <w:rPr>
                              <w:rFonts w:ascii="Cambria Math" w:hAnsi="Cambria Math" w:eastAsia="宋体"/>
                              <w:i/>
                              <w:iCs/>
                              <w:sz w:val="20"/>
                              <w:szCs w:val="20"/>
                            </w:rPr>
                          </m:ctrlPr>
                        </m:e>
                      </m:d>
                      <m:ctrlPr>
                        <w:rPr>
                          <w:rFonts w:ascii="Cambria Math" w:hAnsi="Cambria Math" w:eastAsia="宋体"/>
                          <w:i/>
                          <w:iCs/>
                          <w:sz w:val="20"/>
                          <w:szCs w:val="20"/>
                        </w:rPr>
                      </m:ctrlPr>
                    </m:num>
                    <m:den>
                      <m:sSubSup>
                        <m:sSubSupPr>
                          <m:ctrlPr>
                            <w:rPr>
                              <w:rFonts w:ascii="Cambria Math" w:hAnsi="Cambria Math" w:eastAsia="宋体"/>
                              <w:i/>
                              <w:iCs/>
                              <w:sz w:val="20"/>
                              <w:szCs w:val="20"/>
                            </w:rPr>
                          </m:ctrlPr>
                        </m:sSubSupPr>
                        <m:e>
                          <m:r>
                            <w:rPr>
                              <w:rFonts w:ascii="Cambria Math" w:hAnsi="Cambria Math" w:eastAsia="宋体"/>
                              <w:sz w:val="20"/>
                              <w:szCs w:val="20"/>
                            </w:rPr>
                            <m:t>N</m:t>
                          </m:r>
                          <m:ctrlPr>
                            <w:rPr>
                              <w:rFonts w:ascii="Cambria Math" w:hAnsi="Cambria Math" w:eastAsia="宋体"/>
                              <w:i/>
                              <w:iCs/>
                              <w:sz w:val="20"/>
                              <w:szCs w:val="20"/>
                            </w:rPr>
                          </m:ctrlPr>
                        </m:e>
                        <m:sub>
                          <m:r>
                            <m:rPr>
                              <m:sty m:val="p"/>
                            </m:rPr>
                            <w:rPr>
                              <w:rFonts w:ascii="Cambria Math" w:hAnsi="Cambria Math" w:eastAsia="宋体"/>
                              <w:sz w:val="20"/>
                              <w:szCs w:val="20"/>
                            </w:rPr>
                            <m:t>slot</m:t>
                          </m:r>
                          <m:ctrlPr>
                            <w:rPr>
                              <w:rFonts w:ascii="Cambria Math" w:hAnsi="Cambria Math" w:eastAsia="宋体"/>
                              <w:i/>
                              <w:iCs/>
                              <w:sz w:val="20"/>
                              <w:szCs w:val="20"/>
                            </w:rPr>
                          </m:ctrlPr>
                        </m:sub>
                        <m:sup>
                          <m:r>
                            <m:rPr>
                              <m:sty m:val="p"/>
                            </m:rPr>
                            <w:rPr>
                              <w:rFonts w:ascii="Cambria Math" w:hAnsi="Cambria Math" w:eastAsia="宋体"/>
                              <w:sz w:val="20"/>
                              <w:szCs w:val="20"/>
                            </w:rPr>
                            <m:t>frame</m:t>
                          </m:r>
                          <m:r>
                            <w:rPr>
                              <w:rFonts w:ascii="Cambria Math" w:hAnsi="Cambria Math" w:eastAsia="宋体"/>
                              <w:sz w:val="20"/>
                              <w:szCs w:val="20"/>
                            </w:rPr>
                            <m:t>,μ</m:t>
                          </m:r>
                          <m:ctrlPr>
                            <w:rPr>
                              <w:rFonts w:ascii="Cambria Math" w:hAnsi="Cambria Math" w:eastAsia="宋体"/>
                              <w:i/>
                              <w:iCs/>
                              <w:sz w:val="20"/>
                              <w:szCs w:val="20"/>
                            </w:rPr>
                          </m:ctrlPr>
                        </m:sup>
                      </m:sSubSup>
                      <m:ctrlPr>
                        <w:rPr>
                          <w:rFonts w:ascii="Cambria Math" w:hAnsi="Cambria Math" w:eastAsia="宋体"/>
                          <w:i/>
                          <w:iCs/>
                          <w:sz w:val="20"/>
                          <w:szCs w:val="20"/>
                        </w:rPr>
                      </m:ctrlPr>
                    </m:den>
                  </m:f>
                  <m:ctrlPr>
                    <w:rPr>
                      <w:rFonts w:ascii="Cambria Math" w:hAnsi="Cambria Math" w:eastAsia="宋体"/>
                      <w:i/>
                      <w:iCs/>
                      <w:sz w:val="20"/>
                      <w:szCs w:val="20"/>
                    </w:rPr>
                  </m:ctrlPr>
                </m:e>
              </m:d>
              <m:r>
                <m:rPr>
                  <m:sty m:val="p"/>
                </m:rPr>
                <w:rPr>
                  <w:rFonts w:ascii="Cambria Math" w:hAnsi="Cambria Math" w:eastAsia="宋体"/>
                  <w:sz w:val="20"/>
                  <w:szCs w:val="20"/>
                </w:rPr>
                <m:t>mod</m:t>
              </m:r>
              <m:r>
                <w:rPr>
                  <w:rFonts w:ascii="Cambria Math" w:hAnsi="Cambria Math" w:eastAsia="宋体"/>
                  <w:sz w:val="20"/>
                  <w:szCs w:val="20"/>
                </w:rPr>
                <m:t>2=1</m:t>
              </m:r>
            </m:oMath>
            <w:r>
              <w:rPr>
                <w:rFonts w:eastAsia="宋体"/>
                <w:sz w:val="20"/>
                <w:szCs w:val="20"/>
                <w:lang w:val="en-GB"/>
              </w:rPr>
              <w:t xml:space="preserve"> where </w:t>
            </w:r>
            <m:oMath>
              <m:r>
                <w:rPr>
                  <w:rFonts w:ascii="Cambria Math" w:hAnsi="Cambria Math" w:eastAsia="宋体"/>
                  <w:sz w:val="20"/>
                  <w:szCs w:val="20"/>
                  <w:lang w:val="en-GB"/>
                </w:rPr>
                <m:t>μ∈</m:t>
              </m:r>
              <m:d>
                <m:dPr>
                  <m:begChr m:val="{"/>
                  <m:endChr m:val="}"/>
                  <m:ctrlPr>
                    <w:rPr>
                      <w:rFonts w:ascii="Cambria Math" w:hAnsi="Cambria Math" w:eastAsia="宋体"/>
                      <w:i/>
                      <w:sz w:val="20"/>
                      <w:szCs w:val="20"/>
                      <w:lang w:val="en-GB"/>
                    </w:rPr>
                  </m:ctrlPr>
                </m:dPr>
                <m:e>
                  <m:r>
                    <w:rPr>
                      <w:rFonts w:ascii="Cambria Math" w:hAnsi="Cambria Math" w:eastAsia="宋体"/>
                      <w:sz w:val="20"/>
                      <w:szCs w:val="20"/>
                      <w:lang w:val="en-GB"/>
                    </w:rPr>
                    <m:t>0,1,2,3,5,6</m:t>
                  </m:r>
                  <m:ctrlPr>
                    <w:rPr>
                      <w:rFonts w:ascii="Cambria Math" w:hAnsi="Cambria Math" w:eastAsia="宋体"/>
                      <w:i/>
                      <w:sz w:val="20"/>
                      <w:szCs w:val="20"/>
                      <w:lang w:val="en-GB"/>
                    </w:rPr>
                  </m:ctrlPr>
                </m:e>
              </m:d>
            </m:oMath>
            <w:r>
              <w:rPr>
                <w:rFonts w:eastAsia="宋体"/>
                <w:sz w:val="20"/>
                <w:szCs w:val="20"/>
                <w:lang w:val="en-GB"/>
              </w:rPr>
              <w:t xml:space="preserve"> based on the SCS for PDCCH receptions in the CORESET [4, TS 38.211] .</w:t>
            </w:r>
          </w:p>
          <w:p>
            <w:pPr>
              <w:widowControl w:val="0"/>
              <w:autoSpaceDE/>
              <w:autoSpaceDN/>
              <w:adjustRightInd/>
              <w:snapToGrid/>
              <w:spacing w:after="180" w:line="240" w:lineRule="auto"/>
              <w:ind w:left="852" w:hanging="284"/>
              <w:rPr>
                <w:rFonts w:eastAsia="宋体"/>
                <w:sz w:val="20"/>
                <w:szCs w:val="20"/>
              </w:rPr>
            </w:pPr>
            <w:r>
              <w:rPr>
                <w:rFonts w:eastAsia="宋体"/>
                <w:sz w:val="20"/>
                <w:szCs w:val="20"/>
              </w:rPr>
              <w:t>-</w:t>
            </w:r>
            <w:r>
              <w:rPr>
                <w:rFonts w:eastAsia="宋体"/>
                <w:sz w:val="20"/>
                <w:szCs w:val="20"/>
              </w:rPr>
              <w:tab/>
            </w:r>
            <w:r>
              <w:rPr>
                <w:rFonts w:eastAsia="宋体"/>
                <w:sz w:val="20"/>
                <w:szCs w:val="20"/>
              </w:rPr>
              <w:t xml:space="preserve">For </w:t>
            </w:r>
            <m:oMath>
              <m:r>
                <w:rPr>
                  <w:rFonts w:ascii="Cambria Math" w:hAnsi="Cambria Math" w:eastAsia="宋体"/>
                  <w:sz w:val="20"/>
                  <w:szCs w:val="20"/>
                  <w:lang w:val="zh-CN"/>
                </w:rPr>
                <m:t>μ</m:t>
              </m:r>
              <m:r>
                <w:rPr>
                  <w:rFonts w:ascii="Cambria Math" w:hAnsi="Cambria Math" w:eastAsia="宋体"/>
                  <w:sz w:val="20"/>
                  <w:szCs w:val="20"/>
                </w:rPr>
                <m:t>∈{0, 1, 2, 3}</m:t>
              </m:r>
            </m:oMath>
            <w:r>
              <w:rPr>
                <w:rFonts w:eastAsia="宋体"/>
                <w:sz w:val="20"/>
                <w:szCs w:val="20"/>
              </w:rPr>
              <w:t xml:space="preserve"> and for a SS/PBCH block index </w:t>
            </w:r>
            <m:oMath>
              <m:r>
                <w:rPr>
                  <w:rFonts w:ascii="Cambria Math" w:hAnsi="Cambria Math" w:eastAsia="宋体"/>
                  <w:sz w:val="20"/>
                  <w:szCs w:val="20"/>
                  <w:lang w:val="zh-CN"/>
                </w:rPr>
                <m:t>i</m:t>
              </m:r>
            </m:oMath>
            <w:r>
              <w:rPr>
                <w:rFonts w:eastAsia="宋体"/>
                <w:sz w:val="20"/>
                <w:szCs w:val="20"/>
              </w:rPr>
              <w:t xml:space="preserve">, the two slots including the associated Type0-PDCCH monitoring occasions are slots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oMath>
            <w:r>
              <w:rPr>
                <w:rFonts w:eastAsia="宋体"/>
                <w:sz w:val="20"/>
                <w:szCs w:val="20"/>
              </w:rPr>
              <w:t xml:space="preserve"> and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r>
                <w:rPr>
                  <w:rFonts w:ascii="Cambria Math" w:hAnsi="Cambria Math" w:eastAsia="宋体"/>
                  <w:sz w:val="20"/>
                  <w:szCs w:val="20"/>
                </w:rPr>
                <m:t>+1</m:t>
              </m:r>
            </m:oMath>
            <w:r>
              <w:rPr>
                <w:rFonts w:eastAsia="宋体"/>
                <w:sz w:val="20"/>
                <w:szCs w:val="20"/>
              </w:rPr>
              <w:t xml:space="preserve">. </w:t>
            </w:r>
            <m:oMath>
              <m:r>
                <w:rPr>
                  <w:rFonts w:ascii="Cambria Math" w:hAnsi="Cambria Math" w:eastAsia="宋体"/>
                  <w:sz w:val="20"/>
                  <w:szCs w:val="20"/>
                  <w:lang w:val="zh-CN"/>
                </w:rPr>
                <m:t>M</m:t>
              </m:r>
            </m:oMath>
            <w:r>
              <w:rPr>
                <w:rFonts w:eastAsia="宋体"/>
                <w:sz w:val="20"/>
                <w:szCs w:val="20"/>
              </w:rPr>
              <w:t xml:space="preserve">, </w:t>
            </w:r>
            <m:oMath>
              <m:r>
                <w:rPr>
                  <w:rFonts w:ascii="Cambria Math" w:hAnsi="Cambria Math" w:eastAsia="宋体"/>
                  <w:sz w:val="20"/>
                  <w:szCs w:val="20"/>
                  <w:lang w:val="zh-CN"/>
                </w:rPr>
                <m:t>O</m:t>
              </m:r>
            </m:oMath>
            <w:r>
              <w:rPr>
                <w:rFonts w:eastAsia="宋体"/>
                <w:sz w:val="20"/>
                <w:szCs w:val="20"/>
              </w:rPr>
              <w:t xml:space="preserve">, and the index of the first symbol of the CORESET in slots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oMath>
            <w:r>
              <w:rPr>
                <w:rFonts w:eastAsia="宋体"/>
                <w:sz w:val="20"/>
                <w:szCs w:val="20"/>
              </w:rPr>
              <w:t xml:space="preserve"> and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r>
                <w:rPr>
                  <w:rFonts w:ascii="Cambria Math" w:hAnsi="Cambria Math" w:eastAsia="宋体"/>
                  <w:sz w:val="20"/>
                  <w:szCs w:val="20"/>
                </w:rPr>
                <m:t>+1</m:t>
              </m:r>
            </m:oMath>
            <w:r>
              <w:rPr>
                <w:rFonts w:eastAsia="宋体"/>
                <w:sz w:val="20"/>
                <w:szCs w:val="20"/>
              </w:rPr>
              <w:t xml:space="preserve"> are provided by Table 13-11 and Table 13-12.</w:t>
            </w:r>
          </w:p>
          <w:p>
            <w:pPr>
              <w:widowControl w:val="0"/>
              <w:autoSpaceDE/>
              <w:autoSpaceDN/>
              <w:adjustRightInd/>
              <w:snapToGrid/>
              <w:spacing w:after="180" w:line="240" w:lineRule="auto"/>
              <w:ind w:left="852" w:hanging="284"/>
              <w:rPr>
                <w:rFonts w:eastAsia="宋体"/>
                <w:sz w:val="20"/>
                <w:szCs w:val="20"/>
              </w:rPr>
            </w:pPr>
            <w:r>
              <w:rPr>
                <w:rFonts w:eastAsia="宋体"/>
                <w:sz w:val="20"/>
                <w:szCs w:val="20"/>
              </w:rPr>
              <w:t>-</w:t>
            </w:r>
            <w:r>
              <w:rPr>
                <w:rFonts w:eastAsia="宋体"/>
                <w:sz w:val="20"/>
                <w:szCs w:val="20"/>
              </w:rPr>
              <w:tab/>
            </w:r>
            <w:r>
              <w:rPr>
                <w:rFonts w:eastAsia="宋体"/>
                <w:sz w:val="20"/>
                <w:szCs w:val="20"/>
              </w:rPr>
              <w:t xml:space="preserve">For </w:t>
            </w:r>
            <m:oMath>
              <m:r>
                <w:rPr>
                  <w:rFonts w:ascii="Cambria Math" w:hAnsi="Cambria Math" w:eastAsia="宋体"/>
                  <w:sz w:val="20"/>
                  <w:szCs w:val="20"/>
                  <w:lang w:val="zh-CN"/>
                </w:rPr>
                <m:t>μ</m:t>
              </m:r>
              <m:r>
                <w:rPr>
                  <w:rFonts w:ascii="Cambria Math" w:hAnsi="Cambria Math" w:eastAsia="宋体"/>
                  <w:sz w:val="20"/>
                  <w:szCs w:val="20"/>
                </w:rPr>
                <m:t>=5</m:t>
              </m:r>
            </m:oMath>
            <w:r>
              <w:rPr>
                <w:rFonts w:eastAsia="宋体"/>
                <w:sz w:val="20"/>
                <w:szCs w:val="20"/>
              </w:rPr>
              <w:t xml:space="preserve"> and for a SS/PBCH block index </w:t>
            </w:r>
            <m:oMath>
              <m:r>
                <w:rPr>
                  <w:rFonts w:ascii="Cambria Math" w:hAnsi="Cambria Math" w:eastAsia="宋体"/>
                  <w:sz w:val="20"/>
                  <w:szCs w:val="20"/>
                  <w:lang w:val="zh-CN"/>
                </w:rPr>
                <m:t>i</m:t>
              </m:r>
            </m:oMath>
            <w:r>
              <w:rPr>
                <w:rFonts w:eastAsia="宋体"/>
                <w:sz w:val="20"/>
                <w:szCs w:val="20"/>
              </w:rPr>
              <w:t xml:space="preserve">, the two slots including the associated Type0-PDCCH monitoring occasions are slots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oMath>
            <w:r>
              <w:rPr>
                <w:rFonts w:eastAsia="宋体"/>
                <w:sz w:val="20"/>
                <w:szCs w:val="20"/>
              </w:rPr>
              <w:t xml:space="preserve"> and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r>
                <w:rPr>
                  <w:rFonts w:ascii="Cambria Math" w:hAnsi="Cambria Math" w:eastAsia="宋体"/>
                  <w:sz w:val="20"/>
                  <w:szCs w:val="20"/>
                </w:rPr>
                <m:t>+4</m:t>
              </m:r>
            </m:oMath>
            <w:r>
              <w:rPr>
                <w:rFonts w:eastAsia="宋体"/>
                <w:sz w:val="20"/>
                <w:szCs w:val="20"/>
              </w:rPr>
              <w:t xml:space="preserve">. </w:t>
            </w:r>
            <m:oMath>
              <m:r>
                <w:rPr>
                  <w:rFonts w:ascii="Cambria Math" w:hAnsi="Cambria Math" w:eastAsia="宋体"/>
                  <w:sz w:val="20"/>
                  <w:szCs w:val="20"/>
                  <w:lang w:val="zh-CN"/>
                </w:rPr>
                <m:t>M</m:t>
              </m:r>
            </m:oMath>
            <w:r>
              <w:rPr>
                <w:rFonts w:eastAsia="宋体"/>
                <w:sz w:val="20"/>
                <w:szCs w:val="20"/>
              </w:rPr>
              <w:t xml:space="preserve">, </w:t>
            </w:r>
            <m:oMath>
              <m:r>
                <w:rPr>
                  <w:rFonts w:ascii="Cambria Math" w:hAnsi="Cambria Math" w:eastAsia="宋体"/>
                  <w:sz w:val="20"/>
                  <w:szCs w:val="20"/>
                  <w:lang w:val="zh-CN"/>
                </w:rPr>
                <m:t>O</m:t>
              </m:r>
            </m:oMath>
            <w:r>
              <w:rPr>
                <w:rFonts w:eastAsia="宋体"/>
                <w:sz w:val="20"/>
                <w:szCs w:val="20"/>
              </w:rPr>
              <w:t xml:space="preserve">, and the index of the first symbol of the CORESET in slots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oMath>
            <w:r>
              <w:rPr>
                <w:rFonts w:eastAsia="宋体"/>
                <w:sz w:val="20"/>
                <w:szCs w:val="20"/>
              </w:rPr>
              <w:t xml:space="preserve"> and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r>
                <w:rPr>
                  <w:rFonts w:ascii="Cambria Math" w:hAnsi="Cambria Math" w:eastAsia="宋体"/>
                  <w:sz w:val="20"/>
                  <w:szCs w:val="20"/>
                </w:rPr>
                <m:t>+4</m:t>
              </m:r>
            </m:oMath>
            <w:r>
              <w:rPr>
                <w:rFonts w:eastAsia="宋体"/>
                <w:sz w:val="20"/>
                <w:szCs w:val="20"/>
              </w:rPr>
              <w:t xml:space="preserve"> are provided by Table 13-12A, where </w:t>
            </w:r>
            <m:oMath>
              <m:r>
                <w:rPr>
                  <w:rFonts w:ascii="Cambria Math" w:hAnsi="Cambria Math" w:eastAsia="宋体"/>
                  <w:sz w:val="20"/>
                  <w:szCs w:val="20"/>
                  <w:lang w:val="zh-CN"/>
                </w:rPr>
                <m:t>X</m:t>
              </m:r>
              <m:r>
                <w:rPr>
                  <w:rFonts w:ascii="Cambria Math" w:hAnsi="Cambria Math" w:eastAsia="宋体"/>
                  <w:sz w:val="20"/>
                  <w:szCs w:val="20"/>
                </w:rPr>
                <m:t>=1.25</m:t>
              </m:r>
            </m:oMath>
            <w:r>
              <w:rPr>
                <w:rFonts w:eastAsia="宋体"/>
                <w:sz w:val="20"/>
                <w:szCs w:val="20"/>
              </w:rPr>
              <w:t>.</w:t>
            </w:r>
          </w:p>
          <w:p>
            <w:pPr>
              <w:widowControl w:val="0"/>
              <w:autoSpaceDE/>
              <w:autoSpaceDN/>
              <w:adjustRightInd/>
              <w:snapToGrid/>
              <w:spacing w:after="180" w:line="240" w:lineRule="auto"/>
              <w:ind w:left="852" w:hanging="284"/>
              <w:rPr>
                <w:rFonts w:eastAsia="宋体"/>
                <w:sz w:val="20"/>
                <w:szCs w:val="20"/>
              </w:rPr>
            </w:pPr>
            <w:r>
              <w:rPr>
                <w:rFonts w:eastAsia="宋体"/>
                <w:sz w:val="20"/>
                <w:szCs w:val="20"/>
              </w:rPr>
              <w:t>-</w:t>
            </w:r>
            <w:r>
              <w:rPr>
                <w:rFonts w:eastAsia="宋体"/>
                <w:sz w:val="20"/>
                <w:szCs w:val="20"/>
              </w:rPr>
              <w:tab/>
            </w:r>
            <w:r>
              <w:rPr>
                <w:rFonts w:eastAsia="宋体"/>
                <w:sz w:val="20"/>
                <w:szCs w:val="20"/>
              </w:rPr>
              <w:t xml:space="preserve">For </w:t>
            </w:r>
            <m:oMath>
              <m:r>
                <w:rPr>
                  <w:rFonts w:ascii="Cambria Math" w:hAnsi="Cambria Math" w:eastAsia="宋体"/>
                  <w:sz w:val="20"/>
                  <w:szCs w:val="20"/>
                  <w:lang w:val="zh-CN"/>
                </w:rPr>
                <m:t>μ</m:t>
              </m:r>
              <m:r>
                <w:rPr>
                  <w:rFonts w:ascii="Cambria Math" w:hAnsi="Cambria Math" w:eastAsia="宋体"/>
                  <w:sz w:val="20"/>
                  <w:szCs w:val="20"/>
                </w:rPr>
                <m:t>=6</m:t>
              </m:r>
            </m:oMath>
            <w:r>
              <w:rPr>
                <w:rFonts w:eastAsia="宋体"/>
                <w:sz w:val="20"/>
                <w:szCs w:val="20"/>
              </w:rPr>
              <w:t xml:space="preserve"> and for a SS/PBCH block index </w:t>
            </w:r>
            <m:oMath>
              <m:r>
                <w:rPr>
                  <w:rFonts w:ascii="Cambria Math" w:hAnsi="Cambria Math" w:eastAsia="宋体"/>
                  <w:sz w:val="20"/>
                  <w:szCs w:val="20"/>
                  <w:lang w:val="zh-CN"/>
                </w:rPr>
                <m:t>i</m:t>
              </m:r>
            </m:oMath>
            <w:r>
              <w:rPr>
                <w:rFonts w:eastAsia="宋体"/>
                <w:sz w:val="20"/>
                <w:szCs w:val="20"/>
              </w:rPr>
              <w:t xml:space="preserve">, the two slots including the associated Type0-PDCCH monitoring occasions are slots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oMath>
            <w:r>
              <w:rPr>
                <w:rFonts w:eastAsia="宋体"/>
                <w:sz w:val="20"/>
                <w:szCs w:val="20"/>
              </w:rPr>
              <w:t xml:space="preserve"> and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r>
                <w:rPr>
                  <w:rFonts w:ascii="Cambria Math" w:hAnsi="Cambria Math" w:eastAsia="宋体"/>
                  <w:sz w:val="20"/>
                  <w:szCs w:val="20"/>
                </w:rPr>
                <m:t>+8</m:t>
              </m:r>
            </m:oMath>
            <w:r>
              <w:rPr>
                <w:rFonts w:eastAsia="宋体"/>
                <w:sz w:val="20"/>
                <w:szCs w:val="20"/>
              </w:rPr>
              <w:t xml:space="preserve">. </w:t>
            </w:r>
            <m:oMath>
              <m:r>
                <w:rPr>
                  <w:rFonts w:ascii="Cambria Math" w:hAnsi="Cambria Math" w:eastAsia="宋体"/>
                  <w:sz w:val="20"/>
                  <w:szCs w:val="20"/>
                  <w:lang w:val="zh-CN"/>
                </w:rPr>
                <m:t>M</m:t>
              </m:r>
            </m:oMath>
            <w:r>
              <w:rPr>
                <w:rFonts w:eastAsia="宋体"/>
                <w:sz w:val="20"/>
                <w:szCs w:val="20"/>
              </w:rPr>
              <w:t xml:space="preserve">, </w:t>
            </w:r>
            <m:oMath>
              <m:r>
                <w:rPr>
                  <w:rFonts w:ascii="Cambria Math" w:hAnsi="Cambria Math" w:eastAsia="宋体"/>
                  <w:sz w:val="20"/>
                  <w:szCs w:val="20"/>
                  <w:lang w:val="zh-CN"/>
                </w:rPr>
                <m:t>O</m:t>
              </m:r>
            </m:oMath>
            <w:r>
              <w:rPr>
                <w:rFonts w:eastAsia="宋体"/>
                <w:sz w:val="20"/>
                <w:szCs w:val="20"/>
              </w:rPr>
              <w:t xml:space="preserve">, and the index of the first symbol of the CORESET in slots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oMath>
            <w:r>
              <w:rPr>
                <w:rFonts w:eastAsia="宋体"/>
                <w:sz w:val="20"/>
                <w:szCs w:val="20"/>
              </w:rPr>
              <w:t xml:space="preserve"> and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r>
                <w:rPr>
                  <w:rFonts w:ascii="Cambria Math" w:hAnsi="Cambria Math" w:eastAsia="宋体"/>
                  <w:sz w:val="20"/>
                  <w:szCs w:val="20"/>
                </w:rPr>
                <m:t>+8</m:t>
              </m:r>
            </m:oMath>
            <w:r>
              <w:rPr>
                <w:rFonts w:eastAsia="宋体"/>
                <w:sz w:val="20"/>
                <w:szCs w:val="20"/>
              </w:rPr>
              <w:t xml:space="preserve"> are provided by Table 13-12A, where </w:t>
            </w:r>
            <m:oMath>
              <m:r>
                <w:rPr>
                  <w:rFonts w:ascii="Cambria Math" w:hAnsi="Cambria Math" w:eastAsia="宋体"/>
                  <w:sz w:val="20"/>
                  <w:szCs w:val="20"/>
                  <w:lang w:val="zh-CN"/>
                </w:rPr>
                <m:t>X</m:t>
              </m:r>
              <m:r>
                <w:rPr>
                  <w:rFonts w:ascii="Cambria Math" w:hAnsi="Cambria Math" w:eastAsia="宋体"/>
                  <w:sz w:val="20"/>
                  <w:szCs w:val="20"/>
                </w:rPr>
                <m:t>=0.625</m:t>
              </m:r>
            </m:oMath>
            <w:r>
              <w:rPr>
                <w:rFonts w:eastAsia="宋体"/>
                <w:sz w:val="20"/>
                <w:szCs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Qualcomm</w:t>
            </w:r>
          </w:p>
        </w:tc>
        <w:tc>
          <w:tcPr>
            <w:tcW w:w="12176" w:type="dxa"/>
            <w:vAlign w:val="center"/>
          </w:tcPr>
          <w:p>
            <w:pPr>
              <w:widowControl w:val="0"/>
              <w:rPr>
                <w:sz w:val="20"/>
                <w:lang w:eastAsia="zh-CN"/>
              </w:rPr>
            </w:pPr>
            <w:r>
              <w:rPr>
                <w:sz w:val="20"/>
                <w:lang w:eastAsia="zh-CN"/>
              </w:rPr>
              <w:t>Agree with Samsung’s comment. The latest version of TS 38.213 is already reflecting the changes required for the new Type0 CSS design.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rFonts w:hint="eastAsia"/>
                <w:sz w:val="20"/>
                <w:lang w:eastAsia="zh-CN"/>
              </w:rPr>
              <w:t>v</w:t>
            </w:r>
            <w:r>
              <w:rPr>
                <w:sz w:val="20"/>
                <w:lang w:eastAsia="zh-CN"/>
              </w:rPr>
              <w:t>ivo</w:t>
            </w:r>
          </w:p>
        </w:tc>
        <w:tc>
          <w:tcPr>
            <w:tcW w:w="12176" w:type="dxa"/>
            <w:vAlign w:val="center"/>
          </w:tcPr>
          <w:p>
            <w:pPr>
              <w:widowControl w:val="0"/>
              <w:rPr>
                <w:sz w:val="20"/>
                <w:lang w:eastAsia="zh-CN"/>
              </w:rPr>
            </w:pPr>
            <w:r>
              <w:rPr>
                <w:rFonts w:hint="eastAsia"/>
                <w:sz w:val="20"/>
                <w:lang w:eastAsia="zh-CN"/>
              </w:rPr>
              <w:t>A</w:t>
            </w:r>
            <w:r>
              <w:rPr>
                <w:sz w:val="20"/>
                <w:lang w:eastAsia="zh-CN"/>
              </w:rPr>
              <w:t xml:space="preserve">gree with Samsung and </w:t>
            </w:r>
            <w:r>
              <w:rPr>
                <w:rFonts w:hint="eastAsia"/>
                <w:sz w:val="20"/>
                <w:lang w:eastAsia="zh-CN"/>
              </w:rPr>
              <w:t>Erics</w:t>
            </w:r>
            <w:r>
              <w:rPr>
                <w:sz w:val="20"/>
                <w:lang w:eastAsia="zh-CN"/>
              </w:rPr>
              <w:t>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Nokia, NSB</w:t>
            </w:r>
          </w:p>
        </w:tc>
        <w:tc>
          <w:tcPr>
            <w:tcW w:w="12176" w:type="dxa"/>
            <w:vAlign w:val="center"/>
          </w:tcPr>
          <w:p>
            <w:pPr>
              <w:widowControl w:val="0"/>
              <w:rPr>
                <w:lang w:eastAsia="zh-CN"/>
              </w:rPr>
            </w:pPr>
            <w:r>
              <w:rPr>
                <w:lang w:eastAsia="zh-CN"/>
              </w:rPr>
              <w:t>Agree with Samsung. This TP is not needed.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lang w:eastAsia="zh-CN"/>
              </w:rPr>
              <w:t>Intel</w:t>
            </w:r>
          </w:p>
        </w:tc>
        <w:tc>
          <w:tcPr>
            <w:tcW w:w="12176" w:type="dxa"/>
            <w:vAlign w:val="center"/>
          </w:tcPr>
          <w:p>
            <w:pPr>
              <w:widowControl w:val="0"/>
              <w:rPr>
                <w:sz w:val="20"/>
                <w:lang w:eastAsia="zh-CN"/>
              </w:rPr>
            </w:pPr>
            <w:r>
              <w:rPr>
                <w:rFonts w:hint="eastAsia"/>
                <w:sz w:val="20"/>
                <w:lang w:eastAsia="zh-CN"/>
              </w:rPr>
              <w:t>A</w:t>
            </w:r>
            <w:r>
              <w:rPr>
                <w:sz w:val="20"/>
                <w:lang w:eastAsia="zh-CN"/>
              </w:rPr>
              <w:t xml:space="preserve">gree with Samsung and </w:t>
            </w:r>
            <w:r>
              <w:rPr>
                <w:rFonts w:hint="eastAsia"/>
                <w:sz w:val="20"/>
                <w:lang w:eastAsia="zh-CN"/>
              </w:rPr>
              <w:t>Erics</w:t>
            </w:r>
            <w:r>
              <w:rPr>
                <w:sz w:val="20"/>
                <w:lang w:eastAsia="zh-CN"/>
              </w:rPr>
              <w:t>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lang w:eastAsia="zh-CN"/>
              </w:rPr>
              <w:t>ZTE, Sanechips</w:t>
            </w:r>
          </w:p>
        </w:tc>
        <w:tc>
          <w:tcPr>
            <w:tcW w:w="12176" w:type="dxa"/>
            <w:vAlign w:val="center"/>
          </w:tcPr>
          <w:p>
            <w:pPr>
              <w:widowControl w:val="0"/>
              <w:rPr>
                <w:sz w:val="20"/>
                <w:lang w:eastAsia="zh-CN"/>
              </w:rPr>
            </w:pPr>
            <w:r>
              <w:rPr>
                <w:rFonts w:hint="eastAsia"/>
                <w:sz w:val="21"/>
                <w:szCs w:val="24"/>
                <w:lang w:eastAsia="zh-CN"/>
              </w:rPr>
              <w:t xml:space="preserve">We agree with Samsung and Ericsson and there is no need to agree on this proposal.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sz w:val="20"/>
              </w:rPr>
              <w:t>LG Electronics</w:t>
            </w:r>
          </w:p>
        </w:tc>
        <w:tc>
          <w:tcPr>
            <w:tcW w:w="12176" w:type="dxa"/>
            <w:vAlign w:val="center"/>
          </w:tcPr>
          <w:p>
            <w:pPr>
              <w:widowControl w:val="0"/>
              <w:rPr>
                <w:sz w:val="21"/>
                <w:szCs w:val="24"/>
                <w:lang w:eastAsia="zh-CN"/>
              </w:rPr>
            </w:pPr>
            <w:r>
              <w:rPr>
                <w:sz w:val="20"/>
                <w:lang w:eastAsia="zh-CN"/>
              </w:rPr>
              <w:t xml:space="preserve">Agree with Samsung’s comment.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lang w:eastAsia="zh-CN"/>
              </w:rPr>
              <w:t>Apple</w:t>
            </w:r>
          </w:p>
        </w:tc>
        <w:tc>
          <w:tcPr>
            <w:tcW w:w="12176" w:type="dxa"/>
            <w:vAlign w:val="center"/>
          </w:tcPr>
          <w:p>
            <w:pPr>
              <w:widowControl w:val="0"/>
              <w:rPr>
                <w:sz w:val="20"/>
                <w:lang w:eastAsia="zh-CN"/>
              </w:rPr>
            </w:pPr>
            <w:r>
              <w:rPr>
                <w:sz w:val="20"/>
                <w:lang w:eastAsia="zh-CN"/>
              </w:rPr>
              <w:t>Agree with previous companies. We are okay with Ericsson’s update to fix the typo.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sz w:val="20"/>
                <w:lang w:eastAsia="zh-CN"/>
              </w:rPr>
            </w:pPr>
            <w:r>
              <w:rPr>
                <w:rFonts w:hint="eastAsia"/>
                <w:sz w:val="20"/>
                <w:lang w:eastAsia="zh-CN"/>
              </w:rPr>
              <w:t>Agree with Samsung and Ericsson</w:t>
            </w:r>
            <w:r>
              <w:rPr>
                <w:sz w:val="20"/>
                <w:lang w:eastAsia="zh-CN"/>
              </w:rPr>
              <w:t>’</w:t>
            </w:r>
            <w:r>
              <w:rPr>
                <w:rFonts w:hint="eastAsia"/>
                <w:sz w:val="20"/>
                <w:lang w:eastAsia="zh-CN"/>
              </w:rPr>
              <w:t>s comment.</w:t>
            </w:r>
          </w:p>
        </w:tc>
      </w:tr>
    </w:tbl>
    <w:tbl>
      <w:tblPr>
        <w:tblStyle w:val="263"/>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405" w:type="dxa"/>
            <w:vAlign w:val="center"/>
          </w:tcPr>
          <w:p>
            <w:pPr>
              <w:widowControl w:val="0"/>
              <w:spacing w:line="240" w:lineRule="auto"/>
              <w:rPr>
                <w:lang w:eastAsia="zh-CN"/>
              </w:rPr>
            </w:pPr>
            <w:r>
              <w:rPr>
                <w:lang w:eastAsia="zh-CN"/>
              </w:rPr>
              <w:t>Futurewei</w:t>
            </w:r>
          </w:p>
        </w:tc>
        <w:tc>
          <w:tcPr>
            <w:tcW w:w="12176" w:type="dxa"/>
            <w:vAlign w:val="center"/>
          </w:tcPr>
          <w:p>
            <w:pPr>
              <w:widowControl w:val="0"/>
              <w:spacing w:line="240" w:lineRule="auto"/>
              <w:rPr>
                <w:sz w:val="20"/>
                <w:lang w:eastAsia="zh-CN"/>
              </w:rPr>
            </w:pPr>
            <w:r>
              <w:rPr>
                <w:sz w:val="20"/>
                <w:lang w:eastAsia="zh-CN"/>
              </w:rPr>
              <w:t>Agree with  Samsung that the TP is not necessary.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lang w:eastAsia="zh-CN"/>
              </w:rPr>
            </w:pPr>
            <w:r>
              <w:rPr>
                <w:lang w:eastAsia="zh-CN"/>
              </w:rPr>
              <w:t>Lenovo</w:t>
            </w:r>
          </w:p>
        </w:tc>
        <w:tc>
          <w:tcPr>
            <w:tcW w:w="12176" w:type="dxa"/>
            <w:vAlign w:val="center"/>
          </w:tcPr>
          <w:p>
            <w:pPr>
              <w:widowControl w:val="0"/>
              <w:spacing w:line="240" w:lineRule="auto"/>
              <w:rPr>
                <w:sz w:val="20"/>
                <w:lang w:eastAsia="zh-CN"/>
              </w:rPr>
            </w:pPr>
            <w:r>
              <w:rPr>
                <w:sz w:val="20"/>
                <w:lang w:eastAsia="zh-CN"/>
              </w:rPr>
              <w:t>Agree the typo identified by Ericsson should be fixed.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top"/>
          </w:tcPr>
          <w:p>
            <w:pPr>
              <w:widowControl w:val="0"/>
              <w:spacing w:line="240" w:lineRule="auto"/>
              <w:rPr>
                <w:lang w:eastAsia="zh-CN"/>
              </w:rPr>
            </w:pPr>
            <w:r>
              <w:rPr>
                <w:sz w:val="20"/>
                <w:lang w:eastAsia="ja-JP"/>
              </w:rPr>
              <w:t>CATT</w:t>
            </w:r>
          </w:p>
        </w:tc>
        <w:tc>
          <w:tcPr>
            <w:tcW w:w="12176" w:type="dxa"/>
            <w:vAlign w:val="top"/>
          </w:tcPr>
          <w:p>
            <w:pPr>
              <w:widowControl w:val="0"/>
              <w:spacing w:line="240" w:lineRule="auto"/>
              <w:rPr>
                <w:sz w:val="20"/>
                <w:lang w:eastAsia="zh-CN"/>
              </w:rPr>
            </w:pPr>
            <w:r>
              <w:rPr>
                <w:sz w:val="20"/>
                <w:lang w:eastAsia="zh-CN"/>
              </w:rPr>
              <w:t xml:space="preserve">Agree with Samsung’s comment.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top"/>
          </w:tcPr>
          <w:p>
            <w:pPr>
              <w:widowControl w:val="0"/>
              <w:spacing w:line="240" w:lineRule="auto"/>
              <w:rPr>
                <w:sz w:val="20"/>
                <w:lang w:eastAsia="ja-JP"/>
              </w:rPr>
            </w:pPr>
            <w:r>
              <w:rPr>
                <w:sz w:val="20"/>
                <w:lang w:eastAsia="ja-JP"/>
              </w:rPr>
              <w:t>Huawei/Hisilicon</w:t>
            </w:r>
          </w:p>
        </w:tc>
        <w:tc>
          <w:tcPr>
            <w:tcW w:w="12176" w:type="dxa"/>
            <w:vAlign w:val="top"/>
          </w:tcPr>
          <w:p>
            <w:pPr>
              <w:widowControl w:val="0"/>
              <w:spacing w:line="240" w:lineRule="auto"/>
              <w:rPr>
                <w:sz w:val="20"/>
                <w:lang w:eastAsia="zh-CN"/>
              </w:rPr>
            </w:pPr>
            <w:r>
              <w:rPr>
                <w:sz w:val="20"/>
                <w:lang w:eastAsia="zh-CN"/>
              </w:rPr>
              <w:t xml:space="preserve">Agree with all companies above. Support fixing the typo pointed out by Ericsson. </w:t>
            </w:r>
          </w:p>
        </w:tc>
      </w:tr>
    </w:tbl>
    <w:p>
      <w:pPr>
        <w:autoSpaceDE/>
        <w:autoSpaceDN/>
        <w:adjustRightInd/>
        <w:snapToGrid/>
        <w:spacing w:after="0" w:line="240" w:lineRule="auto"/>
        <w:rPr>
          <w:lang w:eastAsia="zh-CN"/>
        </w:rPr>
      </w:pPr>
    </w:p>
    <w:p>
      <w:pPr>
        <w:numPr>
          <w:ilvl w:val="1"/>
          <w:numId w:val="0"/>
        </w:numPr>
        <w:spacing w:before="180" w:line="260" w:lineRule="auto"/>
        <w:jc w:val="both"/>
        <w:rPr>
          <w:rFonts w:eastAsia="宋体"/>
          <w:lang w:eastAsia="zh-CN"/>
        </w:rPr>
      </w:pPr>
      <w:r>
        <w:rPr>
          <w:b/>
          <w:bCs/>
          <w:u w:val="single"/>
          <w:lang w:eastAsia="zh-CN"/>
        </w:rPr>
        <w:t>Proposal A1-1.2</w:t>
      </w:r>
      <w:r>
        <w:rPr>
          <w:b/>
          <w:bCs/>
          <w:lang w:eastAsia="zh-CN"/>
        </w:rPr>
        <w:t xml:space="preserve"> (see R1-2202273): Adopt the following TP to cover the agreement: </w:t>
      </w:r>
      <w:r>
        <w:rPr>
          <w:rFonts w:eastAsia="宋体"/>
          <w:lang w:eastAsia="zh-CN"/>
        </w:rPr>
        <w:t xml:space="preserve">BD attempts for all Group (1) SSs are </w:t>
      </w:r>
      <w:r>
        <w:rPr>
          <w:rFonts w:eastAsia="宋体"/>
          <w:b/>
          <w:bCs/>
          <w:u w:val="single"/>
          <w:lang w:eastAsia="zh-CN"/>
        </w:rPr>
        <w:t>restricted</w:t>
      </w:r>
      <w:r>
        <w:rPr>
          <w:rFonts w:eastAsia="宋体"/>
          <w:lang w:eastAsia="zh-CN"/>
        </w:rPr>
        <w:t xml:space="preserve"> to fall within the same Y consecutive slots.</w:t>
      </w:r>
    </w:p>
    <w:p>
      <w:pPr>
        <w:numPr>
          <w:ilvl w:val="1"/>
          <w:numId w:val="0"/>
        </w:numPr>
        <w:spacing w:before="180" w:line="260" w:lineRule="auto"/>
        <w:jc w:val="both"/>
        <w:rPr>
          <w:b/>
          <w:bCs/>
          <w:lang w:eastAsia="zh-CN"/>
        </w:rPr>
      </w:pPr>
      <w:r>
        <w:rPr>
          <w:rFonts w:eastAsia="宋体"/>
          <w:lang w:eastAsia="zh-CN"/>
        </w:rPr>
        <w:t>FL Note: TP has been editorially modified by FL.</w:t>
      </w:r>
    </w:p>
    <w:tbl>
      <w:tblPr>
        <w:tblStyle w:val="55"/>
        <w:tblW w:w="962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629" w:type="dxa"/>
            <w:vAlign w:val="center"/>
          </w:tcPr>
          <w:p>
            <w:pPr>
              <w:widowControl w:val="0"/>
              <w:spacing w:after="180" w:line="240" w:lineRule="auto"/>
              <w:rPr>
                <w:rFonts w:eastAsia="宋体"/>
                <w:b/>
                <w:bCs/>
                <w:sz w:val="24"/>
                <w:szCs w:val="24"/>
                <w:lang w:eastAsia="zh-CN"/>
              </w:rPr>
            </w:pPr>
            <w:r>
              <w:rPr>
                <w:rFonts w:eastAsia="宋体"/>
                <w:b/>
                <w:bCs/>
                <w:sz w:val="24"/>
                <w:szCs w:val="24"/>
                <w:lang w:eastAsia="zh-CN"/>
              </w:rPr>
              <w:t>TS 38.213 v17.0.0, Section 10</w:t>
            </w:r>
          </w:p>
          <w:p>
            <w:pPr>
              <w:widowControl w:val="0"/>
              <w:spacing w:after="180" w:line="240" w:lineRule="auto"/>
              <w:rPr>
                <w:rFonts w:eastAsia="宋体"/>
                <w:sz w:val="20"/>
                <w:szCs w:val="20"/>
                <w:lang w:eastAsia="zh-CN"/>
              </w:rPr>
            </w:pPr>
            <w:r>
              <w:rPr>
                <w:rFonts w:eastAsia="宋体"/>
                <w:sz w:val="20"/>
                <w:szCs w:val="20"/>
                <w:lang w:eastAsia="zh-CN"/>
              </w:rPr>
              <w:t>…</w:t>
            </w:r>
          </w:p>
          <w:p>
            <w:pPr>
              <w:widowControl w:val="0"/>
              <w:spacing w:after="180" w:line="240" w:lineRule="auto"/>
              <w:rPr>
                <w:rFonts w:eastAsia="宋体"/>
                <w:sz w:val="20"/>
                <w:szCs w:val="20"/>
                <w:lang w:eastAsia="zh-CN"/>
              </w:rPr>
            </w:pPr>
            <w:r>
              <w:rPr>
                <w:rFonts w:eastAsia="宋体"/>
                <w:sz w:val="20"/>
                <w:szCs w:val="20"/>
                <w:lang w:eastAsia="zh-CN"/>
              </w:rPr>
              <w:t xml:space="preserve">For SCS configuration </w:t>
            </w:r>
            <m:oMath>
              <m:r>
                <w:rPr>
                  <w:rFonts w:ascii="Cambria Math" w:hAnsi="Cambria Math" w:eastAsia="宋体"/>
                  <w:sz w:val="20"/>
                  <w:szCs w:val="20"/>
                  <w:lang w:eastAsia="zh-CN"/>
                </w:rPr>
                <m:t>μ=5</m:t>
              </m:r>
            </m:oMath>
            <w:r>
              <w:rPr>
                <w:rFonts w:eastAsia="宋体"/>
                <w:sz w:val="20"/>
                <w:szCs w:val="20"/>
                <w:lang w:eastAsia="zh-CN"/>
              </w:rPr>
              <w:t xml:space="preserve"> or </w:t>
            </w:r>
            <m:oMath>
              <m:r>
                <w:rPr>
                  <w:rFonts w:ascii="Cambria Math" w:hAnsi="Cambria Math" w:eastAsia="宋体"/>
                  <w:sz w:val="20"/>
                  <w:szCs w:val="20"/>
                  <w:lang w:eastAsia="zh-CN"/>
                </w:rPr>
                <m:t>μ=6</m:t>
              </m:r>
            </m:oMath>
            <w:r>
              <w:rPr>
                <w:rFonts w:eastAsia="宋体"/>
                <w:sz w:val="20"/>
                <w:szCs w:val="20"/>
                <w:lang w:eastAsia="zh-CN"/>
              </w:rPr>
              <w:t xml:space="preserve">, a UE can indicate a capability to monitor PDCCH according to one or more combinations </w:t>
            </w:r>
            <m:oMath>
              <m:d>
                <m:dPr>
                  <m:ctrlPr>
                    <w:rPr>
                      <w:rFonts w:ascii="Cambria Math" w:hAnsi="Cambria Math" w:eastAsia="宋体"/>
                      <w:sz w:val="20"/>
                      <w:szCs w:val="20"/>
                      <w:lang w:eastAsia="zh-CN"/>
                    </w:rPr>
                  </m:ctrlPr>
                </m:dPr>
                <m:e>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r>
                    <w:rPr>
                      <w:rFonts w:ascii="Cambria Math" w:hAnsi="Cambria Math" w:eastAsia="宋体"/>
                      <w:sz w:val="20"/>
                      <w:szCs w:val="20"/>
                      <w:lang w:eastAsia="zh-CN"/>
                    </w:rPr>
                    <m:t>,</m:t>
                  </m:r>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ctrlPr>
                    <w:rPr>
                      <w:rFonts w:ascii="Cambria Math" w:hAnsi="Cambria Math" w:eastAsia="宋体"/>
                      <w:sz w:val="20"/>
                      <w:szCs w:val="20"/>
                      <w:lang w:eastAsia="zh-CN"/>
                    </w:rPr>
                  </m:ctrlPr>
                </m:e>
              </m:d>
            </m:oMath>
            <w:r>
              <w:rPr>
                <w:rFonts w:eastAsia="宋体"/>
                <w:sz w:val="20"/>
                <w:szCs w:val="20"/>
                <w:lang w:eastAsia="zh-CN"/>
              </w:rPr>
              <w:t xml:space="preserve">, where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and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are numbers of consecutive slots, groups of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are consecutive and non-overlapping, and the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are within the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The first group of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starts from the beginning of a subframe. The start of two consecutive groups of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is separated by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w:t>
            </w:r>
          </w:p>
          <w:p>
            <w:pPr>
              <w:widowControl w:val="0"/>
              <w:spacing w:after="180" w:line="240" w:lineRule="auto"/>
              <w:rPr>
                <w:rFonts w:eastAsia="宋体"/>
                <w:sz w:val="20"/>
                <w:szCs w:val="20"/>
                <w:lang w:eastAsia="zh-CN"/>
              </w:rPr>
            </w:pPr>
            <w:r>
              <w:rPr>
                <w:rFonts w:eastAsia="宋体"/>
                <w:sz w:val="20"/>
                <w:szCs w:val="20"/>
                <w:lang w:eastAsia="zh-CN"/>
              </w:rPr>
              <w:t xml:space="preserve">If a UE monitors PDCCH on a cell according to combination </w:t>
            </w:r>
            <m:oMath>
              <m:d>
                <m:dPr>
                  <m:ctrlPr>
                    <w:rPr>
                      <w:rFonts w:ascii="Cambria Math" w:hAnsi="Cambria Math" w:eastAsia="宋体"/>
                      <w:sz w:val="20"/>
                      <w:szCs w:val="20"/>
                      <w:lang w:eastAsia="zh-CN"/>
                    </w:rPr>
                  </m:ctrlPr>
                </m:dPr>
                <m:e>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r>
                    <w:rPr>
                      <w:rFonts w:ascii="Cambria Math" w:hAnsi="Cambria Math" w:eastAsia="宋体"/>
                      <w:sz w:val="20"/>
                      <w:szCs w:val="20"/>
                      <w:lang w:eastAsia="zh-CN"/>
                    </w:rPr>
                    <m:t>,</m:t>
                  </m:r>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ctrlPr>
                    <w:rPr>
                      <w:rFonts w:ascii="Cambria Math" w:hAnsi="Cambria Math" w:eastAsia="宋体"/>
                      <w:sz w:val="20"/>
                      <w:szCs w:val="20"/>
                      <w:lang w:eastAsia="zh-CN"/>
                    </w:rPr>
                  </m:ctrlPr>
                </m:e>
              </m:d>
            </m:oMath>
            <w:r>
              <w:rPr>
                <w:rFonts w:eastAsia="宋体"/>
                <w:sz w:val="20"/>
                <w:szCs w:val="20"/>
                <w:lang w:eastAsia="zh-CN"/>
              </w:rPr>
              <w:t xml:space="preserve">, the UE can monitor PDCCH for Type1-PDCCH CSS set provided by dedicated higher layer signalling, Type3-PDCCH CSS sets, and USS sets in any slot of the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w:t>
            </w:r>
            <w:ins w:id="102" w:author="Alexander Golitschek" w:date="2022-02-20T20:54:00Z">
              <w:r>
                <w:rPr>
                  <w:rFonts w:eastAsia="宋体"/>
                  <w:sz w:val="20"/>
                  <w:szCs w:val="20"/>
                  <w:lang w:eastAsia="zh-CN"/>
                </w:rPr>
                <w:t>,</w:t>
              </w:r>
            </w:ins>
            <w:ins w:id="103" w:author="Alexander Golitschek" w:date="2022-02-20T20:53:00Z">
              <w:r>
                <w:rPr/>
                <w:t xml:space="preserve"> </w:t>
              </w:r>
            </w:ins>
            <w:ins w:id="104" w:author="Alexander Golitschek" w:date="2022-02-20T20:53:00Z">
              <w:r>
                <w:rPr>
                  <w:rFonts w:eastAsia="宋体"/>
                  <w:sz w:val="20"/>
                  <w:szCs w:val="20"/>
                  <w:lang w:eastAsia="zh-CN"/>
                </w:rPr>
                <w:t xml:space="preserve">and the UE is not expected to monitor PDCCH </w:t>
              </w:r>
            </w:ins>
            <w:ins w:id="105" w:author="Alexander Golitschek" w:date="2022-02-20T20:55:00Z">
              <w:r>
                <w:rPr>
                  <w:rFonts w:eastAsia="宋体"/>
                  <w:sz w:val="20"/>
                  <w:szCs w:val="20"/>
                  <w:lang w:eastAsia="zh-CN"/>
                </w:rPr>
                <w:t>for</w:t>
              </w:r>
            </w:ins>
            <w:ins w:id="106" w:author="Alexander Golitschek" w:date="2022-02-20T20:53:00Z">
              <w:r>
                <w:rPr>
                  <w:rFonts w:eastAsia="宋体"/>
                  <w:sz w:val="20"/>
                  <w:szCs w:val="20"/>
                  <w:lang w:eastAsia="zh-CN"/>
                </w:rPr>
                <w:t xml:space="preserve"> the</w:t>
              </w:r>
            </w:ins>
            <w:ins w:id="107" w:author="Alexander Golitschek" w:date="2022-02-20T20:55:00Z">
              <w:r>
                <w:rPr>
                  <w:rFonts w:eastAsia="宋体"/>
                  <w:sz w:val="20"/>
                  <w:szCs w:val="20"/>
                  <w:lang w:eastAsia="zh-CN"/>
                </w:rPr>
                <w:t xml:space="preserve">se </w:t>
              </w:r>
            </w:ins>
            <w:ins w:id="108" w:author="Alexander Golitschek" w:date="2022-02-20T20:57:00Z">
              <w:r>
                <w:rPr>
                  <w:rFonts w:eastAsia="宋体"/>
                  <w:sz w:val="20"/>
                  <w:szCs w:val="20"/>
                  <w:lang w:eastAsia="zh-CN"/>
                </w:rPr>
                <w:t>CSS/USS sets</w:t>
              </w:r>
            </w:ins>
            <w:ins w:id="109" w:author="Alexander Golitschek" w:date="2022-02-20T20:56:00Z">
              <w:r>
                <w:rPr>
                  <w:rFonts w:eastAsia="宋体"/>
                  <w:sz w:val="20"/>
                  <w:szCs w:val="20"/>
                  <w:lang w:eastAsia="zh-CN"/>
                </w:rPr>
                <w:t xml:space="preserve"> in any other of the </w:t>
              </w:r>
            </w:ins>
            <m:oMath>
              <m:sSub>
                <m:sSubPr>
                  <m:ctrlPr>
                    <w:ins w:id="110" w:author="Alexander Golitschek" w:date="2022-02-20T20:56:00Z">
                      <w:rPr>
                        <w:rFonts w:ascii="Cambria Math" w:hAnsi="Cambria Math" w:eastAsia="宋体"/>
                        <w:i/>
                        <w:sz w:val="20"/>
                        <w:szCs w:val="20"/>
                        <w:lang w:eastAsia="zh-CN"/>
                      </w:rPr>
                    </w:ins>
                  </m:ctrlPr>
                </m:sSubPr>
                <m:e>
                  <w:ins w:id="111" w:author="Alexander Golitschek" w:date="2022-02-20T20:56:00Z">
                    <m:r>
                      <w:rPr>
                        <w:rFonts w:ascii="Cambria Math" w:hAnsi="Cambria Math" w:eastAsia="宋体"/>
                        <w:sz w:val="20"/>
                        <w:szCs w:val="20"/>
                        <w:lang w:eastAsia="zh-CN"/>
                      </w:rPr>
                      <m:t>X</m:t>
                    </m:r>
                  </w:ins>
                  <m:ctrlPr>
                    <w:ins w:id="112" w:author="Alexander Golitschek" w:date="2022-02-20T20:56:00Z">
                      <w:rPr>
                        <w:rFonts w:ascii="Cambria Math" w:hAnsi="Cambria Math" w:eastAsia="宋体"/>
                        <w:i/>
                        <w:sz w:val="20"/>
                        <w:szCs w:val="20"/>
                        <w:lang w:eastAsia="zh-CN"/>
                      </w:rPr>
                    </w:ins>
                  </m:ctrlPr>
                </m:e>
                <m:sub>
                  <w:ins w:id="113" w:author="Alexander Golitschek" w:date="2022-02-20T20:56:00Z">
                    <m:r>
                      <w:rPr>
                        <w:rFonts w:ascii="Cambria Math" w:hAnsi="Cambria Math" w:eastAsia="宋体"/>
                        <w:sz w:val="20"/>
                        <w:szCs w:val="20"/>
                        <w:lang w:eastAsia="zh-CN"/>
                      </w:rPr>
                      <m:t>s</m:t>
                    </m:r>
                  </w:ins>
                  <m:ctrlPr>
                    <w:ins w:id="114" w:author="Alexander Golitschek" w:date="2022-02-20T20:56:00Z">
                      <w:rPr>
                        <w:rFonts w:ascii="Cambria Math" w:hAnsi="Cambria Math" w:eastAsia="宋体"/>
                        <w:i/>
                        <w:sz w:val="20"/>
                        <w:szCs w:val="20"/>
                        <w:lang w:eastAsia="zh-CN"/>
                      </w:rPr>
                    </w:ins>
                  </m:ctrlPr>
                </m:sub>
              </m:sSub>
            </m:oMath>
            <w:ins w:id="115" w:author="Alexander Golitschek" w:date="2022-02-20T20:56:00Z">
              <w:r>
                <w:rPr>
                  <w:rFonts w:eastAsia="宋体"/>
                  <w:sz w:val="20"/>
                  <w:szCs w:val="20"/>
                  <w:lang w:eastAsia="zh-CN"/>
                </w:rPr>
                <w:t xml:space="preserve"> slots</w:t>
              </w:r>
            </w:ins>
            <w:r>
              <w:rPr>
                <w:rFonts w:eastAsia="宋体"/>
                <w:sz w:val="20"/>
                <w:szCs w:val="20"/>
                <w:lang w:eastAsia="zh-CN"/>
              </w:rPr>
              <w:t xml:space="preserve">, and the UE can monitor PDCCH for Type0/0A/2-PDCCH CSS set and Type1-PDCCH CSS set provided in </w:t>
            </w:r>
            <w:r>
              <w:rPr>
                <w:rFonts w:eastAsia="宋体"/>
                <w:i/>
                <w:iCs/>
                <w:sz w:val="20"/>
                <w:szCs w:val="20"/>
                <w:lang w:eastAsia="zh-CN"/>
              </w:rPr>
              <w:t>SIB1</w:t>
            </w:r>
            <w:r>
              <w:rPr>
                <w:rFonts w:eastAsia="宋体"/>
                <w:sz w:val="20"/>
                <w:szCs w:val="20"/>
                <w:lang w:eastAsia="zh-CN"/>
              </w:rPr>
              <w:t xml:space="preserve"> in any slot of the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The UE determines the number of monitored PDCCH candidates and </w:t>
            </w:r>
            <w:r>
              <w:rPr>
                <w:rFonts w:eastAsia="宋体"/>
                <w:sz w:val="20"/>
                <w:szCs w:val="20"/>
              </w:rPr>
              <w:t>the number of non-overlapped CCEs for</w:t>
            </w:r>
            <w:r>
              <w:rPr>
                <w:rFonts w:eastAsia="宋体"/>
                <w:sz w:val="20"/>
                <w:szCs w:val="20"/>
                <w:lang w:eastAsia="zh-CN"/>
              </w:rPr>
              <w:t xml:space="preserve"> combination </w:t>
            </w:r>
            <m:oMath>
              <m:d>
                <m:dPr>
                  <m:ctrlPr>
                    <w:rPr>
                      <w:rFonts w:ascii="Cambria Math" w:hAnsi="Cambria Math" w:eastAsia="宋体"/>
                      <w:sz w:val="20"/>
                      <w:szCs w:val="20"/>
                      <w:lang w:eastAsia="zh-CN"/>
                    </w:rPr>
                  </m:ctrlPr>
                </m:dPr>
                <m:e>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r>
                    <w:rPr>
                      <w:rFonts w:ascii="Cambria Math" w:hAnsi="Cambria Math" w:eastAsia="宋体"/>
                      <w:sz w:val="20"/>
                      <w:szCs w:val="20"/>
                      <w:lang w:eastAsia="zh-CN"/>
                    </w:rPr>
                    <m:t>,</m:t>
                  </m:r>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ctrlPr>
                    <w:rPr>
                      <w:rFonts w:ascii="Cambria Math" w:hAnsi="Cambria Math" w:eastAsia="宋体"/>
                      <w:sz w:val="20"/>
                      <w:szCs w:val="20"/>
                      <w:lang w:eastAsia="zh-CN"/>
                    </w:rPr>
                  </m:ctrlPr>
                </m:e>
              </m:d>
            </m:oMath>
            <w:r>
              <w:rPr>
                <w:rFonts w:eastAsia="宋体"/>
                <w:sz w:val="20"/>
                <w:szCs w:val="20"/>
                <w:lang w:eastAsia="zh-CN"/>
              </w:rPr>
              <w:t xml:space="preserve"> based on all search space sets within the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as applicable according to the search space set configurations, and maximum corresponding values are provided in Table 10.1-2B and </w:t>
            </w:r>
            <w:r>
              <w:rPr>
                <w:rFonts w:eastAsia="宋体"/>
                <w:sz w:val="20"/>
                <w:szCs w:val="20"/>
              </w:rPr>
              <w:t xml:space="preserve">Table 10.1-3B, respectively. </w:t>
            </w:r>
          </w:p>
          <w:p>
            <w:pPr>
              <w:pStyle w:val="31"/>
              <w:widowControl w:val="0"/>
            </w:pPr>
            <w:r>
              <w:t>...</w:t>
            </w:r>
          </w:p>
        </w:tc>
      </w:tr>
    </w:tbl>
    <w:p>
      <w:pPr>
        <w:autoSpaceDE/>
        <w:autoSpaceDN/>
        <w:adjustRightInd/>
        <w:snapToGrid/>
        <w:spacing w:after="0" w:line="240" w:lineRule="auto"/>
        <w:rPr>
          <w:lang w:eastAsia="zh-CN"/>
        </w:rPr>
      </w:pP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We didn’t see a strong need of this proposal, since it’s already implied by current text.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Ericsson</w:t>
            </w:r>
          </w:p>
        </w:tc>
        <w:tc>
          <w:tcPr>
            <w:tcW w:w="12176" w:type="dxa"/>
            <w:vAlign w:val="center"/>
          </w:tcPr>
          <w:p>
            <w:pPr>
              <w:widowControl w:val="0"/>
              <w:rPr>
                <w:sz w:val="20"/>
                <w:lang w:eastAsia="zh-CN"/>
              </w:rPr>
            </w:pPr>
            <w:r>
              <w:rPr>
                <w:sz w:val="20"/>
                <w:lang w:eastAsia="zh-CN"/>
              </w:rPr>
              <w:t>Agree with Samsung; this TP is not needed. The wording "…</w:t>
            </w:r>
            <w:r>
              <w:rPr>
                <w:rFonts w:eastAsia="宋体"/>
                <w:sz w:val="20"/>
                <w:szCs w:val="20"/>
                <w:lang w:eastAsia="zh-CN"/>
              </w:rPr>
              <w:t xml:space="preserve"> in any slot of the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means that the monitoring is restricted to the Ys slots. No need to clarify further.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Nokia, NSB</w:t>
            </w:r>
          </w:p>
        </w:tc>
        <w:tc>
          <w:tcPr>
            <w:tcW w:w="12176" w:type="dxa"/>
            <w:vAlign w:val="center"/>
          </w:tcPr>
          <w:p>
            <w:pPr>
              <w:widowControl w:val="0"/>
              <w:rPr>
                <w:sz w:val="20"/>
                <w:lang w:eastAsia="zh-CN"/>
              </w:rPr>
            </w:pPr>
            <w:r>
              <w:rPr>
                <w:lang w:eastAsia="zh-CN"/>
              </w:rPr>
              <w:t>This TP is not needed (wording is clear enough already)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rFonts w:hint="eastAsia"/>
                <w:lang w:eastAsia="zh-CN"/>
              </w:rPr>
              <w:t>ZTE, Sanechips</w:t>
            </w:r>
          </w:p>
        </w:tc>
        <w:tc>
          <w:tcPr>
            <w:tcW w:w="12176" w:type="dxa"/>
            <w:vAlign w:val="center"/>
          </w:tcPr>
          <w:p>
            <w:pPr>
              <w:widowControl w:val="0"/>
              <w:rPr>
                <w:lang w:eastAsia="zh-CN"/>
              </w:rPr>
            </w:pPr>
            <w:r>
              <w:rPr>
                <w:rFonts w:hint="eastAsia"/>
                <w:sz w:val="20"/>
                <w:lang w:eastAsia="zh-CN"/>
              </w:rPr>
              <w:t>It is unnecessary to add that sentence as shown in the above TP.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sz w:val="20"/>
              </w:rPr>
              <w:t>Panasonic</w:t>
            </w:r>
          </w:p>
        </w:tc>
        <w:tc>
          <w:tcPr>
            <w:tcW w:w="12176" w:type="dxa"/>
            <w:vAlign w:val="center"/>
          </w:tcPr>
          <w:p>
            <w:pPr>
              <w:widowControl w:val="0"/>
              <w:rPr>
                <w:sz w:val="20"/>
                <w:lang w:eastAsia="zh-CN"/>
              </w:rPr>
            </w:pPr>
            <w:r>
              <w:rPr>
                <w:rFonts w:eastAsia="宋体"/>
                <w:sz w:val="20"/>
                <w:szCs w:val="20"/>
                <w:lang w:eastAsia="zh-CN"/>
              </w:rPr>
              <w:t xml:space="preserve">The current spec only describes that what UE “can” do for any slot of the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but does not describe any UE behavior for slots outside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Without such restriction, it implies UE still needs to monitor slots outside outside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for Group (1) SSs if configured by gNB via search space configuration. Then the whole multi-slot monitoring mechanism of </w:t>
            </w:r>
            <m:oMath>
              <m:d>
                <m:dPr>
                  <m:ctrlPr>
                    <w:rPr>
                      <w:rFonts w:ascii="Cambria Math" w:hAnsi="Cambria Math" w:eastAsia="宋体"/>
                      <w:sz w:val="20"/>
                      <w:szCs w:val="20"/>
                      <w:lang w:eastAsia="zh-CN"/>
                    </w:rPr>
                  </m:ctrlPr>
                </m:dPr>
                <m:e>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r>
                    <w:rPr>
                      <w:rFonts w:ascii="Cambria Math" w:hAnsi="Cambria Math" w:eastAsia="宋体"/>
                      <w:sz w:val="20"/>
                      <w:szCs w:val="20"/>
                      <w:lang w:eastAsia="zh-CN"/>
                    </w:rPr>
                    <m:t>,</m:t>
                  </m:r>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ctrlPr>
                    <w:rPr>
                      <w:rFonts w:ascii="Cambria Math" w:hAnsi="Cambria Math" w:eastAsia="宋体"/>
                      <w:sz w:val="20"/>
                      <w:szCs w:val="20"/>
                      <w:lang w:eastAsia="zh-CN"/>
                    </w:rPr>
                  </m:ctrlPr>
                </m:e>
              </m:d>
            </m:oMath>
            <w:r>
              <w:rPr>
                <w:rFonts w:eastAsia="宋体"/>
                <w:sz w:val="20"/>
                <w:szCs w:val="20"/>
                <w:lang w:eastAsia="zh-CN"/>
              </w:rPr>
              <w:t xml:space="preserve"> becomes meaningless. Therefore, we think the TP is necessary.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LG Electronics</w:t>
            </w:r>
          </w:p>
        </w:tc>
        <w:tc>
          <w:tcPr>
            <w:tcW w:w="12176" w:type="dxa"/>
            <w:vAlign w:val="center"/>
          </w:tcPr>
          <w:p>
            <w:pPr>
              <w:widowControl w:val="0"/>
              <w:rPr>
                <w:rFonts w:eastAsia="宋体"/>
                <w:sz w:val="20"/>
                <w:szCs w:val="20"/>
                <w:lang w:eastAsia="zh-CN"/>
              </w:rPr>
            </w:pPr>
            <w:r>
              <w:rPr>
                <w:sz w:val="20"/>
                <w:lang w:eastAsia="zh-CN"/>
              </w:rPr>
              <w:t>Same view with Samsung.</w:t>
            </w:r>
          </w:p>
        </w:tc>
      </w:tr>
    </w:tbl>
    <w:tbl>
      <w:tblPr>
        <w:tblStyle w:val="264"/>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sz w:val="20"/>
                <w:lang w:eastAsia="ja-JP"/>
              </w:rPr>
            </w:pPr>
            <w:r>
              <w:rPr>
                <w:sz w:val="20"/>
                <w:lang w:eastAsia="ja-JP"/>
              </w:rPr>
              <w:t>Futurewei</w:t>
            </w:r>
          </w:p>
        </w:tc>
        <w:tc>
          <w:tcPr>
            <w:tcW w:w="12176" w:type="dxa"/>
            <w:vAlign w:val="center"/>
          </w:tcPr>
          <w:p>
            <w:pPr>
              <w:widowControl w:val="0"/>
              <w:spacing w:line="240" w:lineRule="auto"/>
              <w:rPr>
                <w:sz w:val="20"/>
                <w:lang w:eastAsia="zh-CN"/>
              </w:rPr>
            </w:pPr>
            <w:r>
              <w:rPr>
                <w:sz w:val="20"/>
                <w:lang w:eastAsia="zh-CN"/>
              </w:rPr>
              <w:t>The TP is not needed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sz w:val="20"/>
                <w:lang w:eastAsia="ja-JP"/>
              </w:rPr>
            </w:pPr>
            <w:r>
              <w:rPr>
                <w:sz w:val="20"/>
                <w:lang w:eastAsia="ja-JP"/>
              </w:rPr>
              <w:t>Lenovo</w:t>
            </w:r>
          </w:p>
        </w:tc>
        <w:tc>
          <w:tcPr>
            <w:tcW w:w="12176" w:type="dxa"/>
            <w:vAlign w:val="center"/>
          </w:tcPr>
          <w:p>
            <w:pPr>
              <w:widowControl w:val="0"/>
              <w:spacing w:line="240" w:lineRule="auto"/>
              <w:rPr>
                <w:sz w:val="20"/>
                <w:lang w:eastAsia="zh-CN"/>
              </w:rPr>
            </w:pPr>
            <w:r>
              <w:rPr>
                <w:sz w:val="20"/>
                <w:lang w:eastAsia="zh-CN"/>
              </w:rPr>
              <w:t>Current specification seems sufficiently clear on this topic.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sz w:val="20"/>
                <w:lang w:eastAsia="ja-JP"/>
              </w:rPr>
            </w:pPr>
            <w:r>
              <w:rPr>
                <w:sz w:val="20"/>
                <w:lang w:eastAsia="ja-JP"/>
              </w:rPr>
              <w:t>CATT</w:t>
            </w:r>
          </w:p>
        </w:tc>
        <w:tc>
          <w:tcPr>
            <w:tcW w:w="12176" w:type="dxa"/>
            <w:vAlign w:val="center"/>
          </w:tcPr>
          <w:p>
            <w:pPr>
              <w:widowControl w:val="0"/>
              <w:spacing w:line="240" w:lineRule="auto"/>
              <w:rPr>
                <w:sz w:val="20"/>
                <w:lang w:eastAsia="zh-CN"/>
              </w:rPr>
            </w:pPr>
            <w:r>
              <w:rPr>
                <w:sz w:val="20"/>
                <w:lang w:eastAsia="zh-CN"/>
              </w:rPr>
              <w:t>No needed</w:t>
            </w:r>
          </w:p>
        </w:tc>
      </w:tr>
    </w:tbl>
    <w:p>
      <w:pPr>
        <w:autoSpaceDE/>
        <w:autoSpaceDN/>
        <w:adjustRightInd/>
        <w:snapToGrid/>
        <w:spacing w:after="0" w:line="240" w:lineRule="auto"/>
        <w:rPr>
          <w:lang w:eastAsia="zh-CN"/>
        </w:rPr>
      </w:pPr>
    </w:p>
    <w:p>
      <w:pPr>
        <w:numPr>
          <w:ilvl w:val="1"/>
          <w:numId w:val="0"/>
        </w:numPr>
        <w:spacing w:before="180" w:line="260" w:lineRule="auto"/>
        <w:rPr>
          <w:b/>
          <w:bCs/>
        </w:rPr>
      </w:pPr>
      <w:r>
        <w:rPr>
          <w:b/>
          <w:bCs/>
          <w:u w:val="single"/>
          <w:lang w:eastAsia="zh-CN"/>
        </w:rPr>
        <w:t>Proposal A1-1.3</w:t>
      </w:r>
      <w:r>
        <w:rPr>
          <w:b/>
          <w:bCs/>
          <w:lang w:eastAsia="zh-CN"/>
        </w:rPr>
        <w:t xml:space="preserve"> (see R1-2202273): </w:t>
      </w:r>
      <w:r>
        <w:rPr>
          <w:b/>
          <w:bCs/>
        </w:rPr>
        <w:t xml:space="preserve">In case that MO of Group (1) CSS is changed, the location of </w:t>
      </w:r>
      <w:r>
        <w:rPr>
          <w:b/>
          <w:bCs/>
          <w:i/>
          <w:iCs/>
        </w:rPr>
        <w:t>Ys</w:t>
      </w:r>
      <w:r>
        <w:rPr>
          <w:b/>
          <w:bCs/>
        </w:rPr>
        <w:t xml:space="preserve"> within </w:t>
      </w:r>
      <w:r>
        <w:rPr>
          <w:b/>
          <w:bCs/>
          <w:i/>
          <w:iCs/>
        </w:rPr>
        <w:t>Xs</w:t>
      </w:r>
      <w:r>
        <w:rPr>
          <w:b/>
          <w:bCs/>
        </w:rPr>
        <w:t xml:space="preserve"> can be adapted accordingly to include all CSS MOs (of Group(1) SS) that are monitored by UE.</w:t>
      </w:r>
    </w:p>
    <w:p>
      <w:pPr>
        <w:numPr>
          <w:ilvl w:val="1"/>
          <w:numId w:val="0"/>
        </w:numPr>
        <w:spacing w:before="180" w:line="260" w:lineRule="auto"/>
        <w:jc w:val="both"/>
        <w:rPr>
          <w:b/>
          <w:bCs/>
          <w:lang w:eastAsia="zh-CN"/>
        </w:rPr>
      </w:pPr>
      <w:r>
        <w:rPr>
          <w:rFonts w:eastAsia="宋体"/>
          <w:lang w:eastAsia="zh-CN"/>
        </w:rPr>
        <w:t>FL Note: TP has been editorially modified by FL.</w:t>
      </w:r>
    </w:p>
    <w:tbl>
      <w:tblPr>
        <w:tblStyle w:val="55"/>
        <w:tblW w:w="962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9" w:type="dxa"/>
            <w:vAlign w:val="center"/>
          </w:tcPr>
          <w:p>
            <w:pPr>
              <w:widowControl w:val="0"/>
              <w:spacing w:after="180" w:line="240" w:lineRule="auto"/>
              <w:rPr>
                <w:rFonts w:eastAsia="宋体"/>
                <w:b/>
                <w:bCs/>
                <w:sz w:val="24"/>
                <w:szCs w:val="24"/>
                <w:lang w:eastAsia="zh-CN"/>
              </w:rPr>
            </w:pPr>
            <w:r>
              <w:rPr>
                <w:rFonts w:eastAsia="宋体"/>
                <w:b/>
                <w:bCs/>
                <w:sz w:val="24"/>
                <w:szCs w:val="24"/>
                <w:lang w:eastAsia="zh-CN"/>
              </w:rPr>
              <w:t>TS 38.213 v17.0.0, Section 10</w:t>
            </w:r>
          </w:p>
          <w:p>
            <w:pPr>
              <w:widowControl w:val="0"/>
              <w:spacing w:after="180" w:line="240" w:lineRule="auto"/>
              <w:rPr>
                <w:rFonts w:eastAsia="宋体"/>
                <w:sz w:val="20"/>
                <w:szCs w:val="20"/>
                <w:lang w:eastAsia="zh-CN"/>
              </w:rPr>
            </w:pPr>
            <w:r>
              <w:rPr>
                <w:rFonts w:eastAsia="宋体"/>
                <w:sz w:val="20"/>
                <w:szCs w:val="20"/>
                <w:lang w:eastAsia="zh-CN"/>
              </w:rPr>
              <w:t>…</w:t>
            </w:r>
          </w:p>
          <w:p>
            <w:pPr>
              <w:widowControl w:val="0"/>
              <w:spacing w:after="180" w:line="240" w:lineRule="auto"/>
              <w:rPr>
                <w:rFonts w:eastAsia="宋体"/>
                <w:sz w:val="20"/>
                <w:szCs w:val="20"/>
                <w:lang w:eastAsia="zh-CN"/>
              </w:rPr>
            </w:pPr>
            <w:r>
              <w:rPr>
                <w:rFonts w:eastAsia="宋体"/>
                <w:sz w:val="20"/>
                <w:szCs w:val="20"/>
                <w:lang w:eastAsia="zh-CN"/>
              </w:rPr>
              <w:t xml:space="preserve">For SCS configuration </w:t>
            </w:r>
            <m:oMath>
              <m:r>
                <w:rPr>
                  <w:rFonts w:ascii="Cambria Math" w:hAnsi="Cambria Math" w:eastAsia="宋体"/>
                  <w:sz w:val="20"/>
                  <w:szCs w:val="20"/>
                  <w:lang w:eastAsia="zh-CN"/>
                </w:rPr>
                <m:t>μ=5</m:t>
              </m:r>
            </m:oMath>
            <w:r>
              <w:rPr>
                <w:rFonts w:eastAsia="宋体"/>
                <w:sz w:val="20"/>
                <w:szCs w:val="20"/>
                <w:lang w:eastAsia="zh-CN"/>
              </w:rPr>
              <w:t xml:space="preserve"> or </w:t>
            </w:r>
            <m:oMath>
              <m:r>
                <w:rPr>
                  <w:rFonts w:ascii="Cambria Math" w:hAnsi="Cambria Math" w:eastAsia="宋体"/>
                  <w:sz w:val="20"/>
                  <w:szCs w:val="20"/>
                  <w:lang w:eastAsia="zh-CN"/>
                </w:rPr>
                <m:t>μ=6</m:t>
              </m:r>
            </m:oMath>
            <w:r>
              <w:rPr>
                <w:rFonts w:eastAsia="宋体"/>
                <w:sz w:val="20"/>
                <w:szCs w:val="20"/>
                <w:lang w:eastAsia="zh-CN"/>
              </w:rPr>
              <w:t xml:space="preserve">, a UE can indicate a capability to monitor PDCCH according to one or more combinations </w:t>
            </w:r>
            <m:oMath>
              <m:d>
                <m:dPr>
                  <m:ctrlPr>
                    <w:rPr>
                      <w:rFonts w:ascii="Cambria Math" w:hAnsi="Cambria Math" w:eastAsia="宋体"/>
                      <w:sz w:val="20"/>
                      <w:szCs w:val="20"/>
                      <w:lang w:eastAsia="zh-CN"/>
                    </w:rPr>
                  </m:ctrlPr>
                </m:dPr>
                <m:e>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r>
                    <w:rPr>
                      <w:rFonts w:ascii="Cambria Math" w:hAnsi="Cambria Math" w:eastAsia="宋体"/>
                      <w:sz w:val="20"/>
                      <w:szCs w:val="20"/>
                      <w:lang w:eastAsia="zh-CN"/>
                    </w:rPr>
                    <m:t>,</m:t>
                  </m:r>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ctrlPr>
                    <w:rPr>
                      <w:rFonts w:ascii="Cambria Math" w:hAnsi="Cambria Math" w:eastAsia="宋体"/>
                      <w:sz w:val="20"/>
                      <w:szCs w:val="20"/>
                      <w:lang w:eastAsia="zh-CN"/>
                    </w:rPr>
                  </m:ctrlPr>
                </m:e>
              </m:d>
            </m:oMath>
            <w:r>
              <w:rPr>
                <w:rFonts w:eastAsia="宋体"/>
                <w:sz w:val="20"/>
                <w:szCs w:val="20"/>
                <w:lang w:eastAsia="zh-CN"/>
              </w:rPr>
              <w:t xml:space="preserve">, where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and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are numbers of consecutive slots, groups of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are consecutive and non-overlapping, and the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are within the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The first group of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starts from the beginning of a subframe. The start of two consecutive groups of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is separated by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w:t>
            </w:r>
            <w:ins w:id="116" w:author="Alexander Golitschek" w:date="2022-02-20T21:09:00Z">
              <w:r>
                <w:rPr>
                  <w:rFonts w:eastAsia="宋体"/>
                  <w:sz w:val="20"/>
                  <w:szCs w:val="20"/>
                  <w:lang w:eastAsia="zh-CN"/>
                </w:rPr>
                <w:t xml:space="preserve"> until a new monitoring occasion of Type1-PDCCH CSS set </w:t>
              </w:r>
            </w:ins>
            <w:ins w:id="117" w:author="Alexander Golitschek" w:date="2022-02-20T21:10:00Z">
              <w:r>
                <w:rPr>
                  <w:rFonts w:eastAsia="宋体"/>
                  <w:sz w:val="20"/>
                  <w:szCs w:val="20"/>
                  <w:lang w:eastAsia="zh-CN"/>
                </w:rPr>
                <w:t xml:space="preserve">is </w:t>
              </w:r>
            </w:ins>
            <w:ins w:id="118" w:author="Alexander Golitschek" w:date="2022-02-20T21:09:00Z">
              <w:r>
                <w:rPr>
                  <w:rFonts w:eastAsia="宋体"/>
                  <w:sz w:val="20"/>
                  <w:szCs w:val="20"/>
                  <w:lang w:eastAsia="zh-CN"/>
                </w:rPr>
                <w:t>provided by dedicated higher layer signalling, or of Type3-PDCCH CSS sets is configured or indicated to the UE</w:t>
              </w:r>
            </w:ins>
            <w:r>
              <w:rPr>
                <w:rFonts w:eastAsia="宋体"/>
                <w:sz w:val="20"/>
                <w:szCs w:val="20"/>
                <w:lang w:eastAsia="zh-CN"/>
              </w:rPr>
              <w:t xml:space="preserve">. </w:t>
            </w:r>
          </w:p>
          <w:p>
            <w:pPr>
              <w:pStyle w:val="31"/>
              <w:widowControl w:val="0"/>
            </w:pPr>
            <w:r>
              <w:rPr>
                <w:rFonts w:eastAsia="宋体"/>
                <w:lang w:eastAsia="zh-CN"/>
              </w:rPr>
              <w:t xml:space="preserve">If a UE monitors PDCCH on a cell according to combination </w:t>
            </w:r>
            <m:oMath>
              <m:d>
                <m:dPr>
                  <m:ctrlPr>
                    <w:rPr>
                      <w:rFonts w:ascii="Cambria Math" w:hAnsi="Cambria Math" w:eastAsia="宋体"/>
                      <w:lang w:eastAsia="zh-CN"/>
                    </w:rPr>
                  </m:ctrlPr>
                </m:dPr>
                <m:e>
                  <m:sSub>
                    <m:sSubPr>
                      <m:ctrlPr>
                        <w:rPr>
                          <w:rFonts w:ascii="Cambria Math" w:hAnsi="Cambria Math" w:eastAsia="宋体"/>
                          <w:i/>
                          <w:lang w:eastAsia="zh-CN"/>
                        </w:rPr>
                      </m:ctrlPr>
                    </m:sSubPr>
                    <m:e>
                      <m:r>
                        <w:rPr>
                          <w:rFonts w:ascii="Cambria Math" w:hAnsi="Cambria Math" w:eastAsia="宋体"/>
                          <w:lang w:eastAsia="zh-CN"/>
                        </w:rPr>
                        <m:t>X</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r>
                    <w:rPr>
                      <w:rFonts w:ascii="Cambria Math" w:hAnsi="Cambria Math" w:eastAsia="宋体"/>
                      <w:lang w:eastAsia="zh-CN"/>
                    </w:rPr>
                    <m:t>,</m:t>
                  </m:r>
                  <m:sSub>
                    <m:sSubPr>
                      <m:ctrlPr>
                        <w:rPr>
                          <w:rFonts w:ascii="Cambria Math" w:hAnsi="Cambria Math" w:eastAsia="宋体"/>
                          <w:i/>
                          <w:lang w:eastAsia="zh-CN"/>
                        </w:rPr>
                      </m:ctrlPr>
                    </m:sSubPr>
                    <m:e>
                      <m:r>
                        <w:rPr>
                          <w:rFonts w:ascii="Cambria Math" w:hAnsi="Cambria Math" w:eastAsia="宋体"/>
                          <w:lang w:eastAsia="zh-CN"/>
                        </w:rPr>
                        <m:t>Y</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ctrlPr>
                    <w:rPr>
                      <w:rFonts w:ascii="Cambria Math" w:hAnsi="Cambria Math" w:eastAsia="宋体"/>
                      <w:lang w:eastAsia="zh-CN"/>
                    </w:rPr>
                  </m:ctrlPr>
                </m:e>
              </m:d>
            </m:oMath>
            <w:r>
              <w:rPr>
                <w:rFonts w:eastAsia="宋体"/>
                <w:lang w:eastAsia="zh-CN"/>
              </w:rPr>
              <w:t xml:space="preserve">, the UE can monitor PDCCH for Type1-PDCCH CSS set provided by dedicated higher layer signalling, Type3-PDCCH CSS sets, and USS sets in any slot of the </w:t>
            </w:r>
            <m:oMath>
              <m:sSub>
                <m:sSubPr>
                  <m:ctrlPr>
                    <w:rPr>
                      <w:rFonts w:ascii="Cambria Math" w:hAnsi="Cambria Math" w:eastAsia="宋体"/>
                      <w:i/>
                      <w:lang w:eastAsia="zh-CN"/>
                    </w:rPr>
                  </m:ctrlPr>
                </m:sSubPr>
                <m:e>
                  <m:r>
                    <w:rPr>
                      <w:rFonts w:ascii="Cambria Math" w:hAnsi="Cambria Math" w:eastAsia="宋体"/>
                      <w:lang w:eastAsia="zh-CN"/>
                    </w:rPr>
                    <m:t>Y</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oMath>
            <w:r>
              <w:rPr>
                <w:rFonts w:eastAsia="宋体"/>
                <w:lang w:eastAsia="zh-CN"/>
              </w:rPr>
              <w:t xml:space="preserve"> slots, and the UE can monitor PDCCH for Type0/0A/2-PDCCH CSS set and Type1-PDCCH CSS set provided in </w:t>
            </w:r>
            <w:r>
              <w:rPr>
                <w:rFonts w:eastAsia="宋体"/>
                <w:i/>
                <w:iCs/>
                <w:lang w:eastAsia="zh-CN"/>
              </w:rPr>
              <w:t>SIB1</w:t>
            </w:r>
            <w:r>
              <w:rPr>
                <w:rFonts w:eastAsia="宋体"/>
                <w:lang w:eastAsia="zh-CN"/>
              </w:rPr>
              <w:t xml:space="preserve"> in any slot of the </w:t>
            </w:r>
            <m:oMath>
              <m:sSub>
                <m:sSubPr>
                  <m:ctrlPr>
                    <w:rPr>
                      <w:rFonts w:ascii="Cambria Math" w:hAnsi="Cambria Math" w:eastAsia="宋体"/>
                      <w:i/>
                      <w:lang w:eastAsia="zh-CN"/>
                    </w:rPr>
                  </m:ctrlPr>
                </m:sSubPr>
                <m:e>
                  <m:r>
                    <w:rPr>
                      <w:rFonts w:ascii="Cambria Math" w:hAnsi="Cambria Math" w:eastAsia="宋体"/>
                      <w:lang w:eastAsia="zh-CN"/>
                    </w:rPr>
                    <m:t>X</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oMath>
            <w:r>
              <w:rPr>
                <w:rFonts w:eastAsia="宋体"/>
                <w:lang w:eastAsia="zh-CN"/>
              </w:rPr>
              <w:t xml:space="preserve"> slots. The UE determines the number of monitored PDCCH candidates and </w:t>
            </w:r>
            <w:r>
              <w:rPr>
                <w:rFonts w:eastAsia="宋体"/>
              </w:rPr>
              <w:t>the number of non-overlapped CCEs for</w:t>
            </w:r>
            <w:r>
              <w:rPr>
                <w:rFonts w:eastAsia="宋体"/>
                <w:lang w:eastAsia="zh-CN"/>
              </w:rPr>
              <w:t xml:space="preserve"> combination </w:t>
            </w:r>
            <m:oMath>
              <m:d>
                <m:dPr>
                  <m:ctrlPr>
                    <w:rPr>
                      <w:rFonts w:ascii="Cambria Math" w:hAnsi="Cambria Math" w:eastAsia="宋体"/>
                      <w:lang w:eastAsia="zh-CN"/>
                    </w:rPr>
                  </m:ctrlPr>
                </m:dPr>
                <m:e>
                  <m:sSub>
                    <m:sSubPr>
                      <m:ctrlPr>
                        <w:rPr>
                          <w:rFonts w:ascii="Cambria Math" w:hAnsi="Cambria Math" w:eastAsia="宋体"/>
                          <w:i/>
                          <w:lang w:eastAsia="zh-CN"/>
                        </w:rPr>
                      </m:ctrlPr>
                    </m:sSubPr>
                    <m:e>
                      <m:r>
                        <w:rPr>
                          <w:rFonts w:ascii="Cambria Math" w:hAnsi="Cambria Math" w:eastAsia="宋体"/>
                          <w:lang w:eastAsia="zh-CN"/>
                        </w:rPr>
                        <m:t>X</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r>
                    <w:rPr>
                      <w:rFonts w:ascii="Cambria Math" w:hAnsi="Cambria Math" w:eastAsia="宋体"/>
                      <w:lang w:eastAsia="zh-CN"/>
                    </w:rPr>
                    <m:t>,</m:t>
                  </m:r>
                  <m:sSub>
                    <m:sSubPr>
                      <m:ctrlPr>
                        <w:rPr>
                          <w:rFonts w:ascii="Cambria Math" w:hAnsi="Cambria Math" w:eastAsia="宋体"/>
                          <w:i/>
                          <w:lang w:eastAsia="zh-CN"/>
                        </w:rPr>
                      </m:ctrlPr>
                    </m:sSubPr>
                    <m:e>
                      <m:r>
                        <w:rPr>
                          <w:rFonts w:ascii="Cambria Math" w:hAnsi="Cambria Math" w:eastAsia="宋体"/>
                          <w:lang w:eastAsia="zh-CN"/>
                        </w:rPr>
                        <m:t>Y</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ctrlPr>
                    <w:rPr>
                      <w:rFonts w:ascii="Cambria Math" w:hAnsi="Cambria Math" w:eastAsia="宋体"/>
                      <w:lang w:eastAsia="zh-CN"/>
                    </w:rPr>
                  </m:ctrlPr>
                </m:e>
              </m:d>
            </m:oMath>
            <w:r>
              <w:rPr>
                <w:rFonts w:eastAsia="宋体"/>
                <w:lang w:eastAsia="zh-CN"/>
              </w:rPr>
              <w:t xml:space="preserve"> based on all search space sets within the </w:t>
            </w:r>
            <m:oMath>
              <m:sSub>
                <m:sSubPr>
                  <m:ctrlPr>
                    <w:rPr>
                      <w:rFonts w:ascii="Cambria Math" w:hAnsi="Cambria Math" w:eastAsia="宋体"/>
                      <w:i/>
                      <w:lang w:eastAsia="zh-CN"/>
                    </w:rPr>
                  </m:ctrlPr>
                </m:sSubPr>
                <m:e>
                  <m:r>
                    <w:rPr>
                      <w:rFonts w:ascii="Cambria Math" w:hAnsi="Cambria Math" w:eastAsia="宋体"/>
                      <w:lang w:eastAsia="zh-CN"/>
                    </w:rPr>
                    <m:t>X</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oMath>
            <w:r>
              <w:rPr>
                <w:rFonts w:eastAsia="宋体"/>
                <w:lang w:eastAsia="zh-CN"/>
              </w:rPr>
              <w:t xml:space="preserve"> slots, as applicable according to the search space set configurations, and maximum corresponding values are provided in Table 10.1-2B and </w:t>
            </w:r>
            <w:r>
              <w:rPr>
                <w:rFonts w:eastAsia="宋体"/>
              </w:rPr>
              <w:t>Table 10.1-3B, respectively.</w:t>
            </w:r>
          </w:p>
        </w:tc>
      </w:tr>
    </w:tbl>
    <w:p>
      <w:pPr>
        <w:autoSpaceDE/>
        <w:autoSpaceDN/>
        <w:adjustRightInd/>
        <w:snapToGrid/>
        <w:spacing w:after="0" w:line="240" w:lineRule="auto"/>
        <w:rPr>
          <w:lang w:eastAsia="zh-CN"/>
        </w:rPr>
      </w:pPr>
    </w:p>
    <w:p>
      <w:pPr>
        <w:autoSpaceDE/>
        <w:autoSpaceDN/>
        <w:adjustRightInd/>
        <w:snapToGrid/>
        <w:spacing w:after="0" w:line="240" w:lineRule="auto"/>
        <w:rPr>
          <w:lang w:eastAsia="zh-CN"/>
        </w:rPr>
      </w:pPr>
      <w:r>
        <w:rPr>
          <w:lang w:eastAsia="zh-CN"/>
        </w:rPr>
        <w:t>Please comment whether the proposal and TP are agreeable.</w:t>
      </w:r>
    </w:p>
    <w:p>
      <w:pPr>
        <w:autoSpaceDE/>
        <w:autoSpaceDN/>
        <w:adjustRightInd/>
        <w:snapToGrid/>
        <w:spacing w:after="0" w:line="240" w:lineRule="auto"/>
        <w:rPr>
          <w:lang w:eastAsia="zh-CN"/>
        </w:rPr>
      </w:pP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Moderator</w:t>
            </w:r>
          </w:p>
        </w:tc>
        <w:tc>
          <w:tcPr>
            <w:tcW w:w="12176" w:type="dxa"/>
            <w:vAlign w:val="center"/>
          </w:tcPr>
          <w:p>
            <w:pPr>
              <w:widowControl w:val="0"/>
              <w:rPr>
                <w:lang w:eastAsia="zh-CN"/>
              </w:rPr>
            </w:pPr>
            <w:r>
              <w:rPr>
                <w:lang w:eastAsia="zh-CN"/>
              </w:rPr>
              <w:t>If agreeable, perhaps the second part of the change could be modified for improved clarity:</w:t>
            </w:r>
          </w:p>
          <w:p>
            <w:pPr>
              <w:widowControl w:val="0"/>
              <w:rPr>
                <w:lang w:eastAsia="zh-CN"/>
              </w:rPr>
            </w:pPr>
            <w:r>
              <w:rPr>
                <w:lang w:eastAsia="zh-CN"/>
              </w:rPr>
              <w:t xml:space="preserve">[…], or </w:t>
            </w:r>
            <w:r>
              <w:rPr>
                <w:i/>
                <w:iCs/>
                <w:lang w:eastAsia="zh-CN"/>
              </w:rPr>
              <w:t>until a new monitoring occasion</w:t>
            </w:r>
            <w:r>
              <w:rPr>
                <w:lang w:eastAsia="zh-CN"/>
              </w:rPr>
              <w:t xml:space="preserve"> of </w:t>
            </w:r>
            <w:r>
              <w:rPr>
                <w:rFonts w:eastAsia="宋体"/>
                <w:sz w:val="20"/>
                <w:szCs w:val="20"/>
                <w:lang w:eastAsia="zh-CN"/>
              </w:rPr>
              <w:t>Type3-PDCCH CSS sets is configured or indicated to the 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Samsung</w:t>
            </w:r>
          </w:p>
        </w:tc>
        <w:tc>
          <w:tcPr>
            <w:tcW w:w="12176" w:type="dxa"/>
            <w:vAlign w:val="center"/>
          </w:tcPr>
          <w:p>
            <w:pPr>
              <w:widowControl w:val="0"/>
              <w:rPr>
                <w:sz w:val="20"/>
                <w:lang w:eastAsia="zh-CN"/>
              </w:rPr>
            </w:pPr>
            <w:r>
              <w:rPr>
                <w:sz w:val="20"/>
                <w:lang w:eastAsia="zh-CN"/>
              </w:rPr>
              <w:t xml:space="preserve">We don’t think this change is essentially needed, since there is no way of confusion in implementation.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Ericsson</w:t>
            </w:r>
          </w:p>
        </w:tc>
        <w:tc>
          <w:tcPr>
            <w:tcW w:w="12176" w:type="dxa"/>
            <w:vAlign w:val="center"/>
          </w:tcPr>
          <w:p>
            <w:pPr>
              <w:widowControl w:val="0"/>
              <w:rPr>
                <w:sz w:val="20"/>
                <w:lang w:eastAsia="zh-CN"/>
              </w:rPr>
            </w:pPr>
            <w:r>
              <w:rPr>
                <w:sz w:val="20"/>
                <w:lang w:eastAsia="zh-CN"/>
              </w:rPr>
              <w:t>Fundamentally, this TP is not needed. It is always the case that a configuration holds until a new configuration is received. If it was needed to always specify what happens upon reconfiguration, then the spec would need to be updated in many places.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Nokia, NSB</w:t>
            </w:r>
          </w:p>
        </w:tc>
        <w:tc>
          <w:tcPr>
            <w:tcW w:w="12176" w:type="dxa"/>
            <w:vAlign w:val="center"/>
          </w:tcPr>
          <w:p>
            <w:pPr>
              <w:widowControl w:val="0"/>
              <w:rPr>
                <w:sz w:val="20"/>
                <w:lang w:eastAsia="zh-CN"/>
              </w:rPr>
            </w:pPr>
            <w:r>
              <w:rPr>
                <w:lang w:eastAsia="zh-CN"/>
              </w:rPr>
              <w:t>We also think that TP does not add 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Intel</w:t>
            </w:r>
          </w:p>
        </w:tc>
        <w:tc>
          <w:tcPr>
            <w:tcW w:w="12176" w:type="dxa"/>
            <w:vAlign w:val="center"/>
          </w:tcPr>
          <w:p>
            <w:pPr>
              <w:widowControl w:val="0"/>
              <w:rPr>
                <w:sz w:val="20"/>
                <w:lang w:eastAsia="zh-CN"/>
              </w:rPr>
            </w:pPr>
            <w:r>
              <w:rPr>
                <w:sz w:val="20"/>
                <w:lang w:eastAsia="zh-CN"/>
              </w:rPr>
              <w:t xml:space="preserve">We share views from Samsung and Ericsson. Further, the change of position of the Ys slot may be triggered by the change of USS sets or Type-1/3 CSS sets. Why only Type-1/3 CSS sets are captured in the TP?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rFonts w:hint="eastAsia"/>
                <w:lang w:eastAsia="zh-CN"/>
              </w:rPr>
              <w:t>ZTE, Sanechips</w:t>
            </w:r>
          </w:p>
        </w:tc>
        <w:tc>
          <w:tcPr>
            <w:tcW w:w="12176" w:type="dxa"/>
            <w:vAlign w:val="center"/>
          </w:tcPr>
          <w:p>
            <w:pPr>
              <w:widowControl w:val="0"/>
              <w:rPr>
                <w:sz w:val="20"/>
                <w:lang w:eastAsia="zh-CN"/>
              </w:rPr>
            </w:pPr>
            <w:r>
              <w:rPr>
                <w:rFonts w:hint="eastAsia"/>
                <w:sz w:val="20"/>
                <w:lang w:eastAsia="zh-CN"/>
              </w:rPr>
              <w:t>We share the similar view with Samsung and it is not strongly necessary to add the explanation.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Panasonic</w:t>
            </w:r>
          </w:p>
        </w:tc>
        <w:tc>
          <w:tcPr>
            <w:tcW w:w="12176" w:type="dxa"/>
            <w:vAlign w:val="center"/>
          </w:tcPr>
          <w:p>
            <w:pPr>
              <w:widowControl w:val="0"/>
              <w:rPr>
                <w:sz w:val="20"/>
                <w:lang w:eastAsia="zh-CN"/>
              </w:rPr>
            </w:pPr>
            <w:r>
              <w:rPr>
                <w:sz w:val="20"/>
                <w:lang w:eastAsia="zh-CN"/>
              </w:rPr>
              <w:t xml:space="preserve">We support the TP as proposing company. It is true that there is no need to always specify what happens upon reconfiguration. However, the intention here is to prioritize CSS over USS considering the fact it might not be always feasible to restrict both CSS and USS within Ys (e.g. due to beam swtiching). </w:t>
            </w:r>
            <w:r>
              <w:rPr>
                <w:sz w:val="20"/>
                <w:szCs w:val="20"/>
                <w:lang w:eastAsia="zh-CN"/>
              </w:rPr>
              <w:t xml:space="preserve">In other words, location of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sz w:val="20"/>
                <w:szCs w:val="20"/>
                <w:lang w:eastAsia="zh-CN"/>
              </w:rPr>
              <w:t xml:space="preserve"> should follow the new configured/indicated MOs of CSS (of Group (1))  in order not to miss important control information.  Certain USS MO would be dropped if it cannot be included in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sz w:val="20"/>
                <w:szCs w:val="20"/>
                <w:lang w:eastAsia="zh-CN"/>
              </w:rPr>
              <w:t xml:space="preserve"> </w:t>
            </w:r>
            <w:r>
              <w:rPr>
                <w:sz w:val="20"/>
                <w:lang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sz w:val="20"/>
              </w:rPr>
              <w:t>LG Electronics</w:t>
            </w:r>
          </w:p>
        </w:tc>
        <w:tc>
          <w:tcPr>
            <w:tcW w:w="12176" w:type="dxa"/>
            <w:vAlign w:val="center"/>
          </w:tcPr>
          <w:p>
            <w:pPr>
              <w:widowControl w:val="0"/>
              <w:rPr>
                <w:sz w:val="20"/>
                <w:lang w:eastAsia="zh-CN"/>
              </w:rPr>
            </w:pPr>
            <w:r>
              <w:rPr>
                <w:sz w:val="20"/>
                <w:lang w:eastAsia="zh-CN"/>
              </w:rPr>
              <w:t>Agree with comments from Samsung and Ericsson.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Apple</w:t>
            </w:r>
          </w:p>
        </w:tc>
        <w:tc>
          <w:tcPr>
            <w:tcW w:w="12176" w:type="dxa"/>
            <w:vAlign w:val="center"/>
          </w:tcPr>
          <w:p>
            <w:pPr>
              <w:widowControl w:val="0"/>
              <w:rPr>
                <w:sz w:val="20"/>
                <w:lang w:eastAsia="zh-CN"/>
              </w:rPr>
            </w:pPr>
            <w:r>
              <w:rPr>
                <w:sz w:val="20"/>
                <w:lang w:eastAsia="zh-CN"/>
              </w:rPr>
              <w:t>This TP seems to try and address a problem that occurs because we are limited to Ys for all the Group (1) SSs. If I understand what this is saying, it means that “if there is a reconfiguration of one of the CSSs, then all of the Group (1) SSs move to the new location or any CSSs/USSs that are not should be dropped”. We may need to agree on the problem /solution and then decide on the TP.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sz w:val="20"/>
                <w:lang w:eastAsia="zh-CN"/>
              </w:rPr>
              <w:t>Transsion</w:t>
            </w:r>
          </w:p>
        </w:tc>
        <w:tc>
          <w:tcPr>
            <w:tcW w:w="12176" w:type="dxa"/>
            <w:vAlign w:val="center"/>
          </w:tcPr>
          <w:p>
            <w:pPr>
              <w:widowControl w:val="0"/>
              <w:rPr>
                <w:sz w:val="20"/>
                <w:lang w:eastAsia="zh-CN"/>
              </w:rPr>
            </w:pPr>
            <w:r>
              <w:rPr>
                <w:rFonts w:hint="eastAsia"/>
                <w:sz w:val="20"/>
                <w:lang w:eastAsia="zh-CN"/>
              </w:rPr>
              <w:t>Agree with Samsung and Ericsson</w:t>
            </w:r>
            <w:r>
              <w:rPr>
                <w:sz w:val="20"/>
                <w:lang w:eastAsia="zh-CN"/>
              </w:rPr>
              <w:t>’</w:t>
            </w:r>
            <w:r>
              <w:rPr>
                <w:rFonts w:hint="eastAsia"/>
                <w:sz w:val="20"/>
                <w:lang w:eastAsia="zh-CN"/>
              </w:rPr>
              <w:t>s comment.</w:t>
            </w:r>
          </w:p>
        </w:tc>
      </w:tr>
    </w:tbl>
    <w:tbl>
      <w:tblPr>
        <w:tblStyle w:val="26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405" w:type="dxa"/>
            <w:vAlign w:val="center"/>
          </w:tcPr>
          <w:p>
            <w:pPr>
              <w:widowControl w:val="0"/>
              <w:spacing w:line="240" w:lineRule="auto"/>
              <w:rPr>
                <w:sz w:val="20"/>
                <w:lang w:eastAsia="ja-JP"/>
              </w:rPr>
            </w:pPr>
            <w:r>
              <w:rPr>
                <w:sz w:val="20"/>
                <w:lang w:eastAsia="ja-JP"/>
              </w:rPr>
              <w:t>Futurewei</w:t>
            </w:r>
          </w:p>
        </w:tc>
        <w:tc>
          <w:tcPr>
            <w:tcW w:w="12176" w:type="dxa"/>
            <w:vAlign w:val="center"/>
          </w:tcPr>
          <w:p>
            <w:pPr>
              <w:widowControl w:val="0"/>
              <w:spacing w:line="240" w:lineRule="auto"/>
              <w:rPr>
                <w:sz w:val="20"/>
                <w:lang w:eastAsia="zh-CN"/>
              </w:rPr>
            </w:pPr>
            <w:r>
              <w:rPr>
                <w:sz w:val="20"/>
                <w:lang w:eastAsia="zh-CN"/>
              </w:rPr>
              <w:t>We do not see any confusion in the original text, therefore the TP is not necessary.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sz w:val="20"/>
                <w:lang w:eastAsia="ja-JP"/>
              </w:rPr>
            </w:pPr>
            <w:r>
              <w:rPr>
                <w:sz w:val="20"/>
                <w:lang w:eastAsia="ja-JP"/>
              </w:rPr>
              <w:t>Lenovo</w:t>
            </w:r>
          </w:p>
        </w:tc>
        <w:tc>
          <w:tcPr>
            <w:tcW w:w="12176" w:type="dxa"/>
            <w:vAlign w:val="center"/>
          </w:tcPr>
          <w:p>
            <w:pPr>
              <w:widowControl w:val="0"/>
              <w:spacing w:line="240" w:lineRule="auto"/>
              <w:rPr>
                <w:sz w:val="20"/>
                <w:lang w:eastAsia="zh-CN"/>
              </w:rPr>
            </w:pPr>
            <w:r>
              <w:rPr>
                <w:sz w:val="20"/>
                <w:lang w:eastAsia="zh-CN"/>
              </w:rPr>
              <w:t>It seems ok without the suggested change.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sz w:val="20"/>
                <w:lang w:eastAsia="ja-JP"/>
              </w:rPr>
            </w:pPr>
            <w:r>
              <w:rPr>
                <w:sz w:val="20"/>
                <w:lang w:eastAsia="ja-JP"/>
              </w:rPr>
              <w:t>CATT</w:t>
            </w:r>
          </w:p>
        </w:tc>
        <w:tc>
          <w:tcPr>
            <w:tcW w:w="12176" w:type="dxa"/>
            <w:vAlign w:val="center"/>
          </w:tcPr>
          <w:p>
            <w:pPr>
              <w:widowControl w:val="0"/>
              <w:spacing w:line="240" w:lineRule="auto"/>
              <w:rPr>
                <w:sz w:val="20"/>
                <w:lang w:eastAsia="zh-CN"/>
              </w:rPr>
            </w:pPr>
            <w:r>
              <w:rPr>
                <w:sz w:val="20"/>
                <w:lang w:eastAsia="zh-CN"/>
              </w:rPr>
              <w:t>Not needed</w:t>
            </w:r>
          </w:p>
        </w:tc>
      </w:tr>
    </w:tbl>
    <w:p>
      <w:pPr>
        <w:autoSpaceDE/>
        <w:autoSpaceDN/>
        <w:adjustRightInd/>
        <w:snapToGrid/>
        <w:spacing w:after="0" w:line="240" w:lineRule="auto"/>
        <w:rPr>
          <w:lang w:eastAsia="zh-CN"/>
        </w:rPr>
      </w:pPr>
    </w:p>
    <w:p>
      <w:pPr>
        <w:pStyle w:val="5"/>
      </w:pPr>
      <w:r>
        <w:t>First round discussion summary</w:t>
      </w:r>
    </w:p>
    <w:p>
      <w:pPr>
        <w:tabs>
          <w:tab w:val="left" w:pos="1300"/>
        </w:tabs>
        <w:spacing w:after="0"/>
        <w:jc w:val="both"/>
        <w:rPr>
          <w:bCs/>
          <w:sz w:val="20"/>
          <w:szCs w:val="20"/>
          <w:highlight w:val="yellow"/>
        </w:rPr>
      </w:pPr>
      <w:r>
        <w:rPr>
          <w:bCs/>
          <w:sz w:val="20"/>
          <w:szCs w:val="20"/>
        </w:rPr>
        <w:t xml:space="preserve">Most companies think none of these TPs are necessary as the spec is sufficiently clear. </w:t>
      </w:r>
      <w:r>
        <w:rPr>
          <w:bCs/>
          <w:sz w:val="20"/>
          <w:szCs w:val="20"/>
          <w:highlight w:val="yellow"/>
        </w:rPr>
        <w:t>There is no consensus to adopt Proposal A1-1.1, Proposal A1-1.2 or Proposal A1-1.3.</w:t>
      </w:r>
    </w:p>
    <w:p>
      <w:pPr>
        <w:tabs>
          <w:tab w:val="left" w:pos="1300"/>
        </w:tabs>
        <w:spacing w:after="0"/>
        <w:jc w:val="both"/>
        <w:rPr>
          <w:bCs/>
          <w:sz w:val="20"/>
          <w:szCs w:val="20"/>
        </w:rPr>
      </w:pPr>
      <w:r>
        <w:rPr>
          <w:bCs/>
          <w:sz w:val="20"/>
          <w:szCs w:val="20"/>
          <w:highlight w:val="yellow"/>
        </w:rPr>
        <w:t>However, there is consensus to fix the following error in 38.213 clause 13, that should be corrected:</w:t>
      </w:r>
    </w:p>
    <w:p>
      <w:pPr>
        <w:tabs>
          <w:tab w:val="left" w:pos="1300"/>
        </w:tabs>
        <w:spacing w:after="0"/>
        <w:jc w:val="both"/>
        <w:rPr>
          <w:b/>
          <w:sz w:val="20"/>
          <w:szCs w:val="20"/>
        </w:rPr>
      </w:pPr>
      <w:bookmarkStart w:id="0" w:name="_Hlk96473677"/>
      <w:r>
        <w:rPr>
          <w:b/>
          <w:sz w:val="20"/>
          <w:szCs w:val="20"/>
          <w:highlight w:val="yellow"/>
        </w:rPr>
        <w:t>Text Proposal A1-1.4</w:t>
      </w:r>
    </w:p>
    <w:bookmarkEnd w:id="0"/>
    <w:tbl>
      <w:tblPr>
        <w:tblStyle w:val="5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9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3944" w:type="dxa"/>
            <w:vAlign w:val="center"/>
          </w:tcPr>
          <w:p>
            <w:pPr>
              <w:widowControl w:val="0"/>
              <w:autoSpaceDE/>
              <w:autoSpaceDN/>
              <w:adjustRightInd/>
              <w:snapToGrid/>
              <w:spacing w:after="180" w:line="240" w:lineRule="auto"/>
              <w:ind w:left="284"/>
              <w:rPr>
                <w:rFonts w:eastAsia="宋体"/>
                <w:sz w:val="20"/>
                <w:szCs w:val="20"/>
                <w:lang w:val="en-GB"/>
              </w:rPr>
            </w:pPr>
            <w:r>
              <w:rPr>
                <w:rFonts w:eastAsia="宋体"/>
                <w:sz w:val="20"/>
                <w:szCs w:val="20"/>
              </w:rPr>
              <w:t xml:space="preserve">For </w:t>
            </w:r>
            <w:r>
              <w:rPr>
                <w:rFonts w:eastAsia="宋体"/>
                <w:sz w:val="20"/>
                <w:szCs w:val="20"/>
                <w:lang w:val="en-GB"/>
              </w:rPr>
              <w:t>operation without shared spectrum channel access and for</w:t>
            </w:r>
            <w:r>
              <w:rPr>
                <w:rFonts w:eastAsia="宋体"/>
                <w:sz w:val="20"/>
                <w:szCs w:val="20"/>
              </w:rPr>
              <w:t xml:space="preserve"> the SS/PBCH block and CORESET multiplexing pattern 1, a UE monitors PDCCH in the Type0-PDCCH CSS set over two slots </w:t>
            </w:r>
            <m:oMath>
              <m:sSub>
                <m:sSubPr>
                  <m:ctrlPr>
                    <w:rPr>
                      <w:rFonts w:ascii="Cambria Math" w:hAnsi="Cambria Math" w:eastAsia="宋体"/>
                      <w:iCs/>
                      <w:strike/>
                      <w:color w:val="FF0000"/>
                      <w:sz w:val="20"/>
                      <w:szCs w:val="20"/>
                    </w:rPr>
                  </m:ctrlPr>
                </m:sSubPr>
                <m:e>
                  <m:r>
                    <w:rPr>
                      <w:rFonts w:ascii="Cambria Math" w:hAnsi="Cambria Math" w:eastAsia="宋体"/>
                      <w:strike/>
                      <w:color w:val="FF0000"/>
                      <w:sz w:val="20"/>
                      <w:szCs w:val="20"/>
                    </w:rPr>
                    <m:t>n</m:t>
                  </m:r>
                  <m:ctrlPr>
                    <w:rPr>
                      <w:rFonts w:ascii="Cambria Math" w:hAnsi="Cambria Math" w:eastAsia="宋体"/>
                      <w:iCs/>
                      <w:strike/>
                      <w:color w:val="FF0000"/>
                      <w:sz w:val="20"/>
                      <w:szCs w:val="20"/>
                    </w:rPr>
                  </m:ctrlPr>
                </m:e>
                <m:sub>
                  <m:r>
                    <m:rPr>
                      <m:sty m:val="p"/>
                    </m:rPr>
                    <w:rPr>
                      <w:rFonts w:ascii="Cambria Math" w:hAnsi="Cambria Math" w:eastAsia="宋体"/>
                      <w:strike/>
                      <w:color w:val="FF0000"/>
                      <w:sz w:val="20"/>
                      <w:szCs w:val="20"/>
                    </w:rPr>
                    <m:t>0</m:t>
                  </m:r>
                  <m:ctrlPr>
                    <w:rPr>
                      <w:rFonts w:ascii="Cambria Math" w:hAnsi="Cambria Math" w:eastAsia="宋体"/>
                      <w:iCs/>
                      <w:strike/>
                      <w:color w:val="FF0000"/>
                      <w:sz w:val="20"/>
                      <w:szCs w:val="20"/>
                    </w:rPr>
                  </m:ctrlPr>
                </m:sub>
              </m:sSub>
            </m:oMath>
            <w:r>
              <w:rPr>
                <w:rFonts w:eastAsia="宋体"/>
                <w:sz w:val="20"/>
                <w:szCs w:val="20"/>
              </w:rPr>
              <w:t xml:space="preserve">. For SS/PBCH block with index </w:t>
            </w:r>
            <m:oMath>
              <m:r>
                <w:rPr>
                  <w:rFonts w:ascii="Cambria Math" w:hAnsi="Cambria Math" w:eastAsia="宋体"/>
                  <w:sz w:val="20"/>
                  <w:szCs w:val="20"/>
                </w:rPr>
                <m:t>i</m:t>
              </m:r>
            </m:oMath>
            <w:r>
              <w:rPr>
                <w:rFonts w:eastAsia="宋体"/>
                <w:sz w:val="20"/>
                <w:szCs w:val="20"/>
                <w:lang w:val="en-GB"/>
              </w:rPr>
              <w:t xml:space="preserve">, the UE determines an index of slot </w:t>
            </w:r>
            <m:oMath>
              <m:sSub>
                <m:sSubPr>
                  <m:ctrlPr>
                    <w:rPr>
                      <w:rFonts w:ascii="Cambria Math" w:hAnsi="Cambria Math" w:eastAsia="宋体"/>
                      <w:iCs/>
                      <w:sz w:val="20"/>
                      <w:szCs w:val="20"/>
                    </w:rPr>
                  </m:ctrlPr>
                </m:sSubPr>
                <m:e>
                  <m:r>
                    <w:rPr>
                      <w:rFonts w:ascii="Cambria Math" w:hAnsi="Cambria Math" w:eastAsia="宋体"/>
                      <w:sz w:val="20"/>
                      <w:szCs w:val="20"/>
                    </w:rPr>
                    <m:t>n</m:t>
                  </m:r>
                  <m:ctrlPr>
                    <w:rPr>
                      <w:rFonts w:ascii="Cambria Math" w:hAnsi="Cambria Math" w:eastAsia="宋体"/>
                      <w:iCs/>
                      <w:sz w:val="20"/>
                      <w:szCs w:val="20"/>
                    </w:rPr>
                  </m:ctrlPr>
                </m:e>
                <m:sub>
                  <m:r>
                    <m:rPr>
                      <m:sty m:val="p"/>
                    </m:rPr>
                    <w:rPr>
                      <w:rFonts w:ascii="Cambria Math" w:hAnsi="Cambria Math" w:eastAsia="宋体"/>
                      <w:sz w:val="20"/>
                      <w:szCs w:val="20"/>
                    </w:rPr>
                    <m:t>0</m:t>
                  </m:r>
                  <m:ctrlPr>
                    <w:rPr>
                      <w:rFonts w:ascii="Cambria Math" w:hAnsi="Cambria Math" w:eastAsia="宋体"/>
                      <w:iCs/>
                      <w:sz w:val="20"/>
                      <w:szCs w:val="20"/>
                    </w:rPr>
                  </m:ctrlPr>
                </m:sub>
              </m:sSub>
            </m:oMath>
            <w:r>
              <w:rPr>
                <w:rFonts w:eastAsia="宋体"/>
                <w:sz w:val="20"/>
                <w:szCs w:val="20"/>
                <w:lang w:val="en-GB"/>
              </w:rPr>
              <w:t xml:space="preserve"> as </w:t>
            </w:r>
            <m:oMath>
              <m:sSub>
                <m:sSubPr>
                  <m:ctrlPr>
                    <w:rPr>
                      <w:rFonts w:ascii="Cambria Math" w:hAnsi="Cambria Math" w:eastAsia="宋体"/>
                      <w:iCs/>
                      <w:sz w:val="20"/>
                      <w:szCs w:val="20"/>
                    </w:rPr>
                  </m:ctrlPr>
                </m:sSubPr>
                <m:e>
                  <m:r>
                    <w:rPr>
                      <w:rFonts w:ascii="Cambria Math" w:hAnsi="Cambria Math" w:eastAsia="宋体"/>
                      <w:sz w:val="20"/>
                      <w:szCs w:val="20"/>
                    </w:rPr>
                    <m:t>n</m:t>
                  </m:r>
                  <m:ctrlPr>
                    <w:rPr>
                      <w:rFonts w:ascii="Cambria Math" w:hAnsi="Cambria Math" w:eastAsia="宋体"/>
                      <w:iCs/>
                      <w:sz w:val="20"/>
                      <w:szCs w:val="20"/>
                    </w:rPr>
                  </m:ctrlPr>
                </m:e>
                <m:sub>
                  <m:r>
                    <m:rPr>
                      <m:sty m:val="p"/>
                    </m:rPr>
                    <w:rPr>
                      <w:rFonts w:ascii="Cambria Math" w:hAnsi="Cambria Math" w:eastAsia="宋体"/>
                      <w:sz w:val="20"/>
                      <w:szCs w:val="20"/>
                    </w:rPr>
                    <m:t>0</m:t>
                  </m:r>
                  <m:ctrlPr>
                    <w:rPr>
                      <w:rFonts w:ascii="Cambria Math" w:hAnsi="Cambria Math" w:eastAsia="宋体"/>
                      <w:iCs/>
                      <w:sz w:val="20"/>
                      <w:szCs w:val="20"/>
                    </w:rPr>
                  </m:ctrlPr>
                </m:sub>
              </m:sSub>
              <m:r>
                <w:rPr>
                  <w:rFonts w:ascii="Cambria Math" w:hAnsi="Cambria Math" w:eastAsia="宋体"/>
                  <w:sz w:val="20"/>
                  <w:szCs w:val="20"/>
                </w:rPr>
                <m:t>=</m:t>
              </m:r>
              <m:d>
                <m:dPr>
                  <m:ctrlPr>
                    <w:rPr>
                      <w:rFonts w:ascii="Cambria Math" w:hAnsi="Cambria Math" w:eastAsia="宋体"/>
                      <w:i/>
                      <w:iCs/>
                      <w:sz w:val="20"/>
                      <w:szCs w:val="20"/>
                    </w:rPr>
                  </m:ctrlPr>
                </m:dPr>
                <m:e>
                  <m:r>
                    <w:rPr>
                      <w:rFonts w:ascii="Cambria Math" w:hAnsi="Cambria Math" w:eastAsia="宋体"/>
                      <w:sz w:val="20"/>
                      <w:szCs w:val="20"/>
                    </w:rPr>
                    <m:t>O</m:t>
                  </m:r>
                  <m:r>
                    <w:rPr>
                      <w:rFonts w:ascii="Cambria Math" w:hAnsi="Cambria Math" w:eastAsia="宋体"/>
                      <w:sz w:val="20"/>
                      <w:szCs w:val="20"/>
                      <w:lang w:val="en-GB"/>
                    </w:rPr>
                    <m:t>∙</m:t>
                  </m:r>
                  <m:sSup>
                    <m:sSupPr>
                      <m:ctrlPr>
                        <w:rPr>
                          <w:rFonts w:ascii="Cambria Math" w:hAnsi="Cambria Math" w:eastAsia="宋体"/>
                          <w:i/>
                          <w:sz w:val="20"/>
                          <w:szCs w:val="20"/>
                          <w:lang w:val="en-GB"/>
                        </w:rPr>
                      </m:ctrlPr>
                    </m:sSupPr>
                    <m:e>
                      <m:r>
                        <w:rPr>
                          <w:rFonts w:ascii="Cambria Math" w:hAnsi="Cambria Math" w:eastAsia="宋体"/>
                          <w:sz w:val="20"/>
                          <w:szCs w:val="20"/>
                          <w:lang w:val="en-GB"/>
                        </w:rPr>
                        <m:t>2</m:t>
                      </m:r>
                      <m:ctrlPr>
                        <w:rPr>
                          <w:rFonts w:ascii="Cambria Math" w:hAnsi="Cambria Math" w:eastAsia="宋体"/>
                          <w:i/>
                          <w:sz w:val="20"/>
                          <w:szCs w:val="20"/>
                          <w:lang w:val="en-GB"/>
                        </w:rPr>
                      </m:ctrlPr>
                    </m:e>
                    <m:sup>
                      <m:r>
                        <w:rPr>
                          <w:rFonts w:ascii="Cambria Math" w:hAnsi="Cambria Math" w:eastAsia="宋体"/>
                          <w:sz w:val="20"/>
                          <w:szCs w:val="20"/>
                          <w:lang w:val="en-GB"/>
                        </w:rPr>
                        <m:t>μ</m:t>
                      </m:r>
                      <m:ctrlPr>
                        <w:rPr>
                          <w:rFonts w:ascii="Cambria Math" w:hAnsi="Cambria Math" w:eastAsia="宋体"/>
                          <w:i/>
                          <w:sz w:val="20"/>
                          <w:szCs w:val="20"/>
                          <w:lang w:val="en-GB"/>
                        </w:rPr>
                      </m:ctrlPr>
                    </m:sup>
                  </m:sSup>
                  <m:r>
                    <w:rPr>
                      <w:rFonts w:ascii="Cambria Math" w:hAnsi="Cambria Math" w:eastAsia="宋体"/>
                      <w:sz w:val="20"/>
                      <w:szCs w:val="20"/>
                      <w:lang w:val="en-GB"/>
                    </w:rPr>
                    <m:t>+</m:t>
                  </m:r>
                  <m:d>
                    <m:dPr>
                      <m:begChr m:val="⌊"/>
                      <m:endChr m:val="⌋"/>
                      <m:ctrlPr>
                        <w:rPr>
                          <w:rFonts w:ascii="Cambria Math" w:hAnsi="Cambria Math" w:eastAsia="宋体"/>
                          <w:i/>
                          <w:sz w:val="20"/>
                          <w:szCs w:val="20"/>
                          <w:lang w:val="en-GB"/>
                        </w:rPr>
                      </m:ctrlPr>
                    </m:dPr>
                    <m:e>
                      <m:r>
                        <w:rPr>
                          <w:rFonts w:ascii="Cambria Math" w:hAnsi="Cambria Math" w:eastAsia="宋体"/>
                          <w:sz w:val="20"/>
                          <w:szCs w:val="20"/>
                          <w:lang w:val="en-GB"/>
                        </w:rPr>
                        <m:t>i∙M</m:t>
                      </m:r>
                      <m:ctrlPr>
                        <w:rPr>
                          <w:rFonts w:ascii="Cambria Math" w:hAnsi="Cambria Math" w:eastAsia="宋体"/>
                          <w:i/>
                          <w:sz w:val="20"/>
                          <w:szCs w:val="20"/>
                          <w:lang w:val="en-GB"/>
                        </w:rPr>
                      </m:ctrlPr>
                    </m:e>
                  </m:d>
                  <m:ctrlPr>
                    <w:rPr>
                      <w:rFonts w:ascii="Cambria Math" w:hAnsi="Cambria Math" w:eastAsia="宋体"/>
                      <w:i/>
                      <w:iCs/>
                      <w:sz w:val="20"/>
                      <w:szCs w:val="20"/>
                    </w:rPr>
                  </m:ctrlPr>
                </m:e>
              </m:d>
              <m:r>
                <m:rPr>
                  <m:sty m:val="p"/>
                </m:rPr>
                <w:rPr>
                  <w:rFonts w:ascii="Cambria Math" w:hAnsi="Cambria Math" w:eastAsia="宋体"/>
                  <w:sz w:val="20"/>
                  <w:szCs w:val="20"/>
                </w:rPr>
                <m:t>mod</m:t>
              </m:r>
              <m:sSubSup>
                <m:sSubSupPr>
                  <m:ctrlPr>
                    <w:rPr>
                      <w:rFonts w:ascii="Cambria Math" w:hAnsi="Cambria Math" w:eastAsia="宋体"/>
                      <w:i/>
                      <w:iCs/>
                      <w:sz w:val="20"/>
                      <w:szCs w:val="20"/>
                    </w:rPr>
                  </m:ctrlPr>
                </m:sSubSupPr>
                <m:e>
                  <m:r>
                    <w:rPr>
                      <w:rFonts w:ascii="Cambria Math" w:hAnsi="Cambria Math" w:eastAsia="宋体"/>
                      <w:sz w:val="20"/>
                      <w:szCs w:val="20"/>
                    </w:rPr>
                    <m:t>N</m:t>
                  </m:r>
                  <m:ctrlPr>
                    <w:rPr>
                      <w:rFonts w:ascii="Cambria Math" w:hAnsi="Cambria Math" w:eastAsia="宋体"/>
                      <w:i/>
                      <w:iCs/>
                      <w:sz w:val="20"/>
                      <w:szCs w:val="20"/>
                    </w:rPr>
                  </m:ctrlPr>
                </m:e>
                <m:sub>
                  <m:r>
                    <m:rPr>
                      <m:sty m:val="p"/>
                    </m:rPr>
                    <w:rPr>
                      <w:rFonts w:ascii="Cambria Math" w:hAnsi="Cambria Math" w:eastAsia="宋体"/>
                      <w:sz w:val="20"/>
                      <w:szCs w:val="20"/>
                    </w:rPr>
                    <m:t>slot</m:t>
                  </m:r>
                  <m:ctrlPr>
                    <w:rPr>
                      <w:rFonts w:ascii="Cambria Math" w:hAnsi="Cambria Math" w:eastAsia="宋体"/>
                      <w:i/>
                      <w:iCs/>
                      <w:sz w:val="20"/>
                      <w:szCs w:val="20"/>
                    </w:rPr>
                  </m:ctrlPr>
                </m:sub>
                <m:sup>
                  <m:r>
                    <m:rPr>
                      <m:sty m:val="p"/>
                    </m:rPr>
                    <w:rPr>
                      <w:rFonts w:ascii="Cambria Math" w:hAnsi="Cambria Math" w:eastAsia="宋体"/>
                      <w:sz w:val="20"/>
                      <w:szCs w:val="20"/>
                    </w:rPr>
                    <m:t>frame</m:t>
                  </m:r>
                  <m:r>
                    <w:rPr>
                      <w:rFonts w:ascii="Cambria Math" w:hAnsi="Cambria Math" w:eastAsia="宋体"/>
                      <w:sz w:val="20"/>
                      <w:szCs w:val="20"/>
                    </w:rPr>
                    <m:t>,μ</m:t>
                  </m:r>
                  <m:ctrlPr>
                    <w:rPr>
                      <w:rFonts w:ascii="Cambria Math" w:hAnsi="Cambria Math" w:eastAsia="宋体"/>
                      <w:i/>
                      <w:iCs/>
                      <w:sz w:val="20"/>
                      <w:szCs w:val="20"/>
                    </w:rPr>
                  </m:ctrlPr>
                </m:sup>
              </m:sSubSup>
              <m:r>
                <w:rPr>
                  <w:rFonts w:ascii="Cambria Math" w:hAnsi="Cambria Math" w:eastAsia="宋体"/>
                  <w:sz w:val="20"/>
                  <w:szCs w:val="20"/>
                </w:rPr>
                <m:t xml:space="preserve"> </m:t>
              </m:r>
            </m:oMath>
            <w:r>
              <w:rPr>
                <w:rFonts w:eastAsia="宋体"/>
                <w:sz w:val="20"/>
                <w:szCs w:val="20"/>
                <w:lang w:val="en-GB"/>
              </w:rPr>
              <w:t xml:space="preserve"> that is in a frame with system frame number (SFN) </w:t>
            </w:r>
            <m:oMath>
              <m:sSub>
                <m:sSubPr>
                  <m:ctrlPr>
                    <w:rPr>
                      <w:rFonts w:ascii="Cambria Math" w:hAnsi="Cambria Math" w:eastAsia="宋体"/>
                      <w:iCs/>
                      <w:sz w:val="20"/>
                      <w:szCs w:val="20"/>
                    </w:rPr>
                  </m:ctrlPr>
                </m:sSubPr>
                <m:e>
                  <m:r>
                    <m:rPr>
                      <m:sty m:val="p"/>
                    </m:rPr>
                    <w:rPr>
                      <w:rFonts w:ascii="Cambria Math" w:hAnsi="Cambria Math" w:eastAsia="宋体"/>
                      <w:sz w:val="20"/>
                      <w:szCs w:val="20"/>
                    </w:rPr>
                    <m:t>SFN</m:t>
                  </m:r>
                  <m:ctrlPr>
                    <w:rPr>
                      <w:rFonts w:ascii="Cambria Math" w:hAnsi="Cambria Math" w:eastAsia="宋体"/>
                      <w:iCs/>
                      <w:sz w:val="20"/>
                      <w:szCs w:val="20"/>
                    </w:rPr>
                  </m:ctrlPr>
                </m:e>
                <m:sub>
                  <m:r>
                    <m:rPr>
                      <m:sty m:val="p"/>
                    </m:rPr>
                    <w:rPr>
                      <w:rFonts w:ascii="Cambria Math" w:hAnsi="Cambria Math" w:eastAsia="宋体"/>
                      <w:sz w:val="20"/>
                      <w:szCs w:val="20"/>
                    </w:rPr>
                    <m:t>C</m:t>
                  </m:r>
                  <m:ctrlPr>
                    <w:rPr>
                      <w:rFonts w:ascii="Cambria Math" w:hAnsi="Cambria Math" w:eastAsia="宋体"/>
                      <w:iCs/>
                      <w:sz w:val="20"/>
                      <w:szCs w:val="20"/>
                    </w:rPr>
                  </m:ctrlPr>
                </m:sub>
              </m:sSub>
            </m:oMath>
            <w:r>
              <w:rPr>
                <w:rFonts w:eastAsia="宋体"/>
                <w:sz w:val="20"/>
                <w:szCs w:val="20"/>
                <w:lang w:val="en-GB"/>
              </w:rPr>
              <w:t xml:space="preserve"> satisfying </w:t>
            </w:r>
            <m:oMath>
              <m:sSub>
                <m:sSubPr>
                  <m:ctrlPr>
                    <w:rPr>
                      <w:rFonts w:ascii="Cambria Math" w:hAnsi="Cambria Math" w:eastAsia="宋体"/>
                      <w:iCs/>
                      <w:sz w:val="20"/>
                      <w:szCs w:val="20"/>
                    </w:rPr>
                  </m:ctrlPr>
                </m:sSubPr>
                <m:e>
                  <m:r>
                    <m:rPr>
                      <m:sty m:val="p"/>
                    </m:rPr>
                    <w:rPr>
                      <w:rFonts w:ascii="Cambria Math" w:hAnsi="Cambria Math" w:eastAsia="宋体"/>
                      <w:sz w:val="20"/>
                      <w:szCs w:val="20"/>
                    </w:rPr>
                    <m:t>SFN</m:t>
                  </m:r>
                  <m:ctrlPr>
                    <w:rPr>
                      <w:rFonts w:ascii="Cambria Math" w:hAnsi="Cambria Math" w:eastAsia="宋体"/>
                      <w:iCs/>
                      <w:sz w:val="20"/>
                      <w:szCs w:val="20"/>
                    </w:rPr>
                  </m:ctrlPr>
                </m:e>
                <m:sub>
                  <m:r>
                    <m:rPr>
                      <m:sty m:val="p"/>
                    </m:rPr>
                    <w:rPr>
                      <w:rFonts w:ascii="Cambria Math" w:hAnsi="Cambria Math" w:eastAsia="宋体"/>
                      <w:sz w:val="20"/>
                      <w:szCs w:val="20"/>
                    </w:rPr>
                    <m:t>c</m:t>
                  </m:r>
                  <m:ctrlPr>
                    <w:rPr>
                      <w:rFonts w:ascii="Cambria Math" w:hAnsi="Cambria Math" w:eastAsia="宋体"/>
                      <w:iCs/>
                      <w:sz w:val="20"/>
                      <w:szCs w:val="20"/>
                    </w:rPr>
                  </m:ctrlPr>
                </m:sub>
              </m:sSub>
              <m:r>
                <m:rPr>
                  <m:sty m:val="p"/>
                </m:rPr>
                <w:rPr>
                  <w:rFonts w:ascii="Cambria Math" w:hAnsi="Cambria Math" w:eastAsia="宋体"/>
                  <w:sz w:val="20"/>
                  <w:szCs w:val="20"/>
                </w:rPr>
                <m:t>mod</m:t>
              </m:r>
              <m:r>
                <w:rPr>
                  <w:rFonts w:ascii="Cambria Math" w:hAnsi="Cambria Math" w:eastAsia="宋体"/>
                  <w:sz w:val="20"/>
                  <w:szCs w:val="20"/>
                </w:rPr>
                <m:t>2=0</m:t>
              </m:r>
            </m:oMath>
            <w:r>
              <w:rPr>
                <w:rFonts w:eastAsia="宋体"/>
                <w:sz w:val="20"/>
                <w:szCs w:val="20"/>
                <w:lang w:val="en-GB"/>
              </w:rPr>
              <w:t xml:space="preserve"> if </w:t>
            </w:r>
            <m:oMath>
              <m:d>
                <m:dPr>
                  <m:begChr m:val="⌊"/>
                  <m:endChr m:val="⌋"/>
                  <m:ctrlPr>
                    <w:rPr>
                      <w:rFonts w:ascii="Cambria Math" w:hAnsi="Cambria Math" w:eastAsia="宋体"/>
                      <w:i/>
                      <w:iCs/>
                      <w:sz w:val="20"/>
                      <w:szCs w:val="20"/>
                    </w:rPr>
                  </m:ctrlPr>
                </m:dPr>
                <m:e>
                  <m:f>
                    <m:fPr>
                      <m:type m:val="lin"/>
                      <m:ctrlPr>
                        <w:rPr>
                          <w:rFonts w:ascii="Cambria Math" w:hAnsi="Cambria Math" w:eastAsia="宋体"/>
                          <w:i/>
                          <w:iCs/>
                          <w:sz w:val="20"/>
                          <w:szCs w:val="20"/>
                        </w:rPr>
                      </m:ctrlPr>
                    </m:fPr>
                    <m:num>
                      <m:d>
                        <m:dPr>
                          <m:ctrlPr>
                            <w:rPr>
                              <w:rFonts w:ascii="Cambria Math" w:hAnsi="Cambria Math" w:eastAsia="宋体"/>
                              <w:i/>
                              <w:iCs/>
                              <w:sz w:val="20"/>
                              <w:szCs w:val="20"/>
                            </w:rPr>
                          </m:ctrlPr>
                        </m:dPr>
                        <m:e>
                          <m:r>
                            <w:rPr>
                              <w:rFonts w:ascii="Cambria Math" w:hAnsi="Cambria Math" w:eastAsia="宋体"/>
                              <w:sz w:val="20"/>
                              <w:szCs w:val="20"/>
                            </w:rPr>
                            <m:t>O</m:t>
                          </m:r>
                          <m:r>
                            <w:rPr>
                              <w:rFonts w:ascii="Cambria Math" w:hAnsi="Cambria Math" w:eastAsia="宋体"/>
                              <w:sz w:val="20"/>
                              <w:szCs w:val="20"/>
                              <w:lang w:val="en-GB"/>
                            </w:rPr>
                            <m:t>∙</m:t>
                          </m:r>
                          <m:sSup>
                            <m:sSupPr>
                              <m:ctrlPr>
                                <w:rPr>
                                  <w:rFonts w:ascii="Cambria Math" w:hAnsi="Cambria Math" w:eastAsia="宋体"/>
                                  <w:i/>
                                  <w:sz w:val="20"/>
                                  <w:szCs w:val="20"/>
                                  <w:lang w:val="en-GB"/>
                                </w:rPr>
                              </m:ctrlPr>
                            </m:sSupPr>
                            <m:e>
                              <m:r>
                                <w:rPr>
                                  <w:rFonts w:ascii="Cambria Math" w:hAnsi="Cambria Math" w:eastAsia="宋体"/>
                                  <w:sz w:val="20"/>
                                  <w:szCs w:val="20"/>
                                  <w:lang w:val="en-GB"/>
                                </w:rPr>
                                <m:t>2</m:t>
                              </m:r>
                              <m:ctrlPr>
                                <w:rPr>
                                  <w:rFonts w:ascii="Cambria Math" w:hAnsi="Cambria Math" w:eastAsia="宋体"/>
                                  <w:i/>
                                  <w:sz w:val="20"/>
                                  <w:szCs w:val="20"/>
                                  <w:lang w:val="en-GB"/>
                                </w:rPr>
                              </m:ctrlPr>
                            </m:e>
                            <m:sup>
                              <m:r>
                                <w:rPr>
                                  <w:rFonts w:ascii="Cambria Math" w:hAnsi="Cambria Math" w:eastAsia="宋体"/>
                                  <w:sz w:val="20"/>
                                  <w:szCs w:val="20"/>
                                  <w:lang w:val="en-GB"/>
                                </w:rPr>
                                <m:t>μ</m:t>
                              </m:r>
                              <m:ctrlPr>
                                <w:rPr>
                                  <w:rFonts w:ascii="Cambria Math" w:hAnsi="Cambria Math" w:eastAsia="宋体"/>
                                  <w:i/>
                                  <w:sz w:val="20"/>
                                  <w:szCs w:val="20"/>
                                  <w:lang w:val="en-GB"/>
                                </w:rPr>
                              </m:ctrlPr>
                            </m:sup>
                          </m:sSup>
                          <m:r>
                            <w:rPr>
                              <w:rFonts w:ascii="Cambria Math" w:hAnsi="Cambria Math" w:eastAsia="宋体"/>
                              <w:sz w:val="20"/>
                              <w:szCs w:val="20"/>
                              <w:lang w:val="en-GB"/>
                            </w:rPr>
                            <m:t>+</m:t>
                          </m:r>
                          <m:d>
                            <m:dPr>
                              <m:begChr m:val="⌊"/>
                              <m:endChr m:val="⌋"/>
                              <m:ctrlPr>
                                <w:rPr>
                                  <w:rFonts w:ascii="Cambria Math" w:hAnsi="Cambria Math" w:eastAsia="宋体"/>
                                  <w:i/>
                                  <w:sz w:val="20"/>
                                  <w:szCs w:val="20"/>
                                  <w:lang w:val="en-GB"/>
                                </w:rPr>
                              </m:ctrlPr>
                            </m:dPr>
                            <m:e>
                              <m:r>
                                <w:rPr>
                                  <w:rFonts w:ascii="Cambria Math" w:hAnsi="Cambria Math" w:eastAsia="宋体"/>
                                  <w:sz w:val="20"/>
                                  <w:szCs w:val="20"/>
                                  <w:lang w:val="en-GB"/>
                                </w:rPr>
                                <m:t>i∙M</m:t>
                              </m:r>
                              <m:ctrlPr>
                                <w:rPr>
                                  <w:rFonts w:ascii="Cambria Math" w:hAnsi="Cambria Math" w:eastAsia="宋体"/>
                                  <w:i/>
                                  <w:sz w:val="20"/>
                                  <w:szCs w:val="20"/>
                                  <w:lang w:val="en-GB"/>
                                </w:rPr>
                              </m:ctrlPr>
                            </m:e>
                          </m:d>
                          <m:ctrlPr>
                            <w:rPr>
                              <w:rFonts w:ascii="Cambria Math" w:hAnsi="Cambria Math" w:eastAsia="宋体"/>
                              <w:i/>
                              <w:iCs/>
                              <w:sz w:val="20"/>
                              <w:szCs w:val="20"/>
                            </w:rPr>
                          </m:ctrlPr>
                        </m:e>
                      </m:d>
                      <m:ctrlPr>
                        <w:rPr>
                          <w:rFonts w:ascii="Cambria Math" w:hAnsi="Cambria Math" w:eastAsia="宋体"/>
                          <w:i/>
                          <w:iCs/>
                          <w:sz w:val="20"/>
                          <w:szCs w:val="20"/>
                        </w:rPr>
                      </m:ctrlPr>
                    </m:num>
                    <m:den>
                      <m:sSubSup>
                        <m:sSubSupPr>
                          <m:ctrlPr>
                            <w:rPr>
                              <w:rFonts w:ascii="Cambria Math" w:hAnsi="Cambria Math" w:eastAsia="宋体"/>
                              <w:i/>
                              <w:iCs/>
                              <w:sz w:val="20"/>
                              <w:szCs w:val="20"/>
                            </w:rPr>
                          </m:ctrlPr>
                        </m:sSubSupPr>
                        <m:e>
                          <m:r>
                            <w:rPr>
                              <w:rFonts w:ascii="Cambria Math" w:hAnsi="Cambria Math" w:eastAsia="宋体"/>
                              <w:sz w:val="20"/>
                              <w:szCs w:val="20"/>
                            </w:rPr>
                            <m:t>N</m:t>
                          </m:r>
                          <m:ctrlPr>
                            <w:rPr>
                              <w:rFonts w:ascii="Cambria Math" w:hAnsi="Cambria Math" w:eastAsia="宋体"/>
                              <w:i/>
                              <w:iCs/>
                              <w:sz w:val="20"/>
                              <w:szCs w:val="20"/>
                            </w:rPr>
                          </m:ctrlPr>
                        </m:e>
                        <m:sub>
                          <m:r>
                            <m:rPr>
                              <m:sty m:val="p"/>
                            </m:rPr>
                            <w:rPr>
                              <w:rFonts w:ascii="Cambria Math" w:hAnsi="Cambria Math" w:eastAsia="宋体"/>
                              <w:sz w:val="20"/>
                              <w:szCs w:val="20"/>
                            </w:rPr>
                            <m:t>slot</m:t>
                          </m:r>
                          <m:ctrlPr>
                            <w:rPr>
                              <w:rFonts w:ascii="Cambria Math" w:hAnsi="Cambria Math" w:eastAsia="宋体"/>
                              <w:i/>
                              <w:iCs/>
                              <w:sz w:val="20"/>
                              <w:szCs w:val="20"/>
                            </w:rPr>
                          </m:ctrlPr>
                        </m:sub>
                        <m:sup>
                          <m:r>
                            <m:rPr>
                              <m:sty m:val="p"/>
                            </m:rPr>
                            <w:rPr>
                              <w:rFonts w:ascii="Cambria Math" w:hAnsi="Cambria Math" w:eastAsia="宋体"/>
                              <w:sz w:val="20"/>
                              <w:szCs w:val="20"/>
                            </w:rPr>
                            <m:t>frame</m:t>
                          </m:r>
                          <m:r>
                            <w:rPr>
                              <w:rFonts w:ascii="Cambria Math" w:hAnsi="Cambria Math" w:eastAsia="宋体"/>
                              <w:sz w:val="20"/>
                              <w:szCs w:val="20"/>
                            </w:rPr>
                            <m:t>,μ</m:t>
                          </m:r>
                          <m:ctrlPr>
                            <w:rPr>
                              <w:rFonts w:ascii="Cambria Math" w:hAnsi="Cambria Math" w:eastAsia="宋体"/>
                              <w:i/>
                              <w:iCs/>
                              <w:sz w:val="20"/>
                              <w:szCs w:val="20"/>
                            </w:rPr>
                          </m:ctrlPr>
                        </m:sup>
                      </m:sSubSup>
                      <m:ctrlPr>
                        <w:rPr>
                          <w:rFonts w:ascii="Cambria Math" w:hAnsi="Cambria Math" w:eastAsia="宋体"/>
                          <w:i/>
                          <w:iCs/>
                          <w:sz w:val="20"/>
                          <w:szCs w:val="20"/>
                        </w:rPr>
                      </m:ctrlPr>
                    </m:den>
                  </m:f>
                  <m:ctrlPr>
                    <w:rPr>
                      <w:rFonts w:ascii="Cambria Math" w:hAnsi="Cambria Math" w:eastAsia="宋体"/>
                      <w:i/>
                      <w:iCs/>
                      <w:sz w:val="20"/>
                      <w:szCs w:val="20"/>
                    </w:rPr>
                  </m:ctrlPr>
                </m:e>
              </m:d>
              <m:r>
                <m:rPr>
                  <m:sty m:val="p"/>
                </m:rPr>
                <w:rPr>
                  <w:rFonts w:ascii="Cambria Math" w:hAnsi="Cambria Math" w:eastAsia="宋体"/>
                  <w:sz w:val="20"/>
                  <w:szCs w:val="20"/>
                </w:rPr>
                <m:t>mod</m:t>
              </m:r>
              <m:r>
                <w:rPr>
                  <w:rFonts w:ascii="Cambria Math" w:hAnsi="Cambria Math" w:eastAsia="宋体"/>
                  <w:sz w:val="20"/>
                  <w:szCs w:val="20"/>
                </w:rPr>
                <m:t>2=0</m:t>
              </m:r>
            </m:oMath>
            <w:r>
              <w:rPr>
                <w:rFonts w:eastAsia="宋体"/>
                <w:sz w:val="20"/>
                <w:szCs w:val="20"/>
                <w:lang w:val="en-GB"/>
              </w:rPr>
              <w:t xml:space="preserve">, or in a frame with SFN satisfying </w:t>
            </w:r>
            <m:oMath>
              <m:sSub>
                <m:sSubPr>
                  <m:ctrlPr>
                    <w:rPr>
                      <w:rFonts w:ascii="Cambria Math" w:hAnsi="Cambria Math" w:eastAsia="宋体"/>
                      <w:iCs/>
                      <w:sz w:val="20"/>
                      <w:szCs w:val="20"/>
                    </w:rPr>
                  </m:ctrlPr>
                </m:sSubPr>
                <m:e>
                  <m:r>
                    <m:rPr>
                      <m:sty m:val="p"/>
                    </m:rPr>
                    <w:rPr>
                      <w:rFonts w:ascii="Cambria Math" w:hAnsi="Cambria Math" w:eastAsia="宋体"/>
                      <w:sz w:val="20"/>
                      <w:szCs w:val="20"/>
                    </w:rPr>
                    <m:t>SFN</m:t>
                  </m:r>
                  <m:ctrlPr>
                    <w:rPr>
                      <w:rFonts w:ascii="Cambria Math" w:hAnsi="Cambria Math" w:eastAsia="宋体"/>
                      <w:iCs/>
                      <w:sz w:val="20"/>
                      <w:szCs w:val="20"/>
                    </w:rPr>
                  </m:ctrlPr>
                </m:e>
                <m:sub>
                  <m:r>
                    <m:rPr>
                      <m:sty m:val="p"/>
                    </m:rPr>
                    <w:rPr>
                      <w:rFonts w:ascii="Cambria Math" w:hAnsi="Cambria Math" w:eastAsia="宋体"/>
                      <w:sz w:val="20"/>
                      <w:szCs w:val="20"/>
                    </w:rPr>
                    <m:t>c</m:t>
                  </m:r>
                  <m:ctrlPr>
                    <w:rPr>
                      <w:rFonts w:ascii="Cambria Math" w:hAnsi="Cambria Math" w:eastAsia="宋体"/>
                      <w:iCs/>
                      <w:sz w:val="20"/>
                      <w:szCs w:val="20"/>
                    </w:rPr>
                  </m:ctrlPr>
                </m:sub>
              </m:sSub>
              <m:r>
                <m:rPr>
                  <m:sty m:val="p"/>
                </m:rPr>
                <w:rPr>
                  <w:rFonts w:ascii="Cambria Math" w:hAnsi="Cambria Math" w:eastAsia="宋体"/>
                  <w:sz w:val="20"/>
                  <w:szCs w:val="20"/>
                </w:rPr>
                <m:t>mod</m:t>
              </m:r>
              <m:r>
                <w:rPr>
                  <w:rFonts w:ascii="Cambria Math" w:hAnsi="Cambria Math" w:eastAsia="宋体"/>
                  <w:sz w:val="20"/>
                  <w:szCs w:val="20"/>
                </w:rPr>
                <m:t>2=1</m:t>
              </m:r>
            </m:oMath>
            <w:r>
              <w:rPr>
                <w:rFonts w:eastAsia="宋体"/>
                <w:sz w:val="20"/>
                <w:szCs w:val="20"/>
                <w:lang w:val="en-GB"/>
              </w:rPr>
              <w:t xml:space="preserve"> if </w:t>
            </w:r>
            <m:oMath>
              <m:d>
                <m:dPr>
                  <m:begChr m:val="⌊"/>
                  <m:endChr m:val="⌋"/>
                  <m:ctrlPr>
                    <w:rPr>
                      <w:rFonts w:ascii="Cambria Math" w:hAnsi="Cambria Math" w:eastAsia="宋体"/>
                      <w:i/>
                      <w:iCs/>
                      <w:sz w:val="20"/>
                      <w:szCs w:val="20"/>
                    </w:rPr>
                  </m:ctrlPr>
                </m:dPr>
                <m:e>
                  <m:f>
                    <m:fPr>
                      <m:type m:val="lin"/>
                      <m:ctrlPr>
                        <w:rPr>
                          <w:rFonts w:ascii="Cambria Math" w:hAnsi="Cambria Math" w:eastAsia="宋体"/>
                          <w:i/>
                          <w:iCs/>
                          <w:sz w:val="20"/>
                          <w:szCs w:val="20"/>
                        </w:rPr>
                      </m:ctrlPr>
                    </m:fPr>
                    <m:num>
                      <m:d>
                        <m:dPr>
                          <m:ctrlPr>
                            <w:rPr>
                              <w:rFonts w:ascii="Cambria Math" w:hAnsi="Cambria Math" w:eastAsia="宋体"/>
                              <w:i/>
                              <w:iCs/>
                              <w:sz w:val="20"/>
                              <w:szCs w:val="20"/>
                            </w:rPr>
                          </m:ctrlPr>
                        </m:dPr>
                        <m:e>
                          <m:r>
                            <w:rPr>
                              <w:rFonts w:ascii="Cambria Math" w:hAnsi="Cambria Math" w:eastAsia="宋体"/>
                              <w:sz w:val="20"/>
                              <w:szCs w:val="20"/>
                            </w:rPr>
                            <m:t>O</m:t>
                          </m:r>
                          <m:r>
                            <w:rPr>
                              <w:rFonts w:ascii="Cambria Math" w:hAnsi="Cambria Math" w:eastAsia="宋体"/>
                              <w:sz w:val="20"/>
                              <w:szCs w:val="20"/>
                              <w:lang w:val="en-GB"/>
                            </w:rPr>
                            <m:t>∙</m:t>
                          </m:r>
                          <m:sSup>
                            <m:sSupPr>
                              <m:ctrlPr>
                                <w:rPr>
                                  <w:rFonts w:ascii="Cambria Math" w:hAnsi="Cambria Math" w:eastAsia="宋体"/>
                                  <w:i/>
                                  <w:sz w:val="20"/>
                                  <w:szCs w:val="20"/>
                                  <w:lang w:val="en-GB"/>
                                </w:rPr>
                              </m:ctrlPr>
                            </m:sSupPr>
                            <m:e>
                              <m:r>
                                <w:rPr>
                                  <w:rFonts w:ascii="Cambria Math" w:hAnsi="Cambria Math" w:eastAsia="宋体"/>
                                  <w:sz w:val="20"/>
                                  <w:szCs w:val="20"/>
                                  <w:lang w:val="en-GB"/>
                                </w:rPr>
                                <m:t>2</m:t>
                              </m:r>
                              <m:ctrlPr>
                                <w:rPr>
                                  <w:rFonts w:ascii="Cambria Math" w:hAnsi="Cambria Math" w:eastAsia="宋体"/>
                                  <w:i/>
                                  <w:sz w:val="20"/>
                                  <w:szCs w:val="20"/>
                                  <w:lang w:val="en-GB"/>
                                </w:rPr>
                              </m:ctrlPr>
                            </m:e>
                            <m:sup>
                              <m:r>
                                <w:rPr>
                                  <w:rFonts w:ascii="Cambria Math" w:hAnsi="Cambria Math" w:eastAsia="宋体"/>
                                  <w:sz w:val="20"/>
                                  <w:szCs w:val="20"/>
                                  <w:lang w:val="en-GB"/>
                                </w:rPr>
                                <m:t>μ</m:t>
                              </m:r>
                              <m:ctrlPr>
                                <w:rPr>
                                  <w:rFonts w:ascii="Cambria Math" w:hAnsi="Cambria Math" w:eastAsia="宋体"/>
                                  <w:i/>
                                  <w:sz w:val="20"/>
                                  <w:szCs w:val="20"/>
                                  <w:lang w:val="en-GB"/>
                                </w:rPr>
                              </m:ctrlPr>
                            </m:sup>
                          </m:sSup>
                          <m:r>
                            <w:rPr>
                              <w:rFonts w:ascii="Cambria Math" w:hAnsi="Cambria Math" w:eastAsia="宋体"/>
                              <w:sz w:val="20"/>
                              <w:szCs w:val="20"/>
                              <w:lang w:val="en-GB"/>
                            </w:rPr>
                            <m:t>+</m:t>
                          </m:r>
                          <m:d>
                            <m:dPr>
                              <m:begChr m:val="⌊"/>
                              <m:endChr m:val="⌋"/>
                              <m:ctrlPr>
                                <w:rPr>
                                  <w:rFonts w:ascii="Cambria Math" w:hAnsi="Cambria Math" w:eastAsia="宋体"/>
                                  <w:i/>
                                  <w:sz w:val="20"/>
                                  <w:szCs w:val="20"/>
                                  <w:lang w:val="en-GB"/>
                                </w:rPr>
                              </m:ctrlPr>
                            </m:dPr>
                            <m:e>
                              <m:r>
                                <w:rPr>
                                  <w:rFonts w:ascii="Cambria Math" w:hAnsi="Cambria Math" w:eastAsia="宋体"/>
                                  <w:sz w:val="20"/>
                                  <w:szCs w:val="20"/>
                                  <w:lang w:val="en-GB"/>
                                </w:rPr>
                                <m:t>i∙M</m:t>
                              </m:r>
                              <m:ctrlPr>
                                <w:rPr>
                                  <w:rFonts w:ascii="Cambria Math" w:hAnsi="Cambria Math" w:eastAsia="宋体"/>
                                  <w:i/>
                                  <w:sz w:val="20"/>
                                  <w:szCs w:val="20"/>
                                  <w:lang w:val="en-GB"/>
                                </w:rPr>
                              </m:ctrlPr>
                            </m:e>
                          </m:d>
                          <m:ctrlPr>
                            <w:rPr>
                              <w:rFonts w:ascii="Cambria Math" w:hAnsi="Cambria Math" w:eastAsia="宋体"/>
                              <w:i/>
                              <w:iCs/>
                              <w:sz w:val="20"/>
                              <w:szCs w:val="20"/>
                            </w:rPr>
                          </m:ctrlPr>
                        </m:e>
                      </m:d>
                      <m:ctrlPr>
                        <w:rPr>
                          <w:rFonts w:ascii="Cambria Math" w:hAnsi="Cambria Math" w:eastAsia="宋体"/>
                          <w:i/>
                          <w:iCs/>
                          <w:sz w:val="20"/>
                          <w:szCs w:val="20"/>
                        </w:rPr>
                      </m:ctrlPr>
                    </m:num>
                    <m:den>
                      <m:sSubSup>
                        <m:sSubSupPr>
                          <m:ctrlPr>
                            <w:rPr>
                              <w:rFonts w:ascii="Cambria Math" w:hAnsi="Cambria Math" w:eastAsia="宋体"/>
                              <w:i/>
                              <w:iCs/>
                              <w:sz w:val="20"/>
                              <w:szCs w:val="20"/>
                            </w:rPr>
                          </m:ctrlPr>
                        </m:sSubSupPr>
                        <m:e>
                          <m:r>
                            <w:rPr>
                              <w:rFonts w:ascii="Cambria Math" w:hAnsi="Cambria Math" w:eastAsia="宋体"/>
                              <w:sz w:val="20"/>
                              <w:szCs w:val="20"/>
                            </w:rPr>
                            <m:t>N</m:t>
                          </m:r>
                          <m:ctrlPr>
                            <w:rPr>
                              <w:rFonts w:ascii="Cambria Math" w:hAnsi="Cambria Math" w:eastAsia="宋体"/>
                              <w:i/>
                              <w:iCs/>
                              <w:sz w:val="20"/>
                              <w:szCs w:val="20"/>
                            </w:rPr>
                          </m:ctrlPr>
                        </m:e>
                        <m:sub>
                          <m:r>
                            <m:rPr>
                              <m:sty m:val="p"/>
                            </m:rPr>
                            <w:rPr>
                              <w:rFonts w:ascii="Cambria Math" w:hAnsi="Cambria Math" w:eastAsia="宋体"/>
                              <w:sz w:val="20"/>
                              <w:szCs w:val="20"/>
                            </w:rPr>
                            <m:t>slot</m:t>
                          </m:r>
                          <m:ctrlPr>
                            <w:rPr>
                              <w:rFonts w:ascii="Cambria Math" w:hAnsi="Cambria Math" w:eastAsia="宋体"/>
                              <w:i/>
                              <w:iCs/>
                              <w:sz w:val="20"/>
                              <w:szCs w:val="20"/>
                            </w:rPr>
                          </m:ctrlPr>
                        </m:sub>
                        <m:sup>
                          <m:r>
                            <m:rPr>
                              <m:sty m:val="p"/>
                            </m:rPr>
                            <w:rPr>
                              <w:rFonts w:ascii="Cambria Math" w:hAnsi="Cambria Math" w:eastAsia="宋体"/>
                              <w:sz w:val="20"/>
                              <w:szCs w:val="20"/>
                            </w:rPr>
                            <m:t>frame</m:t>
                          </m:r>
                          <m:r>
                            <w:rPr>
                              <w:rFonts w:ascii="Cambria Math" w:hAnsi="Cambria Math" w:eastAsia="宋体"/>
                              <w:sz w:val="20"/>
                              <w:szCs w:val="20"/>
                            </w:rPr>
                            <m:t>,μ</m:t>
                          </m:r>
                          <m:ctrlPr>
                            <w:rPr>
                              <w:rFonts w:ascii="Cambria Math" w:hAnsi="Cambria Math" w:eastAsia="宋体"/>
                              <w:i/>
                              <w:iCs/>
                              <w:sz w:val="20"/>
                              <w:szCs w:val="20"/>
                            </w:rPr>
                          </m:ctrlPr>
                        </m:sup>
                      </m:sSubSup>
                      <m:ctrlPr>
                        <w:rPr>
                          <w:rFonts w:ascii="Cambria Math" w:hAnsi="Cambria Math" w:eastAsia="宋体"/>
                          <w:i/>
                          <w:iCs/>
                          <w:sz w:val="20"/>
                          <w:szCs w:val="20"/>
                        </w:rPr>
                      </m:ctrlPr>
                    </m:den>
                  </m:f>
                  <m:ctrlPr>
                    <w:rPr>
                      <w:rFonts w:ascii="Cambria Math" w:hAnsi="Cambria Math" w:eastAsia="宋体"/>
                      <w:i/>
                      <w:iCs/>
                      <w:sz w:val="20"/>
                      <w:szCs w:val="20"/>
                    </w:rPr>
                  </m:ctrlPr>
                </m:e>
              </m:d>
              <m:r>
                <m:rPr>
                  <m:sty m:val="p"/>
                </m:rPr>
                <w:rPr>
                  <w:rFonts w:ascii="Cambria Math" w:hAnsi="Cambria Math" w:eastAsia="宋体"/>
                  <w:sz w:val="20"/>
                  <w:szCs w:val="20"/>
                </w:rPr>
                <m:t>mod</m:t>
              </m:r>
              <m:r>
                <w:rPr>
                  <w:rFonts w:ascii="Cambria Math" w:hAnsi="Cambria Math" w:eastAsia="宋体"/>
                  <w:sz w:val="20"/>
                  <w:szCs w:val="20"/>
                </w:rPr>
                <m:t>2=1</m:t>
              </m:r>
            </m:oMath>
            <w:r>
              <w:rPr>
                <w:rFonts w:eastAsia="宋体"/>
                <w:sz w:val="20"/>
                <w:szCs w:val="20"/>
                <w:lang w:val="en-GB"/>
              </w:rPr>
              <w:t xml:space="preserve"> where </w:t>
            </w:r>
            <m:oMath>
              <m:r>
                <w:rPr>
                  <w:rFonts w:ascii="Cambria Math" w:hAnsi="Cambria Math" w:eastAsia="宋体"/>
                  <w:sz w:val="20"/>
                  <w:szCs w:val="20"/>
                  <w:lang w:val="en-GB"/>
                </w:rPr>
                <m:t>μ∈</m:t>
              </m:r>
              <m:d>
                <m:dPr>
                  <m:begChr m:val="{"/>
                  <m:endChr m:val="}"/>
                  <m:ctrlPr>
                    <w:rPr>
                      <w:rFonts w:ascii="Cambria Math" w:hAnsi="Cambria Math" w:eastAsia="宋体"/>
                      <w:i/>
                      <w:sz w:val="20"/>
                      <w:szCs w:val="20"/>
                      <w:lang w:val="en-GB"/>
                    </w:rPr>
                  </m:ctrlPr>
                </m:dPr>
                <m:e>
                  <m:r>
                    <w:rPr>
                      <w:rFonts w:ascii="Cambria Math" w:hAnsi="Cambria Math" w:eastAsia="宋体"/>
                      <w:sz w:val="20"/>
                      <w:szCs w:val="20"/>
                      <w:lang w:val="en-GB"/>
                    </w:rPr>
                    <m:t>0,1,2,3,5,6</m:t>
                  </m:r>
                  <m:ctrlPr>
                    <w:rPr>
                      <w:rFonts w:ascii="Cambria Math" w:hAnsi="Cambria Math" w:eastAsia="宋体"/>
                      <w:i/>
                      <w:sz w:val="20"/>
                      <w:szCs w:val="20"/>
                      <w:lang w:val="en-GB"/>
                    </w:rPr>
                  </m:ctrlPr>
                </m:e>
              </m:d>
            </m:oMath>
            <w:r>
              <w:rPr>
                <w:rFonts w:eastAsia="宋体"/>
                <w:sz w:val="20"/>
                <w:szCs w:val="20"/>
                <w:lang w:val="en-GB"/>
              </w:rPr>
              <w:t xml:space="preserve"> based on the SCS for PDCCH receptions in the CORESET [4, TS 38.211] .</w:t>
            </w:r>
          </w:p>
          <w:p>
            <w:pPr>
              <w:widowControl w:val="0"/>
              <w:autoSpaceDE/>
              <w:autoSpaceDN/>
              <w:adjustRightInd/>
              <w:snapToGrid/>
              <w:spacing w:after="180" w:line="240" w:lineRule="auto"/>
              <w:ind w:left="852" w:hanging="284"/>
              <w:rPr>
                <w:rFonts w:eastAsia="宋体"/>
                <w:sz w:val="20"/>
                <w:szCs w:val="20"/>
              </w:rPr>
            </w:pPr>
            <w:r>
              <w:rPr>
                <w:rFonts w:eastAsia="宋体"/>
                <w:sz w:val="20"/>
                <w:szCs w:val="20"/>
              </w:rPr>
              <w:t>-</w:t>
            </w:r>
            <w:r>
              <w:rPr>
                <w:rFonts w:eastAsia="宋体"/>
                <w:sz w:val="20"/>
                <w:szCs w:val="20"/>
              </w:rPr>
              <w:tab/>
            </w:r>
            <w:r>
              <w:rPr>
                <w:rFonts w:eastAsia="宋体"/>
                <w:sz w:val="20"/>
                <w:szCs w:val="20"/>
              </w:rPr>
              <w:t xml:space="preserve">For </w:t>
            </w:r>
            <m:oMath>
              <m:r>
                <w:rPr>
                  <w:rFonts w:ascii="Cambria Math" w:hAnsi="Cambria Math" w:eastAsia="宋体"/>
                  <w:sz w:val="20"/>
                  <w:szCs w:val="20"/>
                  <w:lang w:val="zh-CN"/>
                </w:rPr>
                <m:t>μ</m:t>
              </m:r>
              <m:r>
                <w:rPr>
                  <w:rFonts w:ascii="Cambria Math" w:hAnsi="Cambria Math" w:eastAsia="宋体"/>
                  <w:sz w:val="20"/>
                  <w:szCs w:val="20"/>
                </w:rPr>
                <m:t>∈{0, 1, 2, 3}</m:t>
              </m:r>
            </m:oMath>
            <w:r>
              <w:rPr>
                <w:rFonts w:eastAsia="宋体"/>
                <w:sz w:val="20"/>
                <w:szCs w:val="20"/>
              </w:rPr>
              <w:t xml:space="preserve"> and for a SS/PBCH block index </w:t>
            </w:r>
            <m:oMath>
              <m:r>
                <w:rPr>
                  <w:rFonts w:ascii="Cambria Math" w:hAnsi="Cambria Math" w:eastAsia="宋体"/>
                  <w:sz w:val="20"/>
                  <w:szCs w:val="20"/>
                  <w:lang w:val="zh-CN"/>
                </w:rPr>
                <m:t>i</m:t>
              </m:r>
            </m:oMath>
            <w:r>
              <w:rPr>
                <w:rFonts w:eastAsia="宋体"/>
                <w:sz w:val="20"/>
                <w:szCs w:val="20"/>
              </w:rPr>
              <w:t xml:space="preserve">, the two slots including the associated Type0-PDCCH monitoring occasions are slots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oMath>
            <w:r>
              <w:rPr>
                <w:rFonts w:eastAsia="宋体"/>
                <w:sz w:val="20"/>
                <w:szCs w:val="20"/>
              </w:rPr>
              <w:t xml:space="preserve"> and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r>
                <w:rPr>
                  <w:rFonts w:ascii="Cambria Math" w:hAnsi="Cambria Math" w:eastAsia="宋体"/>
                  <w:sz w:val="20"/>
                  <w:szCs w:val="20"/>
                </w:rPr>
                <m:t>+1</m:t>
              </m:r>
            </m:oMath>
            <w:r>
              <w:rPr>
                <w:rFonts w:eastAsia="宋体"/>
                <w:sz w:val="20"/>
                <w:szCs w:val="20"/>
              </w:rPr>
              <w:t xml:space="preserve">. </w:t>
            </w:r>
            <m:oMath>
              <m:r>
                <w:rPr>
                  <w:rFonts w:ascii="Cambria Math" w:hAnsi="Cambria Math" w:eastAsia="宋体"/>
                  <w:sz w:val="20"/>
                  <w:szCs w:val="20"/>
                  <w:lang w:val="zh-CN"/>
                </w:rPr>
                <m:t>M</m:t>
              </m:r>
            </m:oMath>
            <w:r>
              <w:rPr>
                <w:rFonts w:eastAsia="宋体"/>
                <w:sz w:val="20"/>
                <w:szCs w:val="20"/>
              </w:rPr>
              <w:t xml:space="preserve">, </w:t>
            </w:r>
            <m:oMath>
              <m:r>
                <w:rPr>
                  <w:rFonts w:ascii="Cambria Math" w:hAnsi="Cambria Math" w:eastAsia="宋体"/>
                  <w:sz w:val="20"/>
                  <w:szCs w:val="20"/>
                  <w:lang w:val="zh-CN"/>
                </w:rPr>
                <m:t>O</m:t>
              </m:r>
            </m:oMath>
            <w:r>
              <w:rPr>
                <w:rFonts w:eastAsia="宋体"/>
                <w:sz w:val="20"/>
                <w:szCs w:val="20"/>
              </w:rPr>
              <w:t xml:space="preserve">, and the index of the first symbol of the CORESET in slots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oMath>
            <w:r>
              <w:rPr>
                <w:rFonts w:eastAsia="宋体"/>
                <w:sz w:val="20"/>
                <w:szCs w:val="20"/>
              </w:rPr>
              <w:t xml:space="preserve"> and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r>
                <w:rPr>
                  <w:rFonts w:ascii="Cambria Math" w:hAnsi="Cambria Math" w:eastAsia="宋体"/>
                  <w:sz w:val="20"/>
                  <w:szCs w:val="20"/>
                </w:rPr>
                <m:t>+1</m:t>
              </m:r>
            </m:oMath>
            <w:r>
              <w:rPr>
                <w:rFonts w:eastAsia="宋体"/>
                <w:sz w:val="20"/>
                <w:szCs w:val="20"/>
              </w:rPr>
              <w:t xml:space="preserve"> are provided by Table 13-11 and Table 13-12.</w:t>
            </w:r>
          </w:p>
          <w:p>
            <w:pPr>
              <w:widowControl w:val="0"/>
              <w:autoSpaceDE/>
              <w:autoSpaceDN/>
              <w:adjustRightInd/>
              <w:snapToGrid/>
              <w:spacing w:after="180" w:line="240" w:lineRule="auto"/>
              <w:ind w:left="852" w:hanging="284"/>
              <w:rPr>
                <w:rFonts w:eastAsia="宋体"/>
                <w:sz w:val="20"/>
                <w:szCs w:val="20"/>
              </w:rPr>
            </w:pPr>
            <w:r>
              <w:rPr>
                <w:rFonts w:eastAsia="宋体"/>
                <w:sz w:val="20"/>
                <w:szCs w:val="20"/>
              </w:rPr>
              <w:t>-</w:t>
            </w:r>
            <w:r>
              <w:rPr>
                <w:rFonts w:eastAsia="宋体"/>
                <w:sz w:val="20"/>
                <w:szCs w:val="20"/>
              </w:rPr>
              <w:tab/>
            </w:r>
            <w:r>
              <w:rPr>
                <w:rFonts w:eastAsia="宋体"/>
                <w:sz w:val="20"/>
                <w:szCs w:val="20"/>
              </w:rPr>
              <w:t xml:space="preserve">For </w:t>
            </w:r>
            <m:oMath>
              <m:r>
                <w:rPr>
                  <w:rFonts w:ascii="Cambria Math" w:hAnsi="Cambria Math" w:eastAsia="宋体"/>
                  <w:sz w:val="20"/>
                  <w:szCs w:val="20"/>
                  <w:lang w:val="zh-CN"/>
                </w:rPr>
                <m:t>μ</m:t>
              </m:r>
              <m:r>
                <w:rPr>
                  <w:rFonts w:ascii="Cambria Math" w:hAnsi="Cambria Math" w:eastAsia="宋体"/>
                  <w:sz w:val="20"/>
                  <w:szCs w:val="20"/>
                </w:rPr>
                <m:t>=5</m:t>
              </m:r>
            </m:oMath>
            <w:r>
              <w:rPr>
                <w:rFonts w:eastAsia="宋体"/>
                <w:sz w:val="20"/>
                <w:szCs w:val="20"/>
              </w:rPr>
              <w:t xml:space="preserve"> and for a SS/PBCH block index </w:t>
            </w:r>
            <m:oMath>
              <m:r>
                <w:rPr>
                  <w:rFonts w:ascii="Cambria Math" w:hAnsi="Cambria Math" w:eastAsia="宋体"/>
                  <w:sz w:val="20"/>
                  <w:szCs w:val="20"/>
                  <w:lang w:val="zh-CN"/>
                </w:rPr>
                <m:t>i</m:t>
              </m:r>
            </m:oMath>
            <w:r>
              <w:rPr>
                <w:rFonts w:eastAsia="宋体"/>
                <w:sz w:val="20"/>
                <w:szCs w:val="20"/>
              </w:rPr>
              <w:t xml:space="preserve">, the two slots including the associated Type0-PDCCH monitoring occasions are slots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oMath>
            <w:r>
              <w:rPr>
                <w:rFonts w:eastAsia="宋体"/>
                <w:sz w:val="20"/>
                <w:szCs w:val="20"/>
              </w:rPr>
              <w:t xml:space="preserve"> and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r>
                <w:rPr>
                  <w:rFonts w:ascii="Cambria Math" w:hAnsi="Cambria Math" w:eastAsia="宋体"/>
                  <w:sz w:val="20"/>
                  <w:szCs w:val="20"/>
                </w:rPr>
                <m:t>+4</m:t>
              </m:r>
            </m:oMath>
            <w:r>
              <w:rPr>
                <w:rFonts w:eastAsia="宋体"/>
                <w:sz w:val="20"/>
                <w:szCs w:val="20"/>
              </w:rPr>
              <w:t xml:space="preserve">. </w:t>
            </w:r>
            <m:oMath>
              <m:r>
                <w:rPr>
                  <w:rFonts w:ascii="Cambria Math" w:hAnsi="Cambria Math" w:eastAsia="宋体"/>
                  <w:sz w:val="20"/>
                  <w:szCs w:val="20"/>
                  <w:lang w:val="zh-CN"/>
                </w:rPr>
                <m:t>M</m:t>
              </m:r>
            </m:oMath>
            <w:r>
              <w:rPr>
                <w:rFonts w:eastAsia="宋体"/>
                <w:sz w:val="20"/>
                <w:szCs w:val="20"/>
              </w:rPr>
              <w:t xml:space="preserve">, </w:t>
            </w:r>
            <m:oMath>
              <m:r>
                <w:rPr>
                  <w:rFonts w:ascii="Cambria Math" w:hAnsi="Cambria Math" w:eastAsia="宋体"/>
                  <w:sz w:val="20"/>
                  <w:szCs w:val="20"/>
                  <w:lang w:val="zh-CN"/>
                </w:rPr>
                <m:t>O</m:t>
              </m:r>
            </m:oMath>
            <w:r>
              <w:rPr>
                <w:rFonts w:eastAsia="宋体"/>
                <w:sz w:val="20"/>
                <w:szCs w:val="20"/>
              </w:rPr>
              <w:t xml:space="preserve">, and the index of the first symbol of the CORESET in slots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oMath>
            <w:r>
              <w:rPr>
                <w:rFonts w:eastAsia="宋体"/>
                <w:sz w:val="20"/>
                <w:szCs w:val="20"/>
              </w:rPr>
              <w:t xml:space="preserve"> and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r>
                <w:rPr>
                  <w:rFonts w:ascii="Cambria Math" w:hAnsi="Cambria Math" w:eastAsia="宋体"/>
                  <w:sz w:val="20"/>
                  <w:szCs w:val="20"/>
                </w:rPr>
                <m:t>+4</m:t>
              </m:r>
            </m:oMath>
            <w:r>
              <w:rPr>
                <w:rFonts w:eastAsia="宋体"/>
                <w:sz w:val="20"/>
                <w:szCs w:val="20"/>
              </w:rPr>
              <w:t xml:space="preserve"> are provided by Table 13-12A, where </w:t>
            </w:r>
            <m:oMath>
              <m:r>
                <w:rPr>
                  <w:rFonts w:ascii="Cambria Math" w:hAnsi="Cambria Math" w:eastAsia="宋体"/>
                  <w:sz w:val="20"/>
                  <w:szCs w:val="20"/>
                  <w:lang w:val="zh-CN"/>
                </w:rPr>
                <m:t>X</m:t>
              </m:r>
              <m:r>
                <w:rPr>
                  <w:rFonts w:ascii="Cambria Math" w:hAnsi="Cambria Math" w:eastAsia="宋体"/>
                  <w:sz w:val="20"/>
                  <w:szCs w:val="20"/>
                </w:rPr>
                <m:t>=1.25</m:t>
              </m:r>
            </m:oMath>
            <w:r>
              <w:rPr>
                <w:rFonts w:eastAsia="宋体"/>
                <w:sz w:val="20"/>
                <w:szCs w:val="20"/>
              </w:rPr>
              <w:t>.</w:t>
            </w:r>
          </w:p>
          <w:p>
            <w:pPr>
              <w:widowControl w:val="0"/>
              <w:autoSpaceDE/>
              <w:autoSpaceDN/>
              <w:adjustRightInd/>
              <w:snapToGrid/>
              <w:spacing w:after="180" w:line="240" w:lineRule="auto"/>
              <w:ind w:left="568"/>
              <w:rPr>
                <w:rFonts w:eastAsia="宋体"/>
                <w:sz w:val="20"/>
                <w:szCs w:val="20"/>
                <w:lang w:val="en-GB"/>
              </w:rPr>
            </w:pPr>
            <w:r>
              <w:rPr>
                <w:rFonts w:eastAsia="宋体"/>
                <w:sz w:val="20"/>
                <w:szCs w:val="20"/>
              </w:rPr>
              <w:t>-</w:t>
            </w:r>
            <w:r>
              <w:rPr>
                <w:rFonts w:eastAsia="宋体"/>
                <w:sz w:val="20"/>
                <w:szCs w:val="20"/>
              </w:rPr>
              <w:tab/>
            </w:r>
            <w:r>
              <w:rPr>
                <w:rFonts w:eastAsia="宋体"/>
                <w:sz w:val="20"/>
                <w:szCs w:val="20"/>
              </w:rPr>
              <w:t xml:space="preserve">For </w:t>
            </w:r>
            <m:oMath>
              <m:r>
                <w:rPr>
                  <w:rFonts w:ascii="Cambria Math" w:hAnsi="Cambria Math" w:eastAsia="宋体"/>
                  <w:sz w:val="20"/>
                  <w:szCs w:val="20"/>
                  <w:lang w:val="zh-CN"/>
                </w:rPr>
                <m:t>μ</m:t>
              </m:r>
              <m:r>
                <w:rPr>
                  <w:rFonts w:ascii="Cambria Math" w:hAnsi="Cambria Math" w:eastAsia="宋体"/>
                  <w:sz w:val="20"/>
                  <w:szCs w:val="20"/>
                </w:rPr>
                <m:t>=6</m:t>
              </m:r>
            </m:oMath>
            <w:r>
              <w:rPr>
                <w:rFonts w:eastAsia="宋体"/>
                <w:sz w:val="20"/>
                <w:szCs w:val="20"/>
              </w:rPr>
              <w:t xml:space="preserve"> and for a SS/PBCH block index </w:t>
            </w:r>
            <m:oMath>
              <m:r>
                <w:rPr>
                  <w:rFonts w:ascii="Cambria Math" w:hAnsi="Cambria Math" w:eastAsia="宋体"/>
                  <w:sz w:val="20"/>
                  <w:szCs w:val="20"/>
                  <w:lang w:val="zh-CN"/>
                </w:rPr>
                <m:t>i</m:t>
              </m:r>
            </m:oMath>
            <w:r>
              <w:rPr>
                <w:rFonts w:eastAsia="宋体"/>
                <w:sz w:val="20"/>
                <w:szCs w:val="20"/>
              </w:rPr>
              <w:t xml:space="preserve">, the two slots including the associated Type0-PDCCH monitoring occasions are slots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oMath>
            <w:r>
              <w:rPr>
                <w:rFonts w:eastAsia="宋体"/>
                <w:sz w:val="20"/>
                <w:szCs w:val="20"/>
              </w:rPr>
              <w:t xml:space="preserve"> and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r>
                <w:rPr>
                  <w:rFonts w:ascii="Cambria Math" w:hAnsi="Cambria Math" w:eastAsia="宋体"/>
                  <w:sz w:val="20"/>
                  <w:szCs w:val="20"/>
                </w:rPr>
                <m:t>+8</m:t>
              </m:r>
            </m:oMath>
            <w:r>
              <w:rPr>
                <w:rFonts w:eastAsia="宋体"/>
                <w:sz w:val="20"/>
                <w:szCs w:val="20"/>
              </w:rPr>
              <w:t xml:space="preserve">. </w:t>
            </w:r>
            <m:oMath>
              <m:r>
                <w:rPr>
                  <w:rFonts w:ascii="Cambria Math" w:hAnsi="Cambria Math" w:eastAsia="宋体"/>
                  <w:sz w:val="20"/>
                  <w:szCs w:val="20"/>
                  <w:lang w:val="zh-CN"/>
                </w:rPr>
                <m:t>M</m:t>
              </m:r>
            </m:oMath>
            <w:r>
              <w:rPr>
                <w:rFonts w:eastAsia="宋体"/>
                <w:sz w:val="20"/>
                <w:szCs w:val="20"/>
              </w:rPr>
              <w:t xml:space="preserve">, </w:t>
            </w:r>
            <m:oMath>
              <m:r>
                <w:rPr>
                  <w:rFonts w:ascii="Cambria Math" w:hAnsi="Cambria Math" w:eastAsia="宋体"/>
                  <w:sz w:val="20"/>
                  <w:szCs w:val="20"/>
                  <w:lang w:val="zh-CN"/>
                </w:rPr>
                <m:t>O</m:t>
              </m:r>
            </m:oMath>
            <w:r>
              <w:rPr>
                <w:rFonts w:eastAsia="宋体"/>
                <w:sz w:val="20"/>
                <w:szCs w:val="20"/>
              </w:rPr>
              <w:t xml:space="preserve">, and the index of the first symbol of the CORESET in slots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oMath>
            <w:r>
              <w:rPr>
                <w:rFonts w:eastAsia="宋体"/>
                <w:sz w:val="20"/>
                <w:szCs w:val="20"/>
              </w:rPr>
              <w:t xml:space="preserve"> and </w:t>
            </w:r>
            <m:oMath>
              <m:sSub>
                <m:sSubPr>
                  <m:ctrlPr>
                    <w:rPr>
                      <w:rFonts w:ascii="Cambria Math" w:hAnsi="Cambria Math" w:eastAsia="宋体"/>
                      <w:i/>
                      <w:sz w:val="20"/>
                      <w:szCs w:val="20"/>
                      <w:lang w:val="zh-CN"/>
                    </w:rPr>
                  </m:ctrlPr>
                </m:sSubPr>
                <m:e>
                  <m:r>
                    <w:rPr>
                      <w:rFonts w:ascii="Cambria Math" w:hAnsi="Cambria Math" w:eastAsia="宋体"/>
                      <w:sz w:val="20"/>
                      <w:szCs w:val="20"/>
                      <w:lang w:val="zh-CN"/>
                    </w:rPr>
                    <m:t>n</m:t>
                  </m:r>
                  <m:ctrlPr>
                    <w:rPr>
                      <w:rFonts w:ascii="Cambria Math" w:hAnsi="Cambria Math" w:eastAsia="宋体"/>
                      <w:i/>
                      <w:sz w:val="20"/>
                      <w:szCs w:val="20"/>
                      <w:lang w:val="zh-CN"/>
                    </w:rPr>
                  </m:ctrlPr>
                </m:e>
                <m:sub>
                  <m:r>
                    <w:rPr>
                      <w:rFonts w:ascii="Cambria Math" w:hAnsi="Cambria Math" w:eastAsia="宋体"/>
                      <w:sz w:val="20"/>
                      <w:szCs w:val="20"/>
                    </w:rPr>
                    <m:t>0</m:t>
                  </m:r>
                  <m:ctrlPr>
                    <w:rPr>
                      <w:rFonts w:ascii="Cambria Math" w:hAnsi="Cambria Math" w:eastAsia="宋体"/>
                      <w:i/>
                      <w:sz w:val="20"/>
                      <w:szCs w:val="20"/>
                      <w:lang w:val="zh-CN"/>
                    </w:rPr>
                  </m:ctrlPr>
                </m:sub>
              </m:sSub>
              <m:r>
                <w:rPr>
                  <w:rFonts w:ascii="Cambria Math" w:hAnsi="Cambria Math" w:eastAsia="宋体"/>
                  <w:sz w:val="20"/>
                  <w:szCs w:val="20"/>
                </w:rPr>
                <m:t>+8</m:t>
              </m:r>
            </m:oMath>
            <w:r>
              <w:rPr>
                <w:rFonts w:eastAsia="宋体"/>
                <w:sz w:val="20"/>
                <w:szCs w:val="20"/>
              </w:rPr>
              <w:t xml:space="preserve"> are provided by Table 13-12A, where </w:t>
            </w:r>
            <m:oMath>
              <m:r>
                <w:rPr>
                  <w:rFonts w:ascii="Cambria Math" w:hAnsi="Cambria Math" w:eastAsia="宋体"/>
                  <w:sz w:val="20"/>
                  <w:szCs w:val="20"/>
                  <w:lang w:val="zh-CN"/>
                </w:rPr>
                <m:t>X</m:t>
              </m:r>
              <m:r>
                <w:rPr>
                  <w:rFonts w:ascii="Cambria Math" w:hAnsi="Cambria Math" w:eastAsia="宋体"/>
                  <w:sz w:val="20"/>
                  <w:szCs w:val="20"/>
                </w:rPr>
                <m:t>=0.625</m:t>
              </m:r>
            </m:oMath>
            <w:r>
              <w:rPr>
                <w:rFonts w:eastAsia="宋体"/>
                <w:sz w:val="20"/>
                <w:szCs w:val="20"/>
              </w:rPr>
              <w:t>.</w:t>
            </w:r>
          </w:p>
        </w:tc>
      </w:tr>
    </w:tbl>
    <w:p>
      <w:pPr>
        <w:tabs>
          <w:tab w:val="left" w:pos="1300"/>
        </w:tabs>
        <w:spacing w:after="0"/>
        <w:jc w:val="both"/>
        <w:rPr>
          <w:b/>
          <w:sz w:val="20"/>
          <w:szCs w:val="20"/>
          <w:lang w:eastAsia="zh-CN"/>
        </w:rPr>
      </w:pPr>
    </w:p>
    <w:p>
      <w:pPr>
        <w:autoSpaceDE/>
        <w:autoSpaceDN/>
        <w:adjustRightInd/>
        <w:snapToGrid/>
        <w:spacing w:after="0" w:line="240" w:lineRule="auto"/>
        <w:rPr>
          <w:lang w:eastAsia="zh-CN"/>
        </w:rPr>
      </w:pPr>
    </w:p>
    <w:p>
      <w:pPr>
        <w:pStyle w:val="4"/>
      </w:pPr>
      <w:r>
        <w:t xml:space="preserve">(Closed) Issue A1-2: </w:t>
      </w:r>
      <w:r>
        <w:rPr>
          <w:highlight w:val="cyan"/>
          <w:lang w:val="en-US" w:eastAsia="ko-KR"/>
        </w:rPr>
        <w:t>[High Priority]</w:t>
      </w:r>
      <w:r>
        <w:rPr>
          <w:lang w:val="en-US" w:eastAsia="ko-KR"/>
        </w:rPr>
        <w:t xml:space="preserve"> </w:t>
      </w:r>
      <w:r>
        <w:t>Support of optional/FFS (X,Y) values</w:t>
      </w:r>
    </w:p>
    <w:p>
      <w:pPr>
        <w:pStyle w:val="5"/>
      </w:pPr>
      <w:r>
        <w:t>First round discussion</w:t>
      </w:r>
    </w:p>
    <w:p>
      <w:pPr>
        <w:tabs>
          <w:tab w:val="left" w:pos="1300"/>
        </w:tabs>
        <w:spacing w:after="0"/>
        <w:jc w:val="both"/>
        <w:rPr>
          <w:bCs/>
          <w:sz w:val="20"/>
          <w:szCs w:val="20"/>
          <w:lang w:eastAsia="zh-CN"/>
        </w:rPr>
      </w:pPr>
      <w:r>
        <w:rPr>
          <w:b/>
          <w:sz w:val="20"/>
          <w:szCs w:val="20"/>
          <w:u w:val="single"/>
        </w:rPr>
        <w:t>Proposal A1-2.1</w:t>
      </w:r>
      <w:r>
        <w:rPr>
          <w:b/>
          <w:sz w:val="20"/>
          <w:szCs w:val="20"/>
        </w:rPr>
        <w:t>:</w:t>
      </w:r>
      <w:r>
        <w:rPr>
          <w:bCs/>
          <w:sz w:val="20"/>
          <w:szCs w:val="20"/>
        </w:rPr>
        <w:t xml:space="preserve"> Support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ctrlPr>
              <w:rPr>
                <w:rFonts w:ascii="Cambria Math" w:hAnsi="Cambria Math"/>
                <w:bCs/>
                <w:sz w:val="20"/>
                <w:szCs w:val="20"/>
                <w:lang w:eastAsia="zh-CN"/>
              </w:rPr>
            </m:ctrlPr>
          </m:e>
        </m:d>
        <m:r>
          <w:rPr>
            <w:rFonts w:ascii="Cambria Math" w:hAnsi="Cambria Math"/>
            <w:sz w:val="20"/>
            <w:szCs w:val="20"/>
            <w:lang w:eastAsia="zh-CN"/>
          </w:rPr>
          <m:t>=(2, 1)</m:t>
        </m:r>
      </m:oMath>
      <w:r>
        <w:rPr>
          <w:bCs/>
          <w:sz w:val="20"/>
          <w:szCs w:val="20"/>
          <w:lang w:eastAsia="zh-CN"/>
        </w:rPr>
        <w:t xml:space="preserve"> as optional value for 480 kHz SCS with 10 maximum monitored PDCCH candidates and 16 maximum non-overlapped CCEs.</w:t>
      </w:r>
    </w:p>
    <w:p>
      <w:pPr>
        <w:tabs>
          <w:tab w:val="left" w:pos="1300"/>
        </w:tabs>
        <w:spacing w:after="0"/>
        <w:jc w:val="both"/>
        <w:rPr>
          <w:b/>
          <w:sz w:val="20"/>
          <w:szCs w:val="20"/>
          <w:lang w:eastAsia="zh-CN"/>
        </w:rPr>
      </w:pPr>
    </w:p>
    <w:p>
      <w:pPr>
        <w:tabs>
          <w:tab w:val="left" w:pos="1300"/>
        </w:tabs>
        <w:spacing w:after="0"/>
        <w:jc w:val="both"/>
        <w:rPr>
          <w:b/>
          <w:sz w:val="20"/>
          <w:szCs w:val="20"/>
          <w:lang w:eastAsia="zh-CN"/>
        </w:rPr>
      </w:pPr>
      <w:r>
        <w:rPr>
          <w:b/>
          <w:sz w:val="20"/>
          <w:szCs w:val="20"/>
          <w:u w:val="single"/>
        </w:rPr>
        <w:t>Proposal A1-2.2</w:t>
      </w:r>
      <w:r>
        <w:rPr>
          <w:b/>
          <w:sz w:val="20"/>
          <w:szCs w:val="20"/>
        </w:rPr>
        <w:t>:</w:t>
      </w:r>
      <w:r>
        <w:rPr>
          <w:bCs/>
          <w:sz w:val="20"/>
          <w:szCs w:val="20"/>
        </w:rPr>
        <w:t xml:space="preserve"> Conclude that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ctrlPr>
              <w:rPr>
                <w:rFonts w:ascii="Cambria Math" w:hAnsi="Cambria Math"/>
                <w:bCs/>
                <w:sz w:val="20"/>
                <w:szCs w:val="20"/>
                <w:lang w:eastAsia="zh-CN"/>
              </w:rPr>
            </m:ctrlPr>
          </m:e>
        </m:d>
        <m:r>
          <w:rPr>
            <w:rFonts w:ascii="Cambria Math" w:hAnsi="Cambria Math"/>
            <w:sz w:val="20"/>
            <w:szCs w:val="20"/>
            <w:lang w:eastAsia="zh-CN"/>
          </w:rPr>
          <m:t>=(2, 1)</m:t>
        </m:r>
      </m:oMath>
      <w:r>
        <w:rPr>
          <w:bCs/>
          <w:sz w:val="20"/>
          <w:szCs w:val="20"/>
          <w:lang w:eastAsia="zh-CN"/>
        </w:rPr>
        <w:t xml:space="preserve"> for 480 kHz SCS is not supported for multi-slot monitoring.</w:t>
      </w:r>
    </w:p>
    <w:p>
      <w:pPr>
        <w:rPr>
          <w:bCs/>
          <w:sz w:val="20"/>
          <w:szCs w:val="20"/>
          <w:lang w:eastAsia="zh-CN"/>
        </w:rPr>
      </w:pPr>
    </w:p>
    <w:p>
      <w:pPr>
        <w:rPr>
          <w:bCs/>
          <w:sz w:val="20"/>
          <w:szCs w:val="20"/>
        </w:rPr>
      </w:pPr>
      <w:r>
        <w:rPr>
          <w:bCs/>
          <w:sz w:val="20"/>
          <w:szCs w:val="20"/>
          <w:lang w:eastAsia="zh-CN"/>
        </w:rPr>
        <w:t xml:space="preserve">FL Summary: Only few companies showed active support for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ctrlPr>
              <w:rPr>
                <w:rFonts w:ascii="Cambria Math" w:hAnsi="Cambria Math"/>
                <w:bCs/>
                <w:sz w:val="20"/>
                <w:szCs w:val="20"/>
                <w:lang w:eastAsia="zh-CN"/>
              </w:rPr>
            </m:ctrlPr>
          </m:e>
        </m:d>
        <m:r>
          <w:rPr>
            <w:rFonts w:ascii="Cambria Math" w:hAnsi="Cambria Math"/>
            <w:sz w:val="20"/>
            <w:szCs w:val="20"/>
            <w:lang w:eastAsia="zh-CN"/>
          </w:rPr>
          <m:t>=(2, 1)</m:t>
        </m:r>
      </m:oMath>
      <w:r>
        <w:rPr>
          <w:bCs/>
          <w:sz w:val="20"/>
          <w:szCs w:val="20"/>
          <w:lang w:eastAsia="zh-CN"/>
        </w:rPr>
        <w:t xml:space="preserve"> in their contributions. The discussion in RAN1#107bis-e showed a majority not supporting it, so it seems fair to say that there is no consensus to adopt Proposal A1-2.1. Therefore FL suggests to adopt</w:t>
      </w:r>
      <w:r>
        <w:rPr>
          <w:b/>
          <w:sz w:val="20"/>
          <w:szCs w:val="20"/>
        </w:rPr>
        <w:t xml:space="preserve"> Proposal A1-2.2: Conclude that </w:t>
      </w:r>
      <m:oMath>
        <m:d>
          <m:dPr>
            <m:ctrlPr>
              <w:rPr>
                <w:rFonts w:ascii="Cambria Math" w:hAnsi="Cambria Math"/>
                <w:b/>
                <w:sz w:val="20"/>
                <w:szCs w:val="20"/>
                <w:lang w:eastAsia="zh-CN"/>
              </w:rPr>
            </m:ctrlPr>
          </m:dPr>
          <m:e>
            <m:sSub>
              <m:sSubPr>
                <m:ctrlPr>
                  <w:rPr>
                    <w:rFonts w:ascii="Cambria Math" w:hAnsi="Cambria Math"/>
                    <w:b/>
                    <w:i/>
                    <w:sz w:val="20"/>
                    <w:szCs w:val="20"/>
                    <w:lang w:eastAsia="zh-CN"/>
                  </w:rPr>
                </m:ctrlPr>
              </m:sSubPr>
              <m:e>
                <m:r>
                  <m:rPr>
                    <m:sty m:val="bi"/>
                  </m:rPr>
                  <w:rPr>
                    <w:rFonts w:ascii="Cambria Math" w:hAnsi="Cambria Math"/>
                    <w:sz w:val="20"/>
                    <w:szCs w:val="20"/>
                    <w:lang w:eastAsia="zh-CN"/>
                  </w:rPr>
                  <m:t>X</m:t>
                </m:r>
                <m:ctrlPr>
                  <w:rPr>
                    <w:rFonts w:ascii="Cambria Math" w:hAnsi="Cambria Math"/>
                    <w:b/>
                    <w:i/>
                    <w:sz w:val="20"/>
                    <w:szCs w:val="20"/>
                    <w:lang w:eastAsia="zh-CN"/>
                  </w:rPr>
                </m:ctrlPr>
              </m:e>
              <m:sub>
                <m:r>
                  <m:rPr>
                    <m:sty m:val="bi"/>
                  </m:rPr>
                  <w:rPr>
                    <w:rFonts w:ascii="Cambria Math" w:hAnsi="Cambria Math"/>
                    <w:sz w:val="20"/>
                    <w:szCs w:val="20"/>
                    <w:lang w:eastAsia="zh-CN"/>
                  </w:rPr>
                  <m:t>s</m:t>
                </m:r>
                <m:ctrlPr>
                  <w:rPr>
                    <w:rFonts w:ascii="Cambria Math" w:hAnsi="Cambria Math"/>
                    <w:b/>
                    <w:i/>
                    <w:sz w:val="20"/>
                    <w:szCs w:val="20"/>
                    <w:lang w:eastAsia="zh-CN"/>
                  </w:rPr>
                </m:ctrlPr>
              </m:sub>
            </m:sSub>
            <m:r>
              <m:rPr>
                <m:sty m:val="bi"/>
              </m:rPr>
              <w:rPr>
                <w:rFonts w:ascii="Cambria Math" w:hAnsi="Cambria Math"/>
                <w:sz w:val="20"/>
                <w:szCs w:val="20"/>
                <w:lang w:eastAsia="zh-CN"/>
              </w:rPr>
              <m:t>,</m:t>
            </m:r>
            <m:sSub>
              <m:sSubPr>
                <m:ctrlPr>
                  <w:rPr>
                    <w:rFonts w:ascii="Cambria Math" w:hAnsi="Cambria Math"/>
                    <w:b/>
                    <w:i/>
                    <w:sz w:val="20"/>
                    <w:szCs w:val="20"/>
                    <w:lang w:eastAsia="zh-CN"/>
                  </w:rPr>
                </m:ctrlPr>
              </m:sSubPr>
              <m:e>
                <m:r>
                  <m:rPr>
                    <m:sty m:val="bi"/>
                  </m:rPr>
                  <w:rPr>
                    <w:rFonts w:ascii="Cambria Math" w:hAnsi="Cambria Math"/>
                    <w:sz w:val="20"/>
                    <w:szCs w:val="20"/>
                    <w:lang w:eastAsia="zh-CN"/>
                  </w:rPr>
                  <m:t>Y</m:t>
                </m:r>
                <m:ctrlPr>
                  <w:rPr>
                    <w:rFonts w:ascii="Cambria Math" w:hAnsi="Cambria Math"/>
                    <w:b/>
                    <w:i/>
                    <w:sz w:val="20"/>
                    <w:szCs w:val="20"/>
                    <w:lang w:eastAsia="zh-CN"/>
                  </w:rPr>
                </m:ctrlPr>
              </m:e>
              <m:sub>
                <m:r>
                  <m:rPr>
                    <m:sty m:val="bi"/>
                  </m:rPr>
                  <w:rPr>
                    <w:rFonts w:ascii="Cambria Math" w:hAnsi="Cambria Math"/>
                    <w:sz w:val="20"/>
                    <w:szCs w:val="20"/>
                    <w:lang w:eastAsia="zh-CN"/>
                  </w:rPr>
                  <m:t>s</m:t>
                </m:r>
                <m:ctrlPr>
                  <w:rPr>
                    <w:rFonts w:ascii="Cambria Math" w:hAnsi="Cambria Math"/>
                    <w:b/>
                    <w:i/>
                    <w:sz w:val="20"/>
                    <w:szCs w:val="20"/>
                    <w:lang w:eastAsia="zh-CN"/>
                  </w:rPr>
                </m:ctrlPr>
              </m:sub>
            </m:sSub>
            <m:ctrlPr>
              <w:rPr>
                <w:rFonts w:ascii="Cambria Math" w:hAnsi="Cambria Math"/>
                <w:b/>
                <w:sz w:val="20"/>
                <w:szCs w:val="20"/>
                <w:lang w:eastAsia="zh-CN"/>
              </w:rPr>
            </m:ctrlPr>
          </m:e>
        </m:d>
        <m:r>
          <m:rPr>
            <m:sty m:val="bi"/>
          </m:rPr>
          <w:rPr>
            <w:rFonts w:ascii="Cambria Math" w:hAnsi="Cambria Math"/>
            <w:sz w:val="20"/>
            <w:szCs w:val="20"/>
            <w:lang w:eastAsia="zh-CN"/>
          </w:rPr>
          <m:t>=(2, 1)</m:t>
        </m:r>
      </m:oMath>
      <w:r>
        <w:rPr>
          <w:b/>
          <w:sz w:val="20"/>
          <w:szCs w:val="20"/>
          <w:lang w:eastAsia="zh-CN"/>
        </w:rPr>
        <w:t xml:space="preserve"> for 480 kHz SCS is not supported for multi-slot monitoring.</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MediaTek</w:t>
            </w:r>
          </w:p>
        </w:tc>
        <w:tc>
          <w:tcPr>
            <w:tcW w:w="12176" w:type="dxa"/>
            <w:vAlign w:val="center"/>
          </w:tcPr>
          <w:p>
            <w:pPr>
              <w:widowControl w:val="0"/>
              <w:rPr>
                <w:lang w:eastAsia="zh-CN"/>
              </w:rPr>
            </w:pPr>
            <w:r>
              <w:rPr>
                <w:lang w:eastAsia="zh-CN"/>
              </w:rPr>
              <w:t>We support FL’s suggestion on Proposal A1-2.2.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lang w:eastAsia="zh-CN"/>
              </w:rPr>
              <w:t>Samsung</w:t>
            </w:r>
          </w:p>
        </w:tc>
        <w:tc>
          <w:tcPr>
            <w:tcW w:w="12176" w:type="dxa"/>
            <w:vAlign w:val="center"/>
          </w:tcPr>
          <w:p>
            <w:pPr>
              <w:widowControl w:val="0"/>
              <w:rPr>
                <w:sz w:val="20"/>
                <w:lang w:eastAsia="zh-CN"/>
              </w:rPr>
            </w:pPr>
            <w:r>
              <w:rPr>
                <w:lang w:eastAsia="zh-CN"/>
              </w:rPr>
              <w:t xml:space="preserve">We prefer to support Proposal A1-2.1.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Ericsson</w:t>
            </w:r>
          </w:p>
        </w:tc>
        <w:tc>
          <w:tcPr>
            <w:tcW w:w="12176" w:type="dxa"/>
            <w:vAlign w:val="center"/>
          </w:tcPr>
          <w:p>
            <w:pPr>
              <w:widowControl w:val="0"/>
              <w:rPr>
                <w:sz w:val="20"/>
                <w:lang w:eastAsia="zh-CN"/>
              </w:rPr>
            </w:pPr>
            <w:r>
              <w:rPr>
                <w:sz w:val="20"/>
                <w:lang w:eastAsia="zh-CN"/>
              </w:rPr>
              <w:t>We support Proposal A1-2.2.</w:t>
            </w:r>
          </w:p>
          <w:p>
            <w:pPr>
              <w:widowControl w:val="0"/>
              <w:rPr>
                <w:sz w:val="20"/>
                <w:lang w:eastAsia="zh-CN"/>
              </w:rPr>
            </w:pPr>
            <w:r>
              <w:rPr>
                <w:sz w:val="20"/>
                <w:lang w:eastAsia="zh-CN"/>
              </w:rPr>
              <w:t>We think that (2,1) with BD/CCE budget of 10/16 is flawed in that the CCE budget is not enough for Type0-PDCCH monitoring which requires 4 + 8 + 16 = 28 non-overlapping CCEs according to Table 10.1-1.</w:t>
            </w:r>
          </w:p>
          <w:p>
            <w:pPr>
              <w:keepNext/>
              <w:keepLines/>
              <w:widowControl w:val="0"/>
              <w:autoSpaceDE/>
              <w:autoSpaceDN/>
              <w:adjustRightInd/>
              <w:snapToGrid/>
              <w:spacing w:before="60" w:after="180" w:line="240" w:lineRule="auto"/>
              <w:jc w:val="center"/>
              <w:rPr>
                <w:rFonts w:ascii="Arial" w:hAnsi="Arial" w:eastAsia="宋体"/>
                <w:b/>
                <w:sz w:val="20"/>
                <w:szCs w:val="20"/>
                <w:lang w:val="en-GB"/>
              </w:rPr>
            </w:pPr>
            <w:r>
              <w:rPr>
                <w:rFonts w:ascii="Arial" w:hAnsi="Arial" w:eastAsia="宋体"/>
                <w:b/>
                <w:sz w:val="20"/>
                <w:szCs w:val="20"/>
                <w:lang w:val="en-GB"/>
              </w:rPr>
              <w:t xml:space="preserve">Table 10.1-1: CCE aggregation levels and maximum number of PDCCH candidates per CCE aggregation level for CSS sets </w:t>
            </w:r>
            <w:r>
              <w:rPr>
                <w:rFonts w:ascii="Arial" w:hAnsi="Arial" w:eastAsia="Yu Mincho"/>
                <w:b/>
                <w:sz w:val="20"/>
                <w:szCs w:val="20"/>
                <w:lang w:val="en-GB"/>
              </w:rPr>
              <w:t xml:space="preserve">configured by </w:t>
            </w:r>
            <w:r>
              <w:rPr>
                <w:rFonts w:ascii="Arial" w:hAnsi="Arial" w:eastAsia="宋体"/>
                <w:b/>
                <w:i/>
                <w:iCs/>
                <w:sz w:val="20"/>
                <w:szCs w:val="20"/>
                <w:lang w:eastAsia="zh-CN"/>
              </w:rPr>
              <w:t>searchSpaceSIB1</w:t>
            </w:r>
          </w:p>
          <w:tbl>
            <w:tblPr>
              <w:tblStyle w:val="54"/>
              <w:tblW w:w="60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2995"/>
              <w:gridCol w:w="3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2995" w:type="dxa"/>
                  <w:shd w:val="clear" w:color="auto" w:fill="E0E0E0"/>
                  <w:vAlign w:val="center"/>
                </w:tcPr>
                <w:p>
                  <w:pPr>
                    <w:keepNext/>
                    <w:keepLines/>
                    <w:autoSpaceDE/>
                    <w:autoSpaceDN/>
                    <w:adjustRightInd/>
                    <w:snapToGrid/>
                    <w:spacing w:after="0" w:line="240" w:lineRule="auto"/>
                    <w:jc w:val="center"/>
                    <w:rPr>
                      <w:rFonts w:eastAsia="宋体"/>
                      <w:b/>
                      <w:sz w:val="20"/>
                      <w:szCs w:val="20"/>
                      <w:lang w:val="en-GB"/>
                    </w:rPr>
                  </w:pPr>
                  <w:r>
                    <w:rPr>
                      <w:rFonts w:ascii="Arial" w:hAnsi="Arial" w:eastAsia="宋体"/>
                      <w:b/>
                      <w:sz w:val="18"/>
                      <w:szCs w:val="20"/>
                      <w:lang w:val="en-GB"/>
                    </w:rPr>
                    <w:t>CCE Aggregation Level</w:t>
                  </w:r>
                </w:p>
              </w:tc>
              <w:tc>
                <w:tcPr>
                  <w:tcW w:w="3096" w:type="dxa"/>
                  <w:shd w:val="clear" w:color="auto" w:fill="E0E0E0"/>
                  <w:vAlign w:val="center"/>
                </w:tcPr>
                <w:p>
                  <w:pPr>
                    <w:keepNext/>
                    <w:keepLines/>
                    <w:autoSpaceDE/>
                    <w:autoSpaceDN/>
                    <w:adjustRightInd/>
                    <w:snapToGrid/>
                    <w:spacing w:after="0" w:line="240" w:lineRule="auto"/>
                    <w:jc w:val="center"/>
                    <w:rPr>
                      <w:rFonts w:eastAsia="宋体"/>
                      <w:b/>
                      <w:sz w:val="20"/>
                      <w:szCs w:val="20"/>
                      <w:lang w:val="en-GB"/>
                    </w:rPr>
                  </w:pPr>
                  <w:r>
                    <w:rPr>
                      <w:rFonts w:ascii="Arial" w:hAnsi="Arial" w:eastAsia="宋体"/>
                      <w:b/>
                      <w:sz w:val="18"/>
                      <w:szCs w:val="20"/>
                      <w:lang w:val="en-GB"/>
                    </w:rPr>
                    <w:t>Number of Candidates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2995" w:type="dxa"/>
                  <w:vAlign w:val="center"/>
                </w:tcPr>
                <w:p>
                  <w:pPr>
                    <w:keepNext/>
                    <w:keepLines/>
                    <w:autoSpaceDE/>
                    <w:autoSpaceDN/>
                    <w:adjustRightInd/>
                    <w:snapToGrid/>
                    <w:spacing w:after="0" w:line="240" w:lineRule="auto"/>
                    <w:jc w:val="center"/>
                    <w:rPr>
                      <w:rFonts w:ascii="Arial" w:hAnsi="Arial" w:eastAsia="宋体"/>
                      <w:sz w:val="18"/>
                      <w:szCs w:val="20"/>
                      <w:lang w:val="en-GB"/>
                    </w:rPr>
                  </w:pPr>
                  <w:r>
                    <w:rPr>
                      <w:rFonts w:ascii="Arial" w:hAnsi="Arial" w:eastAsia="宋体"/>
                      <w:sz w:val="18"/>
                      <w:szCs w:val="20"/>
                      <w:lang w:val="en-GB"/>
                    </w:rPr>
                    <w:t>4</w:t>
                  </w:r>
                </w:p>
              </w:tc>
              <w:tc>
                <w:tcPr>
                  <w:tcW w:w="3096" w:type="dxa"/>
                  <w:vAlign w:val="center"/>
                </w:tcPr>
                <w:p>
                  <w:pPr>
                    <w:keepNext/>
                    <w:keepLines/>
                    <w:autoSpaceDE/>
                    <w:autoSpaceDN/>
                    <w:adjustRightInd/>
                    <w:snapToGrid/>
                    <w:spacing w:after="0" w:line="240" w:lineRule="auto"/>
                    <w:jc w:val="center"/>
                    <w:rPr>
                      <w:rFonts w:ascii="Arial" w:hAnsi="Arial" w:eastAsia="宋体"/>
                      <w:sz w:val="18"/>
                      <w:szCs w:val="20"/>
                      <w:lang w:val="en-GB"/>
                    </w:rPr>
                  </w:pPr>
                  <w:r>
                    <w:rPr>
                      <w:rFonts w:ascii="Arial" w:hAnsi="Arial" w:eastAsia="宋体"/>
                      <w:sz w:val="18"/>
                      <w:szCs w:val="20"/>
                      <w:lang w:val="en-GB"/>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2995" w:type="dxa"/>
                  <w:vAlign w:val="center"/>
                </w:tcPr>
                <w:p>
                  <w:pPr>
                    <w:keepNext/>
                    <w:keepLines/>
                    <w:autoSpaceDE/>
                    <w:autoSpaceDN/>
                    <w:adjustRightInd/>
                    <w:snapToGrid/>
                    <w:spacing w:after="0" w:line="240" w:lineRule="auto"/>
                    <w:jc w:val="center"/>
                    <w:rPr>
                      <w:rFonts w:ascii="Arial" w:hAnsi="Arial" w:eastAsia="宋体"/>
                      <w:sz w:val="18"/>
                      <w:szCs w:val="20"/>
                      <w:lang w:val="en-GB"/>
                    </w:rPr>
                  </w:pPr>
                  <w:r>
                    <w:rPr>
                      <w:rFonts w:ascii="Arial" w:hAnsi="Arial" w:eastAsia="宋体"/>
                      <w:sz w:val="18"/>
                      <w:szCs w:val="20"/>
                      <w:lang w:val="en-GB"/>
                    </w:rPr>
                    <w:t>8</w:t>
                  </w:r>
                </w:p>
              </w:tc>
              <w:tc>
                <w:tcPr>
                  <w:tcW w:w="3096" w:type="dxa"/>
                  <w:vAlign w:val="center"/>
                </w:tcPr>
                <w:p>
                  <w:pPr>
                    <w:keepNext/>
                    <w:keepLines/>
                    <w:autoSpaceDE/>
                    <w:autoSpaceDN/>
                    <w:adjustRightInd/>
                    <w:snapToGrid/>
                    <w:spacing w:after="0" w:line="240" w:lineRule="auto"/>
                    <w:jc w:val="center"/>
                    <w:rPr>
                      <w:rFonts w:ascii="Arial" w:hAnsi="Arial" w:eastAsia="宋体"/>
                      <w:sz w:val="18"/>
                      <w:szCs w:val="20"/>
                      <w:lang w:val="en-GB"/>
                    </w:rPr>
                  </w:pPr>
                  <w:r>
                    <w:rPr>
                      <w:rFonts w:ascii="Arial" w:hAnsi="Arial" w:eastAsia="宋体"/>
                      <w:sz w:val="18"/>
                      <w:szCs w:val="20"/>
                      <w:lang w:val="en-GB"/>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2995" w:type="dxa"/>
                  <w:vAlign w:val="center"/>
                </w:tcPr>
                <w:p>
                  <w:pPr>
                    <w:keepNext/>
                    <w:keepLines/>
                    <w:autoSpaceDE/>
                    <w:autoSpaceDN/>
                    <w:adjustRightInd/>
                    <w:snapToGrid/>
                    <w:spacing w:after="0" w:line="240" w:lineRule="auto"/>
                    <w:jc w:val="center"/>
                    <w:rPr>
                      <w:rFonts w:ascii="Arial" w:hAnsi="Arial" w:eastAsia="宋体"/>
                      <w:sz w:val="18"/>
                      <w:szCs w:val="20"/>
                      <w:lang w:val="en-GB"/>
                    </w:rPr>
                  </w:pPr>
                  <w:r>
                    <w:rPr>
                      <w:rFonts w:ascii="Arial" w:hAnsi="Arial" w:eastAsia="宋体"/>
                      <w:sz w:val="18"/>
                      <w:szCs w:val="20"/>
                      <w:lang w:val="en-GB"/>
                    </w:rPr>
                    <w:t>16</w:t>
                  </w:r>
                </w:p>
              </w:tc>
              <w:tc>
                <w:tcPr>
                  <w:tcW w:w="3096" w:type="dxa"/>
                  <w:vAlign w:val="center"/>
                </w:tcPr>
                <w:p>
                  <w:pPr>
                    <w:keepNext/>
                    <w:keepLines/>
                    <w:autoSpaceDE/>
                    <w:autoSpaceDN/>
                    <w:adjustRightInd/>
                    <w:snapToGrid/>
                    <w:spacing w:after="0" w:line="240" w:lineRule="auto"/>
                    <w:jc w:val="center"/>
                    <w:rPr>
                      <w:rFonts w:ascii="Arial" w:hAnsi="Arial" w:eastAsia="宋体"/>
                      <w:sz w:val="18"/>
                      <w:szCs w:val="20"/>
                      <w:lang w:val="en-GB"/>
                    </w:rPr>
                  </w:pPr>
                  <w:r>
                    <w:rPr>
                      <w:rFonts w:ascii="Arial" w:hAnsi="Arial" w:eastAsia="宋体"/>
                      <w:sz w:val="18"/>
                      <w:szCs w:val="20"/>
                      <w:lang w:val="en-GB"/>
                    </w:rPr>
                    <w:t>1</w:t>
                  </w:r>
                </w:p>
              </w:tc>
            </w:tr>
          </w:tbl>
          <w:p>
            <w:pPr>
              <w:widowControl w:val="0"/>
              <w:rPr>
                <w:sz w:val="20"/>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lang w:eastAsia="zh-CN"/>
              </w:rPr>
              <w:t>Qualcomm</w:t>
            </w:r>
          </w:p>
        </w:tc>
        <w:tc>
          <w:tcPr>
            <w:tcW w:w="12176" w:type="dxa"/>
            <w:vAlign w:val="center"/>
          </w:tcPr>
          <w:p>
            <w:pPr>
              <w:widowControl w:val="0"/>
              <w:rPr>
                <w:sz w:val="20"/>
                <w:lang w:eastAsia="zh-CN"/>
              </w:rPr>
            </w:pPr>
            <w:r>
              <w:rPr>
                <w:lang w:eastAsia="zh-CN"/>
              </w:rPr>
              <w:t>We support Proposal A1-2.1.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InterDigital</w:t>
            </w:r>
          </w:p>
        </w:tc>
        <w:tc>
          <w:tcPr>
            <w:tcW w:w="12176" w:type="dxa"/>
            <w:vAlign w:val="center"/>
          </w:tcPr>
          <w:p>
            <w:pPr>
              <w:widowControl w:val="0"/>
              <w:rPr>
                <w:lang w:eastAsia="zh-CN"/>
              </w:rPr>
            </w:pPr>
            <w:r>
              <w:rPr>
                <w:lang w:eastAsia="zh-CN"/>
              </w:rPr>
              <w:t>We support Proposal A1-2.1.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LG Electronics</w:t>
            </w:r>
          </w:p>
        </w:tc>
        <w:tc>
          <w:tcPr>
            <w:tcW w:w="12176" w:type="dxa"/>
            <w:vAlign w:val="center"/>
          </w:tcPr>
          <w:p>
            <w:pPr>
              <w:widowControl w:val="0"/>
              <w:rPr>
                <w:lang w:eastAsia="zh-CN"/>
              </w:rPr>
            </w:pPr>
            <w:r>
              <w:rPr>
                <w:lang w:eastAsia="zh-CN"/>
              </w:rPr>
              <w:t>We support Proposal A1-2.1. Optional (2,1) can be supported for SCell without any flawness.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Sharp</w:t>
            </w:r>
          </w:p>
        </w:tc>
        <w:tc>
          <w:tcPr>
            <w:tcW w:w="12176" w:type="dxa"/>
            <w:vAlign w:val="center"/>
          </w:tcPr>
          <w:p>
            <w:pPr>
              <w:widowControl w:val="0"/>
              <w:rPr>
                <w:lang w:eastAsia="zh-CN"/>
              </w:rPr>
            </w:pPr>
            <w:r>
              <w:rPr>
                <w:rFonts w:hint="eastAsia" w:eastAsia="MS Mincho"/>
                <w:lang w:eastAsia="ja-JP"/>
              </w:rPr>
              <w:t>Support FL</w:t>
            </w:r>
            <w:r>
              <w:rPr>
                <w:rFonts w:eastAsia="MS Mincho"/>
                <w:lang w:eastAsia="ja-JP"/>
              </w:rPr>
              <w:t>’s suggestion.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Huawei/HiSilicon</w:t>
            </w:r>
          </w:p>
        </w:tc>
        <w:tc>
          <w:tcPr>
            <w:tcW w:w="12176" w:type="dxa"/>
            <w:vAlign w:val="center"/>
          </w:tcPr>
          <w:p>
            <w:pPr>
              <w:widowControl w:val="0"/>
              <w:rPr>
                <w:sz w:val="20"/>
                <w:lang w:eastAsia="zh-CN"/>
              </w:rPr>
            </w:pPr>
            <w:r>
              <w:rPr>
                <w:sz w:val="20"/>
                <w:lang w:eastAsia="zh-CN"/>
              </w:rPr>
              <w:t>We support A1-2.2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top"/>
          </w:tcPr>
          <w:p>
            <w:pPr>
              <w:widowControl w:val="0"/>
              <w:rPr>
                <w:sz w:val="20"/>
              </w:rPr>
            </w:pPr>
            <w:r>
              <w:rPr>
                <w:lang w:eastAsia="zh-CN"/>
              </w:rPr>
              <w:t xml:space="preserve"> Xiaomi</w:t>
            </w:r>
          </w:p>
        </w:tc>
        <w:tc>
          <w:tcPr>
            <w:tcW w:w="12176" w:type="dxa"/>
            <w:vAlign w:val="top"/>
          </w:tcPr>
          <w:p>
            <w:pPr>
              <w:widowControl w:val="0"/>
              <w:rPr>
                <w:sz w:val="20"/>
                <w:lang w:eastAsia="zh-CN"/>
              </w:rPr>
            </w:pPr>
            <w:r>
              <w:rPr>
                <w:lang w:eastAsia="zh-CN"/>
              </w:rPr>
              <w:t xml:space="preserve"> support FL’s suggestion on Proposal A1-2.2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top"/>
          </w:tcPr>
          <w:p>
            <w:pPr>
              <w:widowControl w:val="0"/>
              <w:rPr>
                <w:lang w:eastAsia="zh-CN"/>
              </w:rPr>
            </w:pPr>
            <w:r>
              <w:rPr>
                <w:rFonts w:hint="eastAsia"/>
                <w:lang w:eastAsia="zh-CN"/>
              </w:rPr>
              <w:t>v</w:t>
            </w:r>
            <w:r>
              <w:rPr>
                <w:lang w:eastAsia="zh-CN"/>
              </w:rPr>
              <w:t>ivo</w:t>
            </w:r>
          </w:p>
        </w:tc>
        <w:tc>
          <w:tcPr>
            <w:tcW w:w="12176" w:type="dxa"/>
            <w:vAlign w:val="top"/>
          </w:tcPr>
          <w:p>
            <w:pPr>
              <w:widowControl w:val="0"/>
              <w:rPr>
                <w:lang w:eastAsia="zh-CN"/>
              </w:rPr>
            </w:pPr>
            <w:r>
              <w:rPr>
                <w:lang w:eastAsia="zh-CN"/>
              </w:rPr>
              <w:t>We support Proposal A1-2.1.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Nokia, NSB</w:t>
            </w:r>
          </w:p>
        </w:tc>
        <w:tc>
          <w:tcPr>
            <w:tcW w:w="12176" w:type="dxa"/>
            <w:vAlign w:val="center"/>
          </w:tcPr>
          <w:p>
            <w:pPr>
              <w:widowControl w:val="0"/>
              <w:rPr>
                <w:sz w:val="20"/>
                <w:lang w:eastAsia="zh-CN"/>
              </w:rPr>
            </w:pPr>
            <w:r>
              <w:rPr>
                <w:sz w:val="20"/>
                <w:lang w:eastAsia="zh-CN"/>
              </w:rPr>
              <w:t>We support Proposal A1-2.2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We support Proposal A1-2.1. Given combination (4, 1) is already supported for SCS 960kHz, we would like to hear the comments on the complexity to further support combination (2, 1) for SCS 480kHz.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lang w:eastAsia="zh-CN"/>
              </w:rPr>
              <w:t xml:space="preserve">We </w:t>
            </w:r>
            <w:r>
              <w:rPr>
                <w:rFonts w:hint="eastAsia"/>
                <w:lang w:eastAsia="zh-CN"/>
              </w:rPr>
              <w:t xml:space="preserve">agree with </w:t>
            </w:r>
            <w:r>
              <w:rPr>
                <w:lang w:eastAsia="zh-CN"/>
              </w:rPr>
              <w:t>FL’s suggestion on Proposal A1-2.2.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NTT DOCOMO</w:t>
            </w:r>
          </w:p>
        </w:tc>
        <w:tc>
          <w:tcPr>
            <w:tcW w:w="12176" w:type="dxa"/>
            <w:vAlign w:val="center"/>
          </w:tcPr>
          <w:p>
            <w:pPr>
              <w:widowControl w:val="0"/>
              <w:rPr>
                <w:lang w:eastAsia="zh-CN"/>
              </w:rPr>
            </w:pPr>
            <w:r>
              <w:rPr>
                <w:rFonts w:eastAsia="MS Mincho"/>
                <w:lang w:eastAsia="ja-JP"/>
              </w:rPr>
              <w:t xml:space="preserve">We support FL suggestion to adopt Proposal A1-2.2. In our view,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ctrlPr>
                    <w:rPr>
                      <w:rFonts w:ascii="Cambria Math" w:hAnsi="Cambria Math"/>
                      <w:bCs/>
                      <w:sz w:val="20"/>
                      <w:szCs w:val="20"/>
                      <w:lang w:eastAsia="zh-CN"/>
                    </w:rPr>
                  </m:ctrlPr>
                </m:e>
              </m:d>
              <m:r>
                <w:rPr>
                  <w:rFonts w:ascii="Cambria Math" w:hAnsi="Cambria Math"/>
                  <w:sz w:val="20"/>
                  <w:szCs w:val="20"/>
                  <w:lang w:eastAsia="zh-CN"/>
                </w:rPr>
                <m:t>=(4, 2)</m:t>
              </m:r>
            </m:oMath>
            <w:r>
              <w:rPr>
                <w:rFonts w:hint="eastAsia" w:eastAsia="MS Mincho"/>
                <w:sz w:val="20"/>
                <w:szCs w:val="20"/>
                <w:lang w:eastAsia="ja-JP"/>
              </w:rPr>
              <w:t xml:space="preserve"> </w:t>
            </w:r>
            <w:r>
              <w:rPr>
                <w:rFonts w:eastAsia="MS Mincho"/>
                <w:sz w:val="20"/>
                <w:szCs w:val="20"/>
                <w:lang w:eastAsia="ja-JP"/>
              </w:rPr>
              <w:t xml:space="preserve">for 480 kHz SCS </w:t>
            </w:r>
            <w:r>
              <w:rPr>
                <w:rFonts w:eastAsia="MS Mincho"/>
                <w:lang w:eastAsia="ja-JP"/>
              </w:rPr>
              <w:t xml:space="preserve">has already agreed to support as optional and this value can provide a similar scheduling flexibility as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ctrlPr>
                    <w:rPr>
                      <w:rFonts w:ascii="Cambria Math" w:hAnsi="Cambria Math"/>
                      <w:bCs/>
                      <w:sz w:val="20"/>
                      <w:szCs w:val="20"/>
                      <w:lang w:eastAsia="zh-CN"/>
                    </w:rPr>
                  </m:ctrlPr>
                </m:e>
              </m:d>
              <m:r>
                <w:rPr>
                  <w:rFonts w:ascii="Cambria Math" w:hAnsi="Cambria Math"/>
                  <w:sz w:val="20"/>
                  <w:szCs w:val="20"/>
                  <w:lang w:eastAsia="zh-CN"/>
                </w:rPr>
                <m:t>=(2, 1)</m:t>
              </m:r>
            </m:oMath>
            <w:r>
              <w:rPr>
                <w:rFonts w:hint="eastAsia" w:eastAsia="MS Mincho"/>
                <w:sz w:val="20"/>
                <w:szCs w:val="20"/>
                <w:lang w:eastAsia="ja-JP"/>
              </w:rPr>
              <w:t xml:space="preserve"> </w:t>
            </w:r>
            <w:r>
              <w:rPr>
                <w:rFonts w:eastAsia="MS Mincho"/>
                <w:sz w:val="20"/>
                <w:szCs w:val="20"/>
                <w:lang w:eastAsia="ja-JP"/>
              </w:rPr>
              <w:t>for 480 kHz SCS</w:t>
            </w:r>
            <w:r>
              <w:rPr>
                <w:rFonts w:eastAsia="MS Mincho"/>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top"/>
          </w:tcPr>
          <w:p>
            <w:pPr>
              <w:widowControl w:val="0"/>
              <w:rPr>
                <w:lang w:eastAsia="zh-CN"/>
              </w:rPr>
            </w:pPr>
            <w:r>
              <w:rPr>
                <w:lang w:eastAsia="zh-CN"/>
              </w:rPr>
              <w:t>Panasonic</w:t>
            </w:r>
          </w:p>
        </w:tc>
        <w:tc>
          <w:tcPr>
            <w:tcW w:w="12176" w:type="dxa"/>
            <w:vAlign w:val="top"/>
          </w:tcPr>
          <w:p>
            <w:pPr>
              <w:widowControl w:val="0"/>
              <w:rPr>
                <w:rFonts w:eastAsia="MS Mincho"/>
                <w:lang w:eastAsia="ja-JP"/>
              </w:rPr>
            </w:pPr>
            <w:r>
              <w:rPr>
                <w:lang w:eastAsia="zh-CN"/>
              </w:rPr>
              <w:t>We support Proposal A1-2.2.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lang w:eastAsia="zh-CN"/>
              </w:rPr>
            </w:pPr>
            <w:r>
              <w:rPr>
                <w:lang w:eastAsia="zh-CN"/>
              </w:rPr>
              <w:t>We support Proposal Proposal A1-2.2. If Proposal A1-2.1 is selected, then the support for FG 3-5b within Ys is not needed and should be modified to FG 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lang w:eastAsia="zh-CN"/>
              </w:rPr>
              <w:t>We support Proposal A1-2.2.</w:t>
            </w:r>
          </w:p>
        </w:tc>
      </w:tr>
    </w:tbl>
    <w:tbl>
      <w:tblPr>
        <w:tblStyle w:val="266"/>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lang w:eastAsia="zh-CN"/>
              </w:rPr>
            </w:pPr>
            <w:r>
              <w:rPr>
                <w:lang w:eastAsia="zh-CN"/>
              </w:rPr>
              <w:t>Futurewei</w:t>
            </w:r>
          </w:p>
        </w:tc>
        <w:tc>
          <w:tcPr>
            <w:tcW w:w="12176" w:type="dxa"/>
            <w:vAlign w:val="center"/>
          </w:tcPr>
          <w:p>
            <w:pPr>
              <w:widowControl w:val="0"/>
              <w:spacing w:line="240" w:lineRule="auto"/>
              <w:rPr>
                <w:lang w:eastAsia="zh-CN"/>
              </w:rPr>
            </w:pPr>
            <w:r>
              <w:rPr>
                <w:lang w:eastAsia="zh-CN"/>
              </w:rPr>
              <w:t>Support Proposal A1-2.2.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lang w:eastAsia="zh-CN"/>
              </w:rPr>
            </w:pPr>
            <w:r>
              <w:rPr>
                <w:lang w:eastAsia="zh-CN"/>
              </w:rPr>
              <w:t>Lenovo</w:t>
            </w:r>
          </w:p>
        </w:tc>
        <w:tc>
          <w:tcPr>
            <w:tcW w:w="12176" w:type="dxa"/>
            <w:vAlign w:val="center"/>
          </w:tcPr>
          <w:p>
            <w:pPr>
              <w:widowControl w:val="0"/>
              <w:spacing w:line="240" w:lineRule="auto"/>
              <w:rPr>
                <w:lang w:eastAsia="zh-CN"/>
              </w:rPr>
            </w:pPr>
            <w:r>
              <w:rPr>
                <w:rFonts w:hint="eastAsia"/>
                <w:lang w:eastAsia="zh-CN"/>
              </w:rPr>
              <w:t>We support Proposal A1-2.2.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lang w:eastAsia="zh-CN"/>
              </w:rPr>
            </w:pPr>
            <w:r>
              <w:rPr>
                <w:lang w:eastAsia="zh-CN"/>
              </w:rPr>
              <w:t>CATT</w:t>
            </w:r>
          </w:p>
        </w:tc>
        <w:tc>
          <w:tcPr>
            <w:tcW w:w="12176" w:type="dxa"/>
            <w:vAlign w:val="center"/>
          </w:tcPr>
          <w:p>
            <w:pPr>
              <w:widowControl w:val="0"/>
              <w:spacing w:line="240" w:lineRule="auto"/>
              <w:rPr>
                <w:lang w:eastAsia="zh-CN"/>
              </w:rPr>
            </w:pPr>
            <w:r>
              <w:rPr>
                <w:lang w:eastAsia="zh-CN"/>
              </w:rPr>
              <w:t>Support Proposal A1-2.2.</w:t>
            </w:r>
          </w:p>
        </w:tc>
      </w:tr>
    </w:tbl>
    <w:p>
      <w:pPr>
        <w:pStyle w:val="5"/>
      </w:pPr>
      <w:r>
        <w:t>First round discussion summary</w:t>
      </w:r>
    </w:p>
    <w:p>
      <w:pPr>
        <w:rPr>
          <w:bCs/>
          <w:sz w:val="20"/>
          <w:szCs w:val="20"/>
          <w:highlight w:val="yellow"/>
          <w:lang w:eastAsia="zh-CN"/>
        </w:rPr>
      </w:pPr>
      <w:r>
        <w:rPr>
          <w:bCs/>
          <w:sz w:val="20"/>
          <w:szCs w:val="20"/>
        </w:rPr>
        <w:t xml:space="preserve">6 companies indicated support of Proposal A1-2.1, while 14 companies indicated support of Proposal A1-2.2. </w:t>
      </w:r>
      <w:r>
        <w:rPr>
          <w:bCs/>
          <w:sz w:val="20"/>
          <w:szCs w:val="20"/>
          <w:highlight w:val="yellow"/>
        </w:rPr>
        <w:t xml:space="preserve">Clearly, there is neither consensus nor a majority to support </w:t>
      </w:r>
      <m:oMath>
        <m:d>
          <m:dPr>
            <m:ctrlPr>
              <w:rPr>
                <w:rFonts w:ascii="Cambria Math" w:hAnsi="Cambria Math"/>
                <w:bCs/>
                <w:sz w:val="20"/>
                <w:szCs w:val="20"/>
                <w:highlight w:val="yellow"/>
                <w:lang w:eastAsia="zh-CN"/>
              </w:rPr>
            </m:ctrlPr>
          </m:dPr>
          <m:e>
            <m:sSub>
              <m:sSubPr>
                <m:ctrlPr>
                  <w:rPr>
                    <w:rFonts w:ascii="Cambria Math" w:hAnsi="Cambria Math"/>
                    <w:bCs/>
                    <w:i/>
                    <w:sz w:val="20"/>
                    <w:szCs w:val="20"/>
                    <w:highlight w:val="yellow"/>
                    <w:lang w:eastAsia="zh-CN"/>
                  </w:rPr>
                </m:ctrlPr>
              </m:sSubPr>
              <m:e>
                <m:r>
                  <w:rPr>
                    <w:rFonts w:ascii="Cambria Math" w:hAnsi="Cambria Math"/>
                    <w:sz w:val="20"/>
                    <w:szCs w:val="20"/>
                    <w:highlight w:val="yellow"/>
                    <w:lang w:eastAsia="zh-CN"/>
                  </w:rPr>
                  <m:t>X</m:t>
                </m:r>
                <m:ctrlPr>
                  <w:rPr>
                    <w:rFonts w:ascii="Cambria Math" w:hAnsi="Cambria Math"/>
                    <w:bCs/>
                    <w:i/>
                    <w:sz w:val="20"/>
                    <w:szCs w:val="20"/>
                    <w:highlight w:val="yellow"/>
                    <w:lang w:eastAsia="zh-CN"/>
                  </w:rPr>
                </m:ctrlPr>
              </m:e>
              <m:sub>
                <m:r>
                  <w:rPr>
                    <w:rFonts w:ascii="Cambria Math" w:hAnsi="Cambria Math"/>
                    <w:sz w:val="20"/>
                    <w:szCs w:val="20"/>
                    <w:highlight w:val="yellow"/>
                    <w:lang w:eastAsia="zh-CN"/>
                  </w:rPr>
                  <m:t>s</m:t>
                </m:r>
                <m:ctrlPr>
                  <w:rPr>
                    <w:rFonts w:ascii="Cambria Math" w:hAnsi="Cambria Math"/>
                    <w:bCs/>
                    <w:i/>
                    <w:sz w:val="20"/>
                    <w:szCs w:val="20"/>
                    <w:highlight w:val="yellow"/>
                    <w:lang w:eastAsia="zh-CN"/>
                  </w:rPr>
                </m:ctrlPr>
              </m:sub>
            </m:sSub>
            <m:r>
              <w:rPr>
                <w:rFonts w:ascii="Cambria Math" w:hAnsi="Cambria Math"/>
                <w:sz w:val="20"/>
                <w:szCs w:val="20"/>
                <w:highlight w:val="yellow"/>
                <w:lang w:eastAsia="zh-CN"/>
              </w:rPr>
              <m:t>,</m:t>
            </m:r>
            <m:sSub>
              <m:sSubPr>
                <m:ctrlPr>
                  <w:rPr>
                    <w:rFonts w:ascii="Cambria Math" w:hAnsi="Cambria Math"/>
                    <w:bCs/>
                    <w:i/>
                    <w:sz w:val="20"/>
                    <w:szCs w:val="20"/>
                    <w:highlight w:val="yellow"/>
                    <w:lang w:eastAsia="zh-CN"/>
                  </w:rPr>
                </m:ctrlPr>
              </m:sSubPr>
              <m:e>
                <m:r>
                  <w:rPr>
                    <w:rFonts w:ascii="Cambria Math" w:hAnsi="Cambria Math"/>
                    <w:sz w:val="20"/>
                    <w:szCs w:val="20"/>
                    <w:highlight w:val="yellow"/>
                    <w:lang w:eastAsia="zh-CN"/>
                  </w:rPr>
                  <m:t>Y</m:t>
                </m:r>
                <m:ctrlPr>
                  <w:rPr>
                    <w:rFonts w:ascii="Cambria Math" w:hAnsi="Cambria Math"/>
                    <w:bCs/>
                    <w:i/>
                    <w:sz w:val="20"/>
                    <w:szCs w:val="20"/>
                    <w:highlight w:val="yellow"/>
                    <w:lang w:eastAsia="zh-CN"/>
                  </w:rPr>
                </m:ctrlPr>
              </m:e>
              <m:sub>
                <m:r>
                  <w:rPr>
                    <w:rFonts w:ascii="Cambria Math" w:hAnsi="Cambria Math"/>
                    <w:sz w:val="20"/>
                    <w:szCs w:val="20"/>
                    <w:highlight w:val="yellow"/>
                    <w:lang w:eastAsia="zh-CN"/>
                  </w:rPr>
                  <m:t>s</m:t>
                </m:r>
                <m:ctrlPr>
                  <w:rPr>
                    <w:rFonts w:ascii="Cambria Math" w:hAnsi="Cambria Math"/>
                    <w:bCs/>
                    <w:i/>
                    <w:sz w:val="20"/>
                    <w:szCs w:val="20"/>
                    <w:highlight w:val="yellow"/>
                    <w:lang w:eastAsia="zh-CN"/>
                  </w:rPr>
                </m:ctrlPr>
              </m:sub>
            </m:sSub>
            <m:ctrlPr>
              <w:rPr>
                <w:rFonts w:ascii="Cambria Math" w:hAnsi="Cambria Math"/>
                <w:bCs/>
                <w:sz w:val="20"/>
                <w:szCs w:val="20"/>
                <w:highlight w:val="yellow"/>
                <w:lang w:eastAsia="zh-CN"/>
              </w:rPr>
            </m:ctrlPr>
          </m:e>
        </m:d>
        <m:r>
          <w:rPr>
            <w:rFonts w:ascii="Cambria Math" w:hAnsi="Cambria Math"/>
            <w:sz w:val="20"/>
            <w:szCs w:val="20"/>
            <w:highlight w:val="yellow"/>
            <w:lang w:eastAsia="zh-CN"/>
          </w:rPr>
          <m:t>=(2, 1)</m:t>
        </m:r>
      </m:oMath>
      <w:r>
        <w:rPr>
          <w:bCs/>
          <w:sz w:val="20"/>
          <w:szCs w:val="20"/>
          <w:highlight w:val="yellow"/>
          <w:lang w:eastAsia="zh-CN"/>
        </w:rPr>
        <w:t xml:space="preserve"> as optional value for 480 kHz SCS. Consequently, FL proposes the following:</w:t>
      </w:r>
    </w:p>
    <w:p>
      <w:pPr>
        <w:tabs>
          <w:tab w:val="left" w:pos="1300"/>
        </w:tabs>
        <w:spacing w:after="0"/>
        <w:jc w:val="both"/>
        <w:rPr>
          <w:b/>
          <w:sz w:val="20"/>
          <w:szCs w:val="20"/>
          <w:lang w:eastAsia="zh-CN"/>
        </w:rPr>
      </w:pPr>
      <w:r>
        <w:rPr>
          <w:b/>
          <w:sz w:val="20"/>
          <w:szCs w:val="20"/>
          <w:highlight w:val="yellow"/>
          <w:u w:val="single"/>
        </w:rPr>
        <w:t>Proposal A1-2.2</w:t>
      </w:r>
      <w:r>
        <w:rPr>
          <w:b/>
          <w:sz w:val="20"/>
          <w:szCs w:val="20"/>
          <w:highlight w:val="yellow"/>
        </w:rPr>
        <w:t xml:space="preserve">: Conclude that </w:t>
      </w:r>
      <m:oMath>
        <m:d>
          <m:dPr>
            <m:ctrlPr>
              <w:rPr>
                <w:rFonts w:ascii="Cambria Math" w:hAnsi="Cambria Math"/>
                <w:b/>
                <w:sz w:val="20"/>
                <w:szCs w:val="20"/>
                <w:highlight w:val="yellow"/>
                <w:lang w:eastAsia="zh-CN"/>
              </w:rPr>
            </m:ctrlPr>
          </m:dPr>
          <m:e>
            <m:sSub>
              <m:sSubPr>
                <m:ctrlPr>
                  <w:rPr>
                    <w:rFonts w:ascii="Cambria Math" w:hAnsi="Cambria Math"/>
                    <w:b/>
                    <w:i/>
                    <w:sz w:val="20"/>
                    <w:szCs w:val="20"/>
                    <w:highlight w:val="yellow"/>
                    <w:lang w:eastAsia="zh-CN"/>
                  </w:rPr>
                </m:ctrlPr>
              </m:sSubPr>
              <m:e>
                <m:r>
                  <m:rPr>
                    <m:sty m:val="bi"/>
                  </m:rPr>
                  <w:rPr>
                    <w:rFonts w:ascii="Cambria Math" w:hAnsi="Cambria Math"/>
                    <w:sz w:val="20"/>
                    <w:szCs w:val="20"/>
                    <w:highlight w:val="yellow"/>
                    <w:lang w:eastAsia="zh-CN"/>
                  </w:rPr>
                  <m:t>X</m:t>
                </m:r>
                <m:ctrlPr>
                  <w:rPr>
                    <w:rFonts w:ascii="Cambria Math" w:hAnsi="Cambria Math"/>
                    <w:b/>
                    <w:i/>
                    <w:sz w:val="20"/>
                    <w:szCs w:val="20"/>
                    <w:highlight w:val="yellow"/>
                    <w:lang w:eastAsia="zh-CN"/>
                  </w:rPr>
                </m:ctrlPr>
              </m:e>
              <m:sub>
                <m:r>
                  <m:rPr>
                    <m:sty m:val="bi"/>
                  </m:rPr>
                  <w:rPr>
                    <w:rFonts w:ascii="Cambria Math" w:hAnsi="Cambria Math"/>
                    <w:sz w:val="20"/>
                    <w:szCs w:val="20"/>
                    <w:highlight w:val="yellow"/>
                    <w:lang w:eastAsia="zh-CN"/>
                  </w:rPr>
                  <m:t>s</m:t>
                </m:r>
                <m:ctrlPr>
                  <w:rPr>
                    <w:rFonts w:ascii="Cambria Math" w:hAnsi="Cambria Math"/>
                    <w:b/>
                    <w:i/>
                    <w:sz w:val="20"/>
                    <w:szCs w:val="20"/>
                    <w:highlight w:val="yellow"/>
                    <w:lang w:eastAsia="zh-CN"/>
                  </w:rPr>
                </m:ctrlPr>
              </m:sub>
            </m:sSub>
            <m:r>
              <m:rPr>
                <m:sty m:val="bi"/>
              </m:rPr>
              <w:rPr>
                <w:rFonts w:ascii="Cambria Math" w:hAnsi="Cambria Math"/>
                <w:sz w:val="20"/>
                <w:szCs w:val="20"/>
                <w:highlight w:val="yellow"/>
                <w:lang w:eastAsia="zh-CN"/>
              </w:rPr>
              <m:t>,</m:t>
            </m:r>
            <m:sSub>
              <m:sSubPr>
                <m:ctrlPr>
                  <w:rPr>
                    <w:rFonts w:ascii="Cambria Math" w:hAnsi="Cambria Math"/>
                    <w:b/>
                    <w:i/>
                    <w:sz w:val="20"/>
                    <w:szCs w:val="20"/>
                    <w:highlight w:val="yellow"/>
                    <w:lang w:eastAsia="zh-CN"/>
                  </w:rPr>
                </m:ctrlPr>
              </m:sSubPr>
              <m:e>
                <m:r>
                  <m:rPr>
                    <m:sty m:val="bi"/>
                  </m:rPr>
                  <w:rPr>
                    <w:rFonts w:ascii="Cambria Math" w:hAnsi="Cambria Math"/>
                    <w:sz w:val="20"/>
                    <w:szCs w:val="20"/>
                    <w:highlight w:val="yellow"/>
                    <w:lang w:eastAsia="zh-CN"/>
                  </w:rPr>
                  <m:t>Y</m:t>
                </m:r>
                <m:ctrlPr>
                  <w:rPr>
                    <w:rFonts w:ascii="Cambria Math" w:hAnsi="Cambria Math"/>
                    <w:b/>
                    <w:i/>
                    <w:sz w:val="20"/>
                    <w:szCs w:val="20"/>
                    <w:highlight w:val="yellow"/>
                    <w:lang w:eastAsia="zh-CN"/>
                  </w:rPr>
                </m:ctrlPr>
              </m:e>
              <m:sub>
                <m:r>
                  <m:rPr>
                    <m:sty m:val="bi"/>
                  </m:rPr>
                  <w:rPr>
                    <w:rFonts w:ascii="Cambria Math" w:hAnsi="Cambria Math"/>
                    <w:sz w:val="20"/>
                    <w:szCs w:val="20"/>
                    <w:highlight w:val="yellow"/>
                    <w:lang w:eastAsia="zh-CN"/>
                  </w:rPr>
                  <m:t>s</m:t>
                </m:r>
                <m:ctrlPr>
                  <w:rPr>
                    <w:rFonts w:ascii="Cambria Math" w:hAnsi="Cambria Math"/>
                    <w:b/>
                    <w:i/>
                    <w:sz w:val="20"/>
                    <w:szCs w:val="20"/>
                    <w:highlight w:val="yellow"/>
                    <w:lang w:eastAsia="zh-CN"/>
                  </w:rPr>
                </m:ctrlPr>
              </m:sub>
            </m:sSub>
            <m:ctrlPr>
              <w:rPr>
                <w:rFonts w:ascii="Cambria Math" w:hAnsi="Cambria Math"/>
                <w:b/>
                <w:sz w:val="20"/>
                <w:szCs w:val="20"/>
                <w:highlight w:val="yellow"/>
                <w:lang w:eastAsia="zh-CN"/>
              </w:rPr>
            </m:ctrlPr>
          </m:e>
        </m:d>
        <m:r>
          <m:rPr>
            <m:sty m:val="bi"/>
          </m:rPr>
          <w:rPr>
            <w:rFonts w:ascii="Cambria Math" w:hAnsi="Cambria Math"/>
            <w:sz w:val="20"/>
            <w:szCs w:val="20"/>
            <w:highlight w:val="yellow"/>
            <w:lang w:eastAsia="zh-CN"/>
          </w:rPr>
          <m:t>=(2, 1)</m:t>
        </m:r>
      </m:oMath>
      <w:r>
        <w:rPr>
          <w:b/>
          <w:sz w:val="20"/>
          <w:szCs w:val="20"/>
          <w:highlight w:val="yellow"/>
          <w:lang w:eastAsia="zh-CN"/>
        </w:rPr>
        <w:t xml:space="preserve"> for 480 kHz SCS is not supported for multi-slot monitoring.</w:t>
      </w:r>
    </w:p>
    <w:p>
      <w:pPr>
        <w:rPr>
          <w:bCs/>
          <w:highlight w:val="yellow"/>
          <w:lang w:eastAsia="zh-CN"/>
        </w:rPr>
      </w:pPr>
    </w:p>
    <w:p>
      <w:pPr>
        <w:pStyle w:val="4"/>
      </w:pPr>
      <w:r>
        <w:t xml:space="preserve">Issue A1-3: </w:t>
      </w:r>
      <w:r>
        <w:rPr>
          <w:highlight w:val="cyan"/>
          <w:lang w:val="en-US" w:eastAsia="ko-KR"/>
        </w:rPr>
        <w:t>[High Priority]</w:t>
      </w:r>
      <w:r>
        <w:rPr>
          <w:lang w:val="en-US" w:eastAsia="ko-KR"/>
        </w:rPr>
        <w:t xml:space="preserve"> </w:t>
      </w:r>
      <w:r>
        <w:t>Determination of X in case of multiple supported X values for multi-slot monitoring</w:t>
      </w:r>
    </w:p>
    <w:p>
      <w:pPr>
        <w:pStyle w:val="5"/>
      </w:pPr>
      <w:r>
        <w:t>First round discussion</w:t>
      </w:r>
    </w:p>
    <w:p>
      <w:pPr>
        <w:tabs>
          <w:tab w:val="left" w:pos="1300"/>
        </w:tabs>
        <w:spacing w:after="0"/>
        <w:jc w:val="both"/>
        <w:rPr>
          <w:b/>
          <w:sz w:val="20"/>
          <w:szCs w:val="20"/>
        </w:rPr>
      </w:pPr>
      <w:r>
        <w:rPr>
          <w:b/>
          <w:sz w:val="20"/>
          <w:szCs w:val="20"/>
          <w:u w:val="single"/>
        </w:rPr>
        <w:t>Proposal A1-3.1</w:t>
      </w:r>
      <w:r>
        <w:rPr>
          <w:b/>
          <w:sz w:val="20"/>
          <w:szCs w:val="20"/>
        </w:rPr>
        <w:t>:</w:t>
      </w:r>
    </w:p>
    <w:p>
      <w:pPr>
        <w:tabs>
          <w:tab w:val="left" w:pos="1300"/>
        </w:tabs>
        <w:spacing w:after="0"/>
        <w:rPr>
          <w:rFonts w:eastAsia="Yu Mincho"/>
          <w:b/>
          <w:iCs/>
          <w:sz w:val="20"/>
          <w:szCs w:val="20"/>
        </w:rPr>
      </w:pPr>
      <w:r>
        <w:rPr>
          <w:b/>
          <w:iCs/>
          <w:sz w:val="20"/>
          <w:szCs w:val="20"/>
        </w:rPr>
        <w:t xml:space="preserve">If the configured search space sets comply with the requirements of more than one of the reported PDCCH monitoring </w:t>
      </w:r>
      <m:oMath>
        <m:sSub>
          <m:sSubPr>
            <m:ctrlPr>
              <w:rPr>
                <w:rFonts w:ascii="Cambria Math" w:hAnsi="Cambria Math"/>
                <w:b/>
                <w:iCs/>
                <w:sz w:val="20"/>
                <w:szCs w:val="20"/>
              </w:rPr>
            </m:ctrlPr>
          </m:sSubPr>
          <m:e>
            <m:r>
              <m:rPr>
                <m:sty m:val="b"/>
              </m:rPr>
              <w:rPr>
                <w:rFonts w:ascii="Cambria Math" w:hAnsi="Cambria Math"/>
                <w:sz w:val="20"/>
                <w:szCs w:val="20"/>
              </w:rPr>
              <m:t>(X</m:t>
            </m:r>
            <m:ctrlPr>
              <w:rPr>
                <w:rFonts w:ascii="Cambria Math" w:hAnsi="Cambria Math"/>
                <w:b/>
                <w:iCs/>
                <w:sz w:val="20"/>
                <w:szCs w:val="20"/>
              </w:rPr>
            </m:ctrlPr>
          </m:e>
          <m:sub>
            <m:r>
              <m:rPr>
                <m:sty m:val="b"/>
              </m:rPr>
              <w:rPr>
                <w:rFonts w:ascii="Cambria Math" w:hAnsi="Cambria Math"/>
                <w:sz w:val="20"/>
                <w:szCs w:val="20"/>
              </w:rPr>
              <m:t>s</m:t>
            </m:r>
            <m:ctrlPr>
              <w:rPr>
                <w:rFonts w:ascii="Cambria Math" w:hAnsi="Cambria Math"/>
                <w:b/>
                <w:iCs/>
                <w:sz w:val="20"/>
                <w:szCs w:val="20"/>
              </w:rPr>
            </m:ctrlP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ctrlPr>
              <w:rPr>
                <w:rFonts w:ascii="Cambria Math" w:hAnsi="Cambria Math"/>
                <w:b/>
                <w:iCs/>
                <w:sz w:val="20"/>
                <w:szCs w:val="20"/>
              </w:rPr>
            </m:ctrlPr>
          </m:e>
          <m:sub>
            <m:r>
              <m:rPr>
                <m:sty m:val="b"/>
              </m:rPr>
              <w:rPr>
                <w:rFonts w:ascii="Cambria Math" w:hAnsi="Cambria Math"/>
                <w:sz w:val="20"/>
                <w:szCs w:val="20"/>
              </w:rPr>
              <m:t>s</m:t>
            </m:r>
            <m:ctrlPr>
              <w:rPr>
                <w:rFonts w:ascii="Cambria Math" w:hAnsi="Cambria Math"/>
                <w:b/>
                <w:iCs/>
                <w:sz w:val="20"/>
                <w:szCs w:val="20"/>
              </w:rPr>
            </m:ctrlPr>
          </m:sub>
        </m:sSub>
        <m:r>
          <m:rPr>
            <m:sty m:val="b"/>
          </m:rPr>
          <w:rPr>
            <w:rFonts w:ascii="Cambria Math" w:hAnsi="Cambria Math"/>
            <w:sz w:val="20"/>
            <w:szCs w:val="20"/>
          </w:rPr>
          <m:t>)</m:t>
        </m:r>
      </m:oMath>
      <w:r>
        <w:rPr>
          <w:rFonts w:eastAsia="Yu Mincho"/>
          <w:b/>
          <w:iCs/>
          <w:sz w:val="20"/>
          <w:szCs w:val="20"/>
        </w:rPr>
        <w:t xml:space="preserve"> capability </w:t>
      </w:r>
      <w:r>
        <w:rPr>
          <w:b/>
          <w:iCs/>
          <w:sz w:val="20"/>
          <w:szCs w:val="20"/>
        </w:rPr>
        <w:t xml:space="preserve">combinations, choose a </w:t>
      </w:r>
      <m:oMath>
        <m:sSub>
          <m:sSubPr>
            <m:ctrlPr>
              <w:rPr>
                <w:rFonts w:ascii="Cambria Math" w:hAnsi="Cambria Math"/>
                <w:b/>
                <w:iCs/>
                <w:sz w:val="20"/>
                <w:szCs w:val="20"/>
              </w:rPr>
            </m:ctrlPr>
          </m:sSubPr>
          <m:e>
            <m:r>
              <m:rPr>
                <m:sty m:val="b"/>
              </m:rPr>
              <w:rPr>
                <w:rFonts w:ascii="Cambria Math" w:hAnsi="Cambria Math"/>
                <w:sz w:val="20"/>
                <w:szCs w:val="20"/>
              </w:rPr>
              <m:t>(X</m:t>
            </m:r>
            <m:ctrlPr>
              <w:rPr>
                <w:rFonts w:ascii="Cambria Math" w:hAnsi="Cambria Math"/>
                <w:b/>
                <w:iCs/>
                <w:sz w:val="20"/>
                <w:szCs w:val="20"/>
              </w:rPr>
            </m:ctrlPr>
          </m:e>
          <m:sub>
            <m:r>
              <m:rPr>
                <m:sty m:val="b"/>
              </m:rPr>
              <w:rPr>
                <w:rFonts w:ascii="Cambria Math" w:hAnsi="Cambria Math"/>
                <w:sz w:val="20"/>
                <w:szCs w:val="20"/>
              </w:rPr>
              <m:t>s</m:t>
            </m:r>
            <m:ctrlPr>
              <w:rPr>
                <w:rFonts w:ascii="Cambria Math" w:hAnsi="Cambria Math"/>
                <w:b/>
                <w:iCs/>
                <w:sz w:val="20"/>
                <w:szCs w:val="20"/>
              </w:rPr>
            </m:ctrlP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ctrlPr>
              <w:rPr>
                <w:rFonts w:ascii="Cambria Math" w:hAnsi="Cambria Math"/>
                <w:b/>
                <w:iCs/>
                <w:sz w:val="20"/>
                <w:szCs w:val="20"/>
              </w:rPr>
            </m:ctrlPr>
          </m:e>
          <m:sub>
            <m:r>
              <m:rPr>
                <m:sty m:val="b"/>
              </m:rPr>
              <w:rPr>
                <w:rFonts w:ascii="Cambria Math" w:hAnsi="Cambria Math"/>
                <w:sz w:val="20"/>
                <w:szCs w:val="20"/>
              </w:rPr>
              <m:t>s</m:t>
            </m:r>
            <m:ctrlPr>
              <w:rPr>
                <w:rFonts w:ascii="Cambria Math" w:hAnsi="Cambria Math"/>
                <w:b/>
                <w:iCs/>
                <w:sz w:val="20"/>
                <w:szCs w:val="20"/>
              </w:rPr>
            </m:ctrlPr>
          </m:sub>
        </m:sSub>
        <m:r>
          <m:rPr>
            <m:sty m:val="b"/>
          </m:rPr>
          <w:rPr>
            <w:rFonts w:ascii="Cambria Math" w:hAnsi="Cambria Math"/>
            <w:sz w:val="20"/>
            <w:szCs w:val="20"/>
          </w:rPr>
          <m:t>)</m:t>
        </m:r>
      </m:oMath>
      <w:r>
        <w:rPr>
          <w:rFonts w:eastAsia="Yu Mincho"/>
          <w:b/>
          <w:iCs/>
          <w:sz w:val="20"/>
          <w:szCs w:val="20"/>
        </w:rPr>
        <w:t xml:space="preserve"> combination from the complying reported set of combinations that results in</w:t>
      </w:r>
      <w:r>
        <w:rPr>
          <w:b/>
          <w:iCs/>
          <w:sz w:val="20"/>
          <w:szCs w:val="20"/>
        </w:rPr>
        <w:t xml:space="preserve"> the largest number of </w:t>
      </w:r>
      <m:oMath>
        <m:sSubSup>
          <m:sSubSupPr>
            <m:ctrlPr>
              <w:rPr>
                <w:rFonts w:ascii="Cambria Math" w:hAnsi="Cambria Math"/>
                <w:b/>
                <w:i/>
                <w:lang w:eastAsia="zh-CN"/>
              </w:rPr>
            </m:ctrlPr>
          </m:sSubSupPr>
          <m:e>
            <m:r>
              <m:rPr>
                <m:sty m:val="bi"/>
              </m:rPr>
              <w:rPr>
                <w:rFonts w:ascii="Cambria Math" w:hAnsi="Cambria Math"/>
                <w:lang w:eastAsia="zh-CN"/>
              </w:rPr>
              <m:t>M</m:t>
            </m:r>
            <m:ctrlPr>
              <w:rPr>
                <w:rFonts w:ascii="Cambria Math" w:hAnsi="Cambria Math"/>
                <w:b/>
                <w:i/>
                <w:lang w:eastAsia="zh-CN"/>
              </w:rPr>
            </m:ctrlPr>
          </m:e>
          <m:sub>
            <m:r>
              <m:rPr>
                <m:sty m:val="b"/>
              </m:rPr>
              <w:rPr>
                <w:rFonts w:ascii="Cambria Math" w:hAnsi="Cambria Math"/>
                <w:lang w:eastAsia="zh-CN"/>
              </w:rPr>
              <m:t>PDCCH</m:t>
            </m:r>
            <m:ctrlPr>
              <w:rPr>
                <w:rFonts w:ascii="Cambria Math" w:hAnsi="Cambria Math"/>
                <w:b/>
                <w:i/>
                <w:lang w:eastAsia="zh-CN"/>
              </w:rPr>
            </m:ctrlPr>
          </m:sub>
          <m:sup>
            <m:r>
              <m:rPr>
                <m:sty m:val="bi"/>
              </m:rPr>
              <w:rPr>
                <w:rFonts w:ascii="Cambria Math" w:hAnsi="Cambria Math"/>
                <w:lang w:eastAsia="zh-CN"/>
              </w:rPr>
              <m:t>max,</m:t>
            </m:r>
            <m:d>
              <m:dPr>
                <m:ctrlPr>
                  <w:rPr>
                    <w:rFonts w:ascii="Cambria Math" w:hAnsi="Cambria Math"/>
                    <w:b/>
                    <w:i/>
                    <w:lang w:eastAsia="zh-CN"/>
                  </w:rPr>
                </m:ctrlPr>
              </m:dPr>
              <m:e>
                <m:sSub>
                  <m:sSubPr>
                    <m:ctrlPr>
                      <w:rPr>
                        <w:rFonts w:ascii="Cambria Math" w:hAnsi="Cambria Math"/>
                        <w:b/>
                        <w:i/>
                        <w:lang w:eastAsia="zh-CN"/>
                      </w:rPr>
                    </m:ctrlPr>
                  </m:sSubPr>
                  <m:e>
                    <m:r>
                      <m:rPr>
                        <m:sty m:val="bi"/>
                      </m:rPr>
                      <w:rPr>
                        <w:rFonts w:ascii="Cambria Math" w:hAnsi="Cambria Math"/>
                        <w:lang w:eastAsia="zh-CN"/>
                      </w:rPr>
                      <m:t>X</m:t>
                    </m:r>
                    <m:ctrlPr>
                      <w:rPr>
                        <w:rFonts w:ascii="Cambria Math" w:hAnsi="Cambria Math"/>
                        <w:b/>
                        <w:i/>
                        <w:lang w:eastAsia="zh-CN"/>
                      </w:rPr>
                    </m:ctrlPr>
                  </m:e>
                  <m:sub>
                    <m:r>
                      <m:rPr>
                        <m:sty m:val="bi"/>
                      </m:rPr>
                      <w:rPr>
                        <w:rFonts w:ascii="Cambria Math" w:hAnsi="Cambria Math"/>
                        <w:lang w:eastAsia="zh-CN"/>
                      </w:rPr>
                      <m:t>s</m:t>
                    </m:r>
                    <m:ctrlPr>
                      <w:rPr>
                        <w:rFonts w:ascii="Cambria Math" w:hAnsi="Cambria Math"/>
                        <w:b/>
                        <w:i/>
                        <w:lang w:eastAsia="zh-CN"/>
                      </w:rPr>
                    </m:ctrlPr>
                  </m:sub>
                </m:sSub>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Y</m:t>
                    </m:r>
                    <m:ctrlPr>
                      <w:rPr>
                        <w:rFonts w:ascii="Cambria Math" w:hAnsi="Cambria Math"/>
                        <w:b/>
                        <w:i/>
                        <w:lang w:eastAsia="zh-CN"/>
                      </w:rPr>
                    </m:ctrlPr>
                  </m:e>
                  <m:sub>
                    <m:r>
                      <m:rPr>
                        <m:sty m:val="bi"/>
                      </m:rPr>
                      <w:rPr>
                        <w:rFonts w:ascii="Cambria Math" w:hAnsi="Cambria Math"/>
                        <w:lang w:eastAsia="zh-CN"/>
                      </w:rPr>
                      <m:t>s</m:t>
                    </m:r>
                    <m:ctrlPr>
                      <w:rPr>
                        <w:rFonts w:ascii="Cambria Math" w:hAnsi="Cambria Math"/>
                        <w:b/>
                        <w:i/>
                        <w:lang w:eastAsia="zh-CN"/>
                      </w:rPr>
                    </m:ctrlPr>
                  </m:sub>
                </m:sSub>
                <m:ctrlPr>
                  <w:rPr>
                    <w:rFonts w:ascii="Cambria Math" w:hAnsi="Cambria Math"/>
                    <w:b/>
                    <w:i/>
                    <w:lang w:eastAsia="zh-CN"/>
                  </w:rPr>
                </m:ctrlPr>
              </m:e>
            </m:d>
            <m:r>
              <m:rPr>
                <m:sty m:val="bi"/>
              </m:rPr>
              <w:rPr>
                <w:rFonts w:ascii="Cambria Math" w:hAnsi="Cambria Math"/>
                <w:lang w:eastAsia="zh-CN"/>
              </w:rPr>
              <m:t>,μ</m:t>
            </m:r>
            <m:ctrlPr>
              <w:rPr>
                <w:rFonts w:ascii="Cambria Math" w:hAnsi="Cambria Math"/>
                <w:b/>
                <w:i/>
                <w:lang w:eastAsia="zh-CN"/>
              </w:rPr>
            </m:ctrlPr>
          </m:sup>
        </m:sSubSup>
      </m:oMath>
      <w:r>
        <w:rPr>
          <w:b/>
          <w:iCs/>
          <w:sz w:val="20"/>
          <w:szCs w:val="20"/>
        </w:rPr>
        <w:t xml:space="preserve"> and </w:t>
      </w:r>
      <m:oMath>
        <m:sSubSup>
          <m:sSubSupPr>
            <m:ctrlPr>
              <w:rPr>
                <w:rFonts w:ascii="Cambria Math" w:hAnsi="Cambria Math"/>
                <w:b/>
                <w:i/>
                <w:lang w:eastAsia="zh-CN"/>
              </w:rPr>
            </m:ctrlPr>
          </m:sSubSupPr>
          <m:e>
            <m:r>
              <m:rPr>
                <m:sty m:val="bi"/>
              </m:rPr>
              <w:rPr>
                <w:rFonts w:ascii="Cambria Math" w:hAnsi="Cambria Math"/>
                <w:lang w:eastAsia="zh-CN"/>
              </w:rPr>
              <m:t>C</m:t>
            </m:r>
            <m:ctrlPr>
              <w:rPr>
                <w:rFonts w:ascii="Cambria Math" w:hAnsi="Cambria Math"/>
                <w:b/>
                <w:i/>
                <w:lang w:eastAsia="zh-CN"/>
              </w:rPr>
            </m:ctrlPr>
          </m:e>
          <m:sub>
            <m:r>
              <m:rPr>
                <m:sty m:val="b"/>
              </m:rPr>
              <w:rPr>
                <w:rFonts w:ascii="Cambria Math" w:hAnsi="Cambria Math"/>
                <w:lang w:eastAsia="zh-CN"/>
              </w:rPr>
              <m:t>PDCCH</m:t>
            </m:r>
            <m:ctrlPr>
              <w:rPr>
                <w:rFonts w:ascii="Cambria Math" w:hAnsi="Cambria Math"/>
                <w:b/>
                <w:i/>
                <w:lang w:eastAsia="zh-CN"/>
              </w:rPr>
            </m:ctrlPr>
          </m:sub>
          <m:sup>
            <m:r>
              <m:rPr>
                <m:sty m:val="bi"/>
              </m:rPr>
              <w:rPr>
                <w:rFonts w:ascii="Cambria Math" w:hAnsi="Cambria Math"/>
                <w:lang w:eastAsia="zh-CN"/>
              </w:rPr>
              <m:t>max,</m:t>
            </m:r>
            <m:d>
              <m:dPr>
                <m:ctrlPr>
                  <w:rPr>
                    <w:rFonts w:ascii="Cambria Math" w:hAnsi="Cambria Math"/>
                    <w:b/>
                    <w:i/>
                    <w:lang w:eastAsia="zh-CN"/>
                  </w:rPr>
                </m:ctrlPr>
              </m:dPr>
              <m:e>
                <m:sSub>
                  <m:sSubPr>
                    <m:ctrlPr>
                      <w:rPr>
                        <w:rFonts w:ascii="Cambria Math" w:hAnsi="Cambria Math"/>
                        <w:b/>
                        <w:i/>
                        <w:lang w:eastAsia="zh-CN"/>
                      </w:rPr>
                    </m:ctrlPr>
                  </m:sSubPr>
                  <m:e>
                    <m:r>
                      <m:rPr>
                        <m:sty m:val="bi"/>
                      </m:rPr>
                      <w:rPr>
                        <w:rFonts w:ascii="Cambria Math" w:hAnsi="Cambria Math"/>
                        <w:lang w:eastAsia="zh-CN"/>
                      </w:rPr>
                      <m:t>X</m:t>
                    </m:r>
                    <m:ctrlPr>
                      <w:rPr>
                        <w:rFonts w:ascii="Cambria Math" w:hAnsi="Cambria Math"/>
                        <w:b/>
                        <w:i/>
                        <w:lang w:eastAsia="zh-CN"/>
                      </w:rPr>
                    </m:ctrlPr>
                  </m:e>
                  <m:sub>
                    <m:r>
                      <m:rPr>
                        <m:sty m:val="bi"/>
                      </m:rPr>
                      <w:rPr>
                        <w:rFonts w:ascii="Cambria Math" w:hAnsi="Cambria Math"/>
                        <w:lang w:eastAsia="zh-CN"/>
                      </w:rPr>
                      <m:t>s</m:t>
                    </m:r>
                    <m:ctrlPr>
                      <w:rPr>
                        <w:rFonts w:ascii="Cambria Math" w:hAnsi="Cambria Math"/>
                        <w:b/>
                        <w:i/>
                        <w:lang w:eastAsia="zh-CN"/>
                      </w:rPr>
                    </m:ctrlPr>
                  </m:sub>
                </m:sSub>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Y</m:t>
                    </m:r>
                    <m:ctrlPr>
                      <w:rPr>
                        <w:rFonts w:ascii="Cambria Math" w:hAnsi="Cambria Math"/>
                        <w:b/>
                        <w:i/>
                        <w:lang w:eastAsia="zh-CN"/>
                      </w:rPr>
                    </m:ctrlPr>
                  </m:e>
                  <m:sub>
                    <m:r>
                      <m:rPr>
                        <m:sty m:val="bi"/>
                      </m:rPr>
                      <w:rPr>
                        <w:rFonts w:ascii="Cambria Math" w:hAnsi="Cambria Math"/>
                        <w:lang w:eastAsia="zh-CN"/>
                      </w:rPr>
                      <m:t>s</m:t>
                    </m:r>
                    <m:ctrlPr>
                      <w:rPr>
                        <w:rFonts w:ascii="Cambria Math" w:hAnsi="Cambria Math"/>
                        <w:b/>
                        <w:i/>
                        <w:lang w:eastAsia="zh-CN"/>
                      </w:rPr>
                    </m:ctrlPr>
                  </m:sub>
                </m:sSub>
                <m:ctrlPr>
                  <w:rPr>
                    <w:rFonts w:ascii="Cambria Math" w:hAnsi="Cambria Math"/>
                    <w:b/>
                    <w:i/>
                    <w:lang w:eastAsia="zh-CN"/>
                  </w:rPr>
                </m:ctrlPr>
              </m:e>
            </m:d>
            <m:r>
              <m:rPr>
                <m:sty m:val="bi"/>
              </m:rPr>
              <w:rPr>
                <w:rFonts w:ascii="Cambria Math" w:hAnsi="Cambria Math"/>
                <w:lang w:eastAsia="zh-CN"/>
              </w:rPr>
              <m:t>,μ</m:t>
            </m:r>
            <m:ctrlPr>
              <w:rPr>
                <w:rFonts w:ascii="Cambria Math" w:hAnsi="Cambria Math"/>
                <w:b/>
                <w:i/>
                <w:lang w:eastAsia="zh-CN"/>
              </w:rPr>
            </m:ctrlPr>
          </m:sup>
        </m:sSubSup>
      </m:oMath>
      <w:r>
        <w:rPr>
          <w:b/>
          <w:lang w:eastAsia="zh-CN"/>
        </w:rPr>
        <w:t xml:space="preserve"> </w:t>
      </w:r>
      <w:r>
        <w:rPr>
          <w:b/>
          <w:iCs/>
          <w:sz w:val="20"/>
          <w:szCs w:val="20"/>
        </w:rPr>
        <w:t>for PDCCH monitoring</w:t>
      </w:r>
      <w:r>
        <w:rPr>
          <w:rFonts w:eastAsia="Yu Mincho"/>
          <w:b/>
          <w:iCs/>
          <w:sz w:val="20"/>
          <w:szCs w:val="20"/>
        </w:rPr>
        <w:t>.</w:t>
      </w:r>
    </w:p>
    <w:p>
      <w:pPr>
        <w:tabs>
          <w:tab w:val="left" w:pos="1300"/>
        </w:tabs>
        <w:spacing w:after="0"/>
        <w:rPr>
          <w:rFonts w:eastAsia="Yu Mincho"/>
          <w:b/>
          <w:iCs/>
          <w:sz w:val="20"/>
          <w:szCs w:val="20"/>
          <w:lang w:val="en-GB"/>
        </w:rPr>
      </w:pPr>
      <w:r>
        <w:rPr>
          <w:rFonts w:eastAsia="Yu Mincho"/>
          <w:b/>
          <w:iCs/>
          <w:sz w:val="20"/>
          <w:szCs w:val="20"/>
          <w:lang w:val="en-GB"/>
        </w:rPr>
        <w:t>FL Note: Many companies see it as unnecessary to additionally choose according to the smallest Ys value, however this could be added if a majority of companies identifies a benefit.</w:t>
      </w:r>
    </w:p>
    <w:p>
      <w:pPr>
        <w:tabs>
          <w:tab w:val="left" w:pos="1300"/>
        </w:tabs>
        <w:spacing w:after="0"/>
        <w:jc w:val="both"/>
        <w:rPr>
          <w:b/>
          <w:iCs/>
          <w:sz w:val="20"/>
          <w:szCs w:val="20"/>
          <w:lang w:val="en-GB" w:eastAsia="zh-CN"/>
        </w:rPr>
      </w:pPr>
    </w:p>
    <w:p>
      <w:pPr>
        <w:tabs>
          <w:tab w:val="left" w:pos="1300"/>
        </w:tabs>
        <w:spacing w:after="0"/>
        <w:jc w:val="both"/>
        <w:rPr>
          <w:b/>
          <w:sz w:val="20"/>
          <w:szCs w:val="20"/>
          <w:u w:val="single"/>
          <w:lang w:val="en-GB"/>
        </w:rPr>
      </w:pPr>
    </w:p>
    <w:p>
      <w:pPr>
        <w:tabs>
          <w:tab w:val="left" w:pos="1300"/>
        </w:tabs>
        <w:spacing w:after="0"/>
        <w:jc w:val="both"/>
        <w:rPr>
          <w:b/>
          <w:sz w:val="20"/>
          <w:szCs w:val="20"/>
        </w:rPr>
      </w:pPr>
      <w:r>
        <w:rPr>
          <w:b/>
          <w:sz w:val="20"/>
          <w:szCs w:val="20"/>
          <w:u w:val="single"/>
        </w:rPr>
        <w:t>Proposal A1-3.2</w:t>
      </w:r>
      <w:r>
        <w:rPr>
          <w:b/>
          <w:sz w:val="20"/>
          <w:szCs w:val="20"/>
        </w:rPr>
        <w:t>:</w:t>
      </w:r>
    </w:p>
    <w:p>
      <w:pPr>
        <w:tabs>
          <w:tab w:val="left" w:pos="1300"/>
        </w:tabs>
        <w:spacing w:after="0"/>
        <w:rPr>
          <w:b/>
          <w:sz w:val="20"/>
          <w:szCs w:val="20"/>
          <w:lang w:eastAsia="zh-CN"/>
        </w:rPr>
      </w:pPr>
      <w:r>
        <w:rPr>
          <w:b/>
          <w:sz w:val="20"/>
          <w:szCs w:val="20"/>
        </w:rPr>
        <w:t xml:space="preserve">Introduce an RRC parameter to indicate a </w:t>
      </w:r>
      <m:oMath>
        <m:sSub>
          <m:sSubPr>
            <m:ctrlPr>
              <w:rPr>
                <w:rFonts w:ascii="Cambria Math" w:hAnsi="Cambria Math"/>
                <w:b/>
                <w:iCs/>
                <w:sz w:val="20"/>
                <w:szCs w:val="20"/>
              </w:rPr>
            </m:ctrlPr>
          </m:sSubPr>
          <m:e>
            <m:r>
              <m:rPr>
                <m:sty m:val="b"/>
              </m:rPr>
              <w:rPr>
                <w:rFonts w:ascii="Cambria Math" w:hAnsi="Cambria Math"/>
                <w:sz w:val="20"/>
                <w:szCs w:val="20"/>
              </w:rPr>
              <m:t>(X</m:t>
            </m:r>
            <m:ctrlPr>
              <w:rPr>
                <w:rFonts w:ascii="Cambria Math" w:hAnsi="Cambria Math"/>
                <w:b/>
                <w:iCs/>
                <w:sz w:val="20"/>
                <w:szCs w:val="20"/>
              </w:rPr>
            </m:ctrlPr>
          </m:e>
          <m:sub>
            <m:r>
              <m:rPr>
                <m:sty m:val="b"/>
              </m:rPr>
              <w:rPr>
                <w:rFonts w:ascii="Cambria Math" w:hAnsi="Cambria Math"/>
                <w:sz w:val="20"/>
                <w:szCs w:val="20"/>
              </w:rPr>
              <m:t>s</m:t>
            </m:r>
            <m:ctrlPr>
              <w:rPr>
                <w:rFonts w:ascii="Cambria Math" w:hAnsi="Cambria Math"/>
                <w:b/>
                <w:iCs/>
                <w:sz w:val="20"/>
                <w:szCs w:val="20"/>
              </w:rPr>
            </m:ctrlP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ctrlPr>
              <w:rPr>
                <w:rFonts w:ascii="Cambria Math" w:hAnsi="Cambria Math"/>
                <w:b/>
                <w:iCs/>
                <w:sz w:val="20"/>
                <w:szCs w:val="20"/>
              </w:rPr>
            </m:ctrlPr>
          </m:e>
          <m:sub>
            <m:r>
              <m:rPr>
                <m:sty m:val="b"/>
              </m:rPr>
              <w:rPr>
                <w:rFonts w:ascii="Cambria Math" w:hAnsi="Cambria Math"/>
                <w:sz w:val="20"/>
                <w:szCs w:val="20"/>
              </w:rPr>
              <m:t>s</m:t>
            </m:r>
            <m:ctrlPr>
              <w:rPr>
                <w:rFonts w:ascii="Cambria Math" w:hAnsi="Cambria Math"/>
                <w:b/>
                <w:iCs/>
                <w:sz w:val="20"/>
                <w:szCs w:val="20"/>
              </w:rPr>
            </m:ctrlPr>
          </m:sub>
        </m:sSub>
        <m:r>
          <m:rPr>
            <m:sty m:val="b"/>
          </m:rPr>
          <w:rPr>
            <w:rFonts w:ascii="Cambria Math" w:hAnsi="Cambria Math"/>
            <w:sz w:val="20"/>
            <w:szCs w:val="20"/>
          </w:rPr>
          <m:t>)</m:t>
        </m:r>
      </m:oMath>
      <w:r>
        <w:rPr>
          <w:b/>
          <w:sz w:val="20"/>
          <w:szCs w:val="20"/>
        </w:rPr>
        <w:t xml:space="preserve"> combination to be used for PDCCH monitoring. The parameter is UE-specific and has the value range {'xs4ys1', 'xs4ys2', 'xs8ys1', 'xs8ys4'}. If the parameter is absent, the UE uses (4,1) for 480 kHz and (8,1) for 960 kHz.</w:t>
      </w:r>
    </w:p>
    <w:p>
      <w:pPr>
        <w:rPr>
          <w:bCs/>
          <w:sz w:val="20"/>
          <w:szCs w:val="20"/>
          <w:lang w:eastAsia="zh-CN"/>
        </w:rPr>
      </w:pPr>
    </w:p>
    <w:p>
      <w:pPr>
        <w:rPr>
          <w:bCs/>
          <w:sz w:val="20"/>
          <w:szCs w:val="20"/>
        </w:rPr>
      </w:pPr>
      <w:r>
        <w:rPr>
          <w:bCs/>
          <w:sz w:val="20"/>
          <w:szCs w:val="20"/>
          <w:lang w:eastAsia="zh-CN"/>
        </w:rPr>
        <w:t>FL Summary: Discussion in RAN1#107bis-e and documents submitted to this meeting shows a majority supporting a rule-based approach as in Proposal A1-3.1. Therefore FL suggests to adopt</w:t>
      </w:r>
      <w:r>
        <w:rPr>
          <w:b/>
          <w:sz w:val="20"/>
          <w:szCs w:val="20"/>
        </w:rPr>
        <w:t xml:space="preserve"> </w:t>
      </w:r>
      <w:r>
        <w:rPr>
          <w:b/>
          <w:sz w:val="20"/>
          <w:szCs w:val="20"/>
          <w:u w:val="single"/>
        </w:rPr>
        <w:t>Proposal A1-3.1</w:t>
      </w:r>
      <w:r>
        <w:rPr>
          <w:b/>
          <w:sz w:val="20"/>
          <w:szCs w:val="20"/>
          <w:lang w:eastAsia="zh-CN"/>
        </w:rPr>
        <w:t>.</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MediaTek</w:t>
            </w:r>
          </w:p>
        </w:tc>
        <w:tc>
          <w:tcPr>
            <w:tcW w:w="12176" w:type="dxa"/>
            <w:vAlign w:val="center"/>
          </w:tcPr>
          <w:p>
            <w:pPr>
              <w:widowControl w:val="0"/>
              <w:rPr>
                <w:lang w:eastAsia="zh-CN"/>
              </w:rPr>
            </w:pPr>
            <w:r>
              <w:rPr>
                <w:lang w:eastAsia="zh-CN"/>
              </w:rPr>
              <w:t xml:space="preserve">For Proposal A1-3.1, we prefer to add Ys to the decision rule. We understand that Ys doesn’t play a role on BD/CCE budget but Ys is essential to determine whether a CC follows mandatory or optional capability. That is, a CC with (Xs,Ys)=(4,1) and a CC with (Xs,Ys)=(4,2) are handled differently from UE implementation perspective, e.g., power saving and number of BD within Ys slots. Therefore, it is necessary to distinguish CCs with same Xs but different Ys. </w:t>
            </w:r>
          </w:p>
          <w:p>
            <w:pPr>
              <w:widowControl w:val="0"/>
              <w:rPr>
                <w:lang w:eastAsia="zh-CN"/>
              </w:rPr>
            </w:pPr>
          </w:p>
          <w:p>
            <w:pPr>
              <w:widowControl w:val="0"/>
              <w:rPr>
                <w:lang w:eastAsia="zh-CN"/>
              </w:rPr>
            </w:pPr>
            <w:r>
              <w:rPr>
                <w:lang w:eastAsia="zh-CN"/>
              </w:rPr>
              <w:t xml:space="preserve">For Proposal A1-3.2, we can accept it due to the simplicity.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lang w:eastAsia="zh-CN"/>
              </w:rPr>
              <w:t>Samsung</w:t>
            </w:r>
          </w:p>
        </w:tc>
        <w:tc>
          <w:tcPr>
            <w:tcW w:w="12176" w:type="dxa"/>
            <w:vAlign w:val="center"/>
          </w:tcPr>
          <w:p>
            <w:pPr>
              <w:widowControl w:val="0"/>
              <w:rPr>
                <w:sz w:val="20"/>
                <w:lang w:eastAsia="zh-CN"/>
              </w:rPr>
            </w:pPr>
            <w:r>
              <w:rPr>
                <w:lang w:eastAsia="zh-CN"/>
              </w:rPr>
              <w:t xml:space="preserve">We support Proposal A1-3.1, and there is no need to choose a particular value of Ys, since it can be up to UE’s implementation.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Ericsson</w:t>
            </w:r>
          </w:p>
        </w:tc>
        <w:tc>
          <w:tcPr>
            <w:tcW w:w="12176" w:type="dxa"/>
            <w:vAlign w:val="center"/>
          </w:tcPr>
          <w:p>
            <w:pPr>
              <w:widowControl w:val="0"/>
              <w:rPr>
                <w:sz w:val="20"/>
                <w:lang w:eastAsia="zh-CN"/>
              </w:rPr>
            </w:pPr>
            <w:r>
              <w:rPr>
                <w:sz w:val="20"/>
                <w:lang w:eastAsia="zh-CN"/>
              </w:rPr>
              <w:t>Our first preference is to introduce an RRC parameter for simplicity (like Proposal A1-3.2). However, we agree with Samsung that there is no need to configure a particular Ys, since only Xs is needed for the UE to know the slot group size (Xs) for evaluating dropping rules. Furthermore, for 480 kHz there is only one supported value of Xs (assume (2,1) is not supported). In summary, we suggest the following amendment to proposal A1-3.2:</w:t>
            </w:r>
          </w:p>
          <w:p>
            <w:pPr>
              <w:widowControl w:val="0"/>
              <w:rPr>
                <w:sz w:val="20"/>
                <w:lang w:eastAsia="zh-CN"/>
              </w:rPr>
            </w:pPr>
          </w:p>
          <w:p>
            <w:pPr>
              <w:widowControl w:val="0"/>
              <w:spacing w:after="0"/>
              <w:rPr>
                <w:b/>
                <w:bCs/>
                <w:sz w:val="20"/>
                <w:u w:val="single"/>
                <w:lang w:eastAsia="zh-CN"/>
              </w:rPr>
            </w:pPr>
            <w:r>
              <w:rPr>
                <w:b/>
                <w:bCs/>
                <w:sz w:val="20"/>
                <w:u w:val="single"/>
                <w:lang w:eastAsia="zh-CN"/>
              </w:rPr>
              <w:t>Proposal A1-3.2a</w:t>
            </w:r>
          </w:p>
          <w:p>
            <w:pPr>
              <w:widowControl w:val="0"/>
              <w:tabs>
                <w:tab w:val="left" w:pos="1300"/>
              </w:tabs>
              <w:spacing w:after="0"/>
              <w:rPr>
                <w:b/>
                <w:bCs/>
                <w:sz w:val="20"/>
                <w:szCs w:val="20"/>
                <w:lang w:eastAsia="zh-CN"/>
              </w:rPr>
            </w:pPr>
            <w:r>
              <w:rPr>
                <w:b/>
                <w:bCs/>
                <w:sz w:val="20"/>
                <w:szCs w:val="20"/>
              </w:rPr>
              <w:t>Introduce an RRC parameter to indicate the slot group size Xs for PDCCH monitoring. The parameter is UE-specific and has the value range {'xs4', 'xs8'}. If the parameter is absent, the UE assumes Xs = 4 for 480 kHz and Xs = 8 for 960 kHz.</w:t>
            </w:r>
          </w:p>
          <w:p>
            <w:pPr>
              <w:widowControl w:val="0"/>
              <w:rPr>
                <w:sz w:val="20"/>
                <w:lang w:eastAsia="zh-CN"/>
              </w:rPr>
            </w:pPr>
          </w:p>
          <w:p>
            <w:pPr>
              <w:widowControl w:val="0"/>
              <w:rPr>
                <w:sz w:val="20"/>
                <w:lang w:eastAsia="zh-CN"/>
              </w:rPr>
            </w:pPr>
            <w:r>
              <w:rPr>
                <w:sz w:val="20"/>
                <w:lang w:eastAsia="zh-CN"/>
              </w:rPr>
              <w:t>Regarding Proposal A1-3.1, we think that some further discussion would be needed to formulate a proper rule that takes into account compliance across all configured search spaces.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lang w:eastAsia="zh-CN"/>
              </w:rPr>
              <w:t>Qualcomm</w:t>
            </w:r>
          </w:p>
        </w:tc>
        <w:tc>
          <w:tcPr>
            <w:tcW w:w="12176" w:type="dxa"/>
            <w:vAlign w:val="center"/>
          </w:tcPr>
          <w:p>
            <w:pPr>
              <w:widowControl w:val="0"/>
              <w:rPr>
                <w:lang w:eastAsia="zh-CN"/>
              </w:rPr>
            </w:pPr>
            <w:r>
              <w:rPr>
                <w:lang w:eastAsia="zh-CN"/>
              </w:rPr>
              <w:t xml:space="preserve">We support Proposal A1-3.1. </w:t>
            </w:r>
          </w:p>
          <w:p>
            <w:pPr>
              <w:widowControl w:val="0"/>
              <w:rPr>
                <w:sz w:val="20"/>
                <w:lang w:eastAsia="zh-CN"/>
              </w:rPr>
            </w:pPr>
            <w:r>
              <w:rPr>
                <w:lang w:eastAsia="zh-CN"/>
              </w:rPr>
              <w:t xml:space="preserve">However, as will be discussed in Issue A2-1, separately from the rule in Proposal A1-3.1, an implicit indication of Xs (i.e., by the bitmap size of </w:t>
            </w:r>
            <w:r>
              <w:rPr>
                <w:i/>
                <w:iCs/>
                <w:lang w:eastAsia="zh-CN"/>
              </w:rPr>
              <w:t>monitoringSlotWithinSlotGroup</w:t>
            </w:r>
            <w:r>
              <w:rPr>
                <w:lang w:eastAsia="zh-CN"/>
              </w:rPr>
              <w:t>) per search space set is additionally needed. This implicit indication is to avoid ambiguity of SS set configuration, not for the indication of selected UE capability.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InterDigital</w:t>
            </w:r>
          </w:p>
        </w:tc>
        <w:tc>
          <w:tcPr>
            <w:tcW w:w="12176" w:type="dxa"/>
            <w:vAlign w:val="center"/>
          </w:tcPr>
          <w:p>
            <w:pPr>
              <w:widowControl w:val="0"/>
              <w:rPr>
                <w:lang w:eastAsia="zh-CN"/>
              </w:rPr>
            </w:pPr>
            <w:r>
              <w:rPr>
                <w:lang w:eastAsia="zh-CN"/>
              </w:rPr>
              <w:t xml:space="preserve">We support Proposal A1-3.1 and don’t see the necessity to introduce a new RRC parameter.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LG Electronics</w:t>
            </w:r>
          </w:p>
        </w:tc>
        <w:tc>
          <w:tcPr>
            <w:tcW w:w="12176" w:type="dxa"/>
            <w:vAlign w:val="center"/>
          </w:tcPr>
          <w:p>
            <w:pPr>
              <w:widowControl w:val="0"/>
              <w:rPr>
                <w:lang w:eastAsia="zh-CN"/>
              </w:rPr>
            </w:pPr>
            <w:r>
              <w:rPr>
                <w:lang w:eastAsia="zh-CN"/>
              </w:rPr>
              <w:t xml:space="preserve">We support the FL suggestion to adopt Proposal A1-3.1. The proper rule is already included in this proposal that </w:t>
            </w:r>
            <w:r>
              <w:rPr>
                <w:rFonts w:hint="eastAsia"/>
                <w:lang w:eastAsia="zh-CN"/>
              </w:rPr>
              <w:t>choose a</w:t>
            </w:r>
            <w:r>
              <w:rPr>
                <w:lang w:eastAsia="zh-CN"/>
              </w:rPr>
              <w:t>n</w:t>
            </w:r>
            <w:r>
              <w:rPr>
                <w:rFonts w:hint="eastAsia"/>
                <w:lang w:eastAsia="zh-CN"/>
              </w:rPr>
              <w:t xml:space="preserve"> </w:t>
            </w:r>
            <w:r>
              <w:rPr>
                <w:lang w:eastAsia="zh-CN"/>
              </w:rPr>
              <w:t xml:space="preserve">(Xs,Ys) </w:t>
            </w:r>
            <w:r>
              <w:rPr>
                <w:rFonts w:hint="eastAsia"/>
                <w:lang w:eastAsia="zh-CN"/>
              </w:rPr>
              <w:t xml:space="preserve">combination from the complying reported set of combinations that results in the largest </w:t>
            </w:r>
            <w:r>
              <w:rPr>
                <w:lang w:eastAsia="zh-CN"/>
              </w:rPr>
              <w:t>BD/CCE budget.</w:t>
            </w:r>
          </w:p>
          <w:p>
            <w:pPr>
              <w:widowControl w:val="0"/>
              <w:rPr>
                <w:lang w:eastAsia="zh-CN"/>
              </w:rPr>
            </w:pPr>
            <w:r>
              <w:rPr>
                <w:lang w:eastAsia="zh-CN"/>
              </w:rPr>
              <w:t>In addition, we also think it is better to determine a particular value of Ys. Although Ys is not relevant to BD/CCE budget, it would be correct to describe that it operates according to a certain (Xs,Ys) combination rather than according to a certain Xs from the point of view of the specification description. In the current specification, the BD/CCE budget is defined according to a specific (Xs,Ys) combination, not according to a specific Xs.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Sharp</w:t>
            </w:r>
          </w:p>
        </w:tc>
        <w:tc>
          <w:tcPr>
            <w:tcW w:w="12176" w:type="dxa"/>
            <w:vAlign w:val="center"/>
          </w:tcPr>
          <w:p>
            <w:pPr>
              <w:widowControl w:val="0"/>
              <w:rPr>
                <w:lang w:eastAsia="zh-CN"/>
              </w:rPr>
            </w:pPr>
            <w:r>
              <w:rPr>
                <w:rFonts w:hint="eastAsia" w:eastAsia="MS Mincho"/>
                <w:lang w:eastAsia="ja-JP"/>
              </w:rPr>
              <w:t xml:space="preserve">We </w:t>
            </w:r>
            <w:r>
              <w:rPr>
                <w:rFonts w:eastAsia="MS Mincho"/>
                <w:lang w:eastAsia="ja-JP"/>
              </w:rPr>
              <w:t>share same view with MediaTek.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Huawei/HiSilicon</w:t>
            </w:r>
          </w:p>
        </w:tc>
        <w:tc>
          <w:tcPr>
            <w:tcW w:w="12176" w:type="dxa"/>
            <w:vAlign w:val="center"/>
          </w:tcPr>
          <w:p>
            <w:pPr>
              <w:widowControl w:val="0"/>
              <w:rPr>
                <w:lang w:eastAsia="zh-CN"/>
              </w:rPr>
            </w:pPr>
            <w:r>
              <w:rPr>
                <w:lang w:eastAsia="zh-CN"/>
              </w:rPr>
              <w:t xml:space="preserve">We support A1-3.1. </w:t>
            </w:r>
          </w:p>
          <w:p>
            <w:pPr>
              <w:widowControl w:val="0"/>
              <w:rPr>
                <w:lang w:eastAsia="zh-CN"/>
              </w:rPr>
            </w:pPr>
          </w:p>
          <w:p>
            <w:pPr>
              <w:widowControl w:val="0"/>
              <w:rPr>
                <w:lang w:eastAsia="zh-CN"/>
              </w:rPr>
            </w:pPr>
            <w:r>
              <w:rPr>
                <w:lang w:eastAsia="zh-CN"/>
              </w:rPr>
              <w:t xml:space="preserve">Moreover, there is no need to determine Ys. In case that UE supports more than one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ctrlPr>
                    <w:rPr>
                      <w:rFonts w:ascii="Cambria Math" w:hAnsi="Cambria Math"/>
                      <w:lang w:eastAsia="zh-CN"/>
                    </w:rPr>
                  </m:ctrlPr>
                </m:e>
                <m:sub>
                  <m:r>
                    <m:rPr>
                      <m:sty m:val="p"/>
                    </m:rPr>
                    <w:rPr>
                      <w:rFonts w:ascii="Cambria Math" w:hAnsi="Cambria Math"/>
                      <w:lang w:eastAsia="zh-CN"/>
                    </w:rPr>
                    <m:t>s</m:t>
                  </m:r>
                  <m:ctrlPr>
                    <w:rPr>
                      <w:rFonts w:ascii="Cambria Math" w:hAnsi="Cambria Math"/>
                      <w:lang w:eastAsia="zh-CN"/>
                    </w:rPr>
                  </m:ctrlP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ctrlPr>
                    <w:rPr>
                      <w:rFonts w:ascii="Cambria Math" w:hAnsi="Cambria Math"/>
                      <w:lang w:eastAsia="zh-CN"/>
                    </w:rPr>
                  </m:ctrlPr>
                </m:e>
                <m:sub>
                  <m:r>
                    <w:rPr>
                      <w:rFonts w:ascii="Cambria Math" w:hAnsi="Cambria Math"/>
                      <w:lang w:eastAsia="zh-CN"/>
                    </w:rPr>
                    <m:t>s</m:t>
                  </m:r>
                  <m:ctrlPr>
                    <w:rPr>
                      <w:rFonts w:ascii="Cambria Math" w:hAnsi="Cambria Math"/>
                      <w:lang w:eastAsia="zh-CN"/>
                    </w:rPr>
                  </m:ctrlPr>
                </m:sub>
              </m:sSub>
              <m:r>
                <m:rPr>
                  <m:sty m:val="p"/>
                </m:rPr>
                <w:rPr>
                  <w:rFonts w:ascii="Cambria Math" w:hAnsi="Cambria Math"/>
                  <w:lang w:eastAsia="zh-CN"/>
                </w:rPr>
                <m:t>)</m:t>
              </m:r>
            </m:oMath>
            <w:r>
              <w:rPr>
                <w:lang w:eastAsia="zh-CN"/>
              </w:rPr>
              <w:t xml:space="preserve"> combinations AND the configured search space sets comply with more than one supported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ctrlPr>
                    <w:rPr>
                      <w:rFonts w:ascii="Cambria Math" w:hAnsi="Cambria Math"/>
                      <w:lang w:eastAsia="zh-CN"/>
                    </w:rPr>
                  </m:ctrlPr>
                </m:e>
                <m:sub>
                  <m:r>
                    <m:rPr>
                      <m:sty m:val="p"/>
                    </m:rPr>
                    <w:rPr>
                      <w:rFonts w:ascii="Cambria Math" w:hAnsi="Cambria Math"/>
                      <w:lang w:eastAsia="zh-CN"/>
                    </w:rPr>
                    <m:t>s</m:t>
                  </m:r>
                  <m:ctrlPr>
                    <w:rPr>
                      <w:rFonts w:ascii="Cambria Math" w:hAnsi="Cambria Math"/>
                      <w:lang w:eastAsia="zh-CN"/>
                    </w:rPr>
                  </m:ctrlP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ctrlPr>
                    <w:rPr>
                      <w:rFonts w:ascii="Cambria Math" w:hAnsi="Cambria Math"/>
                      <w:lang w:eastAsia="zh-CN"/>
                    </w:rPr>
                  </m:ctrlPr>
                </m:e>
                <m:sub>
                  <m:r>
                    <w:rPr>
                      <w:rFonts w:ascii="Cambria Math" w:hAnsi="Cambria Math"/>
                      <w:lang w:eastAsia="zh-CN"/>
                    </w:rPr>
                    <m:t>s</m:t>
                  </m:r>
                  <m:ctrlPr>
                    <w:rPr>
                      <w:rFonts w:ascii="Cambria Math" w:hAnsi="Cambria Math"/>
                      <w:lang w:eastAsia="zh-CN"/>
                    </w:rPr>
                  </m:ctrlPr>
                </m:sub>
              </m:sSub>
              <m:r>
                <m:rPr>
                  <m:sty m:val="p"/>
                </m:rPr>
                <w:rPr>
                  <w:rFonts w:ascii="Cambria Math" w:hAnsi="Cambria Math"/>
                  <w:lang w:eastAsia="zh-CN"/>
                </w:rPr>
                <m:t>)</m:t>
              </m:r>
            </m:oMath>
            <w:r>
              <w:rPr>
                <w:lang w:eastAsia="zh-CN"/>
              </w:rPr>
              <w:t xml:space="preserve"> combinations, determining the “active” </w:t>
            </w:r>
            <m:oMath>
              <m:sSub>
                <m:sSubPr>
                  <m:ctrlPr>
                    <w:rPr>
                      <w:rFonts w:ascii="Cambria Math" w:hAnsi="Cambria Math"/>
                      <w:lang w:eastAsia="zh-CN"/>
                    </w:rPr>
                  </m:ctrlPr>
                </m:sSubPr>
                <m:e>
                  <m:r>
                    <w:rPr>
                      <w:rFonts w:ascii="Cambria Math" w:hAnsi="Cambria Math"/>
                      <w:lang w:eastAsia="zh-CN"/>
                    </w:rPr>
                    <m:t>Y</m:t>
                  </m:r>
                  <m:ctrlPr>
                    <w:rPr>
                      <w:rFonts w:ascii="Cambria Math" w:hAnsi="Cambria Math"/>
                      <w:lang w:eastAsia="zh-CN"/>
                    </w:rPr>
                  </m:ctrlPr>
                </m:e>
                <m:sub>
                  <m:r>
                    <w:rPr>
                      <w:rFonts w:ascii="Cambria Math" w:hAnsi="Cambria Math"/>
                      <w:lang w:eastAsia="zh-CN"/>
                    </w:rPr>
                    <m:t>s</m:t>
                  </m:r>
                  <m:ctrlPr>
                    <w:rPr>
                      <w:rFonts w:ascii="Cambria Math" w:hAnsi="Cambria Math"/>
                      <w:lang w:eastAsia="zh-CN"/>
                    </w:rPr>
                  </m:ctrlPr>
                </m:sub>
              </m:sSub>
            </m:oMath>
            <w:r>
              <w:rPr>
                <w:lang w:eastAsia="zh-CN"/>
              </w:rPr>
              <w:t xml:space="preserve"> for the UE does not change UE monitoring behavior and has not impact on BD/CCE budget and, therefore, is not required.</w:t>
            </w:r>
          </w:p>
          <w:p>
            <w:pPr>
              <w:widowControl w:val="0"/>
              <w:rPr>
                <w:sz w:val="20"/>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sz w:val="20"/>
                <w:lang w:eastAsia="zh-CN"/>
              </w:rPr>
              <w:t>X</w:t>
            </w:r>
            <w:r>
              <w:rPr>
                <w:sz w:val="20"/>
                <w:lang w:eastAsia="zh-CN"/>
              </w:rPr>
              <w:t>iaomi</w:t>
            </w:r>
          </w:p>
        </w:tc>
        <w:tc>
          <w:tcPr>
            <w:tcW w:w="12176" w:type="dxa"/>
            <w:vAlign w:val="center"/>
          </w:tcPr>
          <w:p>
            <w:pPr>
              <w:widowControl w:val="0"/>
              <w:rPr>
                <w:b/>
                <w:sz w:val="20"/>
                <w:szCs w:val="20"/>
                <w:u w:val="single"/>
              </w:rPr>
            </w:pPr>
            <w:r>
              <w:rPr>
                <w:lang w:eastAsia="zh-CN"/>
              </w:rPr>
              <w:t xml:space="preserve">Prefer </w:t>
            </w:r>
            <w:r>
              <w:rPr>
                <w:b/>
                <w:sz w:val="20"/>
                <w:szCs w:val="20"/>
                <w:u w:val="single"/>
              </w:rPr>
              <w:t xml:space="preserve">Proposal A1-3.2 </w:t>
            </w:r>
            <w:r>
              <w:rPr>
                <w:sz w:val="20"/>
                <w:szCs w:val="20"/>
                <w:lang w:eastAsia="zh-CN"/>
              </w:rPr>
              <w:t>b</w:t>
            </w:r>
            <w:r>
              <w:rPr>
                <w:rFonts w:hint="eastAsia"/>
                <w:sz w:val="20"/>
                <w:szCs w:val="20"/>
                <w:lang w:eastAsia="zh-CN"/>
              </w:rPr>
              <w:t>ut</w:t>
            </w:r>
            <w:r>
              <w:rPr>
                <w:sz w:val="20"/>
                <w:szCs w:val="20"/>
                <w:lang w:eastAsia="zh-CN"/>
              </w:rPr>
              <w:t xml:space="preserve"> only indicate X</w:t>
            </w:r>
            <w:r>
              <w:rPr>
                <w:rFonts w:hint="eastAsia"/>
                <w:sz w:val="20"/>
                <w:szCs w:val="20"/>
                <w:lang w:eastAsia="zh-CN"/>
              </w:rPr>
              <w:t>s</w:t>
            </w:r>
            <w:r>
              <w:rPr>
                <w:sz w:val="20"/>
                <w:szCs w:val="20"/>
                <w:lang w:eastAsia="zh-CN"/>
              </w:rPr>
              <w:t xml:space="preserve"> </w:t>
            </w:r>
            <w:r>
              <w:rPr>
                <w:rFonts w:hint="eastAsia"/>
                <w:sz w:val="20"/>
                <w:szCs w:val="20"/>
                <w:lang w:eastAsia="zh-CN"/>
              </w:rPr>
              <w:t>explicitly</w:t>
            </w:r>
            <w:r>
              <w:rPr>
                <w:sz w:val="20"/>
                <w:szCs w:val="20"/>
                <w:lang w:eastAsia="zh-CN"/>
              </w:rPr>
              <w:t xml:space="preserve">, because only Xs </w:t>
            </w:r>
            <w:r>
              <w:rPr>
                <w:rFonts w:hint="eastAsia"/>
                <w:sz w:val="20"/>
                <w:szCs w:val="20"/>
                <w:lang w:eastAsia="zh-CN"/>
              </w:rPr>
              <w:t>will</w:t>
            </w:r>
            <w:r>
              <w:rPr>
                <w:sz w:val="20"/>
                <w:szCs w:val="20"/>
                <w:lang w:eastAsia="zh-CN"/>
              </w:rPr>
              <w:t xml:space="preserve"> </w:t>
            </w:r>
            <w:r>
              <w:rPr>
                <w:rFonts w:hint="eastAsia"/>
                <w:sz w:val="20"/>
                <w:szCs w:val="20"/>
                <w:lang w:eastAsia="zh-CN"/>
              </w:rPr>
              <w:t>impact</w:t>
            </w:r>
            <w:r>
              <w:rPr>
                <w:sz w:val="20"/>
                <w:szCs w:val="20"/>
                <w:lang w:eastAsia="zh-CN"/>
              </w:rPr>
              <w:t xml:space="preserve"> the BD/CCE </w:t>
            </w:r>
            <w:r>
              <w:rPr>
                <w:rFonts w:hint="eastAsia"/>
                <w:sz w:val="20"/>
                <w:szCs w:val="20"/>
                <w:lang w:eastAsia="zh-CN"/>
              </w:rPr>
              <w:t>processing</w:t>
            </w:r>
            <w:r>
              <w:rPr>
                <w:sz w:val="20"/>
                <w:szCs w:val="20"/>
                <w:lang w:eastAsia="zh-CN"/>
              </w:rPr>
              <w:t xml:space="preserve"> </w:t>
            </w:r>
            <w:r>
              <w:rPr>
                <w:rFonts w:hint="eastAsia"/>
                <w:sz w:val="20"/>
                <w:szCs w:val="20"/>
                <w:lang w:eastAsia="zh-CN"/>
              </w:rPr>
              <w:t>capability.</w:t>
            </w:r>
            <w:r>
              <w:rPr>
                <w:sz w:val="20"/>
                <w:szCs w:val="20"/>
                <w:lang w:eastAsia="zh-CN"/>
              </w:rPr>
              <w:t xml:space="preserve"> and Ys can be determined by the seachspace sets configuration.In fact, we don’t think UE need to determine Y</w:t>
            </w:r>
            <w:r>
              <w:rPr>
                <w:rFonts w:hint="eastAsia"/>
                <w:sz w:val="20"/>
                <w:szCs w:val="20"/>
                <w:lang w:eastAsia="zh-CN"/>
              </w:rPr>
              <w:t>s,</w:t>
            </w:r>
            <w:r>
              <w:rPr>
                <w:sz w:val="20"/>
                <w:szCs w:val="20"/>
                <w:lang w:eastAsia="zh-CN"/>
              </w:rPr>
              <w:t xml:space="preserve"> it is gNB’s work to guarantee a suitable Y</w:t>
            </w:r>
            <w:r>
              <w:rPr>
                <w:rFonts w:hint="eastAsia"/>
                <w:sz w:val="20"/>
                <w:szCs w:val="20"/>
                <w:lang w:eastAsia="zh-CN"/>
              </w:rPr>
              <w:t>s</w:t>
            </w:r>
            <w:r>
              <w:rPr>
                <w:sz w:val="20"/>
                <w:szCs w:val="20"/>
                <w:lang w:eastAsia="zh-CN"/>
              </w:rPr>
              <w:t xml:space="preserve"> </w:t>
            </w:r>
            <w:r>
              <w:rPr>
                <w:rFonts w:hint="eastAsia"/>
                <w:sz w:val="20"/>
                <w:szCs w:val="20"/>
                <w:lang w:eastAsia="zh-CN"/>
              </w:rPr>
              <w:t>based</w:t>
            </w:r>
            <w:r>
              <w:rPr>
                <w:sz w:val="20"/>
                <w:szCs w:val="20"/>
                <w:lang w:eastAsia="zh-CN"/>
              </w:rPr>
              <w:t xml:space="preserve"> seachspace sets configuration</w:t>
            </w:r>
            <w:r>
              <w:rPr>
                <w:rFonts w:hint="eastAsia"/>
                <w:sz w:val="20"/>
                <w:szCs w:val="20"/>
                <w:lang w:eastAsia="zh-CN"/>
              </w:rPr>
              <w:t>.</w:t>
            </w:r>
          </w:p>
          <w:p>
            <w:pPr>
              <w:widowControl w:val="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lang w:eastAsia="zh-CN"/>
              </w:rPr>
              <w:t>v</w:t>
            </w:r>
            <w:r>
              <w:rPr>
                <w:lang w:eastAsia="zh-CN"/>
              </w:rPr>
              <w:t>ivo</w:t>
            </w:r>
          </w:p>
        </w:tc>
        <w:tc>
          <w:tcPr>
            <w:tcW w:w="12176" w:type="dxa"/>
            <w:vAlign w:val="center"/>
          </w:tcPr>
          <w:p>
            <w:pPr>
              <w:widowControl w:val="0"/>
              <w:rPr>
                <w:lang w:eastAsia="zh-CN"/>
              </w:rPr>
            </w:pPr>
            <w:r>
              <w:rPr>
                <w:rFonts w:hint="eastAsia"/>
                <w:lang w:eastAsia="zh-CN"/>
              </w:rPr>
              <w:t>W</w:t>
            </w:r>
            <w:r>
              <w:rPr>
                <w:lang w:eastAsia="zh-CN"/>
              </w:rPr>
              <w:t xml:space="preserve">e support the direction of Proposal A1-3.1 since it is aligned with the way of handling span-based capability in Rel-16. Agree with MTK, we also prefer to add Ys to the decision rule.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Nokia, NSB</w:t>
            </w:r>
          </w:p>
        </w:tc>
        <w:tc>
          <w:tcPr>
            <w:tcW w:w="12176" w:type="dxa"/>
            <w:vAlign w:val="center"/>
          </w:tcPr>
          <w:p>
            <w:pPr>
              <w:widowControl w:val="0"/>
              <w:spacing w:after="0"/>
              <w:rPr>
                <w:b/>
                <w:bCs/>
                <w:sz w:val="20"/>
                <w:lang w:eastAsia="zh-CN"/>
              </w:rPr>
            </w:pPr>
            <w:r>
              <w:rPr>
                <w:lang w:eastAsia="zh-CN"/>
              </w:rPr>
              <w:t xml:space="preserve">We support Ericsson’s </w:t>
            </w:r>
            <w:r>
              <w:rPr>
                <w:b/>
                <w:bCs/>
                <w:sz w:val="20"/>
                <w:lang w:eastAsia="zh-CN"/>
              </w:rPr>
              <w:t>Proposal A1-3.2a</w:t>
            </w:r>
          </w:p>
          <w:p>
            <w:pPr>
              <w:widowControl w:val="0"/>
              <w:spacing w:after="0"/>
              <w:rPr>
                <w:b/>
                <w:bCs/>
                <w:sz w:val="20"/>
                <w:lang w:eastAsia="zh-CN"/>
              </w:rPr>
            </w:pPr>
          </w:p>
          <w:p>
            <w:pPr>
              <w:widowControl w:val="0"/>
              <w:spacing w:after="0"/>
              <w:rPr>
                <w:szCs w:val="24"/>
                <w:lang w:eastAsia="zh-CN"/>
              </w:rPr>
            </w:pPr>
            <w:r>
              <w:rPr>
                <w:szCs w:val="24"/>
                <w:lang w:eastAsia="zh-CN"/>
              </w:rPr>
              <w:t xml:space="preserve">We fail to see benefits in the rule based approach, compared to Proposal A1-3.2 (which is simple and straightforward). Furthermore, SSSG -based approach can be used for dynamic adaptation between multiple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ctrlPr>
                    <w:rPr>
                      <w:rFonts w:ascii="Cambria Math" w:hAnsi="Cambria Math"/>
                      <w:lang w:eastAsia="zh-CN"/>
                    </w:rPr>
                  </m:ctrlPr>
                </m:e>
                <m:sub>
                  <m:r>
                    <m:rPr>
                      <m:sty m:val="p"/>
                    </m:rPr>
                    <w:rPr>
                      <w:rFonts w:ascii="Cambria Math" w:hAnsi="Cambria Math"/>
                      <w:lang w:eastAsia="zh-CN"/>
                    </w:rPr>
                    <m:t>s</m:t>
                  </m:r>
                  <m:ctrlPr>
                    <w:rPr>
                      <w:rFonts w:ascii="Cambria Math" w:hAnsi="Cambria Math"/>
                      <w:lang w:eastAsia="zh-CN"/>
                    </w:rPr>
                  </m:ctrlP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ctrlPr>
                    <w:rPr>
                      <w:rFonts w:ascii="Cambria Math" w:hAnsi="Cambria Math"/>
                      <w:lang w:eastAsia="zh-CN"/>
                    </w:rPr>
                  </m:ctrlPr>
                </m:e>
                <m:sub>
                  <m:r>
                    <w:rPr>
                      <w:rFonts w:ascii="Cambria Math" w:hAnsi="Cambria Math"/>
                      <w:lang w:eastAsia="zh-CN"/>
                    </w:rPr>
                    <m:t>s</m:t>
                  </m:r>
                  <m:ctrlPr>
                    <w:rPr>
                      <w:rFonts w:ascii="Cambria Math" w:hAnsi="Cambria Math"/>
                      <w:lang w:eastAsia="zh-CN"/>
                    </w:rPr>
                  </m:ctrlPr>
                </m:sub>
              </m:sSub>
              <m:r>
                <m:rPr>
                  <m:sty m:val="p"/>
                </m:rPr>
                <w:rPr>
                  <w:rFonts w:ascii="Cambria Math" w:hAnsi="Cambria Math"/>
                  <w:lang w:eastAsia="zh-CN"/>
                </w:rPr>
                <m:t>)</m:t>
              </m:r>
            </m:oMath>
            <w:r>
              <w:rPr>
                <w:lang w:eastAsia="zh-CN"/>
              </w:rPr>
              <w:t xml:space="preserve"> combinations</w:t>
            </w:r>
          </w:p>
          <w:p>
            <w:pPr>
              <w:widowControl w:val="0"/>
              <w:spacing w:after="0"/>
              <w:rPr>
                <w:b/>
                <w:bCs/>
                <w:sz w:val="20"/>
                <w:u w:val="singl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 xml:space="preserve">We support proposal A1-3.1 and further support the determination of Ys for the active combination (Xs, Ys). Knowing the value Ys and the position of the Ys slots is critical in SSSG switching. For example, to drop certain USS/CSS if there is back-to-back monitoring which exceed UE capability for PDCCH detection.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lang w:eastAsia="zh-CN"/>
              </w:rPr>
              <w:t xml:space="preserve">We </w:t>
            </w:r>
            <w:r>
              <w:rPr>
                <w:rFonts w:hint="eastAsia"/>
                <w:lang w:eastAsia="zh-CN"/>
              </w:rPr>
              <w:t xml:space="preserve">prefer the </w:t>
            </w:r>
            <w:r>
              <w:rPr>
                <w:lang w:eastAsia="zh-CN"/>
              </w:rPr>
              <w:t>Proposal A1-3.</w:t>
            </w:r>
            <w:r>
              <w:rPr>
                <w:rFonts w:hint="eastAsia"/>
                <w:lang w:eastAsia="zh-CN"/>
              </w:rPr>
              <w:t>2a revised by Ericsson</w:t>
            </w:r>
            <w:r>
              <w:rPr>
                <w:lang w:eastAsia="zh-CN"/>
              </w:rPr>
              <w:t xml:space="preserve">, </w:t>
            </w:r>
            <w:r>
              <w:rPr>
                <w:rFonts w:hint="eastAsia"/>
                <w:lang w:eastAsia="zh-CN"/>
              </w:rPr>
              <w:t xml:space="preserve">in our understanding, the value of </w:t>
            </w:r>
            <w:r>
              <w:rPr>
                <w:lang w:eastAsia="zh-CN"/>
              </w:rPr>
              <w:t>Xs</w:t>
            </w:r>
            <w:r>
              <w:rPr>
                <w:rFonts w:hint="eastAsia"/>
                <w:lang w:eastAsia="zh-CN"/>
              </w:rPr>
              <w:t xml:space="preserve"> should be configurable for more flexible operation in above 52.6 GHz band depending on UE capability. If Proposal A1-3.1 is approved,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rFonts w:hint="eastAsia" w:ascii="Cambria Math" w:hAnsi="Cambria Math"/>
                <w:lang w:eastAsia="zh-CN"/>
              </w:rPr>
              <w:t xml:space="preserve"> </w:t>
            </w:r>
            <w:r>
              <w:rPr>
                <w:rFonts w:hint="eastAsia"/>
                <w:lang w:eastAsia="zh-CN"/>
              </w:rPr>
              <w:t xml:space="preserve">= 4 and 8 slots for 480 and 960 kHz respectively are almost always chosen since those two values are mandatorily supported and associated with the largest BD/CCE budget. We can introduce new RRC parameter to configure the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rPr>
                <w:rFonts w:hint="eastAsia"/>
                <w:lang w:eastAsia="zh-CN"/>
              </w:rPr>
              <w:t xml:space="preserve"> with smaller value of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rFonts w:hint="eastAsia"/>
                <w:lang w:eastAsia="zh-CN"/>
              </w:rPr>
              <w:t xml:space="preserve"> for low latency and more flexible scenarios.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lang w:eastAsia="zh-CN"/>
              </w:rPr>
            </w:pPr>
            <w:r>
              <w:rPr>
                <w:rFonts w:eastAsia="MS Mincho"/>
                <w:lang w:eastAsia="ja-JP"/>
              </w:rPr>
              <w:t xml:space="preserve">We support Proposal A1-3.1. We share the same view as Samsung that it is not necessary to indicate or determine the rule to choose Ys since </w:t>
            </w:r>
            <w:r>
              <w:rPr>
                <w:rFonts w:hint="eastAsia" w:eastAsia="MS Mincho"/>
                <w:lang w:eastAsia="ja-JP"/>
              </w:rPr>
              <w:t>Y</w:t>
            </w:r>
            <w:r>
              <w:rPr>
                <w:rFonts w:eastAsia="MS Mincho"/>
                <w:lang w:eastAsia="ja-JP"/>
              </w:rPr>
              <w:t>s is irrelative to BD/CCE budget and can be indicated via SS set configuration by gNB implicitly.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sz w:val="20"/>
                <w:lang w:eastAsia="zh-CN"/>
              </w:rPr>
              <w:t>Panasonic</w:t>
            </w:r>
          </w:p>
        </w:tc>
        <w:tc>
          <w:tcPr>
            <w:tcW w:w="12176" w:type="dxa"/>
            <w:vAlign w:val="center"/>
          </w:tcPr>
          <w:p>
            <w:pPr>
              <w:widowControl w:val="0"/>
              <w:rPr>
                <w:lang w:eastAsia="zh-CN"/>
              </w:rPr>
            </w:pPr>
            <w:r>
              <w:rPr>
                <w:lang w:eastAsia="zh-CN"/>
              </w:rPr>
              <w:t>We support Proposal A1-3.1 in principle. However, additional rule for selecting Ys is needed. For example, if UE reports the support of (Xs,Ys) = (4,1) and (4,2). Both combinations would provide the same values of BD/CCE limits. But there is a need for common understanding between gNB and UE on the selected Ys value, because it may result in different USS dropping. We think Ys=2 (i.e. larger value) should be selected to ease the gNB’s scheduling restriction in this example.</w:t>
            </w:r>
          </w:p>
          <w:p>
            <w:pPr>
              <w:widowControl w:val="0"/>
              <w:rPr>
                <w:lang w:eastAsia="zh-CN"/>
              </w:rPr>
            </w:pPr>
            <w:r>
              <w:rPr>
                <w:lang w:eastAsia="zh-CN"/>
              </w:rPr>
              <w:t>Therefore, we suggest to add the following to Proposal A1-3.1:</w:t>
            </w:r>
          </w:p>
          <w:p>
            <w:pPr>
              <w:widowControl w:val="0"/>
              <w:rPr>
                <w:rFonts w:eastAsia="MS Mincho"/>
                <w:lang w:eastAsia="ja-JP"/>
              </w:rPr>
            </w:pPr>
            <w:r>
              <w:rPr>
                <w:lang w:eastAsia="zh-CN"/>
              </w:rPr>
              <w:t xml:space="preserve">- if multiple reported (Xs, Ys) combinations result in the same value of </w:t>
            </w:r>
            <m:oMath>
              <m:sSubSup>
                <m:sSubSupPr>
                  <m:ctrlPr>
                    <w:rPr>
                      <w:rFonts w:ascii="Cambria Math" w:hAnsi="Cambria Math"/>
                      <w:bCs/>
                      <w:i/>
                      <w:lang w:eastAsia="zh-CN"/>
                    </w:rPr>
                  </m:ctrlPr>
                </m:sSubSupPr>
                <m:e>
                  <m:r>
                    <w:rPr>
                      <w:rFonts w:ascii="Cambria Math" w:hAnsi="Cambria Math"/>
                      <w:lang w:eastAsia="zh-CN"/>
                    </w:rPr>
                    <m:t>M</m:t>
                  </m:r>
                  <m:ctrlPr>
                    <w:rPr>
                      <w:rFonts w:ascii="Cambria Math" w:hAnsi="Cambria Math"/>
                      <w:bCs/>
                      <w:i/>
                      <w:lang w:eastAsia="zh-CN"/>
                    </w:rPr>
                  </m:ctrlPr>
                </m:e>
                <m:sub>
                  <m:r>
                    <m:rPr>
                      <m:sty m:val="p"/>
                    </m:rPr>
                    <w:rPr>
                      <w:rFonts w:ascii="Cambria Math" w:hAnsi="Cambria Math"/>
                      <w:lang w:eastAsia="zh-CN"/>
                    </w:rPr>
                    <m:t>PDCCH</m:t>
                  </m:r>
                  <m:ctrlPr>
                    <w:rPr>
                      <w:rFonts w:ascii="Cambria Math" w:hAnsi="Cambria Math"/>
                      <w:bCs/>
                      <w:i/>
                      <w:lang w:eastAsia="zh-CN"/>
                    </w:rPr>
                  </m:ctrlPr>
                </m:sub>
                <m:sup>
                  <m:r>
                    <w:rPr>
                      <w:rFonts w:ascii="Cambria Math" w:hAnsi="Cambria Math"/>
                      <w:lang w:eastAsia="zh-CN"/>
                    </w:rPr>
                    <m:t>max,</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X</m:t>
                          </m:r>
                          <m:ctrlPr>
                            <w:rPr>
                              <w:rFonts w:ascii="Cambria Math" w:hAnsi="Cambria Math"/>
                              <w:bCs/>
                              <w:i/>
                              <w:lang w:eastAsia="zh-CN"/>
                            </w:rPr>
                          </m:ctrlPr>
                        </m:e>
                        <m:sub>
                          <m:r>
                            <w:rPr>
                              <w:rFonts w:ascii="Cambria Math" w:hAnsi="Cambria Math"/>
                              <w:lang w:eastAsia="zh-CN"/>
                            </w:rPr>
                            <m:t>s</m:t>
                          </m:r>
                          <m:ctrlPr>
                            <w:rPr>
                              <w:rFonts w:ascii="Cambria Math" w:hAnsi="Cambria Math"/>
                              <w:bCs/>
                              <w:i/>
                              <w:lang w:eastAsia="zh-CN"/>
                            </w:rPr>
                          </m:ctrlP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Y</m:t>
                          </m:r>
                          <m:ctrlPr>
                            <w:rPr>
                              <w:rFonts w:ascii="Cambria Math" w:hAnsi="Cambria Math"/>
                              <w:bCs/>
                              <w:i/>
                              <w:lang w:eastAsia="zh-CN"/>
                            </w:rPr>
                          </m:ctrlPr>
                        </m:e>
                        <m:sub>
                          <m:r>
                            <w:rPr>
                              <w:rFonts w:ascii="Cambria Math" w:hAnsi="Cambria Math"/>
                              <w:lang w:eastAsia="zh-CN"/>
                            </w:rPr>
                            <m:t>s</m:t>
                          </m:r>
                          <m:ctrlPr>
                            <w:rPr>
                              <w:rFonts w:ascii="Cambria Math" w:hAnsi="Cambria Math"/>
                              <w:bCs/>
                              <w:i/>
                              <w:lang w:eastAsia="zh-CN"/>
                            </w:rPr>
                          </m:ctrlPr>
                        </m:sub>
                      </m:sSub>
                      <m:ctrlPr>
                        <w:rPr>
                          <w:rFonts w:ascii="Cambria Math" w:hAnsi="Cambria Math"/>
                          <w:bCs/>
                          <w:i/>
                          <w:lang w:eastAsia="zh-CN"/>
                        </w:rPr>
                      </m:ctrlPr>
                    </m:e>
                  </m:d>
                  <m:r>
                    <w:rPr>
                      <w:rFonts w:ascii="Cambria Math" w:hAnsi="Cambria Math"/>
                      <w:lang w:eastAsia="zh-CN"/>
                    </w:rPr>
                    <m:t>,μ</m:t>
                  </m:r>
                  <m:ctrlPr>
                    <w:rPr>
                      <w:rFonts w:ascii="Cambria Math" w:hAnsi="Cambria Math"/>
                      <w:bCs/>
                      <w:i/>
                      <w:lang w:eastAsia="zh-CN"/>
                    </w:rPr>
                  </m:ctrlPr>
                </m:sup>
              </m:sSubSup>
            </m:oMath>
            <w:r>
              <w:rPr>
                <w:bCs/>
                <w:iCs/>
                <w:sz w:val="20"/>
                <w:szCs w:val="20"/>
              </w:rPr>
              <w:t xml:space="preserve"> and </w:t>
            </w:r>
            <m:oMath>
              <m:sSubSup>
                <m:sSubSupPr>
                  <m:ctrlPr>
                    <w:rPr>
                      <w:rFonts w:ascii="Cambria Math" w:hAnsi="Cambria Math"/>
                      <w:bCs/>
                      <w:i/>
                      <w:lang w:eastAsia="zh-CN"/>
                    </w:rPr>
                  </m:ctrlPr>
                </m:sSubSupPr>
                <m:e>
                  <m:r>
                    <w:rPr>
                      <w:rFonts w:ascii="Cambria Math" w:hAnsi="Cambria Math"/>
                      <w:lang w:eastAsia="zh-CN"/>
                    </w:rPr>
                    <m:t>C</m:t>
                  </m:r>
                  <m:ctrlPr>
                    <w:rPr>
                      <w:rFonts w:ascii="Cambria Math" w:hAnsi="Cambria Math"/>
                      <w:bCs/>
                      <w:i/>
                      <w:lang w:eastAsia="zh-CN"/>
                    </w:rPr>
                  </m:ctrlPr>
                </m:e>
                <m:sub>
                  <m:r>
                    <m:rPr>
                      <m:sty m:val="p"/>
                    </m:rPr>
                    <w:rPr>
                      <w:rFonts w:ascii="Cambria Math" w:hAnsi="Cambria Math"/>
                      <w:lang w:eastAsia="zh-CN"/>
                    </w:rPr>
                    <m:t>PDCCH</m:t>
                  </m:r>
                  <m:ctrlPr>
                    <w:rPr>
                      <w:rFonts w:ascii="Cambria Math" w:hAnsi="Cambria Math"/>
                      <w:bCs/>
                      <w:i/>
                      <w:lang w:eastAsia="zh-CN"/>
                    </w:rPr>
                  </m:ctrlPr>
                </m:sub>
                <m:sup>
                  <m:r>
                    <w:rPr>
                      <w:rFonts w:ascii="Cambria Math" w:hAnsi="Cambria Math"/>
                      <w:lang w:eastAsia="zh-CN"/>
                    </w:rPr>
                    <m:t>max,</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X</m:t>
                          </m:r>
                          <m:ctrlPr>
                            <w:rPr>
                              <w:rFonts w:ascii="Cambria Math" w:hAnsi="Cambria Math"/>
                              <w:bCs/>
                              <w:i/>
                              <w:lang w:eastAsia="zh-CN"/>
                            </w:rPr>
                          </m:ctrlPr>
                        </m:e>
                        <m:sub>
                          <m:r>
                            <w:rPr>
                              <w:rFonts w:ascii="Cambria Math" w:hAnsi="Cambria Math"/>
                              <w:lang w:eastAsia="zh-CN"/>
                            </w:rPr>
                            <m:t>s</m:t>
                          </m:r>
                          <m:ctrlPr>
                            <w:rPr>
                              <w:rFonts w:ascii="Cambria Math" w:hAnsi="Cambria Math"/>
                              <w:bCs/>
                              <w:i/>
                              <w:lang w:eastAsia="zh-CN"/>
                            </w:rPr>
                          </m:ctrlP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Y</m:t>
                          </m:r>
                          <m:ctrlPr>
                            <w:rPr>
                              <w:rFonts w:ascii="Cambria Math" w:hAnsi="Cambria Math"/>
                              <w:bCs/>
                              <w:i/>
                              <w:lang w:eastAsia="zh-CN"/>
                            </w:rPr>
                          </m:ctrlPr>
                        </m:e>
                        <m:sub>
                          <m:r>
                            <w:rPr>
                              <w:rFonts w:ascii="Cambria Math" w:hAnsi="Cambria Math"/>
                              <w:lang w:eastAsia="zh-CN"/>
                            </w:rPr>
                            <m:t>s</m:t>
                          </m:r>
                          <m:ctrlPr>
                            <w:rPr>
                              <w:rFonts w:ascii="Cambria Math" w:hAnsi="Cambria Math"/>
                              <w:bCs/>
                              <w:i/>
                              <w:lang w:eastAsia="zh-CN"/>
                            </w:rPr>
                          </m:ctrlPr>
                        </m:sub>
                      </m:sSub>
                      <m:ctrlPr>
                        <w:rPr>
                          <w:rFonts w:ascii="Cambria Math" w:hAnsi="Cambria Math"/>
                          <w:bCs/>
                          <w:i/>
                          <w:lang w:eastAsia="zh-CN"/>
                        </w:rPr>
                      </m:ctrlPr>
                    </m:e>
                  </m:d>
                  <m:r>
                    <w:rPr>
                      <w:rFonts w:ascii="Cambria Math" w:hAnsi="Cambria Math"/>
                      <w:lang w:eastAsia="zh-CN"/>
                    </w:rPr>
                    <m:t>,μ</m:t>
                  </m:r>
                  <m:ctrlPr>
                    <w:rPr>
                      <w:rFonts w:ascii="Cambria Math" w:hAnsi="Cambria Math"/>
                      <w:bCs/>
                      <w:i/>
                      <w:lang w:eastAsia="zh-CN"/>
                    </w:rPr>
                  </m:ctrlPr>
                </m:sup>
              </m:sSubSup>
            </m:oMath>
            <w:r>
              <w:rPr>
                <w:bCs/>
                <w:lang w:eastAsia="zh-CN"/>
              </w:rPr>
              <w:t xml:space="preserve"> , select a (Xs, Ys) combination with a larger Ys.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lang w:eastAsia="zh-CN"/>
              </w:rPr>
              <w:t>Apple</w:t>
            </w:r>
          </w:p>
        </w:tc>
        <w:tc>
          <w:tcPr>
            <w:tcW w:w="12176" w:type="dxa"/>
            <w:vAlign w:val="center"/>
          </w:tcPr>
          <w:p>
            <w:pPr>
              <w:widowControl w:val="0"/>
              <w:rPr>
                <w:lang w:eastAsia="zh-CN"/>
              </w:rPr>
            </w:pPr>
            <w:r>
              <w:rPr>
                <w:lang w:eastAsia="zh-CN"/>
              </w:rPr>
              <w:t xml:space="preserve">We are fine with Proposal A1-3.1 and for this purpose we agree that the value of Ys is not needed given that M and C are independent of Ys. We assume that if a UE indicates no support for Ys ≥1, the gNB will not configure this and as such there will be no ambiguity. </w:t>
            </w:r>
          </w:p>
          <w:p>
            <w:pPr>
              <w:widowControl w:val="0"/>
              <w:rPr>
                <w:lang w:eastAsia="zh-CN"/>
              </w:rPr>
            </w:pPr>
            <w:r>
              <w:rPr>
                <w:lang w:eastAsia="zh-CN"/>
              </w:rPr>
              <w:t>As has been mentioned, if the current working assumption is used i.e. “The size is 8 bits” then this rule is needed. However, if the FL’s suggestion is used “The size is Xs bits, where Xs is either 4 or 8”, then Xs will be implicitly signaled by the gNB and (a) this rule is not needed or (b) this rule should match with the expected estimate of Xs by the 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lang w:eastAsia="zh-CN"/>
              </w:rPr>
              <w:t>We prefer Proposal A1-3.1 and we believe the determination of Ys is not necessary.</w:t>
            </w:r>
          </w:p>
        </w:tc>
      </w:tr>
    </w:tbl>
    <w:tbl>
      <w:tblPr>
        <w:tblStyle w:val="267"/>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lang w:eastAsia="zh-CN"/>
              </w:rPr>
            </w:pPr>
            <w:r>
              <w:rPr>
                <w:lang w:eastAsia="zh-CN"/>
              </w:rPr>
              <w:t>Futurewei</w:t>
            </w:r>
          </w:p>
        </w:tc>
        <w:tc>
          <w:tcPr>
            <w:tcW w:w="12176" w:type="dxa"/>
            <w:vAlign w:val="center"/>
          </w:tcPr>
          <w:p>
            <w:pPr>
              <w:widowControl w:val="0"/>
              <w:spacing w:line="240" w:lineRule="auto"/>
              <w:rPr>
                <w:lang w:eastAsia="zh-CN"/>
              </w:rPr>
            </w:pPr>
            <w:r>
              <w:rPr>
                <w:lang w:eastAsia="zh-CN"/>
              </w:rPr>
              <w:t>We prefer an explicit configuration , but we could accept Proposal A1-3.1 if the majority supports 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lang w:eastAsia="zh-CN"/>
              </w:rPr>
            </w:pPr>
            <w:r>
              <w:rPr>
                <w:lang w:eastAsia="zh-CN"/>
              </w:rPr>
              <w:t>Sony</w:t>
            </w:r>
          </w:p>
        </w:tc>
        <w:tc>
          <w:tcPr>
            <w:tcW w:w="12176" w:type="dxa"/>
            <w:vAlign w:val="center"/>
          </w:tcPr>
          <w:p>
            <w:pPr>
              <w:widowControl w:val="0"/>
              <w:spacing w:line="240" w:lineRule="auto"/>
              <w:rPr>
                <w:lang w:eastAsia="zh-CN"/>
              </w:rPr>
            </w:pPr>
            <w:r>
              <w:rPr>
                <w:lang w:eastAsia="zh-CN"/>
              </w:rPr>
              <w:t>Though the majority seems in favor of rule-based approach, but there seem different views on the detail of the rule setting. On the other hand, RRC-based approach is simpler and more straightforward in our view. Therefore, we prefer Proposal A1-3.2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lang w:val="de-DE" w:eastAsia="zh-CN"/>
              </w:rPr>
            </w:pPr>
            <w:r>
              <w:rPr>
                <w:lang w:val="de-DE" w:eastAsia="zh-CN"/>
              </w:rPr>
              <w:t>Lenovo</w:t>
            </w:r>
          </w:p>
        </w:tc>
        <w:tc>
          <w:tcPr>
            <w:tcW w:w="12176" w:type="dxa"/>
            <w:vAlign w:val="center"/>
          </w:tcPr>
          <w:p>
            <w:pPr>
              <w:widowControl w:val="0"/>
              <w:spacing w:line="240" w:lineRule="auto"/>
              <w:rPr>
                <w:lang w:eastAsia="zh-CN"/>
              </w:rPr>
            </w:pPr>
            <w:r>
              <w:rPr>
                <w:lang w:eastAsia="zh-CN"/>
              </w:rPr>
              <w:t>We don't think an explicit configuration is necessary. Proposal A1-3.1 looks good to us. If a majority sees a need to further add a condition for choosing according to the smallest Y 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lang w:val="de-DE" w:eastAsia="zh-CN"/>
              </w:rPr>
            </w:pPr>
            <w:r>
              <w:rPr>
                <w:lang w:eastAsia="zh-CN"/>
              </w:rPr>
              <w:t>CATT</w:t>
            </w:r>
          </w:p>
        </w:tc>
        <w:tc>
          <w:tcPr>
            <w:tcW w:w="12176" w:type="dxa"/>
            <w:vAlign w:val="center"/>
          </w:tcPr>
          <w:p>
            <w:pPr>
              <w:widowControl w:val="0"/>
              <w:spacing w:line="240" w:lineRule="auto"/>
              <w:rPr>
                <w:lang w:eastAsia="zh-CN"/>
              </w:rPr>
            </w:pPr>
            <w:r>
              <w:rPr>
                <w:lang w:eastAsia="zh-CN"/>
              </w:rPr>
              <w:t>We support A1-3.1. Also we prefer not to add Ys to the decision rule.</w:t>
            </w:r>
          </w:p>
          <w:p>
            <w:pPr>
              <w:widowControl w:val="0"/>
              <w:spacing w:line="240" w:lineRule="auto"/>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sz w:val="20"/>
                <w:lang w:eastAsia="zh-CN"/>
              </w:rPr>
            </w:pPr>
            <w:r>
              <w:rPr>
                <w:sz w:val="20"/>
                <w:lang w:eastAsia="zh-CN"/>
              </w:rPr>
              <w:t>Ericsson 2</w:t>
            </w:r>
          </w:p>
        </w:tc>
        <w:tc>
          <w:tcPr>
            <w:tcW w:w="12176" w:type="dxa"/>
            <w:vAlign w:val="center"/>
          </w:tcPr>
          <w:p>
            <w:pPr>
              <w:widowControl w:val="0"/>
              <w:spacing w:line="240" w:lineRule="auto"/>
              <w:rPr>
                <w:sz w:val="20"/>
                <w:lang w:eastAsia="zh-CN"/>
              </w:rPr>
            </w:pPr>
            <w:r>
              <w:rPr>
                <w:sz w:val="20"/>
                <w:lang w:eastAsia="zh-CN"/>
              </w:rPr>
              <w:t xml:space="preserve">We want to check if there is common understanding on one point. Regardless of whether A1-3.1 or A1-3.2 is agreed, we think that the size of the </w:t>
            </w:r>
            <w:r>
              <w:rPr>
                <w:i/>
                <w:iCs/>
                <w:sz w:val="20"/>
                <w:lang w:eastAsia="zh-CN"/>
              </w:rPr>
              <w:t>monitoringSlotsWithinSlotGroup</w:t>
            </w:r>
            <w:r>
              <w:rPr>
                <w:sz w:val="20"/>
                <w:lang w:eastAsia="zh-CN"/>
              </w:rPr>
              <w:t xml:space="preserve"> (4 or 8) is a separate issue. For example, let's say the UE is capable of both (8,1) and (4,1) for 960 kHz SCS. Further let's consider two configured search spaces each based on (8,1), but the Ys = 1 slot in the two different search spaces are offset by 4 slots from each other. In this case the gNB would configure both search spaces with </w:t>
            </w:r>
            <w:r>
              <w:rPr>
                <w:i/>
                <w:iCs/>
                <w:sz w:val="20"/>
                <w:lang w:eastAsia="zh-CN"/>
              </w:rPr>
              <w:t>monitoringSlotsWithinSlotGroup</w:t>
            </w:r>
            <w:r>
              <w:rPr>
                <w:sz w:val="20"/>
                <w:lang w:eastAsia="zh-CN"/>
              </w:rPr>
              <w:t xml:space="preserve"> as a length-8 bitmap with a single '1'. However, since the UE is required to monitor Ys = 1 slot every 4 slots considering the two configured search spaces, then the "effective" Xs is 4. The UE would use this value of Xs for determining search space dropping. This is the Xs that Proposal A1-3.1 and Proposal A1-3.2 addresses, </w:t>
            </w:r>
            <w:r>
              <w:rPr>
                <w:sz w:val="20"/>
                <w:u w:val="single"/>
                <w:lang w:eastAsia="zh-CN"/>
              </w:rPr>
              <w:t>not</w:t>
            </w:r>
            <w:r>
              <w:rPr>
                <w:sz w:val="20"/>
                <w:lang w:eastAsia="zh-CN"/>
              </w:rPr>
              <w:t xml:space="preserve"> the Xs used for configuration of </w:t>
            </w:r>
            <w:r>
              <w:rPr>
                <w:i/>
                <w:iCs/>
                <w:sz w:val="20"/>
                <w:lang w:eastAsia="zh-CN"/>
              </w:rPr>
              <w:t>monitoringSlotsWithinSlotGroup</w:t>
            </w:r>
            <w:r>
              <w:rPr>
                <w:sz w:val="20"/>
                <w:lang w:eastAsia="zh-CN"/>
              </w:rPr>
              <w:t>. Is this common understanding?</w:t>
            </w:r>
          </w:p>
        </w:tc>
      </w:tr>
    </w:tbl>
    <w:p>
      <w:pPr>
        <w:autoSpaceDE/>
        <w:autoSpaceDN/>
        <w:adjustRightInd/>
        <w:snapToGrid/>
        <w:spacing w:after="0" w:line="240" w:lineRule="auto"/>
        <w:rPr>
          <w:lang w:eastAsia="zh-CN"/>
        </w:rPr>
      </w:pPr>
    </w:p>
    <w:p>
      <w:pPr>
        <w:pStyle w:val="5"/>
      </w:pPr>
      <w:r>
        <w:t>First round discussion summary</w:t>
      </w:r>
    </w:p>
    <w:p>
      <w:pPr>
        <w:rPr>
          <w:lang w:eastAsia="zh-CN"/>
        </w:rPr>
      </w:pPr>
      <w:r>
        <w:rPr>
          <w:lang w:eastAsia="zh-CN"/>
        </w:rPr>
        <w:t>A majority of companies supports overall a rule-based approach as in Proposal A1-3.1, where a small number of companies additionally thinks that also Ys needs to be included in the decision rule. Therefore, FL suggests to allow companies to continue discussion whether Ys is necessary or not, however prefers to have it just as a Note and not as FFS since we are in Rel-17 maintenance phase.</w:t>
      </w:r>
    </w:p>
    <w:p>
      <w:pPr>
        <w:rPr>
          <w:lang w:eastAsia="zh-CN"/>
        </w:rPr>
      </w:pPr>
      <w:r>
        <w:rPr>
          <w:lang w:eastAsia="zh-CN"/>
        </w:rPr>
        <w:t xml:space="preserve">Additionally, Ericsson asks to confim that the determination of (Xs, Ys) for the purpose of calculating the BD/CCE budget (and consequently BD dropping) can be different from the Xs being discussed for the size of </w:t>
      </w:r>
      <w:r>
        <w:rPr>
          <w:i/>
          <w:iCs/>
          <w:lang w:eastAsia="zh-CN"/>
        </w:rPr>
        <w:t>monitoringSlotsWithinSlotGroup</w:t>
      </w:r>
      <w:r>
        <w:rPr>
          <w:lang w:eastAsia="zh-CN"/>
        </w:rPr>
        <w:t xml:space="preserve"> (see Issue A2-1). This understanding seems to be shared by Qualcomm.</w:t>
      </w:r>
    </w:p>
    <w:p>
      <w:pPr>
        <w:pStyle w:val="5"/>
      </w:pPr>
      <w:r>
        <w:t>Second round discussion</w:t>
      </w:r>
    </w:p>
    <w:p>
      <w:pPr>
        <w:rPr>
          <w:lang w:eastAsia="zh-CN"/>
        </w:rPr>
      </w:pPr>
      <w:r>
        <w:rPr>
          <w:bCs/>
          <w:lang w:val="en-GB" w:eastAsia="zh-CN"/>
        </w:rPr>
        <w:t xml:space="preserve">In view of the first round discussion, </w:t>
      </w:r>
      <w:r>
        <w:rPr>
          <w:lang w:eastAsia="zh-CN"/>
        </w:rPr>
        <w:t>FL suggests to adopt Proposal A1-3.1a.</w:t>
      </w:r>
    </w:p>
    <w:p>
      <w:pPr>
        <w:tabs>
          <w:tab w:val="left" w:pos="1300"/>
        </w:tabs>
        <w:spacing w:after="0"/>
        <w:jc w:val="both"/>
        <w:rPr>
          <w:bCs/>
          <w:sz w:val="20"/>
          <w:szCs w:val="20"/>
        </w:rPr>
      </w:pPr>
      <w:r>
        <w:rPr>
          <w:b/>
          <w:sz w:val="20"/>
          <w:szCs w:val="20"/>
          <w:highlight w:val="yellow"/>
          <w:u w:val="single"/>
        </w:rPr>
        <w:t>Proposal A1-3.1a</w:t>
      </w:r>
      <w:r>
        <w:rPr>
          <w:b/>
          <w:sz w:val="20"/>
          <w:szCs w:val="20"/>
          <w:highlight w:val="yellow"/>
        </w:rPr>
        <w:t>:</w:t>
      </w:r>
      <w:r>
        <w:rPr>
          <w:bCs/>
          <w:sz w:val="20"/>
          <w:szCs w:val="20"/>
        </w:rPr>
        <w:t xml:space="preserve"> (Red highlights show difference to Proposal A1-3.1)</w:t>
      </w:r>
    </w:p>
    <w:p>
      <w:pPr>
        <w:pStyle w:val="82"/>
        <w:numPr>
          <w:ilvl w:val="0"/>
          <w:numId w:val="21"/>
        </w:numPr>
        <w:tabs>
          <w:tab w:val="left" w:pos="1300"/>
        </w:tabs>
        <w:rPr>
          <w:rFonts w:eastAsia="Yu Mincho"/>
          <w:bCs/>
          <w:iCs/>
          <w:sz w:val="20"/>
          <w:szCs w:val="20"/>
        </w:rPr>
      </w:pP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ctrlPr>
              <w:rPr>
                <w:rFonts w:ascii="Cambria Math" w:hAnsi="Cambria Math"/>
                <w:bCs/>
                <w:i/>
                <w:color w:val="FF0000"/>
                <w:sz w:val="20"/>
                <w:szCs w:val="20"/>
                <w:lang w:eastAsia="zh-CN"/>
              </w:rPr>
            </m:ctrlPr>
          </m:e>
          <m:sub>
            <m:r>
              <m:rPr>
                <m:sty m:val="p"/>
              </m:rPr>
              <w:rPr>
                <w:rFonts w:ascii="Cambria Math" w:hAnsi="Cambria Math"/>
                <w:color w:val="FF0000"/>
                <w:sz w:val="20"/>
                <w:szCs w:val="20"/>
                <w:lang w:eastAsia="zh-CN"/>
              </w:rPr>
              <m:t>PDCCH</m:t>
            </m:r>
            <m:ctrlPr>
              <w:rPr>
                <w:rFonts w:ascii="Cambria Math" w:hAnsi="Cambria Math"/>
                <w:bCs/>
                <w:i/>
                <w:color w:val="FF0000"/>
                <w:sz w:val="20"/>
                <w:szCs w:val="20"/>
                <w:lang w:eastAsia="zh-CN"/>
              </w:rPr>
            </m:ctrlP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ctrlPr>
                      <w:rPr>
                        <w:rFonts w:ascii="Cambria Math" w:hAnsi="Cambria Math"/>
                        <w:bCs/>
                        <w:i/>
                        <w:color w:val="FF0000"/>
                        <w:sz w:val="20"/>
                        <w:szCs w:val="20"/>
                        <w:lang w:eastAsia="zh-CN"/>
                      </w:rPr>
                    </m:ctrlPr>
                  </m:e>
                  <m:sub>
                    <m:r>
                      <w:rPr>
                        <w:rFonts w:ascii="Cambria Math" w:hAnsi="Cambria Math"/>
                        <w:color w:val="FF0000"/>
                        <w:sz w:val="20"/>
                        <w:szCs w:val="20"/>
                        <w:lang w:eastAsia="zh-CN"/>
                      </w:rPr>
                      <m:t>s</m:t>
                    </m:r>
                    <m:ctrlPr>
                      <w:rPr>
                        <w:rFonts w:ascii="Cambria Math" w:hAnsi="Cambria Math"/>
                        <w:bCs/>
                        <w:i/>
                        <w:color w:val="FF0000"/>
                        <w:sz w:val="20"/>
                        <w:szCs w:val="20"/>
                        <w:lang w:eastAsia="zh-CN"/>
                      </w:rPr>
                    </m:ctrlP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ctrlPr>
                      <w:rPr>
                        <w:rFonts w:ascii="Cambria Math" w:hAnsi="Cambria Math"/>
                        <w:bCs/>
                        <w:i/>
                        <w:color w:val="FF0000"/>
                        <w:sz w:val="20"/>
                        <w:szCs w:val="20"/>
                        <w:lang w:eastAsia="zh-CN"/>
                      </w:rPr>
                    </m:ctrlPr>
                  </m:e>
                  <m:sub>
                    <m:r>
                      <w:rPr>
                        <w:rFonts w:ascii="Cambria Math" w:hAnsi="Cambria Math"/>
                        <w:color w:val="FF0000"/>
                        <w:sz w:val="20"/>
                        <w:szCs w:val="20"/>
                        <w:lang w:eastAsia="zh-CN"/>
                      </w:rPr>
                      <m:t>s</m:t>
                    </m:r>
                    <m:ctrlPr>
                      <w:rPr>
                        <w:rFonts w:ascii="Cambria Math" w:hAnsi="Cambria Math"/>
                        <w:bCs/>
                        <w:i/>
                        <w:color w:val="FF0000"/>
                        <w:sz w:val="20"/>
                        <w:szCs w:val="20"/>
                        <w:lang w:eastAsia="zh-CN"/>
                      </w:rPr>
                    </m:ctrlPr>
                  </m:sub>
                </m:sSub>
                <m:ctrlPr>
                  <w:rPr>
                    <w:rFonts w:ascii="Cambria Math" w:hAnsi="Cambria Math"/>
                    <w:bCs/>
                    <w:i/>
                    <w:color w:val="FF0000"/>
                    <w:sz w:val="20"/>
                    <w:szCs w:val="20"/>
                    <w:lang w:eastAsia="zh-CN"/>
                  </w:rPr>
                </m:ctrlPr>
              </m:e>
            </m:d>
            <m:r>
              <w:rPr>
                <w:rFonts w:ascii="Cambria Math" w:hAnsi="Cambria Math"/>
                <w:color w:val="FF0000"/>
                <w:sz w:val="20"/>
                <w:szCs w:val="20"/>
                <w:lang w:eastAsia="zh-CN"/>
              </w:rPr>
              <m:t>,μ</m:t>
            </m:r>
            <m:ctrlPr>
              <w:rPr>
                <w:rFonts w:ascii="Cambria Math" w:hAnsi="Cambria Math"/>
                <w:bCs/>
                <w:i/>
                <w:color w:val="FF0000"/>
                <w:sz w:val="20"/>
                <w:szCs w:val="20"/>
                <w:lang w:eastAsia="zh-CN"/>
              </w:rPr>
            </m:ctrlP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ctrlPr>
              <w:rPr>
                <w:rFonts w:ascii="Cambria Math" w:hAnsi="Cambria Math"/>
                <w:bCs/>
                <w:i/>
                <w:color w:val="FF0000"/>
                <w:sz w:val="20"/>
                <w:szCs w:val="20"/>
                <w:lang w:eastAsia="zh-CN"/>
              </w:rPr>
            </m:ctrlPr>
          </m:e>
          <m:sub>
            <m:r>
              <m:rPr>
                <m:sty m:val="p"/>
              </m:rPr>
              <w:rPr>
                <w:rFonts w:ascii="Cambria Math" w:hAnsi="Cambria Math"/>
                <w:color w:val="FF0000"/>
                <w:sz w:val="20"/>
                <w:szCs w:val="20"/>
                <w:lang w:eastAsia="zh-CN"/>
              </w:rPr>
              <m:t>PDCCH</m:t>
            </m:r>
            <m:ctrlPr>
              <w:rPr>
                <w:rFonts w:ascii="Cambria Math" w:hAnsi="Cambria Math"/>
                <w:bCs/>
                <w:i/>
                <w:color w:val="FF0000"/>
                <w:sz w:val="20"/>
                <w:szCs w:val="20"/>
                <w:lang w:eastAsia="zh-CN"/>
              </w:rPr>
            </m:ctrlP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ctrlPr>
                      <w:rPr>
                        <w:rFonts w:ascii="Cambria Math" w:hAnsi="Cambria Math"/>
                        <w:bCs/>
                        <w:i/>
                        <w:color w:val="FF0000"/>
                        <w:sz w:val="20"/>
                        <w:szCs w:val="20"/>
                        <w:lang w:eastAsia="zh-CN"/>
                      </w:rPr>
                    </m:ctrlPr>
                  </m:e>
                  <m:sub>
                    <m:r>
                      <w:rPr>
                        <w:rFonts w:ascii="Cambria Math" w:hAnsi="Cambria Math"/>
                        <w:color w:val="FF0000"/>
                        <w:sz w:val="20"/>
                        <w:szCs w:val="20"/>
                        <w:lang w:eastAsia="zh-CN"/>
                      </w:rPr>
                      <m:t>s</m:t>
                    </m:r>
                    <m:ctrlPr>
                      <w:rPr>
                        <w:rFonts w:ascii="Cambria Math" w:hAnsi="Cambria Math"/>
                        <w:bCs/>
                        <w:i/>
                        <w:color w:val="FF0000"/>
                        <w:sz w:val="20"/>
                        <w:szCs w:val="20"/>
                        <w:lang w:eastAsia="zh-CN"/>
                      </w:rPr>
                    </m:ctrlP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ctrlPr>
                      <w:rPr>
                        <w:rFonts w:ascii="Cambria Math" w:hAnsi="Cambria Math"/>
                        <w:bCs/>
                        <w:i/>
                        <w:color w:val="FF0000"/>
                        <w:sz w:val="20"/>
                        <w:szCs w:val="20"/>
                        <w:lang w:eastAsia="zh-CN"/>
                      </w:rPr>
                    </m:ctrlPr>
                  </m:e>
                  <m:sub>
                    <m:r>
                      <w:rPr>
                        <w:rFonts w:ascii="Cambria Math" w:hAnsi="Cambria Math"/>
                        <w:color w:val="FF0000"/>
                        <w:sz w:val="20"/>
                        <w:szCs w:val="20"/>
                        <w:lang w:eastAsia="zh-CN"/>
                      </w:rPr>
                      <m:t>s</m:t>
                    </m:r>
                    <m:ctrlPr>
                      <w:rPr>
                        <w:rFonts w:ascii="Cambria Math" w:hAnsi="Cambria Math"/>
                        <w:bCs/>
                        <w:i/>
                        <w:color w:val="FF0000"/>
                        <w:sz w:val="20"/>
                        <w:szCs w:val="20"/>
                        <w:lang w:eastAsia="zh-CN"/>
                      </w:rPr>
                    </m:ctrlPr>
                  </m:sub>
                </m:sSub>
                <m:ctrlPr>
                  <w:rPr>
                    <w:rFonts w:ascii="Cambria Math" w:hAnsi="Cambria Math"/>
                    <w:bCs/>
                    <w:i/>
                    <w:color w:val="FF0000"/>
                    <w:sz w:val="20"/>
                    <w:szCs w:val="20"/>
                    <w:lang w:eastAsia="zh-CN"/>
                  </w:rPr>
                </m:ctrlPr>
              </m:e>
            </m:d>
            <m:r>
              <w:rPr>
                <w:rFonts w:ascii="Cambria Math" w:hAnsi="Cambria Math"/>
                <w:color w:val="FF0000"/>
                <w:sz w:val="20"/>
                <w:szCs w:val="20"/>
                <w:lang w:eastAsia="zh-CN"/>
              </w:rPr>
              <m:t>,μ</m:t>
            </m:r>
            <m:ctrlPr>
              <w:rPr>
                <w:rFonts w:ascii="Cambria Math" w:hAnsi="Cambria Math"/>
                <w:bCs/>
                <w:i/>
                <w:color w:val="FF0000"/>
                <w:sz w:val="20"/>
                <w:szCs w:val="20"/>
                <w:lang w:eastAsia="zh-CN"/>
              </w:rPr>
            </m:ctrlPr>
          </m:sup>
        </m:sSubSup>
      </m:oMath>
      <w:r>
        <w:rPr>
          <w:bCs/>
          <w:color w:val="FF0000"/>
          <w:sz w:val="20"/>
          <w:szCs w:val="20"/>
          <w:lang w:eastAsia="zh-CN"/>
        </w:rPr>
        <w:t xml:space="preserve"> </w:t>
      </w:r>
      <w:r>
        <w:rPr>
          <w:bCs/>
          <w:iCs/>
          <w:color w:val="FF0000"/>
          <w:sz w:val="20"/>
          <w:szCs w:val="20"/>
        </w:rPr>
        <w:t>for PDCCH monitoring,</w:t>
      </w:r>
      <w:r>
        <w:rPr>
          <w:bCs/>
          <w:iCs/>
          <w:sz w:val="20"/>
          <w:szCs w:val="20"/>
        </w:rPr>
        <w:t xml:space="preserve"> if the configured search space sets comply with the requirements of more than one of the reported PDCCH monitoring </w:t>
      </w:r>
      <m:oMath>
        <m:sSub>
          <m:sSubPr>
            <m:ctrlPr>
              <w:rPr>
                <w:rFonts w:ascii="Cambria Math" w:hAnsi="Cambria Math"/>
                <w:bCs/>
                <w:iCs/>
                <w:sz w:val="20"/>
                <w:szCs w:val="20"/>
              </w:rPr>
            </m:ctrlPr>
          </m:sSubPr>
          <m:e>
            <m:r>
              <m:rPr>
                <m:sty m:val="p"/>
              </m:rPr>
              <w:rPr>
                <w:rFonts w:ascii="Cambria Math" w:hAnsi="Cambria Math"/>
                <w:sz w:val="20"/>
                <w:szCs w:val="20"/>
              </w:rPr>
              <m:t>(X</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oMath>
      <w:r>
        <w:rPr>
          <w:rFonts w:eastAsia="Yu Mincho"/>
          <w:bCs/>
          <w:iCs/>
          <w:sz w:val="20"/>
          <w:szCs w:val="20"/>
        </w:rPr>
        <w:t xml:space="preserve"> capability </w:t>
      </w:r>
      <w:r>
        <w:rPr>
          <w:bCs/>
          <w:iCs/>
          <w:sz w:val="20"/>
          <w:szCs w:val="20"/>
        </w:rPr>
        <w:t xml:space="preserve">combinations, choose a </w:t>
      </w:r>
      <m:oMath>
        <m:sSub>
          <m:sSubPr>
            <m:ctrlPr>
              <w:rPr>
                <w:rFonts w:ascii="Cambria Math" w:hAnsi="Cambria Math"/>
                <w:bCs/>
                <w:iCs/>
                <w:sz w:val="20"/>
                <w:szCs w:val="20"/>
              </w:rPr>
            </m:ctrlPr>
          </m:sSubPr>
          <m:e>
            <m:r>
              <m:rPr>
                <m:sty m:val="p"/>
              </m:rPr>
              <w:rPr>
                <w:rFonts w:ascii="Cambria Math" w:hAnsi="Cambria Math"/>
                <w:sz w:val="20"/>
                <w:szCs w:val="20"/>
              </w:rPr>
              <m:t>(X</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that results in</w:t>
      </w:r>
      <w:r>
        <w:rPr>
          <w:bCs/>
          <w:iCs/>
          <w:sz w:val="20"/>
          <w:szCs w:val="20"/>
        </w:rPr>
        <w:t xml:space="preserve"> the largest number of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ctrlPr>
              <w:rPr>
                <w:rFonts w:ascii="Cambria Math" w:hAnsi="Cambria Math"/>
                <w:bCs/>
                <w:i/>
                <w:sz w:val="20"/>
                <w:szCs w:val="20"/>
                <w:lang w:eastAsia="zh-CN"/>
              </w:rPr>
            </m:ctrlPr>
          </m:e>
          <m:sub>
            <m:r>
              <m:rPr>
                <m:sty m:val="p"/>
              </m:rPr>
              <w:rPr>
                <w:rFonts w:ascii="Cambria Math" w:hAnsi="Cambria Math"/>
                <w:sz w:val="20"/>
                <w:szCs w:val="20"/>
                <w:lang w:eastAsia="zh-CN"/>
              </w:rPr>
              <m:t>PDCCH</m:t>
            </m:r>
            <m:ctrlPr>
              <w:rPr>
                <w:rFonts w:ascii="Cambria Math" w:hAnsi="Cambria Math"/>
                <w:bCs/>
                <w:i/>
                <w:sz w:val="20"/>
                <w:szCs w:val="20"/>
                <w:lang w:eastAsia="zh-CN"/>
              </w:rPr>
            </m:ctrlP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ctrlPr>
                  <w:rPr>
                    <w:rFonts w:ascii="Cambria Math" w:hAnsi="Cambria Math"/>
                    <w:bCs/>
                    <w:i/>
                    <w:sz w:val="20"/>
                    <w:szCs w:val="20"/>
                    <w:lang w:eastAsia="zh-CN"/>
                  </w:rPr>
                </m:ctrlPr>
              </m:e>
            </m:d>
            <m:r>
              <w:rPr>
                <w:rFonts w:ascii="Cambria Math" w:hAnsi="Cambria Math"/>
                <w:sz w:val="20"/>
                <w:szCs w:val="20"/>
                <w:lang w:eastAsia="zh-CN"/>
              </w:rPr>
              <m:t>,μ</m:t>
            </m:r>
            <m:ctrlPr>
              <w:rPr>
                <w:rFonts w:ascii="Cambria Math" w:hAnsi="Cambria Math"/>
                <w:bCs/>
                <w:i/>
                <w:sz w:val="20"/>
                <w:szCs w:val="20"/>
                <w:lang w:eastAsia="zh-CN"/>
              </w:rPr>
            </m:ctrlP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ctrlPr>
              <w:rPr>
                <w:rFonts w:ascii="Cambria Math" w:hAnsi="Cambria Math"/>
                <w:bCs/>
                <w:i/>
                <w:sz w:val="20"/>
                <w:szCs w:val="20"/>
                <w:lang w:eastAsia="zh-CN"/>
              </w:rPr>
            </m:ctrlPr>
          </m:e>
          <m:sub>
            <m:r>
              <m:rPr>
                <m:sty m:val="p"/>
              </m:rPr>
              <w:rPr>
                <w:rFonts w:ascii="Cambria Math" w:hAnsi="Cambria Math"/>
                <w:sz w:val="20"/>
                <w:szCs w:val="20"/>
                <w:lang w:eastAsia="zh-CN"/>
              </w:rPr>
              <m:t>PDCCH</m:t>
            </m:r>
            <m:ctrlPr>
              <w:rPr>
                <w:rFonts w:ascii="Cambria Math" w:hAnsi="Cambria Math"/>
                <w:bCs/>
                <w:i/>
                <w:sz w:val="20"/>
                <w:szCs w:val="20"/>
                <w:lang w:eastAsia="zh-CN"/>
              </w:rPr>
            </m:ctrlP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ctrlPr>
                  <w:rPr>
                    <w:rFonts w:ascii="Cambria Math" w:hAnsi="Cambria Math"/>
                    <w:bCs/>
                    <w:i/>
                    <w:sz w:val="20"/>
                    <w:szCs w:val="20"/>
                    <w:lang w:eastAsia="zh-CN"/>
                  </w:rPr>
                </m:ctrlPr>
              </m:e>
            </m:d>
            <m:r>
              <w:rPr>
                <w:rFonts w:ascii="Cambria Math" w:hAnsi="Cambria Math"/>
                <w:sz w:val="20"/>
                <w:szCs w:val="20"/>
                <w:lang w:eastAsia="zh-CN"/>
              </w:rPr>
              <m:t>,μ</m:t>
            </m:r>
            <m:ctrlPr>
              <w:rPr>
                <w:rFonts w:ascii="Cambria Math" w:hAnsi="Cambria Math"/>
                <w:bCs/>
                <w:i/>
                <w:sz w:val="20"/>
                <w:szCs w:val="20"/>
                <w:lang w:eastAsia="zh-CN"/>
              </w:rPr>
            </m:ctrlPr>
          </m:sup>
        </m:sSubSup>
      </m:oMath>
      <w:r>
        <w:rPr>
          <w:bCs/>
          <w:sz w:val="20"/>
          <w:szCs w:val="20"/>
          <w:lang w:eastAsia="zh-CN"/>
        </w:rPr>
        <w:t xml:space="preserve"> </w:t>
      </w:r>
      <w:r>
        <w:rPr>
          <w:bCs/>
          <w:iCs/>
          <w:sz w:val="20"/>
          <w:szCs w:val="20"/>
        </w:rPr>
        <w:t>for PDCCH monitoring</w:t>
      </w:r>
      <w:r>
        <w:rPr>
          <w:rFonts w:eastAsia="Yu Mincho"/>
          <w:bCs/>
          <w:iCs/>
          <w:sz w:val="20"/>
          <w:szCs w:val="20"/>
        </w:rPr>
        <w:t>.</w:t>
      </w:r>
    </w:p>
    <w:p>
      <w:pPr>
        <w:pStyle w:val="82"/>
        <w:numPr>
          <w:ilvl w:val="0"/>
          <w:numId w:val="21"/>
        </w:numPr>
        <w:tabs>
          <w:tab w:val="left" w:pos="1300"/>
        </w:tabs>
        <w:rPr>
          <w:rFonts w:eastAsia="Yu Mincho"/>
          <w:bCs/>
          <w:iCs/>
          <w:color w:val="FF0000"/>
          <w:sz w:val="20"/>
          <w:szCs w:val="20"/>
        </w:rPr>
      </w:pPr>
      <w:r>
        <w:rPr>
          <w:bCs/>
          <w:color w:val="FF0000"/>
          <w:sz w:val="20"/>
          <w:szCs w:val="20"/>
          <w:lang w:eastAsia="zh-CN"/>
        </w:rPr>
        <w:t>Note: Discussion whether additionally Ys is to be included in the decision rule can continue.</w:t>
      </w:r>
    </w:p>
    <w:p>
      <w:pPr>
        <w:pStyle w:val="82"/>
        <w:numPr>
          <w:ilvl w:val="0"/>
          <w:numId w:val="21"/>
        </w:numPr>
        <w:tabs>
          <w:tab w:val="left" w:pos="1300"/>
        </w:tabs>
        <w:rPr>
          <w:rFonts w:eastAsia="Yu Mincho"/>
          <w:bCs/>
          <w:iCs/>
          <w:color w:val="FF0000"/>
          <w:sz w:val="20"/>
          <w:szCs w:val="20"/>
        </w:rPr>
      </w:pPr>
      <w:r>
        <w:rPr>
          <w:bCs/>
          <w:iCs/>
          <w:color w:val="FF0000"/>
          <w:sz w:val="20"/>
          <w:szCs w:val="20"/>
        </w:rPr>
        <w:t xml:space="preserve">Note: This determination of a </w:t>
      </w:r>
      <m:oMath>
        <m:sSub>
          <m:sSubPr>
            <m:ctrlPr>
              <w:rPr>
                <w:rFonts w:ascii="Cambria Math" w:hAnsi="Cambria Math"/>
                <w:bCs/>
                <w:iCs/>
                <w:color w:val="FF0000"/>
                <w:sz w:val="20"/>
                <w:szCs w:val="20"/>
              </w:rPr>
            </m:ctrlPr>
          </m:sSubPr>
          <m:e>
            <m:r>
              <m:rPr>
                <m:sty m:val="p"/>
              </m:rPr>
              <w:rPr>
                <w:rFonts w:ascii="Cambria Math" w:hAnsi="Cambria Math"/>
                <w:color w:val="FF0000"/>
                <w:sz w:val="20"/>
                <w:szCs w:val="20"/>
              </w:rPr>
              <m:t>(X</m:t>
            </m:r>
            <m:ctrlPr>
              <w:rPr>
                <w:rFonts w:ascii="Cambria Math" w:hAnsi="Cambria Math"/>
                <w:bCs/>
                <w:iCs/>
                <w:color w:val="FF0000"/>
                <w:sz w:val="20"/>
                <w:szCs w:val="20"/>
              </w:rPr>
            </m:ctrlPr>
          </m:e>
          <m:sub>
            <m:r>
              <m:rPr>
                <m:sty m:val="p"/>
              </m:rPr>
              <w:rPr>
                <w:rFonts w:ascii="Cambria Math" w:hAnsi="Cambria Math"/>
                <w:color w:val="FF0000"/>
                <w:sz w:val="20"/>
                <w:szCs w:val="20"/>
              </w:rPr>
              <m:t>s</m:t>
            </m:r>
            <m:ctrlPr>
              <w:rPr>
                <w:rFonts w:ascii="Cambria Math" w:hAnsi="Cambria Math"/>
                <w:bCs/>
                <w:iCs/>
                <w:color w:val="FF0000"/>
                <w:sz w:val="20"/>
                <w:szCs w:val="20"/>
              </w:rPr>
            </m:ctrlPr>
          </m:sub>
        </m:sSub>
        <m:r>
          <m:rPr>
            <m:sty m:val="p"/>
          </m:rPr>
          <w:rPr>
            <w:rFonts w:ascii="Cambria Math" w:hAnsi="Cambria Math"/>
            <w:color w:val="FF0000"/>
            <w:sz w:val="20"/>
            <w:szCs w:val="20"/>
          </w:rPr>
          <m:t>,</m:t>
        </m:r>
        <m:sSub>
          <m:sSubPr>
            <m:ctrlPr>
              <w:rPr>
                <w:rFonts w:ascii="Cambria Math" w:hAnsi="Cambria Math"/>
                <w:bCs/>
                <w:iCs/>
                <w:color w:val="FF0000"/>
                <w:sz w:val="20"/>
                <w:szCs w:val="20"/>
              </w:rPr>
            </m:ctrlPr>
          </m:sSubPr>
          <m:e>
            <m:r>
              <m:rPr>
                <m:sty m:val="p"/>
              </m:rPr>
              <w:rPr>
                <w:rFonts w:ascii="Cambria Math" w:hAnsi="Cambria Math"/>
                <w:color w:val="FF0000"/>
                <w:sz w:val="20"/>
                <w:szCs w:val="20"/>
              </w:rPr>
              <m:t>Y</m:t>
            </m:r>
            <m:ctrlPr>
              <w:rPr>
                <w:rFonts w:ascii="Cambria Math" w:hAnsi="Cambria Math"/>
                <w:bCs/>
                <w:iCs/>
                <w:color w:val="FF0000"/>
                <w:sz w:val="20"/>
                <w:szCs w:val="20"/>
              </w:rPr>
            </m:ctrlPr>
          </m:e>
          <m:sub>
            <m:r>
              <m:rPr>
                <m:sty m:val="p"/>
              </m:rPr>
              <w:rPr>
                <w:rFonts w:ascii="Cambria Math" w:hAnsi="Cambria Math"/>
                <w:color w:val="FF0000"/>
                <w:sz w:val="20"/>
                <w:szCs w:val="20"/>
              </w:rPr>
              <m:t>s</m:t>
            </m:r>
            <m:ctrlPr>
              <w:rPr>
                <w:rFonts w:ascii="Cambria Math" w:hAnsi="Cambria Math"/>
                <w:bCs/>
                <w:iCs/>
                <w:color w:val="FF0000"/>
                <w:sz w:val="20"/>
                <w:szCs w:val="20"/>
              </w:rPr>
            </m:ctrlPr>
          </m:sub>
        </m:sSub>
        <m:r>
          <m:rPr>
            <m:sty m:val="p"/>
          </m:rPr>
          <w:rPr>
            <w:rFonts w:ascii="Cambria Math" w:hAnsi="Cambria Math"/>
            <w:color w:val="FF0000"/>
            <w:sz w:val="20"/>
            <w:szCs w:val="20"/>
          </w:rPr>
          <m:t>)</m:t>
        </m:r>
      </m:oMath>
      <w:r>
        <w:rPr>
          <w:rFonts w:eastAsia="Yu Mincho"/>
          <w:bCs/>
          <w:iCs/>
          <w:color w:val="FF0000"/>
          <w:sz w:val="20"/>
          <w:szCs w:val="20"/>
        </w:rPr>
        <w:t xml:space="preserve"> combination is independent of the size of </w:t>
      </w:r>
      <w:r>
        <w:rPr>
          <w:bCs/>
          <w:i/>
          <w:iCs/>
          <w:color w:val="FF0000"/>
          <w:sz w:val="20"/>
          <w:szCs w:val="20"/>
          <w:lang w:eastAsia="zh-CN"/>
        </w:rPr>
        <w:t>monitoringSlotsWithinSlotGroup</w:t>
      </w:r>
      <w:r>
        <w:rPr>
          <w:bCs/>
          <w:color w:val="FF0000"/>
          <w:sz w:val="20"/>
          <w:szCs w:val="20"/>
          <w:lang w:eastAsia="zh-CN"/>
        </w:rPr>
        <w:t xml:space="preserve"> discussed in the context of search space configuration</w:t>
      </w:r>
    </w:p>
    <w:p>
      <w:pPr>
        <w:autoSpaceDE/>
        <w:autoSpaceDN/>
        <w:adjustRightInd/>
        <w:snapToGrid/>
        <w:spacing w:after="0" w:line="240" w:lineRule="auto"/>
        <w:rPr>
          <w:bCs/>
          <w:lang w:eastAsia="zh-CN"/>
        </w:rPr>
      </w:pPr>
    </w:p>
    <w:p>
      <w:pPr>
        <w:tabs>
          <w:tab w:val="left" w:pos="1300"/>
        </w:tabs>
        <w:spacing w:after="0"/>
        <w:jc w:val="both"/>
        <w:rPr>
          <w:bCs/>
          <w:sz w:val="20"/>
          <w:szCs w:val="20"/>
        </w:rPr>
      </w:pPr>
      <w:r>
        <w:rPr>
          <w:b/>
          <w:sz w:val="20"/>
          <w:szCs w:val="20"/>
          <w:highlight w:val="yellow"/>
          <w:u w:val="single"/>
        </w:rPr>
        <w:t>Proposal A1-3.1b (new)</w:t>
      </w:r>
      <w:r>
        <w:rPr>
          <w:b/>
          <w:sz w:val="20"/>
          <w:szCs w:val="20"/>
          <w:highlight w:val="yellow"/>
        </w:rPr>
        <w:t>:</w:t>
      </w:r>
    </w:p>
    <w:p>
      <w:pPr>
        <w:pStyle w:val="82"/>
        <w:numPr>
          <w:ilvl w:val="0"/>
          <w:numId w:val="21"/>
        </w:numPr>
        <w:tabs>
          <w:tab w:val="left" w:pos="1300"/>
        </w:tabs>
        <w:rPr>
          <w:rFonts w:eastAsia="Yu Mincho"/>
          <w:bCs/>
          <w:iCs/>
          <w:sz w:val="20"/>
          <w:szCs w:val="20"/>
        </w:rPr>
      </w:pP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ctrlPr>
              <w:rPr>
                <w:rFonts w:ascii="Cambria Math" w:hAnsi="Cambria Math"/>
                <w:bCs/>
                <w:i/>
                <w:color w:val="FF0000"/>
                <w:sz w:val="20"/>
                <w:szCs w:val="20"/>
                <w:lang w:eastAsia="zh-CN"/>
              </w:rPr>
            </m:ctrlPr>
          </m:e>
          <m:sub>
            <m:r>
              <m:rPr>
                <m:sty m:val="p"/>
              </m:rPr>
              <w:rPr>
                <w:rFonts w:ascii="Cambria Math" w:hAnsi="Cambria Math"/>
                <w:color w:val="FF0000"/>
                <w:sz w:val="20"/>
                <w:szCs w:val="20"/>
                <w:lang w:eastAsia="zh-CN"/>
              </w:rPr>
              <m:t>PDCCH</m:t>
            </m:r>
            <m:ctrlPr>
              <w:rPr>
                <w:rFonts w:ascii="Cambria Math" w:hAnsi="Cambria Math"/>
                <w:bCs/>
                <w:i/>
                <w:color w:val="FF0000"/>
                <w:sz w:val="20"/>
                <w:szCs w:val="20"/>
                <w:lang w:eastAsia="zh-CN"/>
              </w:rPr>
            </m:ctrlP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ctrlPr>
                      <w:rPr>
                        <w:rFonts w:ascii="Cambria Math" w:hAnsi="Cambria Math"/>
                        <w:bCs/>
                        <w:i/>
                        <w:color w:val="FF0000"/>
                        <w:sz w:val="20"/>
                        <w:szCs w:val="20"/>
                        <w:lang w:eastAsia="zh-CN"/>
                      </w:rPr>
                    </m:ctrlPr>
                  </m:e>
                  <m:sub>
                    <m:r>
                      <w:rPr>
                        <w:rFonts w:ascii="Cambria Math" w:hAnsi="Cambria Math"/>
                        <w:color w:val="FF0000"/>
                        <w:sz w:val="20"/>
                        <w:szCs w:val="20"/>
                        <w:lang w:eastAsia="zh-CN"/>
                      </w:rPr>
                      <m:t>s</m:t>
                    </m:r>
                    <m:ctrlPr>
                      <w:rPr>
                        <w:rFonts w:ascii="Cambria Math" w:hAnsi="Cambria Math"/>
                        <w:bCs/>
                        <w:i/>
                        <w:color w:val="FF0000"/>
                        <w:sz w:val="20"/>
                        <w:szCs w:val="20"/>
                        <w:lang w:eastAsia="zh-CN"/>
                      </w:rPr>
                    </m:ctrlP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ctrlPr>
                      <w:rPr>
                        <w:rFonts w:ascii="Cambria Math" w:hAnsi="Cambria Math"/>
                        <w:bCs/>
                        <w:i/>
                        <w:color w:val="FF0000"/>
                        <w:sz w:val="20"/>
                        <w:szCs w:val="20"/>
                        <w:lang w:eastAsia="zh-CN"/>
                      </w:rPr>
                    </m:ctrlPr>
                  </m:e>
                  <m:sub>
                    <m:r>
                      <w:rPr>
                        <w:rFonts w:ascii="Cambria Math" w:hAnsi="Cambria Math"/>
                        <w:color w:val="FF0000"/>
                        <w:sz w:val="20"/>
                        <w:szCs w:val="20"/>
                        <w:lang w:eastAsia="zh-CN"/>
                      </w:rPr>
                      <m:t>s</m:t>
                    </m:r>
                    <m:ctrlPr>
                      <w:rPr>
                        <w:rFonts w:ascii="Cambria Math" w:hAnsi="Cambria Math"/>
                        <w:bCs/>
                        <w:i/>
                        <w:color w:val="FF0000"/>
                        <w:sz w:val="20"/>
                        <w:szCs w:val="20"/>
                        <w:lang w:eastAsia="zh-CN"/>
                      </w:rPr>
                    </m:ctrlPr>
                  </m:sub>
                </m:sSub>
                <m:ctrlPr>
                  <w:rPr>
                    <w:rFonts w:ascii="Cambria Math" w:hAnsi="Cambria Math"/>
                    <w:bCs/>
                    <w:i/>
                    <w:color w:val="FF0000"/>
                    <w:sz w:val="20"/>
                    <w:szCs w:val="20"/>
                    <w:lang w:eastAsia="zh-CN"/>
                  </w:rPr>
                </m:ctrlPr>
              </m:e>
            </m:d>
            <m:r>
              <w:rPr>
                <w:rFonts w:ascii="Cambria Math" w:hAnsi="Cambria Math"/>
                <w:color w:val="FF0000"/>
                <w:sz w:val="20"/>
                <w:szCs w:val="20"/>
                <w:lang w:eastAsia="zh-CN"/>
              </w:rPr>
              <m:t>,μ</m:t>
            </m:r>
            <m:ctrlPr>
              <w:rPr>
                <w:rFonts w:ascii="Cambria Math" w:hAnsi="Cambria Math"/>
                <w:bCs/>
                <w:i/>
                <w:color w:val="FF0000"/>
                <w:sz w:val="20"/>
                <w:szCs w:val="20"/>
                <w:lang w:eastAsia="zh-CN"/>
              </w:rPr>
            </m:ctrlP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ctrlPr>
              <w:rPr>
                <w:rFonts w:ascii="Cambria Math" w:hAnsi="Cambria Math"/>
                <w:bCs/>
                <w:i/>
                <w:color w:val="FF0000"/>
                <w:sz w:val="20"/>
                <w:szCs w:val="20"/>
                <w:lang w:eastAsia="zh-CN"/>
              </w:rPr>
            </m:ctrlPr>
          </m:e>
          <m:sub>
            <m:r>
              <m:rPr>
                <m:sty m:val="p"/>
              </m:rPr>
              <w:rPr>
                <w:rFonts w:ascii="Cambria Math" w:hAnsi="Cambria Math"/>
                <w:color w:val="FF0000"/>
                <w:sz w:val="20"/>
                <w:szCs w:val="20"/>
                <w:lang w:eastAsia="zh-CN"/>
              </w:rPr>
              <m:t>PDCCH</m:t>
            </m:r>
            <m:ctrlPr>
              <w:rPr>
                <w:rFonts w:ascii="Cambria Math" w:hAnsi="Cambria Math"/>
                <w:bCs/>
                <w:i/>
                <w:color w:val="FF0000"/>
                <w:sz w:val="20"/>
                <w:szCs w:val="20"/>
                <w:lang w:eastAsia="zh-CN"/>
              </w:rPr>
            </m:ctrlP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ctrlPr>
                      <w:rPr>
                        <w:rFonts w:ascii="Cambria Math" w:hAnsi="Cambria Math"/>
                        <w:bCs/>
                        <w:i/>
                        <w:color w:val="FF0000"/>
                        <w:sz w:val="20"/>
                        <w:szCs w:val="20"/>
                        <w:lang w:eastAsia="zh-CN"/>
                      </w:rPr>
                    </m:ctrlPr>
                  </m:e>
                  <m:sub>
                    <m:r>
                      <w:rPr>
                        <w:rFonts w:ascii="Cambria Math" w:hAnsi="Cambria Math"/>
                        <w:color w:val="FF0000"/>
                        <w:sz w:val="20"/>
                        <w:szCs w:val="20"/>
                        <w:lang w:eastAsia="zh-CN"/>
                      </w:rPr>
                      <m:t>s</m:t>
                    </m:r>
                    <m:ctrlPr>
                      <w:rPr>
                        <w:rFonts w:ascii="Cambria Math" w:hAnsi="Cambria Math"/>
                        <w:bCs/>
                        <w:i/>
                        <w:color w:val="FF0000"/>
                        <w:sz w:val="20"/>
                        <w:szCs w:val="20"/>
                        <w:lang w:eastAsia="zh-CN"/>
                      </w:rPr>
                    </m:ctrlP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ctrlPr>
                      <w:rPr>
                        <w:rFonts w:ascii="Cambria Math" w:hAnsi="Cambria Math"/>
                        <w:bCs/>
                        <w:i/>
                        <w:color w:val="FF0000"/>
                        <w:sz w:val="20"/>
                        <w:szCs w:val="20"/>
                        <w:lang w:eastAsia="zh-CN"/>
                      </w:rPr>
                    </m:ctrlPr>
                  </m:e>
                  <m:sub>
                    <m:r>
                      <w:rPr>
                        <w:rFonts w:ascii="Cambria Math" w:hAnsi="Cambria Math"/>
                        <w:color w:val="FF0000"/>
                        <w:sz w:val="20"/>
                        <w:szCs w:val="20"/>
                        <w:lang w:eastAsia="zh-CN"/>
                      </w:rPr>
                      <m:t>s</m:t>
                    </m:r>
                    <m:ctrlPr>
                      <w:rPr>
                        <w:rFonts w:ascii="Cambria Math" w:hAnsi="Cambria Math"/>
                        <w:bCs/>
                        <w:i/>
                        <w:color w:val="FF0000"/>
                        <w:sz w:val="20"/>
                        <w:szCs w:val="20"/>
                        <w:lang w:eastAsia="zh-CN"/>
                      </w:rPr>
                    </m:ctrlPr>
                  </m:sub>
                </m:sSub>
                <m:ctrlPr>
                  <w:rPr>
                    <w:rFonts w:ascii="Cambria Math" w:hAnsi="Cambria Math"/>
                    <w:bCs/>
                    <w:i/>
                    <w:color w:val="FF0000"/>
                    <w:sz w:val="20"/>
                    <w:szCs w:val="20"/>
                    <w:lang w:eastAsia="zh-CN"/>
                  </w:rPr>
                </m:ctrlPr>
              </m:e>
            </m:d>
            <m:r>
              <w:rPr>
                <w:rFonts w:ascii="Cambria Math" w:hAnsi="Cambria Math"/>
                <w:color w:val="FF0000"/>
                <w:sz w:val="20"/>
                <w:szCs w:val="20"/>
                <w:lang w:eastAsia="zh-CN"/>
              </w:rPr>
              <m:t>,μ</m:t>
            </m:r>
            <m:ctrlPr>
              <w:rPr>
                <w:rFonts w:ascii="Cambria Math" w:hAnsi="Cambria Math"/>
                <w:bCs/>
                <w:i/>
                <w:color w:val="FF0000"/>
                <w:sz w:val="20"/>
                <w:szCs w:val="20"/>
                <w:lang w:eastAsia="zh-CN"/>
              </w:rPr>
            </m:ctrlPr>
          </m:sup>
        </m:sSubSup>
      </m:oMath>
      <w:r>
        <w:rPr>
          <w:bCs/>
          <w:color w:val="FF0000"/>
          <w:sz w:val="20"/>
          <w:szCs w:val="20"/>
          <w:lang w:eastAsia="zh-CN"/>
        </w:rPr>
        <w:t xml:space="preserve"> </w:t>
      </w:r>
      <w:r>
        <w:rPr>
          <w:bCs/>
          <w:iCs/>
          <w:color w:val="FF0000"/>
          <w:sz w:val="20"/>
          <w:szCs w:val="20"/>
        </w:rPr>
        <w:t>for PDCCH monitoring,</w:t>
      </w:r>
      <w:r>
        <w:rPr>
          <w:bCs/>
          <w:iCs/>
          <w:sz w:val="20"/>
          <w:szCs w:val="20"/>
        </w:rPr>
        <w:t xml:space="preserve"> if the configured search space sets comply with the requirements of more than one of the reported PDCCH monitoring </w:t>
      </w:r>
      <m:oMath>
        <m:sSub>
          <m:sSubPr>
            <m:ctrlPr>
              <w:rPr>
                <w:rFonts w:ascii="Cambria Math" w:hAnsi="Cambria Math"/>
                <w:bCs/>
                <w:iCs/>
                <w:sz w:val="20"/>
                <w:szCs w:val="20"/>
              </w:rPr>
            </m:ctrlPr>
          </m:sSubPr>
          <m:e>
            <m:r>
              <m:rPr>
                <m:sty m:val="p"/>
              </m:rPr>
              <w:rPr>
                <w:rFonts w:ascii="Cambria Math" w:hAnsi="Cambria Math"/>
                <w:sz w:val="20"/>
                <w:szCs w:val="20"/>
              </w:rPr>
              <m:t>(X</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oMath>
      <w:r>
        <w:rPr>
          <w:rFonts w:eastAsia="Yu Mincho"/>
          <w:bCs/>
          <w:iCs/>
          <w:sz w:val="20"/>
          <w:szCs w:val="20"/>
        </w:rPr>
        <w:t xml:space="preserve"> capability </w:t>
      </w:r>
      <w:r>
        <w:rPr>
          <w:bCs/>
          <w:iCs/>
          <w:sz w:val="20"/>
          <w:szCs w:val="20"/>
        </w:rPr>
        <w:t xml:space="preserve">combinations, choose a </w:t>
      </w:r>
      <m:oMath>
        <m:sSub>
          <m:sSubPr>
            <m:ctrlPr>
              <w:rPr>
                <w:rFonts w:ascii="Cambria Math" w:hAnsi="Cambria Math"/>
                <w:bCs/>
                <w:iCs/>
                <w:sz w:val="20"/>
                <w:szCs w:val="20"/>
              </w:rPr>
            </m:ctrlPr>
          </m:sSubPr>
          <m:e>
            <m:r>
              <m:rPr>
                <m:sty m:val="p"/>
              </m:rPr>
              <w:rPr>
                <w:rFonts w:ascii="Cambria Math" w:hAnsi="Cambria Math"/>
                <w:sz w:val="20"/>
                <w:szCs w:val="20"/>
              </w:rPr>
              <m:t>(X</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that results in</w:t>
      </w:r>
      <w:r>
        <w:rPr>
          <w:bCs/>
          <w:iCs/>
          <w:sz w:val="20"/>
          <w:szCs w:val="20"/>
        </w:rPr>
        <w:t xml:space="preserve"> the largest number of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ctrlPr>
              <w:rPr>
                <w:rFonts w:ascii="Cambria Math" w:hAnsi="Cambria Math"/>
                <w:bCs/>
                <w:i/>
                <w:sz w:val="20"/>
                <w:szCs w:val="20"/>
                <w:lang w:eastAsia="zh-CN"/>
              </w:rPr>
            </m:ctrlPr>
          </m:e>
          <m:sub>
            <m:r>
              <m:rPr>
                <m:sty m:val="p"/>
              </m:rPr>
              <w:rPr>
                <w:rFonts w:ascii="Cambria Math" w:hAnsi="Cambria Math"/>
                <w:sz w:val="20"/>
                <w:szCs w:val="20"/>
                <w:lang w:eastAsia="zh-CN"/>
              </w:rPr>
              <m:t>PDCCH</m:t>
            </m:r>
            <m:ctrlPr>
              <w:rPr>
                <w:rFonts w:ascii="Cambria Math" w:hAnsi="Cambria Math"/>
                <w:bCs/>
                <w:i/>
                <w:sz w:val="20"/>
                <w:szCs w:val="20"/>
                <w:lang w:eastAsia="zh-CN"/>
              </w:rPr>
            </m:ctrlP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ctrlPr>
                  <w:rPr>
                    <w:rFonts w:ascii="Cambria Math" w:hAnsi="Cambria Math"/>
                    <w:bCs/>
                    <w:i/>
                    <w:sz w:val="20"/>
                    <w:szCs w:val="20"/>
                    <w:lang w:eastAsia="zh-CN"/>
                  </w:rPr>
                </m:ctrlPr>
              </m:e>
            </m:d>
            <m:r>
              <w:rPr>
                <w:rFonts w:ascii="Cambria Math" w:hAnsi="Cambria Math"/>
                <w:sz w:val="20"/>
                <w:szCs w:val="20"/>
                <w:lang w:eastAsia="zh-CN"/>
              </w:rPr>
              <m:t>,μ</m:t>
            </m:r>
            <m:ctrlPr>
              <w:rPr>
                <w:rFonts w:ascii="Cambria Math" w:hAnsi="Cambria Math"/>
                <w:bCs/>
                <w:i/>
                <w:sz w:val="20"/>
                <w:szCs w:val="20"/>
                <w:lang w:eastAsia="zh-CN"/>
              </w:rPr>
            </m:ctrlP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ctrlPr>
              <w:rPr>
                <w:rFonts w:ascii="Cambria Math" w:hAnsi="Cambria Math"/>
                <w:bCs/>
                <w:i/>
                <w:sz w:val="20"/>
                <w:szCs w:val="20"/>
                <w:lang w:eastAsia="zh-CN"/>
              </w:rPr>
            </m:ctrlPr>
          </m:e>
          <m:sub>
            <m:r>
              <m:rPr>
                <m:sty m:val="p"/>
              </m:rPr>
              <w:rPr>
                <w:rFonts w:ascii="Cambria Math" w:hAnsi="Cambria Math"/>
                <w:sz w:val="20"/>
                <w:szCs w:val="20"/>
                <w:lang w:eastAsia="zh-CN"/>
              </w:rPr>
              <m:t>PDCCH</m:t>
            </m:r>
            <m:ctrlPr>
              <w:rPr>
                <w:rFonts w:ascii="Cambria Math" w:hAnsi="Cambria Math"/>
                <w:bCs/>
                <w:i/>
                <w:sz w:val="20"/>
                <w:szCs w:val="20"/>
                <w:lang w:eastAsia="zh-CN"/>
              </w:rPr>
            </m:ctrlP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ctrlPr>
                  <w:rPr>
                    <w:rFonts w:ascii="Cambria Math" w:hAnsi="Cambria Math"/>
                    <w:bCs/>
                    <w:i/>
                    <w:sz w:val="20"/>
                    <w:szCs w:val="20"/>
                    <w:lang w:eastAsia="zh-CN"/>
                  </w:rPr>
                </m:ctrlPr>
              </m:e>
            </m:d>
            <m:r>
              <w:rPr>
                <w:rFonts w:ascii="Cambria Math" w:hAnsi="Cambria Math"/>
                <w:sz w:val="20"/>
                <w:szCs w:val="20"/>
                <w:lang w:eastAsia="zh-CN"/>
              </w:rPr>
              <m:t>,μ</m:t>
            </m:r>
            <m:ctrlPr>
              <w:rPr>
                <w:rFonts w:ascii="Cambria Math" w:hAnsi="Cambria Math"/>
                <w:bCs/>
                <w:i/>
                <w:sz w:val="20"/>
                <w:szCs w:val="20"/>
                <w:lang w:eastAsia="zh-CN"/>
              </w:rPr>
            </m:ctrlPr>
          </m:sup>
        </m:sSubSup>
      </m:oMath>
      <w:r>
        <w:rPr>
          <w:bCs/>
          <w:sz w:val="20"/>
          <w:szCs w:val="20"/>
          <w:lang w:eastAsia="zh-CN"/>
        </w:rPr>
        <w:t xml:space="preserve"> </w:t>
      </w:r>
      <w:r>
        <w:rPr>
          <w:bCs/>
          <w:iCs/>
          <w:sz w:val="20"/>
          <w:szCs w:val="20"/>
        </w:rPr>
        <w:t>for PDCCH monitoring</w:t>
      </w:r>
      <w:r>
        <w:rPr>
          <w:rFonts w:eastAsia="Yu Mincho"/>
          <w:bCs/>
          <w:iCs/>
          <w:sz w:val="20"/>
          <w:szCs w:val="20"/>
        </w:rPr>
        <w:t>.</w:t>
      </w:r>
    </w:p>
    <w:p>
      <w:pPr>
        <w:tabs>
          <w:tab w:val="left" w:pos="1300"/>
        </w:tabs>
        <w:rPr>
          <w:rFonts w:eastAsia="Yu Mincho"/>
          <w:bCs/>
          <w:iCs/>
          <w:sz w:val="20"/>
          <w:szCs w:val="20"/>
        </w:rPr>
      </w:pPr>
    </w:p>
    <w:p>
      <w:pPr>
        <w:tabs>
          <w:tab w:val="left" w:pos="1300"/>
        </w:tabs>
        <w:spacing w:after="0"/>
        <w:rPr>
          <w:rFonts w:eastAsia="Yu Mincho"/>
          <w:bCs/>
          <w:iCs/>
          <w:sz w:val="20"/>
          <w:szCs w:val="20"/>
        </w:rPr>
      </w:pPr>
      <w:r>
        <w:rPr>
          <w:b/>
          <w:sz w:val="20"/>
          <w:szCs w:val="20"/>
          <w:highlight w:val="yellow"/>
          <w:u w:val="single"/>
        </w:rPr>
        <w:t>Proposal A1-3.1c (Proposed by Ericsson)</w:t>
      </w:r>
      <w:r>
        <w:rPr>
          <w:b/>
          <w:sz w:val="20"/>
          <w:szCs w:val="20"/>
          <w:highlight w:val="yellow"/>
        </w:rPr>
        <w:t>:</w:t>
      </w:r>
    </w:p>
    <w:p>
      <w:pPr>
        <w:rPr>
          <w:rFonts w:ascii="Calibri" w:hAnsi="Calibri" w:cs="Calibri"/>
          <w:sz w:val="20"/>
          <w:szCs w:val="20"/>
        </w:rPr>
      </w:pPr>
      <w:r>
        <w:rPr>
          <w:rFonts w:ascii="Calibri" w:hAnsi="Calibri" w:cs="Calibri"/>
          <w:sz w:val="20"/>
          <w:szCs w:val="20"/>
        </w:rPr>
        <w:t xml:space="preserve">For </w:t>
      </w:r>
      <m:oMath>
        <m:r>
          <w:rPr>
            <w:rFonts w:ascii="Cambria Math" w:hAnsi="Cambria Math" w:cs="Calibri"/>
            <w:sz w:val="20"/>
            <w:szCs w:val="20"/>
          </w:rPr>
          <m:t>μ=6, i</m:t>
        </m:r>
      </m:oMath>
      <w:r>
        <w:rPr>
          <w:rFonts w:ascii="Calibri" w:hAnsi="Calibri" w:cs="Calibri"/>
          <w:sz w:val="20"/>
          <w:szCs w:val="20"/>
        </w:rPr>
        <w:t xml:space="preserve">f more than one of the reported PDCCH monitoring </w:t>
      </w:r>
      <m:oMath>
        <m:sSub>
          <m:sSubPr>
            <m:ctrlPr>
              <w:rPr>
                <w:rFonts w:ascii="Cambria Math" w:hAnsi="Cambria Math" w:cs="Calibri"/>
              </w:rPr>
            </m:ctrlPr>
          </m:sSubPr>
          <m:e>
            <m:r>
              <m:rPr>
                <m:sty m:val="p"/>
              </m:rPr>
              <w:rPr>
                <w:rFonts w:ascii="Cambria Math" w:hAnsi="Cambria Math" w:cs="Calibri"/>
                <w:sz w:val="20"/>
                <w:szCs w:val="20"/>
              </w:rPr>
              <m:t>(X</m:t>
            </m:r>
            <m:ctrlPr>
              <w:rPr>
                <w:rFonts w:ascii="Cambria Math" w:hAnsi="Cambria Math" w:cs="Calibri"/>
              </w:rPr>
            </m:ctrlPr>
          </m:e>
          <m:sub>
            <m:r>
              <m:rPr>
                <m:sty m:val="p"/>
              </m:rPr>
              <w:rPr>
                <w:rFonts w:ascii="Cambria Math" w:hAnsi="Cambria Math" w:cs="Calibri"/>
                <w:sz w:val="20"/>
                <w:szCs w:val="20"/>
              </w:rPr>
              <m:t>s</m:t>
            </m:r>
            <m:ctrlPr>
              <w:rPr>
                <w:rFonts w:ascii="Cambria Math" w:hAnsi="Cambria Math" w:cs="Calibri"/>
              </w:rPr>
            </m:ctrlPr>
          </m:sub>
        </m:sSub>
        <m:r>
          <m:rPr>
            <m:sty m:val="p"/>
          </m:rPr>
          <w:rPr>
            <w:rFonts w:ascii="Cambria Math" w:hAnsi="Cambria Math" w:cs="Calibri"/>
            <w:sz w:val="20"/>
            <w:szCs w:val="20"/>
          </w:rPr>
          <m:t>,</m:t>
        </m:r>
        <m:sSub>
          <m:sSubPr>
            <m:ctrlPr>
              <w:rPr>
                <w:rFonts w:ascii="Cambria Math" w:hAnsi="Cambria Math" w:cs="Calibri"/>
              </w:rPr>
            </m:ctrlPr>
          </m:sSubPr>
          <m:e>
            <m:r>
              <m:rPr>
                <m:sty m:val="p"/>
              </m:rPr>
              <w:rPr>
                <w:rFonts w:ascii="Cambria Math" w:hAnsi="Cambria Math" w:cs="Calibri"/>
                <w:sz w:val="20"/>
                <w:szCs w:val="20"/>
              </w:rPr>
              <m:t>Y</m:t>
            </m:r>
            <m:ctrlPr>
              <w:rPr>
                <w:rFonts w:ascii="Cambria Math" w:hAnsi="Cambria Math" w:cs="Calibri"/>
              </w:rPr>
            </m:ctrlPr>
          </m:e>
          <m:sub>
            <m:r>
              <m:rPr>
                <m:sty m:val="p"/>
              </m:rPr>
              <w:rPr>
                <w:rFonts w:ascii="Cambria Math" w:hAnsi="Cambria Math" w:cs="Calibri"/>
                <w:sz w:val="20"/>
                <w:szCs w:val="20"/>
              </w:rPr>
              <m:t>s</m:t>
            </m:r>
            <m:ctrlPr>
              <w:rPr>
                <w:rFonts w:ascii="Cambria Math" w:hAnsi="Cambria Math" w:cs="Calibri"/>
              </w:rPr>
            </m:ctrlPr>
          </m:sub>
        </m:sSub>
        <m:r>
          <m:rPr>
            <m:sty m:val="p"/>
          </m:rPr>
          <w:rPr>
            <w:rFonts w:ascii="Cambria Math" w:hAnsi="Cambria Math" w:cs="Calibri"/>
            <w:sz w:val="20"/>
            <w:szCs w:val="20"/>
          </w:rPr>
          <m:t>)</m:t>
        </m:r>
      </m:oMath>
      <w:r>
        <w:rPr>
          <w:rFonts w:ascii="Calibri" w:hAnsi="Calibri" w:cs="Calibri"/>
          <w:sz w:val="20"/>
          <w:szCs w:val="20"/>
        </w:rPr>
        <w:t xml:space="preserve"> capability combinations comply with all configured search space sets, then the UE assumes </w:t>
      </w:r>
      <m:oMath>
        <m:sSubSup>
          <m:sSubSupPr>
            <m:ctrlPr>
              <w:rPr>
                <w:rFonts w:ascii="Cambria Math" w:hAnsi="Cambria Math" w:cs="Calibri"/>
              </w:rPr>
            </m:ctrlPr>
          </m:sSubSupPr>
          <m:e>
            <m:r>
              <w:rPr>
                <w:rFonts w:ascii="Cambria Math" w:hAnsi="Cambria Math" w:cs="Calibri"/>
                <w:sz w:val="20"/>
                <w:szCs w:val="20"/>
              </w:rPr>
              <m:t>M</m:t>
            </m:r>
            <m:ctrlPr>
              <w:rPr>
                <w:rFonts w:ascii="Cambria Math" w:hAnsi="Cambria Math" w:cs="Calibri"/>
              </w:rPr>
            </m:ctrlPr>
          </m:e>
          <m:sub>
            <m:r>
              <m:rPr>
                <m:sty m:val="p"/>
              </m:rPr>
              <w:rPr>
                <w:rFonts w:ascii="Cambria Math" w:hAnsi="Cambria Math" w:cs="Calibri"/>
                <w:sz w:val="20"/>
                <w:szCs w:val="20"/>
              </w:rPr>
              <m:t>PDCCH</m:t>
            </m:r>
            <m:ctrlPr>
              <w:rPr>
                <w:rFonts w:ascii="Cambria Math" w:hAnsi="Cambria Math" w:cs="Calibri"/>
              </w:rPr>
            </m:ctrlP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ctrlPr>
                      <w:rPr>
                        <w:rFonts w:ascii="Cambria Math" w:hAnsi="Cambria Math" w:cs="Calibri"/>
                      </w:rPr>
                    </m:ctrlPr>
                  </m:e>
                  <m:sub>
                    <m:r>
                      <w:rPr>
                        <w:rFonts w:ascii="Cambria Math" w:hAnsi="Cambria Math" w:cs="Calibri"/>
                        <w:sz w:val="20"/>
                        <w:szCs w:val="20"/>
                      </w:rPr>
                      <m:t>s</m:t>
                    </m:r>
                    <m:ctrlPr>
                      <w:rPr>
                        <w:rFonts w:ascii="Cambria Math" w:hAnsi="Cambria Math" w:cs="Calibri"/>
                      </w:rPr>
                    </m:ctrlP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ctrlPr>
                      <w:rPr>
                        <w:rFonts w:ascii="Cambria Math" w:hAnsi="Cambria Math" w:cs="Calibri"/>
                      </w:rPr>
                    </m:ctrlPr>
                  </m:e>
                  <m:sub>
                    <m:r>
                      <w:rPr>
                        <w:rFonts w:ascii="Cambria Math" w:hAnsi="Cambria Math" w:cs="Calibri"/>
                        <w:sz w:val="20"/>
                        <w:szCs w:val="20"/>
                      </w:rPr>
                      <m:t>s</m:t>
                    </m:r>
                    <m:ctrlPr>
                      <w:rPr>
                        <w:rFonts w:ascii="Cambria Math" w:hAnsi="Cambria Math" w:cs="Calibri"/>
                      </w:rPr>
                    </m:ctrlPr>
                  </m:sub>
                </m:sSub>
                <m:ctrlPr>
                  <w:rPr>
                    <w:rFonts w:ascii="Cambria Math" w:hAnsi="Cambria Math" w:cs="Calibri"/>
                  </w:rPr>
                </m:ctrlPr>
              </m:e>
            </m:d>
            <m:r>
              <m:rPr>
                <m:sty m:val="p"/>
              </m:rPr>
              <w:rPr>
                <w:rFonts w:ascii="Cambria Math" w:hAnsi="Cambria Math" w:cs="Calibri"/>
                <w:sz w:val="20"/>
                <w:szCs w:val="20"/>
              </w:rPr>
              <m:t>,</m:t>
            </m:r>
            <m:r>
              <w:rPr>
                <w:rFonts w:ascii="Cambria Math" w:hAnsi="Cambria Math" w:cs="Calibri"/>
                <w:sz w:val="20"/>
                <w:szCs w:val="20"/>
              </w:rPr>
              <m:t>μ</m:t>
            </m:r>
            <m:ctrlPr>
              <w:rPr>
                <w:rFonts w:ascii="Cambria Math" w:hAnsi="Cambria Math" w:cs="Calibri"/>
              </w:rPr>
            </m:ctrlP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ctrlPr>
              <w:rPr>
                <w:rFonts w:ascii="Cambria Math" w:hAnsi="Cambria Math" w:cs="Calibri"/>
              </w:rPr>
            </m:ctrlPr>
          </m:e>
          <m:sub>
            <m:r>
              <m:rPr>
                <m:sty m:val="p"/>
              </m:rPr>
              <w:rPr>
                <w:rFonts w:ascii="Cambria Math" w:hAnsi="Cambria Math" w:cs="Calibri"/>
                <w:sz w:val="20"/>
                <w:szCs w:val="20"/>
              </w:rPr>
              <m:t>PDCCH</m:t>
            </m:r>
            <m:ctrlPr>
              <w:rPr>
                <w:rFonts w:ascii="Cambria Math" w:hAnsi="Cambria Math" w:cs="Calibri"/>
              </w:rPr>
            </m:ctrlP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ctrlPr>
                      <w:rPr>
                        <w:rFonts w:ascii="Cambria Math" w:hAnsi="Cambria Math" w:cs="Calibri"/>
                      </w:rPr>
                    </m:ctrlPr>
                  </m:e>
                  <m:sub>
                    <m:r>
                      <w:rPr>
                        <w:rFonts w:ascii="Cambria Math" w:hAnsi="Cambria Math" w:cs="Calibri"/>
                        <w:sz w:val="20"/>
                        <w:szCs w:val="20"/>
                      </w:rPr>
                      <m:t>s</m:t>
                    </m:r>
                    <m:ctrlPr>
                      <w:rPr>
                        <w:rFonts w:ascii="Cambria Math" w:hAnsi="Cambria Math" w:cs="Calibri"/>
                      </w:rPr>
                    </m:ctrlP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ctrlPr>
                      <w:rPr>
                        <w:rFonts w:ascii="Cambria Math" w:hAnsi="Cambria Math" w:cs="Calibri"/>
                      </w:rPr>
                    </m:ctrlPr>
                  </m:e>
                  <m:sub>
                    <m:r>
                      <w:rPr>
                        <w:rFonts w:ascii="Cambria Math" w:hAnsi="Cambria Math" w:cs="Calibri"/>
                        <w:sz w:val="20"/>
                        <w:szCs w:val="20"/>
                      </w:rPr>
                      <m:t>s</m:t>
                    </m:r>
                    <m:ctrlPr>
                      <w:rPr>
                        <w:rFonts w:ascii="Cambria Math" w:hAnsi="Cambria Math" w:cs="Calibri"/>
                      </w:rPr>
                    </m:ctrlPr>
                  </m:sub>
                </m:sSub>
                <m:ctrlPr>
                  <w:rPr>
                    <w:rFonts w:ascii="Cambria Math" w:hAnsi="Cambria Math" w:cs="Calibri"/>
                  </w:rPr>
                </m:ctrlPr>
              </m:e>
            </m:d>
            <m:r>
              <m:rPr>
                <m:sty m:val="p"/>
              </m:rPr>
              <w:rPr>
                <w:rFonts w:ascii="Cambria Math" w:hAnsi="Cambria Math" w:cs="Calibri"/>
                <w:sz w:val="20"/>
                <w:szCs w:val="20"/>
              </w:rPr>
              <m:t>,</m:t>
            </m:r>
            <m:r>
              <w:rPr>
                <w:rFonts w:ascii="Cambria Math" w:hAnsi="Cambria Math" w:cs="Calibri"/>
                <w:sz w:val="20"/>
                <w:szCs w:val="20"/>
              </w:rPr>
              <m:t>μ</m:t>
            </m:r>
            <m:ctrlPr>
              <w:rPr>
                <w:rFonts w:ascii="Cambria Math" w:hAnsi="Cambria Math" w:cs="Calibri"/>
              </w:rPr>
            </m:ctrlPr>
          </m:sup>
        </m:sSubSup>
      </m:oMath>
      <w:r>
        <w:rPr>
          <w:rFonts w:ascii="Calibri" w:hAnsi="Calibri" w:cs="Calibri"/>
          <w:sz w:val="20"/>
          <w:szCs w:val="20"/>
        </w:rPr>
        <w:t xml:space="preserve"> values corresponding to the complying combination with the largest </w:t>
      </w:r>
      <m:oMath>
        <m:sSubSup>
          <m:sSubSupPr>
            <m:ctrlPr>
              <w:rPr>
                <w:rFonts w:ascii="Cambria Math" w:hAnsi="Cambria Math" w:cs="Calibri"/>
              </w:rPr>
            </m:ctrlPr>
          </m:sSubSupPr>
          <m:e>
            <m:r>
              <w:rPr>
                <w:rFonts w:ascii="Cambria Math" w:hAnsi="Cambria Math" w:cs="Calibri"/>
                <w:sz w:val="20"/>
                <w:szCs w:val="20"/>
              </w:rPr>
              <m:t>M</m:t>
            </m:r>
            <m:ctrlPr>
              <w:rPr>
                <w:rFonts w:ascii="Cambria Math" w:hAnsi="Cambria Math" w:cs="Calibri"/>
              </w:rPr>
            </m:ctrlPr>
          </m:e>
          <m:sub>
            <m:r>
              <m:rPr>
                <m:sty m:val="p"/>
              </m:rPr>
              <w:rPr>
                <w:rFonts w:ascii="Cambria Math" w:hAnsi="Cambria Math" w:cs="Calibri"/>
                <w:sz w:val="20"/>
                <w:szCs w:val="20"/>
              </w:rPr>
              <m:t>PDCCH</m:t>
            </m:r>
            <m:ctrlPr>
              <w:rPr>
                <w:rFonts w:ascii="Cambria Math" w:hAnsi="Cambria Math" w:cs="Calibri"/>
              </w:rPr>
            </m:ctrlP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ctrlPr>
                      <w:rPr>
                        <w:rFonts w:ascii="Cambria Math" w:hAnsi="Cambria Math" w:cs="Calibri"/>
                      </w:rPr>
                    </m:ctrlPr>
                  </m:e>
                  <m:sub>
                    <m:r>
                      <w:rPr>
                        <w:rFonts w:ascii="Cambria Math" w:hAnsi="Cambria Math" w:cs="Calibri"/>
                        <w:sz w:val="20"/>
                        <w:szCs w:val="20"/>
                      </w:rPr>
                      <m:t>s</m:t>
                    </m:r>
                    <m:ctrlPr>
                      <w:rPr>
                        <w:rFonts w:ascii="Cambria Math" w:hAnsi="Cambria Math" w:cs="Calibri"/>
                      </w:rPr>
                    </m:ctrlP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ctrlPr>
                      <w:rPr>
                        <w:rFonts w:ascii="Cambria Math" w:hAnsi="Cambria Math" w:cs="Calibri"/>
                      </w:rPr>
                    </m:ctrlPr>
                  </m:e>
                  <m:sub>
                    <m:r>
                      <w:rPr>
                        <w:rFonts w:ascii="Cambria Math" w:hAnsi="Cambria Math" w:cs="Calibri"/>
                        <w:sz w:val="20"/>
                        <w:szCs w:val="20"/>
                      </w:rPr>
                      <m:t>s</m:t>
                    </m:r>
                    <m:ctrlPr>
                      <w:rPr>
                        <w:rFonts w:ascii="Cambria Math" w:hAnsi="Cambria Math" w:cs="Calibri"/>
                      </w:rPr>
                    </m:ctrlPr>
                  </m:sub>
                </m:sSub>
                <m:ctrlPr>
                  <w:rPr>
                    <w:rFonts w:ascii="Cambria Math" w:hAnsi="Cambria Math" w:cs="Calibri"/>
                  </w:rPr>
                </m:ctrlPr>
              </m:e>
            </m:d>
            <m:r>
              <m:rPr>
                <m:sty m:val="p"/>
              </m:rPr>
              <w:rPr>
                <w:rFonts w:ascii="Cambria Math" w:hAnsi="Cambria Math" w:cs="Calibri"/>
                <w:sz w:val="20"/>
                <w:szCs w:val="20"/>
              </w:rPr>
              <m:t>,</m:t>
            </m:r>
            <m:r>
              <w:rPr>
                <w:rFonts w:ascii="Cambria Math" w:hAnsi="Cambria Math" w:cs="Calibri"/>
                <w:sz w:val="20"/>
                <w:szCs w:val="20"/>
              </w:rPr>
              <m:t>μ</m:t>
            </m:r>
            <m:ctrlPr>
              <w:rPr>
                <w:rFonts w:ascii="Cambria Math" w:hAnsi="Cambria Math" w:cs="Calibri"/>
              </w:rPr>
            </m:ctrlP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ctrlPr>
              <w:rPr>
                <w:rFonts w:ascii="Cambria Math" w:hAnsi="Cambria Math" w:cs="Calibri"/>
              </w:rPr>
            </m:ctrlPr>
          </m:e>
          <m:sub>
            <m:r>
              <m:rPr>
                <m:sty m:val="p"/>
              </m:rPr>
              <w:rPr>
                <w:rFonts w:ascii="Cambria Math" w:hAnsi="Cambria Math" w:cs="Calibri"/>
                <w:sz w:val="20"/>
                <w:szCs w:val="20"/>
              </w:rPr>
              <m:t>PDCCH</m:t>
            </m:r>
            <m:ctrlPr>
              <w:rPr>
                <w:rFonts w:ascii="Cambria Math" w:hAnsi="Cambria Math" w:cs="Calibri"/>
              </w:rPr>
            </m:ctrlP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ctrlPr>
                      <w:rPr>
                        <w:rFonts w:ascii="Cambria Math" w:hAnsi="Cambria Math" w:cs="Calibri"/>
                      </w:rPr>
                    </m:ctrlPr>
                  </m:e>
                  <m:sub>
                    <m:r>
                      <w:rPr>
                        <w:rFonts w:ascii="Cambria Math" w:hAnsi="Cambria Math" w:cs="Calibri"/>
                        <w:sz w:val="20"/>
                        <w:szCs w:val="20"/>
                      </w:rPr>
                      <m:t>s</m:t>
                    </m:r>
                    <m:ctrlPr>
                      <w:rPr>
                        <w:rFonts w:ascii="Cambria Math" w:hAnsi="Cambria Math" w:cs="Calibri"/>
                      </w:rPr>
                    </m:ctrlP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ctrlPr>
                      <w:rPr>
                        <w:rFonts w:ascii="Cambria Math" w:hAnsi="Cambria Math" w:cs="Calibri"/>
                      </w:rPr>
                    </m:ctrlPr>
                  </m:e>
                  <m:sub>
                    <m:r>
                      <w:rPr>
                        <w:rFonts w:ascii="Cambria Math" w:hAnsi="Cambria Math" w:cs="Calibri"/>
                        <w:sz w:val="20"/>
                        <w:szCs w:val="20"/>
                      </w:rPr>
                      <m:t>s</m:t>
                    </m:r>
                    <m:ctrlPr>
                      <w:rPr>
                        <w:rFonts w:ascii="Cambria Math" w:hAnsi="Cambria Math" w:cs="Calibri"/>
                      </w:rPr>
                    </m:ctrlPr>
                  </m:sub>
                </m:sSub>
                <m:ctrlPr>
                  <w:rPr>
                    <w:rFonts w:ascii="Cambria Math" w:hAnsi="Cambria Math" w:cs="Calibri"/>
                  </w:rPr>
                </m:ctrlPr>
              </m:e>
            </m:d>
            <m:r>
              <m:rPr>
                <m:sty m:val="p"/>
              </m:rPr>
              <w:rPr>
                <w:rFonts w:ascii="Cambria Math" w:hAnsi="Cambria Math" w:cs="Calibri"/>
                <w:sz w:val="20"/>
                <w:szCs w:val="20"/>
              </w:rPr>
              <m:t>,</m:t>
            </m:r>
            <m:r>
              <w:rPr>
                <w:rFonts w:ascii="Cambria Math" w:hAnsi="Cambria Math" w:cs="Calibri"/>
                <w:sz w:val="20"/>
                <w:szCs w:val="20"/>
              </w:rPr>
              <m:t>μ</m:t>
            </m:r>
            <m:ctrlPr>
              <w:rPr>
                <w:rFonts w:ascii="Cambria Math" w:hAnsi="Cambria Math" w:cs="Calibri"/>
              </w:rPr>
            </m:ctrlPr>
          </m:sup>
        </m:sSubSup>
      </m:oMath>
      <w:r>
        <w:rPr>
          <w:rFonts w:ascii="Calibri" w:hAnsi="Calibri" w:cs="Calibri"/>
          <w:sz w:val="20"/>
          <w:szCs w:val="20"/>
        </w:rPr>
        <w:t xml:space="preserve"> values.</w:t>
      </w:r>
    </w:p>
    <w:p>
      <w:pPr>
        <w:pStyle w:val="82"/>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pPr>
        <w:tabs>
          <w:tab w:val="left" w:pos="1300"/>
        </w:tabs>
        <w:rPr>
          <w:rFonts w:eastAsia="Yu Mincho"/>
          <w:bCs/>
          <w:iCs/>
          <w:sz w:val="20"/>
          <w:szCs w:val="20"/>
        </w:rPr>
      </w:pPr>
    </w:p>
    <w:p>
      <w:pPr>
        <w:autoSpaceDE/>
        <w:autoSpaceDN/>
        <w:adjustRightInd/>
        <w:snapToGrid/>
        <w:spacing w:after="0" w:line="240" w:lineRule="auto"/>
        <w:rPr>
          <w:bCs/>
          <w:lang w:eastAsia="zh-CN"/>
        </w:rPr>
      </w:pPr>
    </w:p>
    <w:p>
      <w:pPr>
        <w:autoSpaceDE/>
        <w:autoSpaceDN/>
        <w:adjustRightInd/>
        <w:snapToGrid/>
        <w:spacing w:after="0" w:line="240" w:lineRule="auto"/>
        <w:rPr>
          <w:bCs/>
          <w:lang w:eastAsia="zh-CN"/>
        </w:rPr>
      </w:pPr>
      <w:r>
        <w:rPr>
          <w:bCs/>
          <w:highlight w:val="yellow"/>
          <w:lang w:eastAsia="zh-CN"/>
        </w:rPr>
        <w:t>Please comment only if you have a strong concern with the proposal.</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FFFF" w:themeFill="background1"/>
            <w:vAlign w:val="center"/>
          </w:tcPr>
          <w:p>
            <w:pPr>
              <w:widowControl w:val="0"/>
              <w:rPr>
                <w:lang w:eastAsia="zh-CN"/>
              </w:rPr>
            </w:pPr>
            <w:r>
              <w:rPr>
                <w:lang w:eastAsia="zh-CN"/>
              </w:rPr>
              <w:t>Huawei, HiSilicon</w:t>
            </w:r>
          </w:p>
        </w:tc>
        <w:tc>
          <w:tcPr>
            <w:tcW w:w="12176" w:type="dxa"/>
            <w:shd w:val="clear" w:color="auto" w:fill="FFFFFF" w:themeFill="background1"/>
            <w:vAlign w:val="center"/>
          </w:tcPr>
          <w:p>
            <w:pPr>
              <w:widowControl w:val="0"/>
              <w:rPr>
                <w:lang w:eastAsia="zh-CN"/>
              </w:rPr>
            </w:pPr>
            <w:r>
              <w:rPr>
                <w:lang w:eastAsia="zh-CN"/>
              </w:rPr>
              <w:t xml:space="preserve">We support the Proposal </w:t>
            </w:r>
            <w:r>
              <w:rPr>
                <w:b/>
                <w:sz w:val="20"/>
                <w:szCs w:val="20"/>
                <w:u w:val="single"/>
              </w:rPr>
              <w:t>A1-3.1a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lang w:eastAsia="zh-CN"/>
              </w:rPr>
              <w:t>We still have concerns about the rule-based approach. In our understanding, we have madatorily supported capability in FR 2-2, the situation in multi-slot PDCCH monitoring is different from that in span-based PDCCH monitoring of Rel-16.  In Rel-16 there is no mandatory capabilty and UE can report one or more combinations, However, for multi-slot PDCCH monitoring, (Xs, Ys)</w:t>
            </w:r>
            <w:r>
              <w:rPr>
                <w:rFonts w:hint="eastAsia" w:ascii="Cambria Math" w:hAnsi="Cambria Math"/>
                <w:lang w:eastAsia="zh-CN"/>
              </w:rPr>
              <w:t xml:space="preserve"> </w:t>
            </w:r>
            <w:r>
              <w:rPr>
                <w:rFonts w:hint="eastAsia"/>
                <w:lang w:eastAsia="zh-CN"/>
              </w:rPr>
              <w:t>= (4, 1) and (8, 1) slots for 480 and 960 kHz respectively are almost always chosen since those two combinations are mandatorily supported and associated with the largest BD/CCE budget. The flexibility of multiple configurable (Xs, Ys) is essentially reduced. Can any companies who support Proposal A1-3.1a address our concern?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MediaTek</w:t>
            </w:r>
          </w:p>
        </w:tc>
        <w:tc>
          <w:tcPr>
            <w:tcW w:w="12176" w:type="dxa"/>
            <w:vAlign w:val="center"/>
          </w:tcPr>
          <w:p>
            <w:pPr>
              <w:widowControl w:val="0"/>
              <w:rPr>
                <w:lang w:eastAsia="zh-CN"/>
              </w:rPr>
            </w:pPr>
            <w:r>
              <w:rPr>
                <w:lang w:eastAsia="zh-CN"/>
              </w:rPr>
              <w:t>We would like to point out that the example Ericsson provided in first round discussion might not be valid due to the agreement we made in RAN1 #107e meeting:</w:t>
            </w:r>
          </w:p>
          <w:p>
            <w:pPr>
              <w:widowControl w:val="0"/>
              <w:rPr>
                <w:b/>
              </w:rPr>
            </w:pPr>
            <w:r>
              <w:rPr>
                <w:b/>
                <w:highlight w:val="green"/>
              </w:rPr>
              <w:t>Agreement</w:t>
            </w:r>
          </w:p>
          <w:p>
            <w:pPr>
              <w:pStyle w:val="82"/>
              <w:widowControl w:val="0"/>
              <w:numPr>
                <w:ilvl w:val="0"/>
                <w:numId w:val="22"/>
              </w:numPr>
            </w:pPr>
            <w:r>
              <w:t xml:space="preserve">For Group (1) SS: </w:t>
            </w:r>
            <w:r>
              <w:rPr>
                <w:lang w:eastAsia="zh-CN"/>
              </w:rPr>
              <w:t>Type 1 CSS with dedicated RRC configuration and type 3 CSS, UE specific SS</w:t>
            </w:r>
          </w:p>
          <w:p>
            <w:pPr>
              <w:pStyle w:val="82"/>
              <w:widowControl w:val="0"/>
              <w:numPr>
                <w:ilvl w:val="1"/>
                <w:numId w:val="22"/>
              </w:numPr>
            </w:pPr>
            <w:r>
              <w:t>A SS is monitored within Y consecutive slots within a slot group of X slots</w:t>
            </w:r>
          </w:p>
          <w:p>
            <w:pPr>
              <w:pStyle w:val="82"/>
              <w:widowControl w:val="0"/>
              <w:numPr>
                <w:ilvl w:val="1"/>
                <w:numId w:val="22"/>
              </w:numPr>
            </w:pPr>
            <w:r>
              <w:t>The Y consecutive slots can be located anywhere within the slot group of X slots</w:t>
            </w:r>
          </w:p>
          <w:p>
            <w:pPr>
              <w:pStyle w:val="82"/>
              <w:widowControl w:val="0"/>
              <w:numPr>
                <w:ilvl w:val="2"/>
                <w:numId w:val="22"/>
              </w:numPr>
            </w:pPr>
            <w:r>
              <w:t>Note: There is no requirement to align the Y consecutive slots across UEs or with slot n0</w:t>
            </w:r>
          </w:p>
          <w:p>
            <w:pPr>
              <w:pStyle w:val="82"/>
              <w:widowControl w:val="0"/>
              <w:numPr>
                <w:ilvl w:val="1"/>
                <w:numId w:val="22"/>
              </w:numPr>
            </w:pPr>
            <w:r>
              <w:t>The location of the Y consecutive slots within the slot group of X slots is maintained across different slot groups</w:t>
            </w:r>
          </w:p>
          <w:p>
            <w:pPr>
              <w:pStyle w:val="82"/>
              <w:widowControl w:val="0"/>
              <w:numPr>
                <w:ilvl w:val="1"/>
                <w:numId w:val="22"/>
              </w:numPr>
              <w:rPr>
                <w:highlight w:val="yellow"/>
              </w:rPr>
            </w:pPr>
            <w:r>
              <w:rPr>
                <w:highlight w:val="yellow"/>
              </w:rPr>
              <w:t>BD attempts for all Group (1) SSs are restricted to fall within the same Y consecutive slots</w:t>
            </w:r>
          </w:p>
          <w:p>
            <w:pPr>
              <w:widowControl w:val="0"/>
              <w:rPr>
                <w:lang w:eastAsia="zh-CN"/>
              </w:rPr>
            </w:pPr>
            <w:r>
              <w:rPr>
                <w:lang w:eastAsia="zh-CN"/>
              </w:rPr>
              <w:t xml:space="preserve"> </w:t>
            </w:r>
          </w:p>
          <w:p>
            <w:pPr>
              <w:widowControl w:val="0"/>
              <w:rPr>
                <w:lang w:eastAsia="zh-CN"/>
              </w:rPr>
            </w:pPr>
            <w:r>
              <w:rPr>
                <w:lang w:eastAsia="zh-CN"/>
              </w:rPr>
              <w:t xml:space="preserve">Therefore, we still have the same question on the relation between the outcome of </w:t>
            </w:r>
            <w:r>
              <w:rPr>
                <w:i/>
                <w:iCs/>
                <w:color w:val="000000"/>
              </w:rPr>
              <w:t xml:space="preserve">monitoringSlotsWithinSlotGroup-r17 </w:t>
            </w:r>
            <w:r>
              <w:rPr>
                <w:color w:val="000000"/>
              </w:rPr>
              <w:t>discussion</w:t>
            </w:r>
            <w:r>
              <w:rPr>
                <w:lang w:eastAsia="zh-CN"/>
              </w:rPr>
              <w:t xml:space="preserve"> and determination of Xs and we don’t think the last note is needed.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I</w:t>
            </w:r>
            <w:r>
              <w:rPr>
                <w:lang w:eastAsia="zh-CN"/>
              </w:rPr>
              <w:t>ntel</w:t>
            </w:r>
          </w:p>
        </w:tc>
        <w:tc>
          <w:tcPr>
            <w:tcW w:w="12176" w:type="dxa"/>
            <w:vAlign w:val="center"/>
          </w:tcPr>
          <w:p>
            <w:pPr>
              <w:widowControl w:val="0"/>
              <w:rPr>
                <w:lang w:eastAsia="zh-CN"/>
              </w:rPr>
            </w:pPr>
            <w:r>
              <w:rPr>
                <w:lang w:eastAsia="zh-CN"/>
              </w:rPr>
              <w:t xml:space="preserve">We prefer to determine both Xs and Ys for the active combination. We are fine to agree on the determination of Xs first and continue discussion on Ys determination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We support the proposal Proposal A1-3.1a.</w:t>
            </w:r>
          </w:p>
          <w:p>
            <w:pPr>
              <w:widowControl w:val="0"/>
              <w:rPr>
                <w:lang w:eastAsia="zh-CN"/>
              </w:rPr>
            </w:pPr>
            <w:r>
              <w:rPr>
                <w:lang w:eastAsia="zh-CN"/>
              </w:rPr>
              <w:t>Response to ZTE: there is a condition expressed in the rule that “</w:t>
            </w:r>
            <w:r>
              <w:rPr>
                <w:bCs/>
                <w:iCs/>
              </w:rPr>
              <w:t xml:space="preserve">if the configured search space sets comply with the requirements of more than one of the reported PDCCH monitoring </w:t>
            </w:r>
            <m:oMath>
              <m:sSub>
                <m:sSubPr>
                  <m:ctrlPr>
                    <w:rPr>
                      <w:rFonts w:ascii="Cambria Math" w:hAnsi="Cambria Math"/>
                      <w:bCs/>
                      <w:iCs/>
                    </w:rPr>
                  </m:ctrlPr>
                </m:sSubPr>
                <m:e>
                  <m:r>
                    <m:rPr>
                      <m:sty m:val="p"/>
                    </m:rPr>
                    <w:rPr>
                      <w:rFonts w:ascii="Cambria Math" w:hAnsi="Cambria Math"/>
                    </w:rPr>
                    <m:t>(X</m:t>
                  </m:r>
                  <m:ctrlPr>
                    <w:rPr>
                      <w:rFonts w:ascii="Cambria Math" w:hAnsi="Cambria Math"/>
                      <w:bCs/>
                      <w:iCs/>
                    </w:rPr>
                  </m:ctrlPr>
                </m:e>
                <m:sub>
                  <m:r>
                    <m:rPr>
                      <m:sty m:val="p"/>
                    </m:rPr>
                    <w:rPr>
                      <w:rFonts w:ascii="Cambria Math" w:hAnsi="Cambria Math"/>
                    </w:rPr>
                    <m:t>s</m:t>
                  </m:r>
                  <m:ctrlPr>
                    <w:rPr>
                      <w:rFonts w:ascii="Cambria Math" w:hAnsi="Cambria Math"/>
                      <w:bCs/>
                      <w:iCs/>
                    </w:rPr>
                  </m:ctrlP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Y</m:t>
                  </m:r>
                  <m:ctrlPr>
                    <w:rPr>
                      <w:rFonts w:ascii="Cambria Math" w:hAnsi="Cambria Math"/>
                      <w:bCs/>
                      <w:iCs/>
                    </w:rPr>
                  </m:ctrlPr>
                </m:e>
                <m:sub>
                  <m:r>
                    <m:rPr>
                      <m:sty m:val="p"/>
                    </m:rPr>
                    <w:rPr>
                      <w:rFonts w:ascii="Cambria Math" w:hAnsi="Cambria Math"/>
                    </w:rPr>
                    <m:t>s</m:t>
                  </m:r>
                  <m:ctrlPr>
                    <w:rPr>
                      <w:rFonts w:ascii="Cambria Math" w:hAnsi="Cambria Math"/>
                      <w:bCs/>
                      <w:iCs/>
                    </w:rPr>
                  </m:ctrlPr>
                </m:sub>
              </m:sSub>
              <m:r>
                <m:rPr>
                  <m:sty m:val="p"/>
                </m:rPr>
                <w:rPr>
                  <w:rFonts w:ascii="Cambria Math" w:hAnsi="Cambria Math"/>
                </w:rPr>
                <m:t>)</m:t>
              </m:r>
            </m:oMath>
            <w:r>
              <w:rPr>
                <w:rFonts w:eastAsia="Yu Mincho"/>
                <w:bCs/>
                <w:iCs/>
              </w:rPr>
              <w:t xml:space="preserve"> capability </w:t>
            </w:r>
            <w:r>
              <w:rPr>
                <w:bCs/>
                <w:iCs/>
              </w:rPr>
              <w:t>combinations</w:t>
            </w:r>
            <w:r>
              <w:rPr>
                <w:lang w:eastAsia="zh-CN"/>
              </w:rPr>
              <w:t xml:space="preserve">”, which can be utilized to be avoid always choosing the mandatory combination. For example in 960 kHz, if a NW provides configuration only complied with (4,1) but not (8,1), the UE will determine the combination as (4,1). Actually this behavior is exactly the same as span-based PDCCH monitoring, in the sense that the supported three sets have a common element (X,Y)=(7,3), which is effectively the same as the mandatory combination.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Moderator</w:t>
            </w:r>
          </w:p>
        </w:tc>
        <w:tc>
          <w:tcPr>
            <w:tcW w:w="12176" w:type="dxa"/>
            <w:vAlign w:val="center"/>
          </w:tcPr>
          <w:p>
            <w:pPr>
              <w:widowControl w:val="0"/>
              <w:rPr>
                <w:lang w:eastAsia="zh-CN"/>
              </w:rPr>
            </w:pPr>
            <w:r>
              <w:rPr>
                <w:lang w:eastAsia="zh-CN"/>
              </w:rPr>
              <w:t>I have added Proposal A1-3.1b above, which strips both notes. I hope this could find wider acceptance then.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Sharp</w:t>
            </w:r>
          </w:p>
        </w:tc>
        <w:tc>
          <w:tcPr>
            <w:tcW w:w="12176" w:type="dxa"/>
            <w:vAlign w:val="center"/>
          </w:tcPr>
          <w:p>
            <w:pPr>
              <w:widowControl w:val="0"/>
              <w:rPr>
                <w:lang w:eastAsia="zh-CN"/>
              </w:rPr>
            </w:pPr>
            <w:r>
              <w:rPr>
                <w:lang w:eastAsia="zh-CN"/>
              </w:rPr>
              <w:t>We support the RRC indication of (Xs,Ys) combination.</w:t>
            </w:r>
          </w:p>
          <w:p>
            <w:pPr>
              <w:widowControl w:val="0"/>
              <w:rPr>
                <w:lang w:eastAsia="zh-CN"/>
              </w:rPr>
            </w:pPr>
            <w:r>
              <w:rPr>
                <w:lang w:eastAsia="zh-CN"/>
              </w:rPr>
              <w:t>If the budgets of (4,1) and (4,2) are different values at 960 kHz as discussed in 2.3.1.2, the UE and gNB need to recognize the same combination. Notification by RRC parameters is a simple implementation.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lang w:eastAsia="zh-CN"/>
              </w:rPr>
              <w:t>Qualcomm</w:t>
            </w:r>
          </w:p>
        </w:tc>
        <w:tc>
          <w:tcPr>
            <w:tcW w:w="12176" w:type="dxa"/>
            <w:vAlign w:val="center"/>
          </w:tcPr>
          <w:p>
            <w:pPr>
              <w:widowControl w:val="0"/>
              <w:rPr>
                <w:lang w:eastAsia="zh-CN"/>
              </w:rPr>
            </w:pPr>
            <w:r>
              <w:rPr>
                <w:lang w:eastAsia="zh-CN"/>
              </w:rPr>
              <w:t>We support the proposal.</w:t>
            </w:r>
          </w:p>
          <w:p>
            <w:pPr>
              <w:widowControl w:val="0"/>
              <w:rPr>
                <w:lang w:eastAsia="zh-CN"/>
              </w:rPr>
            </w:pPr>
            <w:r>
              <w:rPr>
                <w:lang w:eastAsia="zh-CN"/>
              </w:rPr>
              <w:t>Regarding MediaTek’s comment, we are not sure why Ericsson’s example is not valid due to the agreement. The following is the illustration of Ericsson’s example.</w:t>
            </w:r>
          </w:p>
          <w:p>
            <w:pPr>
              <w:widowControl w:val="0"/>
              <w:rPr>
                <w:lang w:eastAsia="zh-CN"/>
              </w:rPr>
            </w:pPr>
            <w:r>
              <w:object>
                <v:shape id="_x0000_i1032" o:spt="75" type="#_x0000_t75" style="height:139.5pt;width:468.75pt;" o:ole="t" filled="f" o:preferrelative="t" stroked="f" coordsize="21600,21600">
                  <v:path/>
                  <v:fill on="f" focussize="0,0"/>
                  <v:stroke on="f" joinstyle="miter"/>
                  <v:imagedata r:id="rId29" o:title=""/>
                  <o:lock v:ext="edit" aspectratio="t"/>
                  <w10:wrap type="none"/>
                  <w10:anchorlock/>
                </v:shape>
                <o:OLEObject Type="Embed" ProgID="Visio.Drawing.15" ShapeID="_x0000_i1032" DrawAspect="Content" ObjectID="_1468075732" r:id="rId28">
                  <o:LockedField>false</o:LockedField>
                </o:OLEObject>
              </w:object>
            </w:r>
          </w:p>
          <w:p>
            <w:pPr>
              <w:widowControl w:val="0"/>
              <w:rPr>
                <w:lang w:eastAsia="zh-CN"/>
              </w:rPr>
            </w:pPr>
            <w:r>
              <w:rPr>
                <w:lang w:eastAsia="zh-CN"/>
              </w:rPr>
              <w:t xml:space="preserve">Another examples that, if a UE supports both (8,1) and (4,1), and the gNB wants to configure MOs according to (4,1), a SS set may be configured with </w:t>
            </w:r>
            <w:r>
              <w:rPr>
                <w:i/>
                <w:iCs/>
                <w:lang w:eastAsia="zh-CN"/>
              </w:rPr>
              <w:t>monitoringSlotsWithinSlotGroup</w:t>
            </w:r>
            <w:r>
              <w:rPr>
                <w:lang w:eastAsia="zh-CN"/>
              </w:rPr>
              <w:t xml:space="preserve"> as a length-8 bitmap and another may be configured with length-4 bitmap. The resultant configuration will still satisfy the agreement, “BD attempts for all Group (1) SSs are restricted to fall within the same Y consecutive slots”</w:t>
            </w:r>
          </w:p>
          <w:p>
            <w:pPr>
              <w:widowControl w:val="0"/>
              <w:rPr>
                <w:lang w:eastAsia="zh-CN"/>
              </w:rPr>
            </w:pPr>
            <w:r>
              <w:object>
                <v:shape id="_x0000_i1033" o:spt="75" type="#_x0000_t75" style="height:137.25pt;width:468pt;" o:ole="t" filled="f" o:preferrelative="t" stroked="f" coordsize="21600,21600">
                  <v:path/>
                  <v:fill on="f" focussize="0,0"/>
                  <v:stroke on="f" joinstyle="miter"/>
                  <v:imagedata r:id="rId31" o:title=""/>
                  <o:lock v:ext="edit" aspectratio="t"/>
                  <w10:wrap type="none"/>
                  <w10:anchorlock/>
                </v:shape>
                <o:OLEObject Type="Embed" ProgID="Visio.Drawing.15" ShapeID="_x0000_i1033" DrawAspect="Content" ObjectID="_1468075733" r:id="rId30">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Ericsson</w:t>
            </w:r>
          </w:p>
        </w:tc>
        <w:tc>
          <w:tcPr>
            <w:tcW w:w="12176" w:type="dxa"/>
            <w:vAlign w:val="center"/>
          </w:tcPr>
          <w:p>
            <w:pPr>
              <w:widowControl w:val="0"/>
              <w:spacing w:after="0"/>
              <w:rPr>
                <w:b/>
                <w:bCs/>
                <w:sz w:val="20"/>
                <w:u w:val="single"/>
                <w:lang w:eastAsia="zh-CN"/>
              </w:rPr>
            </w:pPr>
            <w:r>
              <w:rPr>
                <w:sz w:val="20"/>
                <w:lang w:eastAsia="zh-CN"/>
              </w:rPr>
              <w:t xml:space="preserve">We still prefer </w:t>
            </w:r>
            <w:r>
              <w:rPr>
                <w:b/>
                <w:bCs/>
                <w:sz w:val="20"/>
                <w:u w:val="single"/>
                <w:lang w:eastAsia="zh-CN"/>
              </w:rPr>
              <w:t>Proposal A1-3.2a</w:t>
            </w:r>
            <w:r>
              <w:rPr>
                <w:sz w:val="20"/>
                <w:lang w:eastAsia="zh-CN"/>
              </w:rPr>
              <w:t xml:space="preserve"> from the first round discussion (RRC parameter) since we think it is the simplest solution.</w:t>
            </w:r>
          </w:p>
          <w:p>
            <w:pPr>
              <w:widowControl w:val="0"/>
              <w:spacing w:after="0"/>
              <w:rPr>
                <w:b/>
                <w:bCs/>
                <w:sz w:val="20"/>
                <w:u w:val="single"/>
                <w:lang w:eastAsia="zh-CN"/>
              </w:rPr>
            </w:pPr>
          </w:p>
          <w:p>
            <w:pPr>
              <w:widowControl w:val="0"/>
              <w:spacing w:after="0"/>
              <w:rPr>
                <w:sz w:val="20"/>
                <w:lang w:eastAsia="zh-CN"/>
              </w:rPr>
            </w:pPr>
            <w:r>
              <w:rPr>
                <w:sz w:val="20"/>
                <w:lang w:eastAsia="zh-CN"/>
              </w:rPr>
              <w:t xml:space="preserve">However, if that cannot be agreed, then we can accept the rule based approach, but only if the decision rule depends only on Xs (and not Ys). Furthermore, the rule based proposal is only relevant for 960 kHz since the BD/CCE budget is invariant amongst th supported (Xs,Ys) combinations for 480 kHz. Hence we propose to add "For </w:t>
            </w:r>
            <m:oMath>
              <m:r>
                <w:rPr>
                  <w:rFonts w:ascii="Cambria Math" w:hAnsi="Cambria Math"/>
                  <w:sz w:val="20"/>
                  <w:lang w:eastAsia="zh-CN"/>
                </w:rPr>
                <m:t>μ=6</m:t>
              </m:r>
            </m:oMath>
            <w:r>
              <w:rPr>
                <w:sz w:val="20"/>
                <w:lang w:eastAsia="zh-CN"/>
              </w:rPr>
              <w:t>" into the proposal. Also, we find the wording of A1-3.1b and A1-3.1b is unclear and suggest the following simpler wording (Proposal A1-3.1c). Also, with this wording it becomes clear that  if only one reported (Xs,Ys) combination complies with all configured search space sets, then clearly the UE would choose that combination as the "active" (Xs,Ys). This is inline with the comment from Samsung above.</w:t>
            </w:r>
          </w:p>
          <w:p>
            <w:pPr>
              <w:widowControl w:val="0"/>
              <w:spacing w:after="0"/>
              <w:rPr>
                <w:sz w:val="20"/>
                <w:lang w:eastAsia="zh-CN"/>
              </w:rPr>
            </w:pPr>
          </w:p>
          <w:p>
            <w:pPr>
              <w:widowControl w:val="0"/>
              <w:tabs>
                <w:tab w:val="left" w:pos="1300"/>
              </w:tabs>
              <w:spacing w:after="0"/>
              <w:rPr>
                <w:rFonts w:eastAsia="Yu Mincho"/>
                <w:bCs/>
                <w:iCs/>
                <w:sz w:val="20"/>
                <w:szCs w:val="20"/>
              </w:rPr>
            </w:pPr>
            <w:r>
              <w:rPr>
                <w:b/>
                <w:sz w:val="20"/>
                <w:szCs w:val="20"/>
                <w:highlight w:val="yellow"/>
                <w:u w:val="single"/>
              </w:rPr>
              <w:t>Proposal A1-3.1c</w:t>
            </w:r>
          </w:p>
          <w:p>
            <w:pPr>
              <w:widowControl/>
              <w:spacing w:after="0"/>
              <w:rPr>
                <w:rFonts w:ascii="Calibri" w:hAnsi="Calibri" w:cs="Calibri"/>
                <w:sz w:val="20"/>
                <w:szCs w:val="20"/>
              </w:rPr>
            </w:pPr>
            <w:r>
              <w:rPr>
                <w:rFonts w:ascii="Calibri" w:hAnsi="Calibri" w:cs="Calibri"/>
                <w:sz w:val="20"/>
                <w:szCs w:val="20"/>
              </w:rPr>
              <w:t xml:space="preserve">For </w:t>
            </w:r>
            <m:oMath>
              <m:r>
                <w:rPr>
                  <w:rFonts w:ascii="Cambria Math" w:hAnsi="Cambria Math" w:cs="Calibri"/>
                  <w:sz w:val="20"/>
                  <w:szCs w:val="20"/>
                </w:rPr>
                <m:t>μ=6, i</m:t>
              </m:r>
            </m:oMath>
            <w:r>
              <w:rPr>
                <w:rFonts w:ascii="Calibri" w:hAnsi="Calibri" w:cs="Calibri"/>
                <w:sz w:val="20"/>
                <w:szCs w:val="20"/>
              </w:rPr>
              <w:t xml:space="preserve">f more than one of the reported PDCCH monitoring </w:t>
            </w:r>
            <m:oMath>
              <m:sSub>
                <m:sSubPr>
                  <m:ctrlPr>
                    <w:rPr>
                      <w:rFonts w:ascii="Cambria Math" w:hAnsi="Cambria Math" w:cs="Calibri"/>
                    </w:rPr>
                  </m:ctrlPr>
                </m:sSubPr>
                <m:e>
                  <m:r>
                    <m:rPr>
                      <m:sty m:val="p"/>
                    </m:rPr>
                    <w:rPr>
                      <w:rFonts w:ascii="Cambria Math" w:hAnsi="Cambria Math" w:cs="Calibri"/>
                      <w:sz w:val="20"/>
                      <w:szCs w:val="20"/>
                    </w:rPr>
                    <m:t>(X</m:t>
                  </m:r>
                  <m:ctrlPr>
                    <w:rPr>
                      <w:rFonts w:ascii="Cambria Math" w:hAnsi="Cambria Math" w:cs="Calibri"/>
                    </w:rPr>
                  </m:ctrlPr>
                </m:e>
                <m:sub>
                  <m:r>
                    <m:rPr>
                      <m:sty m:val="p"/>
                    </m:rPr>
                    <w:rPr>
                      <w:rFonts w:ascii="Cambria Math" w:hAnsi="Cambria Math" w:cs="Calibri"/>
                      <w:sz w:val="20"/>
                      <w:szCs w:val="20"/>
                    </w:rPr>
                    <m:t>s</m:t>
                  </m:r>
                  <m:ctrlPr>
                    <w:rPr>
                      <w:rFonts w:ascii="Cambria Math" w:hAnsi="Cambria Math" w:cs="Calibri"/>
                    </w:rPr>
                  </m:ctrlPr>
                </m:sub>
              </m:sSub>
              <m:r>
                <m:rPr>
                  <m:sty m:val="p"/>
                </m:rPr>
                <w:rPr>
                  <w:rFonts w:ascii="Cambria Math" w:hAnsi="Cambria Math" w:cs="Calibri"/>
                  <w:sz w:val="20"/>
                  <w:szCs w:val="20"/>
                </w:rPr>
                <m:t>,</m:t>
              </m:r>
              <m:sSub>
                <m:sSubPr>
                  <m:ctrlPr>
                    <w:rPr>
                      <w:rFonts w:ascii="Cambria Math" w:hAnsi="Cambria Math" w:cs="Calibri"/>
                    </w:rPr>
                  </m:ctrlPr>
                </m:sSubPr>
                <m:e>
                  <m:r>
                    <m:rPr>
                      <m:sty m:val="p"/>
                    </m:rPr>
                    <w:rPr>
                      <w:rFonts w:ascii="Cambria Math" w:hAnsi="Cambria Math" w:cs="Calibri"/>
                      <w:sz w:val="20"/>
                      <w:szCs w:val="20"/>
                    </w:rPr>
                    <m:t>Y</m:t>
                  </m:r>
                  <m:ctrlPr>
                    <w:rPr>
                      <w:rFonts w:ascii="Cambria Math" w:hAnsi="Cambria Math" w:cs="Calibri"/>
                    </w:rPr>
                  </m:ctrlPr>
                </m:e>
                <m:sub>
                  <m:r>
                    <m:rPr>
                      <m:sty m:val="p"/>
                    </m:rPr>
                    <w:rPr>
                      <w:rFonts w:ascii="Cambria Math" w:hAnsi="Cambria Math" w:cs="Calibri"/>
                      <w:sz w:val="20"/>
                      <w:szCs w:val="20"/>
                    </w:rPr>
                    <m:t>s</m:t>
                  </m:r>
                  <m:ctrlPr>
                    <w:rPr>
                      <w:rFonts w:ascii="Cambria Math" w:hAnsi="Cambria Math" w:cs="Calibri"/>
                    </w:rPr>
                  </m:ctrlPr>
                </m:sub>
              </m:sSub>
              <m:r>
                <m:rPr>
                  <m:sty m:val="p"/>
                </m:rPr>
                <w:rPr>
                  <w:rFonts w:ascii="Cambria Math" w:hAnsi="Cambria Math" w:cs="Calibri"/>
                  <w:sz w:val="20"/>
                  <w:szCs w:val="20"/>
                </w:rPr>
                <m:t>)</m:t>
              </m:r>
            </m:oMath>
            <w:r>
              <w:rPr>
                <w:rFonts w:ascii="Calibri" w:hAnsi="Calibri" w:cs="Calibri"/>
                <w:sz w:val="20"/>
                <w:szCs w:val="20"/>
              </w:rPr>
              <w:t xml:space="preserve"> capability combinations comply with all configured search space sets, then the UE assumes </w:t>
            </w:r>
            <m:oMath>
              <m:sSubSup>
                <m:sSubSupPr>
                  <m:ctrlPr>
                    <w:rPr>
                      <w:rFonts w:ascii="Cambria Math" w:hAnsi="Cambria Math" w:cs="Calibri"/>
                    </w:rPr>
                  </m:ctrlPr>
                </m:sSubSupPr>
                <m:e>
                  <m:r>
                    <w:rPr>
                      <w:rFonts w:ascii="Cambria Math" w:hAnsi="Cambria Math" w:cs="Calibri"/>
                      <w:sz w:val="20"/>
                      <w:szCs w:val="20"/>
                    </w:rPr>
                    <m:t>M</m:t>
                  </m:r>
                  <m:ctrlPr>
                    <w:rPr>
                      <w:rFonts w:ascii="Cambria Math" w:hAnsi="Cambria Math" w:cs="Calibri"/>
                    </w:rPr>
                  </m:ctrlPr>
                </m:e>
                <m:sub>
                  <m:r>
                    <m:rPr>
                      <m:sty m:val="p"/>
                    </m:rPr>
                    <w:rPr>
                      <w:rFonts w:ascii="Cambria Math" w:hAnsi="Cambria Math" w:cs="Calibri"/>
                      <w:sz w:val="20"/>
                      <w:szCs w:val="20"/>
                    </w:rPr>
                    <m:t>PDCCH</m:t>
                  </m:r>
                  <m:ctrlPr>
                    <w:rPr>
                      <w:rFonts w:ascii="Cambria Math" w:hAnsi="Cambria Math" w:cs="Calibri"/>
                    </w:rPr>
                  </m:ctrlP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ctrlPr>
                            <w:rPr>
                              <w:rFonts w:ascii="Cambria Math" w:hAnsi="Cambria Math" w:cs="Calibri"/>
                            </w:rPr>
                          </m:ctrlPr>
                        </m:e>
                        <m:sub>
                          <m:r>
                            <w:rPr>
                              <w:rFonts w:ascii="Cambria Math" w:hAnsi="Cambria Math" w:cs="Calibri"/>
                              <w:sz w:val="20"/>
                              <w:szCs w:val="20"/>
                            </w:rPr>
                            <m:t>s</m:t>
                          </m:r>
                          <m:ctrlPr>
                            <w:rPr>
                              <w:rFonts w:ascii="Cambria Math" w:hAnsi="Cambria Math" w:cs="Calibri"/>
                            </w:rPr>
                          </m:ctrlP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ctrlPr>
                            <w:rPr>
                              <w:rFonts w:ascii="Cambria Math" w:hAnsi="Cambria Math" w:cs="Calibri"/>
                            </w:rPr>
                          </m:ctrlPr>
                        </m:e>
                        <m:sub>
                          <m:r>
                            <w:rPr>
                              <w:rFonts w:ascii="Cambria Math" w:hAnsi="Cambria Math" w:cs="Calibri"/>
                              <w:sz w:val="20"/>
                              <w:szCs w:val="20"/>
                            </w:rPr>
                            <m:t>s</m:t>
                          </m:r>
                          <m:ctrlPr>
                            <w:rPr>
                              <w:rFonts w:ascii="Cambria Math" w:hAnsi="Cambria Math" w:cs="Calibri"/>
                            </w:rPr>
                          </m:ctrlPr>
                        </m:sub>
                      </m:sSub>
                      <m:ctrlPr>
                        <w:rPr>
                          <w:rFonts w:ascii="Cambria Math" w:hAnsi="Cambria Math" w:cs="Calibri"/>
                        </w:rPr>
                      </m:ctrlPr>
                    </m:e>
                  </m:d>
                  <m:r>
                    <m:rPr>
                      <m:sty m:val="p"/>
                    </m:rPr>
                    <w:rPr>
                      <w:rFonts w:ascii="Cambria Math" w:hAnsi="Cambria Math" w:cs="Calibri"/>
                      <w:sz w:val="20"/>
                      <w:szCs w:val="20"/>
                    </w:rPr>
                    <m:t>,</m:t>
                  </m:r>
                  <m:r>
                    <w:rPr>
                      <w:rFonts w:ascii="Cambria Math" w:hAnsi="Cambria Math" w:cs="Calibri"/>
                      <w:sz w:val="20"/>
                      <w:szCs w:val="20"/>
                    </w:rPr>
                    <m:t>μ</m:t>
                  </m:r>
                  <m:ctrlPr>
                    <w:rPr>
                      <w:rFonts w:ascii="Cambria Math" w:hAnsi="Cambria Math" w:cs="Calibri"/>
                    </w:rPr>
                  </m:ctrlP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ctrlPr>
                    <w:rPr>
                      <w:rFonts w:ascii="Cambria Math" w:hAnsi="Cambria Math" w:cs="Calibri"/>
                    </w:rPr>
                  </m:ctrlPr>
                </m:e>
                <m:sub>
                  <m:r>
                    <m:rPr>
                      <m:sty m:val="p"/>
                    </m:rPr>
                    <w:rPr>
                      <w:rFonts w:ascii="Cambria Math" w:hAnsi="Cambria Math" w:cs="Calibri"/>
                      <w:sz w:val="20"/>
                      <w:szCs w:val="20"/>
                    </w:rPr>
                    <m:t>PDCCH</m:t>
                  </m:r>
                  <m:ctrlPr>
                    <w:rPr>
                      <w:rFonts w:ascii="Cambria Math" w:hAnsi="Cambria Math" w:cs="Calibri"/>
                    </w:rPr>
                  </m:ctrlP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ctrlPr>
                            <w:rPr>
                              <w:rFonts w:ascii="Cambria Math" w:hAnsi="Cambria Math" w:cs="Calibri"/>
                            </w:rPr>
                          </m:ctrlPr>
                        </m:e>
                        <m:sub>
                          <m:r>
                            <w:rPr>
                              <w:rFonts w:ascii="Cambria Math" w:hAnsi="Cambria Math" w:cs="Calibri"/>
                              <w:sz w:val="20"/>
                              <w:szCs w:val="20"/>
                            </w:rPr>
                            <m:t>s</m:t>
                          </m:r>
                          <m:ctrlPr>
                            <w:rPr>
                              <w:rFonts w:ascii="Cambria Math" w:hAnsi="Cambria Math" w:cs="Calibri"/>
                            </w:rPr>
                          </m:ctrlP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ctrlPr>
                            <w:rPr>
                              <w:rFonts w:ascii="Cambria Math" w:hAnsi="Cambria Math" w:cs="Calibri"/>
                            </w:rPr>
                          </m:ctrlPr>
                        </m:e>
                        <m:sub>
                          <m:r>
                            <w:rPr>
                              <w:rFonts w:ascii="Cambria Math" w:hAnsi="Cambria Math" w:cs="Calibri"/>
                              <w:sz w:val="20"/>
                              <w:szCs w:val="20"/>
                            </w:rPr>
                            <m:t>s</m:t>
                          </m:r>
                          <m:ctrlPr>
                            <w:rPr>
                              <w:rFonts w:ascii="Cambria Math" w:hAnsi="Cambria Math" w:cs="Calibri"/>
                            </w:rPr>
                          </m:ctrlPr>
                        </m:sub>
                      </m:sSub>
                      <m:ctrlPr>
                        <w:rPr>
                          <w:rFonts w:ascii="Cambria Math" w:hAnsi="Cambria Math" w:cs="Calibri"/>
                        </w:rPr>
                      </m:ctrlPr>
                    </m:e>
                  </m:d>
                  <m:r>
                    <m:rPr>
                      <m:sty m:val="p"/>
                    </m:rPr>
                    <w:rPr>
                      <w:rFonts w:ascii="Cambria Math" w:hAnsi="Cambria Math" w:cs="Calibri"/>
                      <w:sz w:val="20"/>
                      <w:szCs w:val="20"/>
                    </w:rPr>
                    <m:t>,</m:t>
                  </m:r>
                  <m:r>
                    <w:rPr>
                      <w:rFonts w:ascii="Cambria Math" w:hAnsi="Cambria Math" w:cs="Calibri"/>
                      <w:sz w:val="20"/>
                      <w:szCs w:val="20"/>
                    </w:rPr>
                    <m:t>μ</m:t>
                  </m:r>
                  <m:ctrlPr>
                    <w:rPr>
                      <w:rFonts w:ascii="Cambria Math" w:hAnsi="Cambria Math" w:cs="Calibri"/>
                    </w:rPr>
                  </m:ctrlPr>
                </m:sup>
              </m:sSubSup>
            </m:oMath>
            <w:r>
              <w:rPr>
                <w:rFonts w:ascii="Calibri" w:hAnsi="Calibri" w:cs="Calibri"/>
                <w:sz w:val="20"/>
                <w:szCs w:val="20"/>
              </w:rPr>
              <w:t xml:space="preserve"> values corresponding to the complying combination with the largest </w:t>
            </w:r>
            <m:oMath>
              <m:sSubSup>
                <m:sSubSupPr>
                  <m:ctrlPr>
                    <w:rPr>
                      <w:rFonts w:ascii="Cambria Math" w:hAnsi="Cambria Math" w:cs="Calibri"/>
                    </w:rPr>
                  </m:ctrlPr>
                </m:sSubSupPr>
                <m:e>
                  <m:r>
                    <w:rPr>
                      <w:rFonts w:ascii="Cambria Math" w:hAnsi="Cambria Math" w:cs="Calibri"/>
                      <w:sz w:val="20"/>
                      <w:szCs w:val="20"/>
                    </w:rPr>
                    <m:t>M</m:t>
                  </m:r>
                  <m:ctrlPr>
                    <w:rPr>
                      <w:rFonts w:ascii="Cambria Math" w:hAnsi="Cambria Math" w:cs="Calibri"/>
                    </w:rPr>
                  </m:ctrlPr>
                </m:e>
                <m:sub>
                  <m:r>
                    <m:rPr>
                      <m:sty m:val="p"/>
                    </m:rPr>
                    <w:rPr>
                      <w:rFonts w:ascii="Cambria Math" w:hAnsi="Cambria Math" w:cs="Calibri"/>
                      <w:sz w:val="20"/>
                      <w:szCs w:val="20"/>
                    </w:rPr>
                    <m:t>PDCCH</m:t>
                  </m:r>
                  <m:ctrlPr>
                    <w:rPr>
                      <w:rFonts w:ascii="Cambria Math" w:hAnsi="Cambria Math" w:cs="Calibri"/>
                    </w:rPr>
                  </m:ctrlP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ctrlPr>
                            <w:rPr>
                              <w:rFonts w:ascii="Cambria Math" w:hAnsi="Cambria Math" w:cs="Calibri"/>
                            </w:rPr>
                          </m:ctrlPr>
                        </m:e>
                        <m:sub>
                          <m:r>
                            <w:rPr>
                              <w:rFonts w:ascii="Cambria Math" w:hAnsi="Cambria Math" w:cs="Calibri"/>
                              <w:sz w:val="20"/>
                              <w:szCs w:val="20"/>
                            </w:rPr>
                            <m:t>s</m:t>
                          </m:r>
                          <m:ctrlPr>
                            <w:rPr>
                              <w:rFonts w:ascii="Cambria Math" w:hAnsi="Cambria Math" w:cs="Calibri"/>
                            </w:rPr>
                          </m:ctrlP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ctrlPr>
                            <w:rPr>
                              <w:rFonts w:ascii="Cambria Math" w:hAnsi="Cambria Math" w:cs="Calibri"/>
                            </w:rPr>
                          </m:ctrlPr>
                        </m:e>
                        <m:sub>
                          <m:r>
                            <w:rPr>
                              <w:rFonts w:ascii="Cambria Math" w:hAnsi="Cambria Math" w:cs="Calibri"/>
                              <w:sz w:val="20"/>
                              <w:szCs w:val="20"/>
                            </w:rPr>
                            <m:t>s</m:t>
                          </m:r>
                          <m:ctrlPr>
                            <w:rPr>
                              <w:rFonts w:ascii="Cambria Math" w:hAnsi="Cambria Math" w:cs="Calibri"/>
                            </w:rPr>
                          </m:ctrlPr>
                        </m:sub>
                      </m:sSub>
                      <m:ctrlPr>
                        <w:rPr>
                          <w:rFonts w:ascii="Cambria Math" w:hAnsi="Cambria Math" w:cs="Calibri"/>
                        </w:rPr>
                      </m:ctrlPr>
                    </m:e>
                  </m:d>
                  <m:r>
                    <m:rPr>
                      <m:sty m:val="p"/>
                    </m:rPr>
                    <w:rPr>
                      <w:rFonts w:ascii="Cambria Math" w:hAnsi="Cambria Math" w:cs="Calibri"/>
                      <w:sz w:val="20"/>
                      <w:szCs w:val="20"/>
                    </w:rPr>
                    <m:t>,</m:t>
                  </m:r>
                  <m:r>
                    <w:rPr>
                      <w:rFonts w:ascii="Cambria Math" w:hAnsi="Cambria Math" w:cs="Calibri"/>
                      <w:sz w:val="20"/>
                      <w:szCs w:val="20"/>
                    </w:rPr>
                    <m:t>μ</m:t>
                  </m:r>
                  <m:ctrlPr>
                    <w:rPr>
                      <w:rFonts w:ascii="Cambria Math" w:hAnsi="Cambria Math" w:cs="Calibri"/>
                    </w:rPr>
                  </m:ctrlP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ctrlPr>
                    <w:rPr>
                      <w:rFonts w:ascii="Cambria Math" w:hAnsi="Cambria Math" w:cs="Calibri"/>
                    </w:rPr>
                  </m:ctrlPr>
                </m:e>
                <m:sub>
                  <m:r>
                    <m:rPr>
                      <m:sty m:val="p"/>
                    </m:rPr>
                    <w:rPr>
                      <w:rFonts w:ascii="Cambria Math" w:hAnsi="Cambria Math" w:cs="Calibri"/>
                      <w:sz w:val="20"/>
                      <w:szCs w:val="20"/>
                    </w:rPr>
                    <m:t>PDCCH</m:t>
                  </m:r>
                  <m:ctrlPr>
                    <w:rPr>
                      <w:rFonts w:ascii="Cambria Math" w:hAnsi="Cambria Math" w:cs="Calibri"/>
                    </w:rPr>
                  </m:ctrlP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ctrlPr>
                            <w:rPr>
                              <w:rFonts w:ascii="Cambria Math" w:hAnsi="Cambria Math" w:cs="Calibri"/>
                            </w:rPr>
                          </m:ctrlPr>
                        </m:e>
                        <m:sub>
                          <m:r>
                            <w:rPr>
                              <w:rFonts w:ascii="Cambria Math" w:hAnsi="Cambria Math" w:cs="Calibri"/>
                              <w:sz w:val="20"/>
                              <w:szCs w:val="20"/>
                            </w:rPr>
                            <m:t>s</m:t>
                          </m:r>
                          <m:ctrlPr>
                            <w:rPr>
                              <w:rFonts w:ascii="Cambria Math" w:hAnsi="Cambria Math" w:cs="Calibri"/>
                            </w:rPr>
                          </m:ctrlP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ctrlPr>
                            <w:rPr>
                              <w:rFonts w:ascii="Cambria Math" w:hAnsi="Cambria Math" w:cs="Calibri"/>
                            </w:rPr>
                          </m:ctrlPr>
                        </m:e>
                        <m:sub>
                          <m:r>
                            <w:rPr>
                              <w:rFonts w:ascii="Cambria Math" w:hAnsi="Cambria Math" w:cs="Calibri"/>
                              <w:sz w:val="20"/>
                              <w:szCs w:val="20"/>
                            </w:rPr>
                            <m:t>s</m:t>
                          </m:r>
                          <m:ctrlPr>
                            <w:rPr>
                              <w:rFonts w:ascii="Cambria Math" w:hAnsi="Cambria Math" w:cs="Calibri"/>
                            </w:rPr>
                          </m:ctrlPr>
                        </m:sub>
                      </m:sSub>
                      <m:ctrlPr>
                        <w:rPr>
                          <w:rFonts w:ascii="Cambria Math" w:hAnsi="Cambria Math" w:cs="Calibri"/>
                        </w:rPr>
                      </m:ctrlPr>
                    </m:e>
                  </m:d>
                  <m:r>
                    <m:rPr>
                      <m:sty m:val="p"/>
                    </m:rPr>
                    <w:rPr>
                      <w:rFonts w:ascii="Cambria Math" w:hAnsi="Cambria Math" w:cs="Calibri"/>
                      <w:sz w:val="20"/>
                      <w:szCs w:val="20"/>
                    </w:rPr>
                    <m:t>,</m:t>
                  </m:r>
                  <m:r>
                    <w:rPr>
                      <w:rFonts w:ascii="Cambria Math" w:hAnsi="Cambria Math" w:cs="Calibri"/>
                      <w:sz w:val="20"/>
                      <w:szCs w:val="20"/>
                    </w:rPr>
                    <m:t>μ</m:t>
                  </m:r>
                  <m:ctrlPr>
                    <w:rPr>
                      <w:rFonts w:ascii="Cambria Math" w:hAnsi="Cambria Math" w:cs="Calibri"/>
                    </w:rPr>
                  </m:ctrlPr>
                </m:sup>
              </m:sSubSup>
            </m:oMath>
            <w:r>
              <w:rPr>
                <w:rFonts w:ascii="Calibri" w:hAnsi="Calibri" w:cs="Calibri"/>
                <w:sz w:val="20"/>
                <w:szCs w:val="20"/>
              </w:rPr>
              <w:t xml:space="preserve"> values.</w:t>
            </w:r>
          </w:p>
          <w:p>
            <w:pPr>
              <w:pStyle w:val="82"/>
              <w:widowControl w:val="0"/>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pPr>
              <w:widowControl w:val="0"/>
              <w:spacing w:after="0"/>
              <w:rPr>
                <w:sz w:val="20"/>
                <w:lang w:eastAsia="zh-CN"/>
              </w:rPr>
            </w:pPr>
          </w:p>
          <w:p>
            <w:pPr>
              <w:widowControl w:val="0"/>
              <w:rPr>
                <w:sz w:val="20"/>
                <w:lang w:eastAsia="zh-CN"/>
              </w:rPr>
            </w:pPr>
            <w:r>
              <w:rPr>
                <w:sz w:val="20"/>
                <w:lang w:eastAsia="zh-CN"/>
              </w:rPr>
              <w:t>We think the Note is still very useful to achieve common understanding. It emphasizes that there is a notion of an "active" Xs that is separate from the search space configuration. Please see the rationale for this note below in response to MediaTek.</w:t>
            </w:r>
          </w:p>
          <w:p>
            <w:pPr>
              <w:widowControl w:val="0"/>
              <w:rPr>
                <w:sz w:val="20"/>
                <w:lang w:eastAsia="zh-CN"/>
              </w:rPr>
            </w:pPr>
          </w:p>
          <w:p>
            <w:pPr>
              <w:widowControl w:val="0"/>
              <w:rPr>
                <w:b/>
                <w:bCs/>
                <w:sz w:val="20"/>
                <w:lang w:eastAsia="zh-CN"/>
              </w:rPr>
            </w:pPr>
            <w:r>
              <w:rPr>
                <w:b/>
                <w:bCs/>
                <w:sz w:val="20"/>
                <w:lang w:eastAsia="zh-CN"/>
              </w:rPr>
              <w:t>@MediaTek</w:t>
            </w:r>
          </w:p>
          <w:p>
            <w:pPr>
              <w:widowControl w:val="0"/>
              <w:rPr>
                <w:sz w:val="20"/>
                <w:lang w:eastAsia="zh-CN"/>
              </w:rPr>
            </w:pPr>
            <w:r>
              <w:rPr>
                <w:sz w:val="20"/>
                <w:lang w:eastAsia="zh-CN"/>
              </w:rPr>
              <w:t xml:space="preserve">Thank-you for pointing out the </w:t>
            </w:r>
            <w:r>
              <w:rPr>
                <w:sz w:val="20"/>
                <w:highlight w:val="yellow"/>
                <w:lang w:eastAsia="zh-CN"/>
              </w:rPr>
              <w:t>highlighted</w:t>
            </w:r>
            <w:r>
              <w:rPr>
                <w:sz w:val="20"/>
                <w:lang w:eastAsia="zh-CN"/>
              </w:rPr>
              <w:t xml:space="preserve"> bullet from the agreement. However, we disagree that the example we gave in our first round comments is invalid with respect to the agreement. We repeat the example here.</w:t>
            </w:r>
          </w:p>
          <w:p>
            <w:pPr>
              <w:widowControl w:val="0"/>
              <w:rPr>
                <w:sz w:val="20"/>
                <w:lang w:eastAsia="zh-CN"/>
              </w:rPr>
            </w:pPr>
            <w:r>
              <w:rPr>
                <w:sz w:val="20"/>
                <w:u w:val="single"/>
                <w:lang w:eastAsia="zh-CN"/>
              </w:rPr>
              <w:t>Example 1</w:t>
            </w:r>
            <w:r>
              <w:rPr>
                <w:sz w:val="20"/>
                <w:lang w:eastAsia="zh-CN"/>
              </w:rPr>
              <w:t>:</w:t>
            </w:r>
          </w:p>
          <w:p>
            <w:pPr>
              <w:widowControl w:val="0"/>
              <w:ind w:left="425"/>
              <w:rPr>
                <w:sz w:val="20"/>
                <w:lang w:eastAsia="zh-CN"/>
              </w:rPr>
            </w:pPr>
            <w:r>
              <w:rPr>
                <w:sz w:val="20"/>
                <w:lang w:eastAsia="zh-CN"/>
              </w:rPr>
              <w:t xml:space="preserve">For example, let's say the UE is capable of both (8,1) and (4,1) for 960 kHz SCS. Further let's consider two configured search spaces each based on (8,1), but the Ys = 1 slot in the two different search spaces are offset by 4 slots from each other. In this case the gNB would configure both search spaces with </w:t>
            </w:r>
            <w:r>
              <w:rPr>
                <w:i/>
                <w:iCs/>
                <w:sz w:val="20"/>
                <w:lang w:eastAsia="zh-CN"/>
              </w:rPr>
              <w:t>monitoringSlotsWithinSlotGroup</w:t>
            </w:r>
            <w:r>
              <w:rPr>
                <w:sz w:val="20"/>
                <w:lang w:eastAsia="zh-CN"/>
              </w:rPr>
              <w:t xml:space="preserve"> as a length-8 bitmap with a single '1'. However, since the UE is required to monitor Ys = 1 slot every 4 slots considering the two configured search spaces, then the "active" Xs is 4. The UE would use this value of Xs for determining search space dropping.</w:t>
            </w:r>
          </w:p>
          <w:p>
            <w:pPr>
              <w:widowControl w:val="0"/>
              <w:rPr>
                <w:sz w:val="20"/>
                <w:lang w:eastAsia="zh-CN"/>
              </w:rPr>
            </w:pPr>
            <w:r>
              <w:rPr>
                <w:sz w:val="20"/>
                <w:lang w:eastAsia="zh-CN"/>
              </w:rPr>
              <w:t>In this example the "active" Xs is 4, and with slot group size 4, indeed BD attempts for all Group (1) SSs are within the same Y slots, even though each search space is configured according to Xs = 8. This example is chosen to illustrate that it is actually quite useful to stagger different SS because of the very limited number of CCEs for active Xs=4 with 960 kHz SCS. More specifically, in a 32-CCE CORESET, 4 AL=4 candidates cannot be configured to be at the same MO with 2 AL=8 candidates because the required # of CCE will exceed 16 which is the maximum CCE for Xs=4. As a result, the gNB is forced to configure the two different sets of candidates using Example 1 such that only 16 CCE is needed at each MO.</w:t>
            </w:r>
          </w:p>
          <w:p>
            <w:pPr>
              <w:widowControl w:val="0"/>
              <w:rPr>
                <w:sz w:val="20"/>
                <w:lang w:eastAsia="zh-CN"/>
              </w:rPr>
            </w:pPr>
            <w:r>
              <w:rPr>
                <w:rFonts w:eastAsia="等线"/>
              </w:rPr>
              <w:drawing>
                <wp:inline distT="0" distB="0" distL="0" distR="0">
                  <wp:extent cx="5485130" cy="11144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32" r:link="rId33">
                            <a:extLst>
                              <a:ext uri="{28A0092B-C50C-407E-A947-70E740481C1C}">
                                <a14:useLocalDpi xmlns:a14="http://schemas.microsoft.com/office/drawing/2010/main" val="0"/>
                              </a:ext>
                            </a:extLst>
                          </a:blip>
                          <a:srcRect t="59902"/>
                          <a:stretch>
                            <a:fillRect/>
                          </a:stretch>
                        </pic:blipFill>
                        <pic:spPr>
                          <a:xfrm>
                            <a:off x="0" y="0"/>
                            <a:ext cx="5486400" cy="1114650"/>
                          </a:xfrm>
                          <a:prstGeom prst="rect">
                            <a:avLst/>
                          </a:prstGeom>
                          <a:noFill/>
                          <a:ln>
                            <a:noFill/>
                          </a:ln>
                        </pic:spPr>
                      </pic:pic>
                    </a:graphicData>
                  </a:graphic>
                </wp:inline>
              </w:drawing>
            </w:r>
          </w:p>
          <w:p>
            <w:pPr>
              <w:widowControl w:val="0"/>
              <w:rPr>
                <w:sz w:val="20"/>
                <w:lang w:eastAsia="zh-CN"/>
              </w:rPr>
            </w:pPr>
            <w:r>
              <w:rPr>
                <w:sz w:val="20"/>
                <w:lang w:eastAsia="zh-CN"/>
              </w:rPr>
              <w:t>Let's also consider another example:</w:t>
            </w:r>
          </w:p>
          <w:p>
            <w:pPr>
              <w:widowControl w:val="0"/>
              <w:rPr>
                <w:sz w:val="20"/>
                <w:lang w:eastAsia="zh-CN"/>
              </w:rPr>
            </w:pPr>
            <w:r>
              <w:rPr>
                <w:sz w:val="20"/>
                <w:u w:val="single"/>
                <w:lang w:eastAsia="zh-CN"/>
              </w:rPr>
              <w:t>Example 2</w:t>
            </w:r>
            <w:r>
              <w:rPr>
                <w:sz w:val="20"/>
                <w:lang w:eastAsia="zh-CN"/>
              </w:rPr>
              <w:t>:</w:t>
            </w:r>
          </w:p>
          <w:p>
            <w:pPr>
              <w:widowControl w:val="0"/>
              <w:rPr>
                <w:sz w:val="20"/>
                <w:lang w:eastAsia="zh-CN"/>
              </w:rPr>
            </w:pPr>
            <w:r>
              <w:rPr>
                <w:sz w:val="20"/>
                <w:lang w:eastAsia="zh-CN"/>
              </w:rPr>
              <w:t>Assume the following 2 search spaces are configured, and again, assume the UE is capable of both (8,1) and (4,1) for 960 kHz SCS.</w:t>
            </w:r>
          </w:p>
          <w:p>
            <w:pPr>
              <w:pStyle w:val="82"/>
              <w:widowControl w:val="0"/>
              <w:numPr>
                <w:ilvl w:val="0"/>
                <w:numId w:val="23"/>
              </w:numPr>
              <w:rPr>
                <w:rFonts w:ascii="Times New Roman" w:hAnsi="Times New Roman"/>
                <w:sz w:val="20"/>
                <w:lang w:eastAsia="zh-CN"/>
              </w:rPr>
            </w:pPr>
            <w:r>
              <w:rPr>
                <w:rFonts w:ascii="Times New Roman" w:hAnsi="Times New Roman"/>
                <w:sz w:val="20"/>
                <w:lang w:eastAsia="zh-CN"/>
              </w:rPr>
              <w:t xml:space="preserve">SS1: Periodicity = 4 slots and </w:t>
            </w:r>
            <w:r>
              <w:rPr>
                <w:rFonts w:ascii="Times New Roman" w:hAnsi="Times New Roman"/>
                <w:i/>
                <w:iCs/>
                <w:sz w:val="20"/>
                <w:lang w:eastAsia="zh-CN"/>
              </w:rPr>
              <w:t>monitoringSlotsWithinSlotGroup</w:t>
            </w:r>
            <w:r>
              <w:rPr>
                <w:rFonts w:ascii="Times New Roman" w:hAnsi="Times New Roman"/>
                <w:sz w:val="20"/>
                <w:lang w:eastAsia="zh-CN"/>
              </w:rPr>
              <w:t xml:space="preserve"> = [0 1 0 0] (bitmap length = 4)</w:t>
            </w:r>
          </w:p>
          <w:p>
            <w:pPr>
              <w:pStyle w:val="82"/>
              <w:widowControl w:val="0"/>
              <w:numPr>
                <w:ilvl w:val="1"/>
                <w:numId w:val="23"/>
              </w:numPr>
              <w:rPr>
                <w:rFonts w:ascii="Times New Roman" w:hAnsi="Times New Roman"/>
                <w:sz w:val="20"/>
                <w:lang w:eastAsia="zh-CN"/>
              </w:rPr>
            </w:pPr>
            <w:r>
              <w:rPr>
                <w:rFonts w:ascii="Times New Roman" w:hAnsi="Times New Roman"/>
                <w:sz w:val="20"/>
                <w:lang w:eastAsia="zh-CN"/>
              </w:rPr>
              <w:t>Combination (4,1) complies with SS1</w:t>
            </w:r>
          </w:p>
          <w:p>
            <w:pPr>
              <w:pStyle w:val="82"/>
              <w:widowControl w:val="0"/>
              <w:numPr>
                <w:ilvl w:val="1"/>
                <w:numId w:val="23"/>
              </w:numPr>
              <w:rPr>
                <w:rFonts w:ascii="Times New Roman" w:hAnsi="Times New Roman"/>
                <w:sz w:val="20"/>
                <w:lang w:eastAsia="zh-CN"/>
              </w:rPr>
            </w:pPr>
            <w:r>
              <w:rPr>
                <w:rFonts w:ascii="Times New Roman" w:hAnsi="Times New Roman"/>
                <w:sz w:val="20"/>
                <w:lang w:eastAsia="zh-CN"/>
              </w:rPr>
              <w:t>Combination (8,1) does not comply since there is an MO every 4 slots</w:t>
            </w:r>
          </w:p>
          <w:p>
            <w:pPr>
              <w:pStyle w:val="82"/>
              <w:widowControl w:val="0"/>
              <w:numPr>
                <w:ilvl w:val="0"/>
                <w:numId w:val="23"/>
              </w:numPr>
              <w:rPr>
                <w:rFonts w:ascii="Times New Roman" w:hAnsi="Times New Roman"/>
                <w:sz w:val="20"/>
                <w:lang w:eastAsia="zh-CN"/>
              </w:rPr>
            </w:pPr>
            <w:r>
              <w:rPr>
                <w:rFonts w:ascii="Times New Roman" w:hAnsi="Times New Roman"/>
                <w:sz w:val="20"/>
                <w:lang w:eastAsia="zh-CN"/>
              </w:rPr>
              <w:t xml:space="preserve">SS2: Periodicity = 8 slots and </w:t>
            </w:r>
            <w:r>
              <w:rPr>
                <w:rFonts w:ascii="Times New Roman" w:hAnsi="Times New Roman"/>
                <w:i/>
                <w:iCs/>
                <w:sz w:val="20"/>
                <w:lang w:eastAsia="zh-CN"/>
              </w:rPr>
              <w:t>monitoringSlotsWithinSlotGroup</w:t>
            </w:r>
            <w:r>
              <w:rPr>
                <w:rFonts w:ascii="Times New Roman" w:hAnsi="Times New Roman"/>
                <w:sz w:val="20"/>
                <w:lang w:eastAsia="zh-CN"/>
              </w:rPr>
              <w:t xml:space="preserve"> = [0 1 0 0 0 0 0 0] (bitmap length = 8)</w:t>
            </w:r>
          </w:p>
          <w:p>
            <w:pPr>
              <w:pStyle w:val="82"/>
              <w:widowControl w:val="0"/>
              <w:numPr>
                <w:ilvl w:val="1"/>
                <w:numId w:val="23"/>
              </w:numPr>
              <w:rPr>
                <w:rFonts w:ascii="Times New Roman" w:hAnsi="Times New Roman"/>
                <w:sz w:val="20"/>
                <w:lang w:eastAsia="zh-CN"/>
              </w:rPr>
            </w:pPr>
            <w:r>
              <w:rPr>
                <w:rFonts w:ascii="Times New Roman" w:hAnsi="Times New Roman"/>
                <w:sz w:val="20"/>
                <w:lang w:eastAsia="zh-CN"/>
              </w:rPr>
              <w:t>Both (4,1) and (8,1) comply with SS2</w:t>
            </w:r>
          </w:p>
          <w:p>
            <w:pPr>
              <w:widowControl w:val="0"/>
              <w:rPr>
                <w:sz w:val="20"/>
                <w:lang w:eastAsia="zh-CN"/>
              </w:rPr>
            </w:pPr>
          </w:p>
          <w:p>
            <w:pPr>
              <w:widowControl w:val="0"/>
              <w:rPr>
                <w:sz w:val="20"/>
                <w:lang w:eastAsia="zh-CN"/>
              </w:rPr>
            </w:pPr>
            <w:r>
              <w:rPr>
                <w:sz w:val="20"/>
                <w:lang w:eastAsia="zh-CN"/>
              </w:rPr>
              <w:t>According to Proposals A1-3.1a/b/c above, the "active" Xs in this case is 4 even though SS2 is configured according to Xs = 8. Example 2 is also compliant with the agreement, i.e., all BD attempts are in the same Y consecutive slots of each group of Xs = 4 slots.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lang w:eastAsia="zh-CN"/>
              </w:rPr>
              <w:t>ZTE, Sanechips 2</w:t>
            </w:r>
          </w:p>
        </w:tc>
        <w:tc>
          <w:tcPr>
            <w:tcW w:w="12176" w:type="dxa"/>
            <w:vAlign w:val="center"/>
          </w:tcPr>
          <w:p>
            <w:pPr>
              <w:widowControl w:val="0"/>
              <w:rPr>
                <w:sz w:val="20"/>
                <w:lang w:eastAsia="zh-CN"/>
              </w:rPr>
            </w:pPr>
            <w:r>
              <w:rPr>
                <w:rFonts w:hint="eastAsia"/>
                <w:lang w:eastAsia="zh-CN"/>
              </w:rPr>
              <w:t>Thanks so much for Samsung</w:t>
            </w:r>
            <w:r>
              <w:rPr>
                <w:lang w:eastAsia="zh-CN"/>
              </w:rPr>
              <w:t>’</w:t>
            </w:r>
            <w:r>
              <w:rPr>
                <w:rFonts w:hint="eastAsia"/>
                <w:lang w:eastAsia="zh-CN"/>
              </w:rPr>
              <w:t xml:space="preserve">s clarification. We agree with your points, if all three sets include the common (X, Y)  = (7, 3) which also corresponding to the largest BD/CCE budget, the behavior of span-based PDCCH monitoring is quite similar with that of multi-slot PDCCH monitoring. In this case, we can compromise to rule-based approach. We just think other configurable (Xs, Ys) is hardly to be chosen compared to the mandatory combination (only when </w:t>
            </w:r>
            <w:r>
              <w:rPr>
                <w:bCs/>
                <w:iCs/>
              </w:rPr>
              <w:t xml:space="preserve">the configured search space sets comply with the requirements of more than one of the reported PDCCH monitoring </w:t>
            </w:r>
            <m:oMath>
              <m:sSub>
                <m:sSubPr>
                  <m:ctrlPr>
                    <w:rPr>
                      <w:rFonts w:ascii="Cambria Math" w:hAnsi="Cambria Math"/>
                      <w:bCs/>
                      <w:iCs/>
                    </w:rPr>
                  </m:ctrlPr>
                </m:sSubPr>
                <m:e>
                  <m:r>
                    <m:rPr>
                      <m:sty m:val="p"/>
                    </m:rPr>
                    <w:rPr>
                      <w:rFonts w:ascii="Cambria Math" w:hAnsi="Cambria Math"/>
                    </w:rPr>
                    <m:t>(X</m:t>
                  </m:r>
                  <m:ctrlPr>
                    <w:rPr>
                      <w:rFonts w:ascii="Cambria Math" w:hAnsi="Cambria Math"/>
                      <w:bCs/>
                      <w:iCs/>
                    </w:rPr>
                  </m:ctrlPr>
                </m:e>
                <m:sub>
                  <m:r>
                    <m:rPr>
                      <m:sty m:val="p"/>
                    </m:rPr>
                    <w:rPr>
                      <w:rFonts w:ascii="Cambria Math" w:hAnsi="Cambria Math"/>
                    </w:rPr>
                    <m:t>s</m:t>
                  </m:r>
                  <m:ctrlPr>
                    <w:rPr>
                      <w:rFonts w:ascii="Cambria Math" w:hAnsi="Cambria Math"/>
                      <w:bCs/>
                      <w:iCs/>
                    </w:rPr>
                  </m:ctrlP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Y</m:t>
                  </m:r>
                  <m:ctrlPr>
                    <w:rPr>
                      <w:rFonts w:ascii="Cambria Math" w:hAnsi="Cambria Math"/>
                      <w:bCs/>
                      <w:iCs/>
                    </w:rPr>
                  </m:ctrlPr>
                </m:e>
                <m:sub>
                  <m:r>
                    <m:rPr>
                      <m:sty m:val="p"/>
                    </m:rPr>
                    <w:rPr>
                      <w:rFonts w:ascii="Cambria Math" w:hAnsi="Cambria Math"/>
                    </w:rPr>
                    <m:t>s</m:t>
                  </m:r>
                  <m:ctrlPr>
                    <w:rPr>
                      <w:rFonts w:ascii="Cambria Math" w:hAnsi="Cambria Math"/>
                      <w:bCs/>
                      <w:iCs/>
                    </w:rPr>
                  </m:ctrlPr>
                </m:sub>
              </m:sSub>
              <m:r>
                <m:rPr>
                  <m:sty m:val="p"/>
                </m:rPr>
                <w:rPr>
                  <w:rFonts w:ascii="Cambria Math" w:hAnsi="Cambria Math"/>
                </w:rPr>
                <m:t>)</m:t>
              </m:r>
            </m:oMath>
            <w:r>
              <w:rPr>
                <w:rFonts w:eastAsia="Yu Mincho"/>
                <w:bCs/>
                <w:iCs/>
              </w:rPr>
              <w:t xml:space="preserve"> capability </w:t>
            </w:r>
            <w:r>
              <w:rPr>
                <w:bCs/>
                <w:iCs/>
              </w:rPr>
              <w:t>combinations</w:t>
            </w:r>
            <w:r>
              <w:rPr>
                <w:rFonts w:hint="eastAsia"/>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lang w:eastAsia="zh-CN"/>
              </w:rPr>
              <w:t>LG Electronics</w:t>
            </w:r>
          </w:p>
        </w:tc>
        <w:tc>
          <w:tcPr>
            <w:tcW w:w="12176" w:type="dxa"/>
            <w:vAlign w:val="center"/>
          </w:tcPr>
          <w:p>
            <w:pPr>
              <w:widowControl w:val="0"/>
              <w:rPr>
                <w:lang w:eastAsia="zh-CN"/>
              </w:rPr>
            </w:pPr>
            <w:r>
              <w:rPr>
                <w:lang w:eastAsia="zh-CN"/>
              </w:rPr>
              <w:t>We share the view with Intel that we prefer to determine both Xs and Ys for the active combination. The reason why Ys should also be specified is as follows. For example, when an active (Xs,Ys) is selected from among (8,1), (8,4), (4,1), or (4,2), one of two combinations with Xs=8 can be selected according to the rule of the proposal. But, it is still ambiguous whether the chosen combination is (8,1) or (8,4).</w:t>
            </w:r>
            <w:r>
              <w:t xml:space="preserve"> </w:t>
            </w:r>
            <w:r>
              <w:rPr>
                <w:lang w:eastAsia="zh-CN"/>
              </w:rPr>
              <w:t xml:space="preserve">Since the purpose of the rule is to determine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ctrlPr>
                    <w:rPr>
                      <w:rFonts w:ascii="Cambria Math" w:hAnsi="Cambria Math"/>
                      <w:bCs/>
                      <w:i/>
                      <w:color w:val="FF0000"/>
                      <w:sz w:val="20"/>
                      <w:szCs w:val="20"/>
                      <w:lang w:eastAsia="zh-CN"/>
                    </w:rPr>
                  </m:ctrlPr>
                </m:e>
                <m:sub>
                  <m:r>
                    <m:rPr>
                      <m:sty m:val="p"/>
                    </m:rPr>
                    <w:rPr>
                      <w:rFonts w:ascii="Cambria Math" w:hAnsi="Cambria Math"/>
                      <w:color w:val="FF0000"/>
                      <w:sz w:val="20"/>
                      <w:szCs w:val="20"/>
                      <w:lang w:eastAsia="zh-CN"/>
                    </w:rPr>
                    <m:t>PDCCH</m:t>
                  </m:r>
                  <m:ctrlPr>
                    <w:rPr>
                      <w:rFonts w:ascii="Cambria Math" w:hAnsi="Cambria Math"/>
                      <w:bCs/>
                      <w:i/>
                      <w:color w:val="FF0000"/>
                      <w:sz w:val="20"/>
                      <w:szCs w:val="20"/>
                      <w:lang w:eastAsia="zh-CN"/>
                    </w:rPr>
                  </m:ctrlP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ctrlPr>
                            <w:rPr>
                              <w:rFonts w:ascii="Cambria Math" w:hAnsi="Cambria Math"/>
                              <w:bCs/>
                              <w:i/>
                              <w:color w:val="FF0000"/>
                              <w:sz w:val="20"/>
                              <w:szCs w:val="20"/>
                              <w:lang w:eastAsia="zh-CN"/>
                            </w:rPr>
                          </m:ctrlPr>
                        </m:e>
                        <m:sub>
                          <m:r>
                            <w:rPr>
                              <w:rFonts w:ascii="Cambria Math" w:hAnsi="Cambria Math"/>
                              <w:color w:val="FF0000"/>
                              <w:sz w:val="20"/>
                              <w:szCs w:val="20"/>
                              <w:lang w:eastAsia="zh-CN"/>
                            </w:rPr>
                            <m:t>s</m:t>
                          </m:r>
                          <m:ctrlPr>
                            <w:rPr>
                              <w:rFonts w:ascii="Cambria Math" w:hAnsi="Cambria Math"/>
                              <w:bCs/>
                              <w:i/>
                              <w:color w:val="FF0000"/>
                              <w:sz w:val="20"/>
                              <w:szCs w:val="20"/>
                              <w:lang w:eastAsia="zh-CN"/>
                            </w:rPr>
                          </m:ctrlP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ctrlPr>
                            <w:rPr>
                              <w:rFonts w:ascii="Cambria Math" w:hAnsi="Cambria Math"/>
                              <w:bCs/>
                              <w:i/>
                              <w:color w:val="FF0000"/>
                              <w:sz w:val="20"/>
                              <w:szCs w:val="20"/>
                              <w:lang w:eastAsia="zh-CN"/>
                            </w:rPr>
                          </m:ctrlPr>
                        </m:e>
                        <m:sub>
                          <m:r>
                            <w:rPr>
                              <w:rFonts w:ascii="Cambria Math" w:hAnsi="Cambria Math"/>
                              <w:color w:val="FF0000"/>
                              <w:sz w:val="20"/>
                              <w:szCs w:val="20"/>
                              <w:lang w:eastAsia="zh-CN"/>
                            </w:rPr>
                            <m:t>s</m:t>
                          </m:r>
                          <m:ctrlPr>
                            <w:rPr>
                              <w:rFonts w:ascii="Cambria Math" w:hAnsi="Cambria Math"/>
                              <w:bCs/>
                              <w:i/>
                              <w:color w:val="FF0000"/>
                              <w:sz w:val="20"/>
                              <w:szCs w:val="20"/>
                              <w:lang w:eastAsia="zh-CN"/>
                            </w:rPr>
                          </m:ctrlPr>
                        </m:sub>
                      </m:sSub>
                      <m:ctrlPr>
                        <w:rPr>
                          <w:rFonts w:ascii="Cambria Math" w:hAnsi="Cambria Math"/>
                          <w:bCs/>
                          <w:i/>
                          <w:color w:val="FF0000"/>
                          <w:sz w:val="20"/>
                          <w:szCs w:val="20"/>
                          <w:lang w:eastAsia="zh-CN"/>
                        </w:rPr>
                      </m:ctrlPr>
                    </m:e>
                  </m:d>
                  <m:r>
                    <w:rPr>
                      <w:rFonts w:ascii="Cambria Math" w:hAnsi="Cambria Math"/>
                      <w:color w:val="FF0000"/>
                      <w:sz w:val="20"/>
                      <w:szCs w:val="20"/>
                      <w:lang w:eastAsia="zh-CN"/>
                    </w:rPr>
                    <m:t>,μ</m:t>
                  </m:r>
                  <m:ctrlPr>
                    <w:rPr>
                      <w:rFonts w:ascii="Cambria Math" w:hAnsi="Cambria Math"/>
                      <w:bCs/>
                      <w:i/>
                      <w:color w:val="FF0000"/>
                      <w:sz w:val="20"/>
                      <w:szCs w:val="20"/>
                      <w:lang w:eastAsia="zh-CN"/>
                    </w:rPr>
                  </m:ctrlPr>
                </m:sup>
              </m:sSubSup>
            </m:oMath>
            <w:r>
              <w:rPr>
                <w:lang w:eastAsia="zh-CN"/>
              </w:rPr>
              <w:t xml:space="preserve"> rather than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ctrlPr>
                    <w:rPr>
                      <w:rFonts w:ascii="Cambria Math" w:hAnsi="Cambria Math"/>
                      <w:bCs/>
                      <w:i/>
                      <w:color w:val="FF0000"/>
                      <w:sz w:val="20"/>
                      <w:szCs w:val="20"/>
                      <w:lang w:eastAsia="zh-CN"/>
                    </w:rPr>
                  </m:ctrlPr>
                </m:e>
                <m:sub>
                  <m:r>
                    <m:rPr>
                      <m:sty m:val="p"/>
                    </m:rPr>
                    <w:rPr>
                      <w:rFonts w:ascii="Cambria Math" w:hAnsi="Cambria Math"/>
                      <w:color w:val="FF0000"/>
                      <w:sz w:val="20"/>
                      <w:szCs w:val="20"/>
                      <w:lang w:eastAsia="zh-CN"/>
                    </w:rPr>
                    <m:t>PDCCH</m:t>
                  </m:r>
                  <m:ctrlPr>
                    <w:rPr>
                      <w:rFonts w:ascii="Cambria Math" w:hAnsi="Cambria Math"/>
                      <w:bCs/>
                      <w:i/>
                      <w:color w:val="FF0000"/>
                      <w:sz w:val="20"/>
                      <w:szCs w:val="20"/>
                      <w:lang w:eastAsia="zh-CN"/>
                    </w:rPr>
                  </m:ctrlP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ctrlPr>
                            <w:rPr>
                              <w:rFonts w:ascii="Cambria Math" w:hAnsi="Cambria Math"/>
                              <w:bCs/>
                              <w:i/>
                              <w:color w:val="FF0000"/>
                              <w:sz w:val="20"/>
                              <w:szCs w:val="20"/>
                              <w:lang w:eastAsia="zh-CN"/>
                            </w:rPr>
                          </m:ctrlPr>
                        </m:e>
                        <m:sub>
                          <m:r>
                            <w:rPr>
                              <w:rFonts w:ascii="Cambria Math" w:hAnsi="Cambria Math"/>
                              <w:color w:val="FF0000"/>
                              <w:sz w:val="20"/>
                              <w:szCs w:val="20"/>
                              <w:lang w:eastAsia="zh-CN"/>
                            </w:rPr>
                            <m:t>s</m:t>
                          </m:r>
                          <m:ctrlPr>
                            <w:rPr>
                              <w:rFonts w:ascii="Cambria Math" w:hAnsi="Cambria Math"/>
                              <w:bCs/>
                              <w:i/>
                              <w:color w:val="FF0000"/>
                              <w:sz w:val="20"/>
                              <w:szCs w:val="20"/>
                              <w:lang w:eastAsia="zh-CN"/>
                            </w:rPr>
                          </m:ctrlPr>
                        </m:sub>
                      </m:sSub>
                      <m:ctrlPr>
                        <w:rPr>
                          <w:rFonts w:ascii="Cambria Math" w:hAnsi="Cambria Math"/>
                          <w:bCs/>
                          <w:i/>
                          <w:color w:val="FF0000"/>
                          <w:sz w:val="20"/>
                          <w:szCs w:val="20"/>
                          <w:lang w:eastAsia="zh-CN"/>
                        </w:rPr>
                      </m:ctrlPr>
                    </m:e>
                  </m:d>
                  <m:r>
                    <w:rPr>
                      <w:rFonts w:ascii="Cambria Math" w:hAnsi="Cambria Math"/>
                      <w:color w:val="FF0000"/>
                      <w:sz w:val="20"/>
                      <w:szCs w:val="20"/>
                      <w:lang w:eastAsia="zh-CN"/>
                    </w:rPr>
                    <m:t>,μ</m:t>
                  </m:r>
                  <m:ctrlPr>
                    <w:rPr>
                      <w:rFonts w:ascii="Cambria Math" w:hAnsi="Cambria Math"/>
                      <w:bCs/>
                      <w:i/>
                      <w:color w:val="FF0000"/>
                      <w:sz w:val="20"/>
                      <w:szCs w:val="20"/>
                      <w:lang w:eastAsia="zh-CN"/>
                    </w:rPr>
                  </m:ctrlPr>
                </m:sup>
              </m:sSubSup>
            </m:oMath>
            <w:r>
              <w:rPr>
                <w:lang w:eastAsia="zh-CN"/>
              </w:rPr>
              <w:t>, the rule should clearly determine one (Xs,Ys). We think the rule should be to choose the (Xs,Ys) combination with largest Xs (i.e., largest BD/CCE budget) and Ys=1 as a simplest solution.</w:t>
            </w:r>
          </w:p>
          <w:p>
            <w:pPr>
              <w:widowControl w:val="0"/>
              <w:rPr>
                <w:lang w:eastAsia="zh-CN"/>
              </w:rPr>
            </w:pPr>
            <w:r>
              <w:rPr>
                <w:lang w:eastAsia="zh-CN"/>
              </w:rPr>
              <w:t>However, we are also fine to agree on the determination of Xs first and continue discussion on Ys determination.</w:t>
            </w:r>
          </w:p>
          <w:p>
            <w:pPr>
              <w:widowControl w:val="0"/>
              <w:spacing w:after="0"/>
              <w:rPr>
                <w:sz w:val="20"/>
                <w:lang w:eastAsia="zh-CN"/>
              </w:rPr>
            </w:pPr>
            <w:r>
              <w:rPr>
                <w:lang w:eastAsia="zh-CN"/>
              </w:rPr>
              <w:t xml:space="preserve">For the last Note in Proposal A1-3.1a, we still have a question for clarification. Assuming that Xs1 indicates an Xs determined by an above rule and Xs2 is the size of the bitmap, it seems that the Note means that Xs2 can be different from Xs1, and then such difference may lead to additional ambiguity. For example, if Xs1=8 and Xs2=4 (or vice versa), how to map each bit in the bitmap to the slots of a slot-group is not very clear to us.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lang w:eastAsia="zh-CN"/>
              </w:rPr>
              <w:t>We have two comment on  P A1-3.1b,</w:t>
            </w:r>
          </w:p>
          <w:p>
            <w:pPr>
              <w:widowControl w:val="0"/>
              <w:rPr>
                <w:bCs/>
                <w:lang w:eastAsia="zh-CN"/>
              </w:rPr>
            </w:pPr>
            <w:r>
              <w:rPr>
                <w:lang w:eastAsia="zh-CN"/>
              </w:rPr>
              <w:t xml:space="preserve">1, from our understanding, UE does not need to determine the value of Ys, because Ys </w:t>
            </w:r>
            <w:r>
              <w:rPr>
                <w:rFonts w:hint="eastAsia"/>
                <w:lang w:eastAsia="zh-CN"/>
              </w:rPr>
              <w:t>has</w:t>
            </w:r>
            <w:r>
              <w:rPr>
                <w:lang w:eastAsia="zh-CN"/>
              </w:rPr>
              <w:t xml:space="preserve"> no impact on the </w:t>
            </w:r>
            <w:r>
              <w:rPr>
                <w:bCs/>
                <w:iCs/>
                <w:sz w:val="20"/>
                <w:szCs w:val="20"/>
              </w:rPr>
              <w:t xml:space="preserve">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ctrlPr>
                    <w:rPr>
                      <w:rFonts w:ascii="Cambria Math" w:hAnsi="Cambria Math"/>
                      <w:bCs/>
                      <w:i/>
                      <w:sz w:val="20"/>
                      <w:szCs w:val="20"/>
                      <w:lang w:eastAsia="zh-CN"/>
                    </w:rPr>
                  </m:ctrlPr>
                </m:e>
                <m:sub>
                  <m:r>
                    <m:rPr>
                      <m:sty m:val="p"/>
                    </m:rPr>
                    <w:rPr>
                      <w:rFonts w:ascii="Cambria Math" w:hAnsi="Cambria Math"/>
                      <w:sz w:val="20"/>
                      <w:szCs w:val="20"/>
                      <w:lang w:eastAsia="zh-CN"/>
                    </w:rPr>
                    <m:t>PDCCH</m:t>
                  </m:r>
                  <m:ctrlPr>
                    <w:rPr>
                      <w:rFonts w:ascii="Cambria Math" w:hAnsi="Cambria Math"/>
                      <w:bCs/>
                      <w:i/>
                      <w:sz w:val="20"/>
                      <w:szCs w:val="20"/>
                      <w:lang w:eastAsia="zh-CN"/>
                    </w:rPr>
                  </m:ctrlP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ctrlPr>
                        <w:rPr>
                          <w:rFonts w:ascii="Cambria Math" w:hAnsi="Cambria Math"/>
                          <w:bCs/>
                          <w:i/>
                          <w:sz w:val="20"/>
                          <w:szCs w:val="20"/>
                          <w:lang w:eastAsia="zh-CN"/>
                        </w:rPr>
                      </m:ctrlPr>
                    </m:e>
                  </m:d>
                  <m:r>
                    <w:rPr>
                      <w:rFonts w:ascii="Cambria Math" w:hAnsi="Cambria Math"/>
                      <w:sz w:val="20"/>
                      <w:szCs w:val="20"/>
                      <w:lang w:eastAsia="zh-CN"/>
                    </w:rPr>
                    <m:t>,μ</m:t>
                  </m:r>
                  <m:ctrlPr>
                    <w:rPr>
                      <w:rFonts w:ascii="Cambria Math" w:hAnsi="Cambria Math"/>
                      <w:bCs/>
                      <w:i/>
                      <w:sz w:val="20"/>
                      <w:szCs w:val="20"/>
                      <w:lang w:eastAsia="zh-CN"/>
                    </w:rPr>
                  </m:ctrlP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ctrlPr>
                    <w:rPr>
                      <w:rFonts w:ascii="Cambria Math" w:hAnsi="Cambria Math"/>
                      <w:bCs/>
                      <w:i/>
                      <w:sz w:val="20"/>
                      <w:szCs w:val="20"/>
                      <w:lang w:eastAsia="zh-CN"/>
                    </w:rPr>
                  </m:ctrlPr>
                </m:e>
                <m:sub>
                  <m:r>
                    <m:rPr>
                      <m:sty m:val="p"/>
                    </m:rPr>
                    <w:rPr>
                      <w:rFonts w:ascii="Cambria Math" w:hAnsi="Cambria Math"/>
                      <w:sz w:val="20"/>
                      <w:szCs w:val="20"/>
                      <w:lang w:eastAsia="zh-CN"/>
                    </w:rPr>
                    <m:t>PDCCH</m:t>
                  </m:r>
                  <m:ctrlPr>
                    <w:rPr>
                      <w:rFonts w:ascii="Cambria Math" w:hAnsi="Cambria Math"/>
                      <w:bCs/>
                      <w:i/>
                      <w:sz w:val="20"/>
                      <w:szCs w:val="20"/>
                      <w:lang w:eastAsia="zh-CN"/>
                    </w:rPr>
                  </m:ctrlP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ctrlPr>
                            <w:rPr>
                              <w:rFonts w:ascii="Cambria Math" w:hAnsi="Cambria Math"/>
                              <w:bCs/>
                              <w:i/>
                              <w:sz w:val="20"/>
                              <w:szCs w:val="20"/>
                              <w:lang w:eastAsia="zh-CN"/>
                            </w:rPr>
                          </m:ctrlPr>
                        </m:e>
                        <m:sub>
                          <m:r>
                            <w:rPr>
                              <w:rFonts w:ascii="Cambria Math" w:hAnsi="Cambria Math"/>
                              <w:sz w:val="20"/>
                              <w:szCs w:val="20"/>
                              <w:lang w:eastAsia="zh-CN"/>
                            </w:rPr>
                            <m:t>s</m:t>
                          </m:r>
                          <m:ctrlPr>
                            <w:rPr>
                              <w:rFonts w:ascii="Cambria Math" w:hAnsi="Cambria Math"/>
                              <w:bCs/>
                              <w:i/>
                              <w:sz w:val="20"/>
                              <w:szCs w:val="20"/>
                              <w:lang w:eastAsia="zh-CN"/>
                            </w:rPr>
                          </m:ctrlPr>
                        </m:sub>
                      </m:sSub>
                      <m:ctrlPr>
                        <w:rPr>
                          <w:rFonts w:ascii="Cambria Math" w:hAnsi="Cambria Math"/>
                          <w:bCs/>
                          <w:i/>
                          <w:sz w:val="20"/>
                          <w:szCs w:val="20"/>
                          <w:lang w:eastAsia="zh-CN"/>
                        </w:rPr>
                      </m:ctrlPr>
                    </m:e>
                  </m:d>
                  <m:r>
                    <w:rPr>
                      <w:rFonts w:ascii="Cambria Math" w:hAnsi="Cambria Math"/>
                      <w:sz w:val="20"/>
                      <w:szCs w:val="20"/>
                      <w:lang w:eastAsia="zh-CN"/>
                    </w:rPr>
                    <m:t>,μ</m:t>
                  </m:r>
                  <m:ctrlPr>
                    <w:rPr>
                      <w:rFonts w:ascii="Cambria Math" w:hAnsi="Cambria Math"/>
                      <w:bCs/>
                      <w:i/>
                      <w:sz w:val="20"/>
                      <w:szCs w:val="20"/>
                      <w:lang w:eastAsia="zh-CN"/>
                    </w:rPr>
                  </m:ctrlPr>
                </m:sup>
              </m:sSubSup>
            </m:oMath>
            <w:r>
              <w:rPr>
                <w:rFonts w:hint="eastAsia"/>
                <w:bCs/>
                <w:sz w:val="20"/>
                <w:szCs w:val="20"/>
                <w:lang w:eastAsia="zh-CN"/>
              </w:rPr>
              <w:t>.</w:t>
            </w:r>
            <w:r>
              <w:rPr>
                <w:bCs/>
                <w:sz w:val="20"/>
                <w:szCs w:val="20"/>
                <w:lang w:eastAsia="zh-CN"/>
              </w:rPr>
              <w:t xml:space="preserve"> </w:t>
            </w:r>
            <w:r>
              <w:rPr>
                <w:bCs/>
                <w:lang w:eastAsia="zh-CN"/>
              </w:rPr>
              <w:t xml:space="preserve">gNB needs to make sure </w:t>
            </w:r>
            <w:r>
              <w:rPr>
                <w:rFonts w:hint="eastAsia"/>
                <w:bCs/>
                <w:lang w:eastAsia="zh-CN"/>
              </w:rPr>
              <w:t>the</w:t>
            </w:r>
            <w:r>
              <w:rPr>
                <w:bCs/>
                <w:lang w:eastAsia="zh-CN"/>
              </w:rPr>
              <w:t xml:space="preserve"> </w:t>
            </w:r>
            <w:r>
              <w:rPr>
                <w:rFonts w:hint="eastAsia"/>
                <w:bCs/>
                <w:lang w:eastAsia="zh-CN"/>
              </w:rPr>
              <w:t>configured</w:t>
            </w:r>
            <w:r>
              <w:rPr>
                <w:bCs/>
                <w:lang w:eastAsia="zh-CN"/>
              </w:rPr>
              <w:t xml:space="preserve"> SS can conform to any defined Xs/Ys</w:t>
            </w:r>
          </w:p>
          <w:p>
            <w:pPr>
              <w:widowControl w:val="0"/>
              <w:rPr>
                <w:lang w:eastAsia="zh-CN"/>
              </w:rPr>
            </w:pPr>
            <w:r>
              <w:rPr>
                <w:bCs/>
                <w:lang w:eastAsia="zh-CN"/>
              </w:rPr>
              <w:t>2, there is parameter</w:t>
            </w:r>
            <w:r>
              <w:rPr>
                <w:i/>
                <w:iCs/>
                <w:color w:val="000000"/>
              </w:rPr>
              <w:t xml:space="preserve"> monitoringSlotsWithinSlotGroup-r17</w:t>
            </w:r>
            <w:r>
              <w:rPr>
                <w:bCs/>
                <w:lang w:eastAsia="zh-CN"/>
              </w:rPr>
              <w:t xml:space="preserve"> is already agreed and details is in discussion, Is Xs can be determined from the bit size of </w:t>
            </w:r>
            <w:r>
              <w:rPr>
                <w:i/>
                <w:iCs/>
                <w:color w:val="000000"/>
              </w:rPr>
              <w:t>monitoringSlotsWithinSlotGroup-r17</w:t>
            </w:r>
            <w:r>
              <w:rPr>
                <w:bCs/>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MediaTek2</w:t>
            </w:r>
          </w:p>
        </w:tc>
        <w:tc>
          <w:tcPr>
            <w:tcW w:w="12176" w:type="dxa"/>
            <w:vAlign w:val="center"/>
          </w:tcPr>
          <w:p>
            <w:pPr>
              <w:widowControl w:val="0"/>
              <w:rPr>
                <w:color w:val="000000"/>
              </w:rPr>
            </w:pPr>
            <w:r>
              <w:rPr>
                <w:lang w:eastAsia="zh-CN"/>
              </w:rPr>
              <w:t xml:space="preserve">Thanks to Qualcomm and Ericssson’s reply. As pointed out by Qualcomm in A2-1 second round, the confusion comes from the definition of “Xs”.  Xs was used as slot-group size in previous agreements and Xs is used as the bitmap length of </w:t>
            </w:r>
            <w:r>
              <w:rPr>
                <w:i/>
                <w:iCs/>
                <w:color w:val="000000"/>
              </w:rPr>
              <w:t>monitoringSlotsWithinSlotGroup-r17</w:t>
            </w:r>
            <w:r>
              <w:rPr>
                <w:bCs/>
                <w:lang w:eastAsia="zh-CN"/>
              </w:rPr>
              <w:t xml:space="preserve"> </w:t>
            </w:r>
            <w:r>
              <w:rPr>
                <w:lang w:eastAsia="zh-CN"/>
              </w:rPr>
              <w:t xml:space="preserve">in A2-1. However, even with this explanation, we still have similar question as LG. To avoid confusion, Xs means “effective” slot-group size and X means the bitmap length of </w:t>
            </w:r>
            <w:r>
              <w:rPr>
                <w:i/>
                <w:iCs/>
                <w:color w:val="000000"/>
              </w:rPr>
              <w:t>monitoringSlotsWithinSlotGroup-r17</w:t>
            </w:r>
            <w:r>
              <w:rPr>
                <w:bCs/>
                <w:lang w:eastAsia="zh-CN"/>
              </w:rPr>
              <w:t xml:space="preserve"> in the following description. </w:t>
            </w:r>
            <w:r>
              <w:rPr>
                <w:lang w:eastAsia="zh-CN"/>
              </w:rPr>
              <w:t xml:space="preserve">For example, if gNB only configure one SS set and gNB would like to configure (Xs=4,Ys=1), can gNB use X=8 and </w:t>
            </w:r>
            <w:r>
              <w:rPr>
                <w:i/>
                <w:iCs/>
                <w:color w:val="000000"/>
              </w:rPr>
              <w:t xml:space="preserve">monitoringSlotsWithinSlotGroup-r17=(10001000) </w:t>
            </w:r>
            <w:r>
              <w:rPr>
                <w:color w:val="000000"/>
              </w:rPr>
              <w:t>(this is a similar question asked by Intel in A2-1)</w:t>
            </w:r>
            <w:r>
              <w:rPr>
                <w:lang w:eastAsia="zh-CN"/>
              </w:rPr>
              <w:t xml:space="preserve">? If the configuration is allowed, then the definition of </w:t>
            </w:r>
            <w:r>
              <w:rPr>
                <w:i/>
                <w:iCs/>
                <w:color w:val="000000"/>
              </w:rPr>
              <w:t xml:space="preserve">monitoringSlotsWithinSlotGroup-r17 </w:t>
            </w:r>
            <w:r>
              <w:rPr>
                <w:color w:val="000000"/>
              </w:rPr>
              <w:t>should be modified. If the configuration is not allowed, then there is a relation between Xs and X. Either way, we should not include the following note. We hope this clarifies our view.</w:t>
            </w:r>
          </w:p>
          <w:p>
            <w:pPr>
              <w:pStyle w:val="82"/>
              <w:widowControl w:val="0"/>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pPr>
              <w:widowControl w:val="0"/>
              <w:rPr>
                <w:lang w:eastAsia="zh-CN"/>
              </w:rPr>
            </w:pPr>
          </w:p>
          <w:p>
            <w:pPr>
              <w:widowControl w:val="0"/>
              <w:rPr>
                <w:lang w:eastAsia="zh-CN"/>
              </w:rPr>
            </w:pPr>
            <w:r>
              <w:rPr>
                <w:lang w:eastAsia="zh-CN"/>
              </w:rPr>
              <w:t>Based on the above, we can support A1-3.1b with an FFS on how to determine Ys, which is also mentioned by LG.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sz w:val="20"/>
                <w:lang w:eastAsia="ja-JP"/>
              </w:rPr>
              <w:t>N</w:t>
            </w:r>
            <w:r>
              <w:rPr>
                <w:rFonts w:eastAsia="MS Mincho"/>
                <w:sz w:val="20"/>
                <w:lang w:eastAsia="ja-JP"/>
              </w:rPr>
              <w:t>TT DOCOMO</w:t>
            </w:r>
          </w:p>
        </w:tc>
        <w:tc>
          <w:tcPr>
            <w:tcW w:w="12176" w:type="dxa"/>
            <w:vAlign w:val="center"/>
          </w:tcPr>
          <w:p>
            <w:pPr>
              <w:widowControl w:val="0"/>
              <w:spacing w:after="0"/>
              <w:rPr>
                <w:rFonts w:eastAsia="MS Mincho"/>
                <w:lang w:eastAsia="ja-JP"/>
              </w:rPr>
            </w:pPr>
            <w:r>
              <w:rPr>
                <w:rFonts w:eastAsia="MS Mincho"/>
                <w:lang w:eastAsia="ja-JP"/>
              </w:rPr>
              <w:t>We support Proposal A1-3.1c.</w:t>
            </w:r>
          </w:p>
          <w:p>
            <w:pPr>
              <w:widowControl w:val="0"/>
              <w:spacing w:after="0"/>
              <w:rPr>
                <w:rFonts w:eastAsia="MS Mincho"/>
                <w:lang w:eastAsia="ja-JP"/>
              </w:rPr>
            </w:pPr>
          </w:p>
          <w:p>
            <w:pPr>
              <w:widowControl w:val="0"/>
              <w:rPr>
                <w:lang w:eastAsia="zh-CN"/>
              </w:rPr>
            </w:pPr>
            <w:r>
              <w:rPr>
                <w:rFonts w:hint="eastAsia" w:eastAsia="MS Mincho"/>
                <w:lang w:eastAsia="ja-JP"/>
              </w:rPr>
              <w:t>R</w:t>
            </w:r>
            <w:r>
              <w:rPr>
                <w:rFonts w:eastAsia="MS Mincho"/>
                <w:lang w:eastAsia="ja-JP"/>
              </w:rPr>
              <w:t>egarding the 2</w:t>
            </w:r>
            <w:r>
              <w:rPr>
                <w:rFonts w:eastAsia="MS Mincho"/>
                <w:vertAlign w:val="superscript"/>
                <w:lang w:eastAsia="ja-JP"/>
              </w:rPr>
              <w:t>nd</w:t>
            </w:r>
            <w:r>
              <w:rPr>
                <w:rFonts w:eastAsia="MS Mincho"/>
                <w:lang w:eastAsia="ja-JP"/>
              </w:rPr>
              <w:t xml:space="preserve"> note in the Proposal A1-3.1a, it should be kept. In our understanding, the gNB would configure SS sets based on the reported UE capability of supporting (Xs, Ys) combination, and then the UE can d</w:t>
            </w:r>
            <w:r>
              <w:rPr>
                <w:rFonts w:hint="eastAsia" w:eastAsia="MS Mincho"/>
                <w:lang w:eastAsia="ja-JP"/>
              </w:rPr>
              <w:t>e</w:t>
            </w:r>
            <w:r>
              <w:rPr>
                <w:rFonts w:eastAsia="MS Mincho"/>
                <w:lang w:eastAsia="ja-JP"/>
              </w:rPr>
              <w:t xml:space="preserve">termine “active” Xs based on the configured SS set. Especially when the multiple (Xs, Ys) combination can meet the SS set configuration by gNB, this (Xs, Ys) determination rule is necessary to determine “active” Xs. It is not necessary that the size of </w:t>
            </w:r>
            <w:r>
              <w:rPr>
                <w:i/>
                <w:iCs/>
                <w:sz w:val="20"/>
                <w:lang w:eastAsia="zh-CN"/>
              </w:rPr>
              <w:t>monitoringSlotsWithinSlotGroup</w:t>
            </w:r>
            <w:r>
              <w:rPr>
                <w:rFonts w:eastAsia="MS Mincho"/>
                <w:lang w:eastAsia="ja-JP"/>
              </w:rPr>
              <w:t xml:space="preserve"> and “active” Xs is always the same.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sz w:val="20"/>
                <w:lang w:eastAsia="ja-JP"/>
              </w:rPr>
            </w:pPr>
            <w:r>
              <w:rPr>
                <w:rFonts w:eastAsia="MS Mincho"/>
                <w:sz w:val="20"/>
                <w:lang w:eastAsia="ja-JP"/>
              </w:rPr>
              <w:t>LG Electronics2</w:t>
            </w:r>
          </w:p>
        </w:tc>
        <w:tc>
          <w:tcPr>
            <w:tcW w:w="12176" w:type="dxa"/>
            <w:vAlign w:val="center"/>
          </w:tcPr>
          <w:p>
            <w:pPr>
              <w:widowControl w:val="0"/>
              <w:spacing w:after="0"/>
              <w:rPr>
                <w:rFonts w:eastAsia="MS Mincho"/>
                <w:lang w:eastAsia="ja-JP"/>
              </w:rPr>
            </w:pPr>
            <w:r>
              <w:rPr>
                <w:rFonts w:eastAsia="MS Mincho"/>
                <w:lang w:eastAsia="ja-JP"/>
              </w:rPr>
              <w:t>After further thought with explanations from Qualcomm and Ericsson, we could see how active Xs (which is determined by the rule) and X (which is the size of the bitmap) can be determined differently and it does not create any ambiguity. As NTT DOCOMO commented, it is not necessary that Xs and X is always the same. Also, it should be noted that the UE cannot determine the active Xs (for dropping) by using the size of the bitmap for a certain SS set. In other words, to determine the active Xs (for dropping) the UE needs to look at the MOs from all configured SSs to evaluate which reported (Xs,Ys) combination should be the “active” one. With this understanding, we can support Proposal A1-3.1a. We are also fine with Proposal A1-3.1b with an FFS on how to determine Ys, as mentioned by MediaTek2.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sz w:val="20"/>
                <w:lang w:eastAsia="ja-JP"/>
              </w:rPr>
            </w:pPr>
            <w:r>
              <w:rPr>
                <w:rFonts w:eastAsia="MS Mincho"/>
                <w:sz w:val="20"/>
                <w:lang w:eastAsia="ja-JP"/>
              </w:rPr>
              <w:t>Intel</w:t>
            </w:r>
          </w:p>
        </w:tc>
        <w:tc>
          <w:tcPr>
            <w:tcW w:w="12176" w:type="dxa"/>
            <w:vAlign w:val="center"/>
          </w:tcPr>
          <w:p>
            <w:pPr>
              <w:widowControl w:val="0"/>
              <w:spacing w:after="0"/>
              <w:rPr>
                <w:rFonts w:eastAsia="MS Mincho"/>
                <w:lang w:eastAsia="ja-JP"/>
              </w:rPr>
            </w:pPr>
            <w:r>
              <w:rPr>
                <w:rFonts w:eastAsia="MS Mincho"/>
                <w:lang w:eastAsia="ja-JP"/>
              </w:rPr>
              <w:t>With the condition ‘</w:t>
            </w: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ctrlPr>
                    <w:rPr>
                      <w:rFonts w:ascii="Cambria Math" w:hAnsi="Cambria Math"/>
                      <w:bCs/>
                      <w:i/>
                      <w:color w:val="FF0000"/>
                      <w:sz w:val="20"/>
                      <w:szCs w:val="20"/>
                      <w:lang w:eastAsia="zh-CN"/>
                    </w:rPr>
                  </m:ctrlPr>
                </m:e>
                <m:sub>
                  <m:r>
                    <m:rPr>
                      <m:sty m:val="p"/>
                    </m:rPr>
                    <w:rPr>
                      <w:rFonts w:ascii="Cambria Math" w:hAnsi="Cambria Math"/>
                      <w:color w:val="FF0000"/>
                      <w:sz w:val="20"/>
                      <w:szCs w:val="20"/>
                      <w:lang w:eastAsia="zh-CN"/>
                    </w:rPr>
                    <m:t>PDCCH</m:t>
                  </m:r>
                  <m:ctrlPr>
                    <w:rPr>
                      <w:rFonts w:ascii="Cambria Math" w:hAnsi="Cambria Math"/>
                      <w:bCs/>
                      <w:i/>
                      <w:color w:val="FF0000"/>
                      <w:sz w:val="20"/>
                      <w:szCs w:val="20"/>
                      <w:lang w:eastAsia="zh-CN"/>
                    </w:rPr>
                  </m:ctrlP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ctrlPr>
                            <w:rPr>
                              <w:rFonts w:ascii="Cambria Math" w:hAnsi="Cambria Math"/>
                              <w:bCs/>
                              <w:i/>
                              <w:color w:val="FF0000"/>
                              <w:sz w:val="20"/>
                              <w:szCs w:val="20"/>
                              <w:lang w:eastAsia="zh-CN"/>
                            </w:rPr>
                          </m:ctrlPr>
                        </m:e>
                        <m:sub>
                          <m:r>
                            <w:rPr>
                              <w:rFonts w:ascii="Cambria Math" w:hAnsi="Cambria Math"/>
                              <w:color w:val="FF0000"/>
                              <w:sz w:val="20"/>
                              <w:szCs w:val="20"/>
                              <w:lang w:eastAsia="zh-CN"/>
                            </w:rPr>
                            <m:t>s</m:t>
                          </m:r>
                          <m:ctrlPr>
                            <w:rPr>
                              <w:rFonts w:ascii="Cambria Math" w:hAnsi="Cambria Math"/>
                              <w:bCs/>
                              <w:i/>
                              <w:color w:val="FF0000"/>
                              <w:sz w:val="20"/>
                              <w:szCs w:val="20"/>
                              <w:lang w:eastAsia="zh-CN"/>
                            </w:rPr>
                          </m:ctrlP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ctrlPr>
                            <w:rPr>
                              <w:rFonts w:ascii="Cambria Math" w:hAnsi="Cambria Math"/>
                              <w:bCs/>
                              <w:i/>
                              <w:color w:val="FF0000"/>
                              <w:sz w:val="20"/>
                              <w:szCs w:val="20"/>
                              <w:lang w:eastAsia="zh-CN"/>
                            </w:rPr>
                          </m:ctrlPr>
                        </m:e>
                        <m:sub>
                          <m:r>
                            <w:rPr>
                              <w:rFonts w:ascii="Cambria Math" w:hAnsi="Cambria Math"/>
                              <w:color w:val="FF0000"/>
                              <w:sz w:val="20"/>
                              <w:szCs w:val="20"/>
                              <w:lang w:eastAsia="zh-CN"/>
                            </w:rPr>
                            <m:t>s</m:t>
                          </m:r>
                          <m:ctrlPr>
                            <w:rPr>
                              <w:rFonts w:ascii="Cambria Math" w:hAnsi="Cambria Math"/>
                              <w:bCs/>
                              <w:i/>
                              <w:color w:val="FF0000"/>
                              <w:sz w:val="20"/>
                              <w:szCs w:val="20"/>
                              <w:lang w:eastAsia="zh-CN"/>
                            </w:rPr>
                          </m:ctrlPr>
                        </m:sub>
                      </m:sSub>
                      <m:ctrlPr>
                        <w:rPr>
                          <w:rFonts w:ascii="Cambria Math" w:hAnsi="Cambria Math"/>
                          <w:bCs/>
                          <w:i/>
                          <w:color w:val="FF0000"/>
                          <w:sz w:val="20"/>
                          <w:szCs w:val="20"/>
                          <w:lang w:eastAsia="zh-CN"/>
                        </w:rPr>
                      </m:ctrlPr>
                    </m:e>
                  </m:d>
                  <m:r>
                    <w:rPr>
                      <w:rFonts w:ascii="Cambria Math" w:hAnsi="Cambria Math"/>
                      <w:color w:val="FF0000"/>
                      <w:sz w:val="20"/>
                      <w:szCs w:val="20"/>
                      <w:lang w:eastAsia="zh-CN"/>
                    </w:rPr>
                    <m:t>,μ</m:t>
                  </m:r>
                  <m:ctrlPr>
                    <w:rPr>
                      <w:rFonts w:ascii="Cambria Math" w:hAnsi="Cambria Math"/>
                      <w:bCs/>
                      <w:i/>
                      <w:color w:val="FF0000"/>
                      <w:sz w:val="20"/>
                      <w:szCs w:val="20"/>
                      <w:lang w:eastAsia="zh-CN"/>
                    </w:rPr>
                  </m:ctrlP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ctrlPr>
                    <w:rPr>
                      <w:rFonts w:ascii="Cambria Math" w:hAnsi="Cambria Math"/>
                      <w:bCs/>
                      <w:i/>
                      <w:color w:val="FF0000"/>
                      <w:sz w:val="20"/>
                      <w:szCs w:val="20"/>
                      <w:lang w:eastAsia="zh-CN"/>
                    </w:rPr>
                  </m:ctrlPr>
                </m:e>
                <m:sub>
                  <m:r>
                    <m:rPr>
                      <m:sty m:val="p"/>
                    </m:rPr>
                    <w:rPr>
                      <w:rFonts w:ascii="Cambria Math" w:hAnsi="Cambria Math"/>
                      <w:color w:val="FF0000"/>
                      <w:sz w:val="20"/>
                      <w:szCs w:val="20"/>
                      <w:lang w:eastAsia="zh-CN"/>
                    </w:rPr>
                    <m:t>PDCCH</m:t>
                  </m:r>
                  <m:ctrlPr>
                    <w:rPr>
                      <w:rFonts w:ascii="Cambria Math" w:hAnsi="Cambria Math"/>
                      <w:bCs/>
                      <w:i/>
                      <w:color w:val="FF0000"/>
                      <w:sz w:val="20"/>
                      <w:szCs w:val="20"/>
                      <w:lang w:eastAsia="zh-CN"/>
                    </w:rPr>
                  </m:ctrlP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ctrlPr>
                            <w:rPr>
                              <w:rFonts w:ascii="Cambria Math" w:hAnsi="Cambria Math"/>
                              <w:bCs/>
                              <w:i/>
                              <w:color w:val="FF0000"/>
                              <w:sz w:val="20"/>
                              <w:szCs w:val="20"/>
                              <w:lang w:eastAsia="zh-CN"/>
                            </w:rPr>
                          </m:ctrlPr>
                        </m:e>
                        <m:sub>
                          <m:r>
                            <w:rPr>
                              <w:rFonts w:ascii="Cambria Math" w:hAnsi="Cambria Math"/>
                              <w:color w:val="FF0000"/>
                              <w:sz w:val="20"/>
                              <w:szCs w:val="20"/>
                              <w:lang w:eastAsia="zh-CN"/>
                            </w:rPr>
                            <m:t>s</m:t>
                          </m:r>
                          <m:ctrlPr>
                            <w:rPr>
                              <w:rFonts w:ascii="Cambria Math" w:hAnsi="Cambria Math"/>
                              <w:bCs/>
                              <w:i/>
                              <w:color w:val="FF0000"/>
                              <w:sz w:val="20"/>
                              <w:szCs w:val="20"/>
                              <w:lang w:eastAsia="zh-CN"/>
                            </w:rPr>
                          </m:ctrlP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ctrlPr>
                            <w:rPr>
                              <w:rFonts w:ascii="Cambria Math" w:hAnsi="Cambria Math"/>
                              <w:bCs/>
                              <w:i/>
                              <w:color w:val="FF0000"/>
                              <w:sz w:val="20"/>
                              <w:szCs w:val="20"/>
                              <w:lang w:eastAsia="zh-CN"/>
                            </w:rPr>
                          </m:ctrlPr>
                        </m:e>
                        <m:sub>
                          <m:r>
                            <w:rPr>
                              <w:rFonts w:ascii="Cambria Math" w:hAnsi="Cambria Math"/>
                              <w:color w:val="FF0000"/>
                              <w:sz w:val="20"/>
                              <w:szCs w:val="20"/>
                              <w:lang w:eastAsia="zh-CN"/>
                            </w:rPr>
                            <m:t>s</m:t>
                          </m:r>
                          <m:ctrlPr>
                            <w:rPr>
                              <w:rFonts w:ascii="Cambria Math" w:hAnsi="Cambria Math"/>
                              <w:bCs/>
                              <w:i/>
                              <w:color w:val="FF0000"/>
                              <w:sz w:val="20"/>
                              <w:szCs w:val="20"/>
                              <w:lang w:eastAsia="zh-CN"/>
                            </w:rPr>
                          </m:ctrlPr>
                        </m:sub>
                      </m:sSub>
                      <m:ctrlPr>
                        <w:rPr>
                          <w:rFonts w:ascii="Cambria Math" w:hAnsi="Cambria Math"/>
                          <w:bCs/>
                          <w:i/>
                          <w:color w:val="FF0000"/>
                          <w:sz w:val="20"/>
                          <w:szCs w:val="20"/>
                          <w:lang w:eastAsia="zh-CN"/>
                        </w:rPr>
                      </m:ctrlPr>
                    </m:e>
                  </m:d>
                  <m:r>
                    <w:rPr>
                      <w:rFonts w:ascii="Cambria Math" w:hAnsi="Cambria Math"/>
                      <w:color w:val="FF0000"/>
                      <w:sz w:val="20"/>
                      <w:szCs w:val="20"/>
                      <w:lang w:eastAsia="zh-CN"/>
                    </w:rPr>
                    <m:t>,μ</m:t>
                  </m:r>
                  <m:ctrlPr>
                    <w:rPr>
                      <w:rFonts w:ascii="Cambria Math" w:hAnsi="Cambria Math"/>
                      <w:bCs/>
                      <w:i/>
                      <w:color w:val="FF0000"/>
                      <w:sz w:val="20"/>
                      <w:szCs w:val="20"/>
                      <w:lang w:eastAsia="zh-CN"/>
                    </w:rPr>
                  </m:ctrlPr>
                </m:sup>
              </m:sSubSup>
            </m:oMath>
            <w:r>
              <w:rPr>
                <w:bCs/>
                <w:color w:val="FF0000"/>
                <w:sz w:val="20"/>
                <w:szCs w:val="20"/>
                <w:lang w:eastAsia="zh-CN"/>
              </w:rPr>
              <w:t xml:space="preserve"> </w:t>
            </w:r>
            <w:r>
              <w:rPr>
                <w:bCs/>
                <w:iCs/>
                <w:color w:val="FF0000"/>
                <w:sz w:val="20"/>
                <w:szCs w:val="20"/>
              </w:rPr>
              <w:t>for PDCCH monitoring</w:t>
            </w:r>
            <w:r>
              <w:rPr>
                <w:rFonts w:eastAsia="MS Mincho"/>
                <w:lang w:eastAsia="ja-JP"/>
              </w:rPr>
              <w:t xml:space="preserve">’ in proposal A1-3.1a/b, the bullet on Ys determination is not necessary in the current proposal. However, it doesn’t mean Ys is not necessary for other functions. Our understanding is that determination of </w:t>
            </w:r>
            <w:r>
              <w:rPr>
                <w:rFonts w:hint="eastAsia" w:eastAsia="MS Mincho"/>
                <w:lang w:eastAsia="ja-JP"/>
              </w:rPr>
              <w:t>Ys</w:t>
            </w:r>
            <w:r>
              <w:rPr>
                <w:rFonts w:eastAsia="MS Mincho"/>
                <w:lang w:eastAsia="ja-JP"/>
              </w:rPr>
              <w:t xml:space="preserve"> can be discussed separately. </w:t>
            </w:r>
          </w:p>
          <w:p>
            <w:pPr>
              <w:widowControl w:val="0"/>
              <w:spacing w:after="0"/>
              <w:rPr>
                <w:rFonts w:eastAsia="MS Mincho"/>
                <w:lang w:eastAsia="ja-JP"/>
              </w:rPr>
            </w:pPr>
          </w:p>
          <w:p>
            <w:pPr>
              <w:widowControl w:val="0"/>
              <w:spacing w:after="0"/>
              <w:rPr>
                <w:rFonts w:eastAsia="MS Mincho"/>
                <w:lang w:eastAsia="ja-JP"/>
              </w:rPr>
            </w:pPr>
            <w:r>
              <w:rPr>
                <w:rFonts w:eastAsia="MS Mincho"/>
                <w:lang w:eastAsia="ja-JP"/>
              </w:rPr>
              <w:t xml:space="preserve">We share the view from other companies that it is not necessary that the size of </w:t>
            </w:r>
            <w:r>
              <w:rPr>
                <w:i/>
                <w:iCs/>
                <w:sz w:val="20"/>
                <w:lang w:eastAsia="zh-CN"/>
              </w:rPr>
              <w:t>monitoringSlotsWithinSlotGroup</w:t>
            </w:r>
            <w:r>
              <w:rPr>
                <w:rFonts w:eastAsia="MS Mincho"/>
                <w:lang w:eastAsia="ja-JP"/>
              </w:rPr>
              <w:t xml:space="preserve"> and “active” Xs is always the same. Qualcomm had provided good figures for the illustration. </w:t>
            </w:r>
          </w:p>
          <w:p>
            <w:pPr>
              <w:widowControl w:val="0"/>
              <w:spacing w:after="0"/>
              <w:rPr>
                <w:rFonts w:eastAsia="MS Mincho"/>
                <w:lang w:eastAsia="ja-JP"/>
              </w:rPr>
            </w:pPr>
          </w:p>
          <w:p>
            <w:pPr>
              <w:widowControl w:val="0"/>
              <w:spacing w:after="0"/>
              <w:rPr>
                <w:rFonts w:eastAsia="MS Mincho"/>
                <w:lang w:eastAsia="ja-JP"/>
              </w:rPr>
            </w:pPr>
            <w:r>
              <w:rPr>
                <w:rFonts w:eastAsia="MS Mincho"/>
                <w:lang w:eastAsia="ja-JP"/>
              </w:rPr>
              <w:t xml:space="preserve">We are also fine to limit it to SCS 960kHz as proposed in A1-3.1c.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sz w:val="20"/>
                <w:lang w:eastAsia="ja-JP"/>
              </w:rPr>
            </w:pPr>
            <w:r>
              <w:rPr>
                <w:rFonts w:eastAsia="MS Mincho"/>
                <w:sz w:val="20"/>
                <w:lang w:eastAsia="ja-JP"/>
              </w:rPr>
              <w:t>Futurewei</w:t>
            </w:r>
          </w:p>
        </w:tc>
        <w:tc>
          <w:tcPr>
            <w:tcW w:w="12176" w:type="dxa"/>
            <w:vAlign w:val="center"/>
          </w:tcPr>
          <w:p>
            <w:pPr>
              <w:widowControl w:val="0"/>
              <w:spacing w:after="0"/>
              <w:rPr>
                <w:rFonts w:eastAsia="MS Mincho"/>
                <w:lang w:eastAsia="ja-JP"/>
              </w:rPr>
            </w:pPr>
            <w:r>
              <w:rPr>
                <w:rFonts w:eastAsia="MS Mincho"/>
                <w:lang w:eastAsia="ja-JP"/>
              </w:rPr>
              <w:t xml:space="preserve">We think that the 3-2a (RRC parameter configuration) would avoid above  confusions and therefore it is preferable. However, we could compromise for A1-3.1a. We think that the size of “active” Xs and  the size of </w:t>
            </w:r>
            <w:r>
              <w:rPr>
                <w:i/>
                <w:iCs/>
                <w:sz w:val="20"/>
                <w:lang w:eastAsia="zh-CN"/>
              </w:rPr>
              <w:t xml:space="preserve">monitoringSlotsWithinSlotGroup </w:t>
            </w:r>
            <w:r>
              <w:rPr>
                <w:sz w:val="20"/>
                <w:lang w:eastAsia="zh-CN"/>
              </w:rPr>
              <w:t xml:space="preserve">may no be the same, and agree with LG comment that to evaluate “active” Xs (for dropping) one may need to consider all the reported (Xs, Ys) combinations and </w:t>
            </w:r>
            <w:r>
              <w:rPr>
                <w:rFonts w:eastAsia="MS Mincho"/>
                <w:lang w:eastAsia="ja-JP"/>
              </w:rPr>
              <w:t>at the MOs from all configured SSs.</w:t>
            </w:r>
          </w:p>
        </w:tc>
      </w:tr>
    </w:tbl>
    <w:p>
      <w:pPr>
        <w:autoSpaceDE/>
        <w:autoSpaceDN/>
        <w:adjustRightInd/>
        <w:snapToGrid/>
        <w:spacing w:after="0" w:line="240" w:lineRule="auto"/>
        <w:rPr>
          <w:bCs/>
          <w:lang w:eastAsia="zh-CN"/>
        </w:rPr>
      </w:pPr>
    </w:p>
    <w:p>
      <w:pPr>
        <w:pStyle w:val="5"/>
      </w:pPr>
      <w:r>
        <w:t>Second round discussion summary</w:t>
      </w:r>
    </w:p>
    <w:p>
      <w:pPr>
        <w:rPr>
          <w:lang w:eastAsia="zh-CN"/>
        </w:rPr>
      </w:pPr>
      <w:r>
        <w:rPr>
          <w:lang w:eastAsia="zh-CN"/>
        </w:rPr>
        <w:t>A majority of companies (still) prefers to define a rule without RRC configuration. Proposal A1-3.1c seems to be acceptable by most companies.</w:t>
      </w:r>
    </w:p>
    <w:p>
      <w:pPr>
        <w:autoSpaceDE/>
        <w:autoSpaceDN/>
        <w:adjustRightInd/>
        <w:snapToGrid/>
        <w:spacing w:after="0" w:line="240" w:lineRule="auto"/>
        <w:rPr>
          <w:bCs/>
          <w:lang w:eastAsia="zh-CN"/>
        </w:rPr>
      </w:pPr>
    </w:p>
    <w:p>
      <w:pPr>
        <w:pStyle w:val="5"/>
      </w:pPr>
      <w:r>
        <w:t>Third round discussion</w:t>
      </w:r>
    </w:p>
    <w:p>
      <w:pPr>
        <w:rPr>
          <w:highlight w:val="yellow"/>
          <w:lang w:eastAsia="zh-CN"/>
        </w:rPr>
      </w:pPr>
      <w:r>
        <w:rPr>
          <w:b/>
          <w:sz w:val="20"/>
          <w:szCs w:val="20"/>
          <w:highlight w:val="yellow"/>
          <w:u w:val="single"/>
        </w:rPr>
        <w:t>Proposal A1-3.1c</w:t>
      </w:r>
    </w:p>
    <w:p>
      <w:r>
        <w:t xml:space="preserve">For </w:t>
      </w:r>
      <m:oMath>
        <m:r>
          <w:rPr>
            <w:rFonts w:ascii="Cambria Math" w:hAnsi="Cambria Math"/>
          </w:rPr>
          <m:t>μ=6, i</m:t>
        </m:r>
      </m:oMath>
      <w:r>
        <w:t xml:space="preserve">f more than one of the reported PDCCH monitoring </w:t>
      </w:r>
      <m:oMath>
        <m:sSub>
          <m:sSubPr>
            <m:ctrlPr>
              <w:rPr>
                <w:rFonts w:ascii="Cambria Math" w:hAnsi="Cambria Math"/>
              </w:rPr>
            </m:ctrlPr>
          </m:sSubPr>
          <m:e>
            <m:r>
              <m:rPr>
                <m:sty m:val="p"/>
              </m:rPr>
              <w:rPr>
                <w:rFonts w:ascii="Cambria Math" w:hAnsi="Cambria Math"/>
              </w:rPr>
              <m:t>(X</m:t>
            </m:r>
            <m:ctrlPr>
              <w:rPr>
                <w:rFonts w:ascii="Cambria Math" w:hAnsi="Cambria Math"/>
              </w:rPr>
            </m:ctrlPr>
          </m:e>
          <m:sub>
            <m:r>
              <m:rPr>
                <m:sty m:val="p"/>
              </m:rPr>
              <w:rPr>
                <w:rFonts w:ascii="Cambria Math" w:hAnsi="Cambria Math"/>
              </w:rPr>
              <m:t>s</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ctrlPr>
              <w:rPr>
                <w:rFonts w:ascii="Cambria Math" w:hAnsi="Cambria Math"/>
              </w:rPr>
            </m:ctrlPr>
          </m:e>
          <m:sub>
            <m:r>
              <m:rPr>
                <m:sty m:val="p"/>
              </m:rPr>
              <w:rPr>
                <w:rFonts w:ascii="Cambria Math" w:hAnsi="Cambria Math"/>
              </w:rPr>
              <m:t>s</m:t>
            </m:r>
            <m:ctrlPr>
              <w:rPr>
                <w:rFonts w:ascii="Cambria Math" w:hAnsi="Cambria Math"/>
              </w:rPr>
            </m:ctrlPr>
          </m:sub>
        </m:sSub>
        <m:r>
          <m:rPr>
            <m:sty m:val="p"/>
          </m:rPr>
          <w:rPr>
            <w:rFonts w:ascii="Cambria Math" w:hAnsi="Cambria Math"/>
          </w:rPr>
          <m:t>)</m:t>
        </m:r>
      </m:oMath>
      <w:r>
        <w:t xml:space="preserve"> capability combinations comply with all configured search space sets, then the UE assumes </w:t>
      </w:r>
      <m:oMath>
        <m:sSubSup>
          <m:sSubSupPr>
            <m:ctrlPr>
              <w:rPr>
                <w:rFonts w:ascii="Cambria Math" w:hAnsi="Cambria Math"/>
              </w:rPr>
            </m:ctrlPr>
          </m:sSubSupPr>
          <m:e>
            <m:r>
              <w:rPr>
                <w:rFonts w:ascii="Cambria Math" w:hAnsi="Cambria Math"/>
              </w:rPr>
              <m:t>M</m:t>
            </m:r>
            <m:ctrlPr>
              <w:rPr>
                <w:rFonts w:ascii="Cambria Math" w:hAnsi="Cambria Math"/>
              </w:rPr>
            </m:ctrlPr>
          </m:e>
          <m:sub>
            <m:r>
              <m:rPr>
                <m:sty m:val="p"/>
              </m:rPr>
              <w:rPr>
                <w:rFonts w:ascii="Cambria Math" w:hAnsi="Cambria Math"/>
              </w:rPr>
              <m:t>PDCCH</m:t>
            </m:r>
            <m:ctrlPr>
              <w:rPr>
                <w:rFonts w:ascii="Cambria Math" w:hAnsi="Cambria Math"/>
              </w:rPr>
            </m:ctrlP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ctrlPr>
                      <w:rPr>
                        <w:rFonts w:ascii="Cambria Math" w:hAnsi="Cambria Math"/>
                      </w:rPr>
                    </m:ctrlPr>
                  </m:e>
                  <m:sub>
                    <m:r>
                      <w:rPr>
                        <w:rFonts w:ascii="Cambria Math" w:hAnsi="Cambria Math"/>
                      </w:rPr>
                      <m:t>s</m:t>
                    </m:r>
                    <m:ctrlPr>
                      <w:rPr>
                        <w:rFonts w:ascii="Cambria Math" w:hAnsi="Cambria Math"/>
                      </w:rPr>
                    </m:ctrlPr>
                  </m:sub>
                </m:sSub>
                <m:r>
                  <m:rPr>
                    <m:sty m:val="p"/>
                  </m:rPr>
                  <w:rPr>
                    <w:rFonts w:ascii="Cambria Math" w:hAnsi="Cambria Math"/>
                  </w:rPr>
                  <m:t>,</m:t>
                </m:r>
                <m:sSub>
                  <m:sSubPr>
                    <m:ctrlPr>
                      <w:rPr>
                        <w:rFonts w:ascii="Cambria Math" w:hAnsi="Cambria Math"/>
                      </w:rPr>
                    </m:ctrlPr>
                  </m:sSubPr>
                  <m:e>
                    <m:r>
                      <w:rPr>
                        <w:rFonts w:ascii="Cambria Math" w:hAnsi="Cambria Math"/>
                      </w:rPr>
                      <m:t>Y</m:t>
                    </m:r>
                    <m:ctrlPr>
                      <w:rPr>
                        <w:rFonts w:ascii="Cambria Math" w:hAnsi="Cambria Math"/>
                      </w:rPr>
                    </m:ctrlPr>
                  </m:e>
                  <m:sub>
                    <m:r>
                      <w:rPr>
                        <w:rFonts w:ascii="Cambria Math" w:hAnsi="Cambria Math"/>
                      </w:rPr>
                      <m:t>s</m:t>
                    </m:r>
                    <m:ctrlPr>
                      <w:rPr>
                        <w:rFonts w:ascii="Cambria Math" w:hAnsi="Cambria Math"/>
                      </w:rPr>
                    </m:ctrlPr>
                  </m:sub>
                </m:sSub>
                <m:ctrlPr>
                  <w:rPr>
                    <w:rFonts w:ascii="Cambria Math" w:hAnsi="Cambria Math"/>
                  </w:rPr>
                </m:ctrlPr>
              </m:e>
            </m:d>
            <m:r>
              <m:rPr>
                <m:sty m:val="p"/>
              </m:rPr>
              <w:rPr>
                <w:rFonts w:ascii="Cambria Math" w:hAnsi="Cambria Math"/>
              </w:rPr>
              <m:t>,</m:t>
            </m:r>
            <m:r>
              <w:rPr>
                <w:rFonts w:ascii="Cambria Math" w:hAnsi="Cambria Math"/>
              </w:rPr>
              <m:t>μ</m:t>
            </m:r>
            <m:ctrlPr>
              <w:rPr>
                <w:rFonts w:ascii="Cambria Math" w:hAnsi="Cambria Math"/>
              </w:rPr>
            </m:ctrlPr>
          </m:sup>
        </m:sSubSup>
      </m:oMath>
      <w:r>
        <w:t xml:space="preserve"> and </w:t>
      </w:r>
      <m:oMath>
        <m:sSubSup>
          <m:sSubSupPr>
            <m:ctrlPr>
              <w:rPr>
                <w:rFonts w:ascii="Cambria Math" w:hAnsi="Cambria Math"/>
              </w:rPr>
            </m:ctrlPr>
          </m:sSubSupPr>
          <m:e>
            <m:r>
              <w:rPr>
                <w:rFonts w:ascii="Cambria Math" w:hAnsi="Cambria Math"/>
              </w:rPr>
              <m:t>C</m:t>
            </m:r>
            <m:ctrlPr>
              <w:rPr>
                <w:rFonts w:ascii="Cambria Math" w:hAnsi="Cambria Math"/>
              </w:rPr>
            </m:ctrlPr>
          </m:e>
          <m:sub>
            <m:r>
              <m:rPr>
                <m:sty m:val="p"/>
              </m:rPr>
              <w:rPr>
                <w:rFonts w:ascii="Cambria Math" w:hAnsi="Cambria Math"/>
              </w:rPr>
              <m:t>PDCCH</m:t>
            </m:r>
            <m:ctrlPr>
              <w:rPr>
                <w:rFonts w:ascii="Cambria Math" w:hAnsi="Cambria Math"/>
              </w:rPr>
            </m:ctrlP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ctrlPr>
                      <w:rPr>
                        <w:rFonts w:ascii="Cambria Math" w:hAnsi="Cambria Math"/>
                      </w:rPr>
                    </m:ctrlPr>
                  </m:e>
                  <m:sub>
                    <m:r>
                      <w:rPr>
                        <w:rFonts w:ascii="Cambria Math" w:hAnsi="Cambria Math"/>
                      </w:rPr>
                      <m:t>s</m:t>
                    </m:r>
                    <m:ctrlPr>
                      <w:rPr>
                        <w:rFonts w:ascii="Cambria Math" w:hAnsi="Cambria Math"/>
                      </w:rPr>
                    </m:ctrlPr>
                  </m:sub>
                </m:sSub>
                <m:r>
                  <m:rPr>
                    <m:sty m:val="p"/>
                  </m:rPr>
                  <w:rPr>
                    <w:rFonts w:ascii="Cambria Math" w:hAnsi="Cambria Math"/>
                  </w:rPr>
                  <m:t>,</m:t>
                </m:r>
                <m:sSub>
                  <m:sSubPr>
                    <m:ctrlPr>
                      <w:rPr>
                        <w:rFonts w:ascii="Cambria Math" w:hAnsi="Cambria Math"/>
                      </w:rPr>
                    </m:ctrlPr>
                  </m:sSubPr>
                  <m:e>
                    <m:r>
                      <w:rPr>
                        <w:rFonts w:ascii="Cambria Math" w:hAnsi="Cambria Math"/>
                      </w:rPr>
                      <m:t>Y</m:t>
                    </m:r>
                    <m:ctrlPr>
                      <w:rPr>
                        <w:rFonts w:ascii="Cambria Math" w:hAnsi="Cambria Math"/>
                      </w:rPr>
                    </m:ctrlPr>
                  </m:e>
                  <m:sub>
                    <m:r>
                      <w:rPr>
                        <w:rFonts w:ascii="Cambria Math" w:hAnsi="Cambria Math"/>
                      </w:rPr>
                      <m:t>s</m:t>
                    </m:r>
                    <m:ctrlPr>
                      <w:rPr>
                        <w:rFonts w:ascii="Cambria Math" w:hAnsi="Cambria Math"/>
                      </w:rPr>
                    </m:ctrlPr>
                  </m:sub>
                </m:sSub>
                <m:ctrlPr>
                  <w:rPr>
                    <w:rFonts w:ascii="Cambria Math" w:hAnsi="Cambria Math"/>
                  </w:rPr>
                </m:ctrlPr>
              </m:e>
            </m:d>
            <m:r>
              <m:rPr>
                <m:sty m:val="p"/>
              </m:rPr>
              <w:rPr>
                <w:rFonts w:ascii="Cambria Math" w:hAnsi="Cambria Math"/>
              </w:rPr>
              <m:t>,</m:t>
            </m:r>
            <m:r>
              <w:rPr>
                <w:rFonts w:ascii="Cambria Math" w:hAnsi="Cambria Math"/>
              </w:rPr>
              <m:t>μ</m:t>
            </m:r>
            <m:ctrlPr>
              <w:rPr>
                <w:rFonts w:ascii="Cambria Math" w:hAnsi="Cambria Math"/>
              </w:rPr>
            </m:ctrlPr>
          </m:sup>
        </m:sSubSup>
      </m:oMath>
      <w:r>
        <w:t xml:space="preserve"> values corresponding to the complying combination with the largest </w:t>
      </w:r>
      <m:oMath>
        <m:sSubSup>
          <m:sSubSupPr>
            <m:ctrlPr>
              <w:rPr>
                <w:rFonts w:ascii="Cambria Math" w:hAnsi="Cambria Math"/>
              </w:rPr>
            </m:ctrlPr>
          </m:sSubSupPr>
          <m:e>
            <m:r>
              <w:rPr>
                <w:rFonts w:ascii="Cambria Math" w:hAnsi="Cambria Math"/>
              </w:rPr>
              <m:t>M</m:t>
            </m:r>
            <m:ctrlPr>
              <w:rPr>
                <w:rFonts w:ascii="Cambria Math" w:hAnsi="Cambria Math"/>
              </w:rPr>
            </m:ctrlPr>
          </m:e>
          <m:sub>
            <m:r>
              <m:rPr>
                <m:sty m:val="p"/>
              </m:rPr>
              <w:rPr>
                <w:rFonts w:ascii="Cambria Math" w:hAnsi="Cambria Math"/>
              </w:rPr>
              <m:t>PDCCH</m:t>
            </m:r>
            <m:ctrlPr>
              <w:rPr>
                <w:rFonts w:ascii="Cambria Math" w:hAnsi="Cambria Math"/>
              </w:rPr>
            </m:ctrlP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ctrlPr>
                      <w:rPr>
                        <w:rFonts w:ascii="Cambria Math" w:hAnsi="Cambria Math"/>
                      </w:rPr>
                    </m:ctrlPr>
                  </m:e>
                  <m:sub>
                    <m:r>
                      <w:rPr>
                        <w:rFonts w:ascii="Cambria Math" w:hAnsi="Cambria Math"/>
                      </w:rPr>
                      <m:t>s</m:t>
                    </m:r>
                    <m:ctrlPr>
                      <w:rPr>
                        <w:rFonts w:ascii="Cambria Math" w:hAnsi="Cambria Math"/>
                      </w:rPr>
                    </m:ctrlPr>
                  </m:sub>
                </m:sSub>
                <m:r>
                  <m:rPr>
                    <m:sty m:val="p"/>
                  </m:rPr>
                  <w:rPr>
                    <w:rFonts w:ascii="Cambria Math" w:hAnsi="Cambria Math"/>
                  </w:rPr>
                  <m:t>,</m:t>
                </m:r>
                <m:sSub>
                  <m:sSubPr>
                    <m:ctrlPr>
                      <w:rPr>
                        <w:rFonts w:ascii="Cambria Math" w:hAnsi="Cambria Math"/>
                      </w:rPr>
                    </m:ctrlPr>
                  </m:sSubPr>
                  <m:e>
                    <m:r>
                      <w:rPr>
                        <w:rFonts w:ascii="Cambria Math" w:hAnsi="Cambria Math"/>
                      </w:rPr>
                      <m:t>Y</m:t>
                    </m:r>
                    <m:ctrlPr>
                      <w:rPr>
                        <w:rFonts w:ascii="Cambria Math" w:hAnsi="Cambria Math"/>
                      </w:rPr>
                    </m:ctrlPr>
                  </m:e>
                  <m:sub>
                    <m:r>
                      <w:rPr>
                        <w:rFonts w:ascii="Cambria Math" w:hAnsi="Cambria Math"/>
                      </w:rPr>
                      <m:t>s</m:t>
                    </m:r>
                    <m:ctrlPr>
                      <w:rPr>
                        <w:rFonts w:ascii="Cambria Math" w:hAnsi="Cambria Math"/>
                      </w:rPr>
                    </m:ctrlPr>
                  </m:sub>
                </m:sSub>
                <m:ctrlPr>
                  <w:rPr>
                    <w:rFonts w:ascii="Cambria Math" w:hAnsi="Cambria Math"/>
                  </w:rPr>
                </m:ctrlPr>
              </m:e>
            </m:d>
            <m:r>
              <m:rPr>
                <m:sty m:val="p"/>
              </m:rPr>
              <w:rPr>
                <w:rFonts w:ascii="Cambria Math" w:hAnsi="Cambria Math"/>
              </w:rPr>
              <m:t>,</m:t>
            </m:r>
            <m:r>
              <w:rPr>
                <w:rFonts w:ascii="Cambria Math" w:hAnsi="Cambria Math"/>
              </w:rPr>
              <m:t>μ</m:t>
            </m:r>
            <m:ctrlPr>
              <w:rPr>
                <w:rFonts w:ascii="Cambria Math" w:hAnsi="Cambria Math"/>
              </w:rPr>
            </m:ctrlPr>
          </m:sup>
        </m:sSubSup>
      </m:oMath>
      <w:r>
        <w:t xml:space="preserve"> and </w:t>
      </w:r>
      <m:oMath>
        <m:sSubSup>
          <m:sSubSupPr>
            <m:ctrlPr>
              <w:rPr>
                <w:rFonts w:ascii="Cambria Math" w:hAnsi="Cambria Math"/>
              </w:rPr>
            </m:ctrlPr>
          </m:sSubSupPr>
          <m:e>
            <m:r>
              <w:rPr>
                <w:rFonts w:ascii="Cambria Math" w:hAnsi="Cambria Math"/>
              </w:rPr>
              <m:t>C</m:t>
            </m:r>
            <m:ctrlPr>
              <w:rPr>
                <w:rFonts w:ascii="Cambria Math" w:hAnsi="Cambria Math"/>
              </w:rPr>
            </m:ctrlPr>
          </m:e>
          <m:sub>
            <m:r>
              <m:rPr>
                <m:sty m:val="p"/>
              </m:rPr>
              <w:rPr>
                <w:rFonts w:ascii="Cambria Math" w:hAnsi="Cambria Math"/>
              </w:rPr>
              <m:t>PDCCH</m:t>
            </m:r>
            <m:ctrlPr>
              <w:rPr>
                <w:rFonts w:ascii="Cambria Math" w:hAnsi="Cambria Math"/>
              </w:rPr>
            </m:ctrlP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ctrlPr>
                      <w:rPr>
                        <w:rFonts w:ascii="Cambria Math" w:hAnsi="Cambria Math"/>
                      </w:rPr>
                    </m:ctrlPr>
                  </m:e>
                  <m:sub>
                    <m:r>
                      <w:rPr>
                        <w:rFonts w:ascii="Cambria Math" w:hAnsi="Cambria Math"/>
                      </w:rPr>
                      <m:t>s</m:t>
                    </m:r>
                    <m:ctrlPr>
                      <w:rPr>
                        <w:rFonts w:ascii="Cambria Math" w:hAnsi="Cambria Math"/>
                      </w:rPr>
                    </m:ctrlPr>
                  </m:sub>
                </m:sSub>
                <m:r>
                  <m:rPr>
                    <m:sty m:val="p"/>
                  </m:rPr>
                  <w:rPr>
                    <w:rFonts w:ascii="Cambria Math" w:hAnsi="Cambria Math"/>
                  </w:rPr>
                  <m:t>,</m:t>
                </m:r>
                <m:sSub>
                  <m:sSubPr>
                    <m:ctrlPr>
                      <w:rPr>
                        <w:rFonts w:ascii="Cambria Math" w:hAnsi="Cambria Math"/>
                      </w:rPr>
                    </m:ctrlPr>
                  </m:sSubPr>
                  <m:e>
                    <m:r>
                      <w:rPr>
                        <w:rFonts w:ascii="Cambria Math" w:hAnsi="Cambria Math"/>
                      </w:rPr>
                      <m:t>Y</m:t>
                    </m:r>
                    <m:ctrlPr>
                      <w:rPr>
                        <w:rFonts w:ascii="Cambria Math" w:hAnsi="Cambria Math"/>
                      </w:rPr>
                    </m:ctrlPr>
                  </m:e>
                  <m:sub>
                    <m:r>
                      <w:rPr>
                        <w:rFonts w:ascii="Cambria Math" w:hAnsi="Cambria Math"/>
                      </w:rPr>
                      <m:t>s</m:t>
                    </m:r>
                    <m:ctrlPr>
                      <w:rPr>
                        <w:rFonts w:ascii="Cambria Math" w:hAnsi="Cambria Math"/>
                      </w:rPr>
                    </m:ctrlPr>
                  </m:sub>
                </m:sSub>
                <m:ctrlPr>
                  <w:rPr>
                    <w:rFonts w:ascii="Cambria Math" w:hAnsi="Cambria Math"/>
                  </w:rPr>
                </m:ctrlPr>
              </m:e>
            </m:d>
            <m:r>
              <m:rPr>
                <m:sty m:val="p"/>
              </m:rPr>
              <w:rPr>
                <w:rFonts w:ascii="Cambria Math" w:hAnsi="Cambria Math"/>
              </w:rPr>
              <m:t>,</m:t>
            </m:r>
            <m:r>
              <w:rPr>
                <w:rFonts w:ascii="Cambria Math" w:hAnsi="Cambria Math"/>
              </w:rPr>
              <m:t>μ</m:t>
            </m:r>
            <m:ctrlPr>
              <w:rPr>
                <w:rFonts w:ascii="Cambria Math" w:hAnsi="Cambria Math"/>
              </w:rPr>
            </m:ctrlPr>
          </m:sup>
        </m:sSubSup>
      </m:oMath>
      <w:r>
        <w:t xml:space="preserve"> values.</w:t>
      </w:r>
    </w:p>
    <w:p>
      <w:pPr>
        <w:pStyle w:val="82"/>
        <w:numPr>
          <w:ilvl w:val="0"/>
          <w:numId w:val="21"/>
        </w:numPr>
        <w:tabs>
          <w:tab w:val="left" w:pos="1300"/>
        </w:tabs>
        <w:rPr>
          <w:rFonts w:ascii="Times New Roman" w:hAnsi="Times New Roman" w:eastAsia="Yu Mincho"/>
          <w:bCs/>
          <w:iCs/>
        </w:rPr>
      </w:pPr>
      <w:r>
        <w:rPr>
          <w:rFonts w:ascii="Times New Roman" w:hAnsi="Times New Roman"/>
          <w:bCs/>
          <w:iCs/>
        </w:rPr>
        <w:t xml:space="preserve">Note: This determination of a </w:t>
      </w:r>
      <m:oMath>
        <m:sSub>
          <m:sSubPr>
            <m:ctrlPr>
              <w:rPr>
                <w:rFonts w:ascii="Cambria Math" w:hAnsi="Cambria Math"/>
                <w:bCs/>
                <w:iCs/>
              </w:rPr>
            </m:ctrlPr>
          </m:sSubPr>
          <m:e>
            <m:r>
              <m:rPr>
                <m:sty m:val="p"/>
              </m:rPr>
              <w:rPr>
                <w:rFonts w:ascii="Cambria Math" w:hAnsi="Cambria Math"/>
              </w:rPr>
              <m:t>(X</m:t>
            </m:r>
            <m:ctrlPr>
              <w:rPr>
                <w:rFonts w:ascii="Cambria Math" w:hAnsi="Cambria Math"/>
                <w:bCs/>
                <w:iCs/>
              </w:rPr>
            </m:ctrlPr>
          </m:e>
          <m:sub>
            <m:r>
              <m:rPr>
                <m:sty m:val="p"/>
              </m:rPr>
              <w:rPr>
                <w:rFonts w:ascii="Cambria Math" w:hAnsi="Cambria Math"/>
              </w:rPr>
              <m:t>s</m:t>
            </m:r>
            <m:ctrlPr>
              <w:rPr>
                <w:rFonts w:ascii="Cambria Math" w:hAnsi="Cambria Math"/>
                <w:bCs/>
                <w:iCs/>
              </w:rPr>
            </m:ctrlP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Y</m:t>
            </m:r>
            <m:ctrlPr>
              <w:rPr>
                <w:rFonts w:ascii="Cambria Math" w:hAnsi="Cambria Math"/>
                <w:bCs/>
                <w:iCs/>
              </w:rPr>
            </m:ctrlPr>
          </m:e>
          <m:sub>
            <m:r>
              <m:rPr>
                <m:sty m:val="p"/>
              </m:rPr>
              <w:rPr>
                <w:rFonts w:ascii="Cambria Math" w:hAnsi="Cambria Math"/>
              </w:rPr>
              <m:t>s</m:t>
            </m:r>
            <m:ctrlPr>
              <w:rPr>
                <w:rFonts w:ascii="Cambria Math" w:hAnsi="Cambria Math"/>
                <w:bCs/>
                <w:iCs/>
              </w:rPr>
            </m:ctrlPr>
          </m:sub>
        </m:sSub>
        <m:r>
          <m:rPr>
            <m:sty m:val="p"/>
          </m:rPr>
          <w:rPr>
            <w:rFonts w:ascii="Cambria Math" w:hAnsi="Cambria Math"/>
          </w:rPr>
          <m:t>)</m:t>
        </m:r>
      </m:oMath>
      <w:r>
        <w:rPr>
          <w:rFonts w:ascii="Times New Roman" w:hAnsi="Times New Roman" w:eastAsia="Yu Mincho"/>
          <w:bCs/>
          <w:iCs/>
        </w:rPr>
        <w:t xml:space="preserve"> combination is independent of the size of </w:t>
      </w:r>
      <w:r>
        <w:rPr>
          <w:rFonts w:ascii="Times New Roman" w:hAnsi="Times New Roman"/>
          <w:bCs/>
          <w:i/>
          <w:iCs/>
          <w:lang w:eastAsia="zh-CN"/>
        </w:rPr>
        <w:t>monitoringSlotsWithinSlotGroup</w:t>
      </w:r>
      <w:r>
        <w:rPr>
          <w:rFonts w:ascii="Times New Roman" w:hAnsi="Times New Roman"/>
          <w:bCs/>
          <w:lang w:eastAsia="zh-CN"/>
        </w:rPr>
        <w:t xml:space="preserve"> discussed in the context of search space configuration</w:t>
      </w:r>
    </w:p>
    <w:p>
      <w:pPr>
        <w:autoSpaceDE/>
        <w:autoSpaceDN/>
        <w:adjustRightInd/>
        <w:snapToGrid/>
        <w:spacing w:after="0" w:line="240" w:lineRule="auto"/>
        <w:rPr>
          <w:bCs/>
          <w:lang w:eastAsia="zh-CN"/>
        </w:rPr>
      </w:pPr>
    </w:p>
    <w:p>
      <w:pPr>
        <w:autoSpaceDE/>
        <w:autoSpaceDN/>
        <w:adjustRightInd/>
        <w:snapToGrid/>
        <w:spacing w:after="0" w:line="240" w:lineRule="auto"/>
        <w:rPr>
          <w:bCs/>
          <w:lang w:eastAsia="zh-CN"/>
        </w:rPr>
      </w:pPr>
      <w:r>
        <w:rPr>
          <w:bCs/>
          <w:highlight w:val="cyan"/>
          <w:lang w:eastAsia="zh-CN"/>
        </w:rPr>
        <w:t xml:space="preserve">FL Note (not part of the proposal): I additionally suggest to modify the proposal in A2-1 for </w:t>
      </w:r>
      <w:r>
        <w:rPr>
          <w:bCs/>
          <w:i/>
          <w:iCs/>
          <w:highlight w:val="cyan"/>
          <w:lang w:eastAsia="zh-CN"/>
        </w:rPr>
        <w:t>monitoringSlotsWithinSlotGroup</w:t>
      </w:r>
      <w:r>
        <w:rPr>
          <w:bCs/>
          <w:highlight w:val="cyan"/>
          <w:lang w:eastAsia="zh-CN"/>
        </w:rPr>
        <w:t xml:space="preserve"> to be simply 4 or 8 bits wide, without direct reference to Xs to avoid further confusion (suggested by several companies there). However as long as we don't have an agreement for A2-1, the Note above makes sense to keep.</w:t>
      </w:r>
    </w:p>
    <w:p>
      <w:pPr>
        <w:autoSpaceDE/>
        <w:autoSpaceDN/>
        <w:adjustRightInd/>
        <w:snapToGrid/>
        <w:spacing w:after="0" w:line="240" w:lineRule="auto"/>
        <w:rPr>
          <w:bCs/>
          <w:lang w:eastAsia="zh-CN"/>
        </w:rPr>
      </w:pPr>
    </w:p>
    <w:p>
      <w:pPr>
        <w:autoSpaceDE/>
        <w:autoSpaceDN/>
        <w:adjustRightInd/>
        <w:snapToGrid/>
        <w:spacing w:after="0" w:line="240" w:lineRule="auto"/>
        <w:rPr>
          <w:bCs/>
          <w:lang w:eastAsia="zh-CN"/>
        </w:rPr>
      </w:pPr>
      <w:r>
        <w:rPr>
          <w:bCs/>
          <w:highlight w:val="yellow"/>
          <w:lang w:eastAsia="zh-CN"/>
        </w:rPr>
        <w:t>Please comment only if you have a strong concern.</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N</w:t>
            </w:r>
            <w:r>
              <w:rPr>
                <w:rFonts w:eastAsia="MS Mincho"/>
                <w:lang w:eastAsia="ja-JP"/>
              </w:rPr>
              <w:t>TT DOCOMO</w:t>
            </w:r>
          </w:p>
        </w:tc>
        <w:tc>
          <w:tcPr>
            <w:tcW w:w="12176" w:type="dxa"/>
            <w:vAlign w:val="center"/>
          </w:tcPr>
          <w:p>
            <w:pPr>
              <w:widowControl w:val="0"/>
              <w:rPr>
                <w:rFonts w:eastAsia="MS Mincho"/>
                <w:lang w:eastAsia="ja-JP"/>
              </w:rPr>
            </w:pPr>
            <w:r>
              <w:rPr>
                <w:rFonts w:eastAsia="MS Mincho"/>
                <w:lang w:eastAsia="ja-JP"/>
              </w:rPr>
              <w:t>We support Proposal A1-3.1c.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lang w:eastAsia="zh-CN"/>
              </w:rPr>
              <w:t>MediaTek</w:t>
            </w:r>
          </w:p>
        </w:tc>
        <w:tc>
          <w:tcPr>
            <w:tcW w:w="12176" w:type="dxa"/>
            <w:vAlign w:val="center"/>
          </w:tcPr>
          <w:p>
            <w:pPr>
              <w:widowControl w:val="0"/>
              <w:rPr>
                <w:lang w:eastAsia="zh-CN"/>
              </w:rPr>
            </w:pPr>
            <w:r>
              <w:rPr>
                <w:lang w:eastAsia="zh-CN"/>
              </w:rPr>
              <w:t xml:space="preserve">We can accept the main bullet of the proposal in general but the proposal is not complete. In particular, we have concerns on not determining Ys value from spec point of view. For example, (4,1) and (4,2) have the same BD/CCE limit and we still need to decide </w:t>
            </w:r>
            <m:oMath>
              <m:sSubSup>
                <m:sSubSupPr>
                  <m:ctrlPr>
                    <w:rPr>
                      <w:rFonts w:ascii="Cambria Math" w:hAnsi="Cambria Math"/>
                    </w:rPr>
                  </m:ctrlPr>
                </m:sSubSupPr>
                <m:e>
                  <m:r>
                    <w:rPr>
                      <w:rFonts w:ascii="Cambria Math" w:hAnsi="Cambria Math"/>
                    </w:rPr>
                    <m:t>M</m:t>
                  </m:r>
                  <m:ctrlPr>
                    <w:rPr>
                      <w:rFonts w:ascii="Cambria Math" w:hAnsi="Cambria Math"/>
                    </w:rPr>
                  </m:ctrlPr>
                </m:e>
                <m:sub>
                  <m:r>
                    <m:rPr>
                      <m:sty m:val="p"/>
                    </m:rPr>
                    <w:rPr>
                      <w:rFonts w:ascii="Cambria Math" w:hAnsi="Cambria Math"/>
                    </w:rPr>
                    <m:t>PDCCH</m:t>
                  </m:r>
                  <m:ctrlPr>
                    <w:rPr>
                      <w:rFonts w:ascii="Cambria Math" w:hAnsi="Cambria Math"/>
                    </w:rPr>
                  </m:ctrlPr>
                </m:sub>
                <m:sup>
                  <m:r>
                    <w:rPr>
                      <w:rFonts w:ascii="Cambria Math" w:hAnsi="Cambria Math"/>
                    </w:rPr>
                    <m:t>max</m:t>
                  </m:r>
                  <m:r>
                    <m:rPr>
                      <m:sty m:val="p"/>
                    </m:rPr>
                    <w:rPr>
                      <w:rFonts w:ascii="Cambria Math" w:hAnsi="Cambria Math"/>
                    </w:rPr>
                    <m:t>,</m:t>
                  </m:r>
                  <m:d>
                    <m:dPr>
                      <m:ctrlPr>
                        <w:rPr>
                          <w:rFonts w:ascii="Cambria Math" w:hAnsi="Cambria Math"/>
                        </w:rPr>
                      </m:ctrlPr>
                    </m:dPr>
                    <m:e>
                      <m:r>
                        <w:rPr>
                          <w:rFonts w:ascii="Cambria Math" w:hAnsi="Cambria Math"/>
                        </w:rPr>
                        <m:t>4</m:t>
                      </m:r>
                      <m:r>
                        <m:rPr>
                          <m:sty m:val="p"/>
                        </m:rPr>
                        <w:rPr>
                          <w:rFonts w:ascii="Cambria Math" w:hAnsi="Cambria Math"/>
                        </w:rPr>
                        <m:t>,1</m:t>
                      </m:r>
                      <m:ctrlPr>
                        <w:rPr>
                          <w:rFonts w:ascii="Cambria Math" w:hAnsi="Cambria Math"/>
                        </w:rPr>
                      </m:ctrlPr>
                    </m:e>
                  </m:d>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 xml:space="preserve"> or</m:t>
              </m:r>
            </m:oMath>
            <w:r>
              <w:t xml:space="preserve"> </w:t>
            </w:r>
            <m:oMath>
              <m:sSubSup>
                <m:sSubSupPr>
                  <m:ctrlPr>
                    <w:rPr>
                      <w:rFonts w:ascii="Cambria Math" w:hAnsi="Cambria Math"/>
                    </w:rPr>
                  </m:ctrlPr>
                </m:sSubSupPr>
                <m:e>
                  <m:r>
                    <w:rPr>
                      <w:rFonts w:ascii="Cambria Math" w:hAnsi="Cambria Math"/>
                    </w:rPr>
                    <m:t>M</m:t>
                  </m:r>
                  <m:ctrlPr>
                    <w:rPr>
                      <w:rFonts w:ascii="Cambria Math" w:hAnsi="Cambria Math"/>
                    </w:rPr>
                  </m:ctrlPr>
                </m:e>
                <m:sub>
                  <m:r>
                    <m:rPr>
                      <m:sty m:val="p"/>
                    </m:rPr>
                    <w:rPr>
                      <w:rFonts w:ascii="Cambria Math" w:hAnsi="Cambria Math"/>
                    </w:rPr>
                    <m:t>PDCCH</m:t>
                  </m:r>
                  <m:ctrlPr>
                    <w:rPr>
                      <w:rFonts w:ascii="Cambria Math" w:hAnsi="Cambria Math"/>
                    </w:rPr>
                  </m:ctrlPr>
                </m:sub>
                <m:sup>
                  <m:r>
                    <w:rPr>
                      <w:rFonts w:ascii="Cambria Math" w:hAnsi="Cambria Math"/>
                    </w:rPr>
                    <m:t>max</m:t>
                  </m:r>
                  <m:r>
                    <m:rPr>
                      <m:sty m:val="p"/>
                    </m:rPr>
                    <w:rPr>
                      <w:rFonts w:ascii="Cambria Math" w:hAnsi="Cambria Math"/>
                    </w:rPr>
                    <m:t>,</m:t>
                  </m:r>
                  <m:d>
                    <m:dPr>
                      <m:ctrlPr>
                        <w:rPr>
                          <w:rFonts w:ascii="Cambria Math" w:hAnsi="Cambria Math"/>
                        </w:rPr>
                      </m:ctrlPr>
                    </m:dPr>
                    <m:e>
                      <m:r>
                        <w:rPr>
                          <w:rFonts w:ascii="Cambria Math" w:hAnsi="Cambria Math"/>
                        </w:rPr>
                        <m:t>4</m:t>
                      </m:r>
                      <m:r>
                        <m:rPr>
                          <m:sty m:val="p"/>
                        </m:rPr>
                        <w:rPr>
                          <w:rFonts w:ascii="Cambria Math" w:hAnsi="Cambria Math"/>
                        </w:rPr>
                        <m:t>,2</m:t>
                      </m:r>
                      <m:ctrlPr>
                        <w:rPr>
                          <w:rFonts w:ascii="Cambria Math" w:hAnsi="Cambria Math"/>
                        </w:rPr>
                      </m:ctrlPr>
                    </m:e>
                  </m:d>
                  <m:r>
                    <m:rPr>
                      <m:sty m:val="p"/>
                    </m:rPr>
                    <w:rPr>
                      <w:rFonts w:ascii="Cambria Math" w:hAnsi="Cambria Math"/>
                    </w:rPr>
                    <m:t>,</m:t>
                  </m:r>
                  <m:r>
                    <w:rPr>
                      <w:rFonts w:ascii="Cambria Math" w:hAnsi="Cambria Math"/>
                    </w:rPr>
                    <m:t>μ</m:t>
                  </m:r>
                  <m:ctrlPr>
                    <w:rPr>
                      <w:rFonts w:ascii="Cambria Math" w:hAnsi="Cambria Math"/>
                    </w:rPr>
                  </m:ctrlPr>
                </m:sup>
              </m:sSubSup>
            </m:oMath>
            <w:r>
              <w:t xml:space="preserve"> even though they are the same</w:t>
            </w:r>
            <w:r>
              <w:rPr>
                <w:lang w:eastAsia="zh-CN"/>
              </w:rPr>
              <w:t>. Furthermore, from UE perspective, Ys&gt;1 and Ys=1 will be handled differently as mentioned by other companies, e.g., checking overbook, power saving, which is why we spent so much time on detabing which (Xs,Ys) is mandatory and which one is optional. Therefore, we still prefer to add FFS on how to determine Ys and we don’t see what will be the concern to have a decision rule on Ys?</w:t>
            </w:r>
          </w:p>
          <w:p>
            <w:pPr>
              <w:widowControl w:val="0"/>
              <w:rPr>
                <w:lang w:eastAsia="zh-CN"/>
              </w:rPr>
            </w:pPr>
          </w:p>
          <w:p>
            <w:pPr>
              <w:widowControl w:val="0"/>
              <w:rPr>
                <w:sz w:val="20"/>
                <w:lang w:eastAsia="zh-CN"/>
              </w:rPr>
            </w:pPr>
            <w:r>
              <w:rPr>
                <w:lang w:eastAsia="zh-CN"/>
              </w:rPr>
              <w:t xml:space="preserve">Regarding the Note on </w:t>
            </w:r>
            <w:r>
              <w:rPr>
                <w:bCs/>
                <w:i/>
                <w:iCs/>
                <w:lang w:eastAsia="zh-CN"/>
              </w:rPr>
              <w:t xml:space="preserve">monitoringSlotsWithinSlotGroup, </w:t>
            </w:r>
            <w:r>
              <w:rPr>
                <w:bCs/>
                <w:lang w:eastAsia="zh-CN"/>
              </w:rPr>
              <w:t xml:space="preserve">in our view, the definition of </w:t>
            </w:r>
            <w:r>
              <w:rPr>
                <w:bCs/>
                <w:i/>
                <w:iCs/>
                <w:lang w:eastAsia="zh-CN"/>
              </w:rPr>
              <w:t xml:space="preserve">monitoringSlotsWithinSlotGroup </w:t>
            </w:r>
            <w:r>
              <w:rPr>
                <w:bCs/>
                <w:lang w:eastAsia="zh-CN"/>
              </w:rPr>
              <w:t xml:space="preserve">is still open and we still need to check whether Xs and </w:t>
            </w:r>
            <w:r>
              <w:rPr>
                <w:bCs/>
                <w:i/>
                <w:iCs/>
                <w:lang w:eastAsia="zh-CN"/>
              </w:rPr>
              <w:t xml:space="preserve">monitoringSlotsWithinSlotGroup </w:t>
            </w:r>
            <w:r>
              <w:rPr>
                <w:bCs/>
                <w:lang w:eastAsia="zh-CN"/>
              </w:rPr>
              <w:t xml:space="preserve">are related or not after the definition is finalized. Therefore, the note is not precise and we suggest to remove it. Once </w:t>
            </w:r>
            <w:r>
              <w:rPr>
                <w:bCs/>
                <w:i/>
                <w:iCs/>
                <w:lang w:eastAsia="zh-CN"/>
              </w:rPr>
              <w:t>monitoringSlotsWithinSlotGroup</w:t>
            </w:r>
            <w:r>
              <w:rPr>
                <w:bCs/>
                <w:lang w:eastAsia="zh-CN"/>
              </w:rPr>
              <w:t xml:space="preserve"> is finalized, the note is not needed anyway.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lang w:val="en-US" w:eastAsia="zh-CN"/>
              </w:rPr>
              <w:t>We are ok with this proposal.</w:t>
            </w:r>
          </w:p>
        </w:tc>
      </w:tr>
    </w:tbl>
    <w:p>
      <w:pPr>
        <w:autoSpaceDE/>
        <w:autoSpaceDN/>
        <w:adjustRightInd/>
        <w:snapToGrid/>
        <w:spacing w:after="0" w:line="240" w:lineRule="auto"/>
        <w:rPr>
          <w:bCs/>
          <w:lang w:eastAsia="zh-CN"/>
        </w:rPr>
      </w:pPr>
    </w:p>
    <w:p>
      <w:pPr>
        <w:pStyle w:val="4"/>
      </w:pPr>
      <w:r>
        <w:t xml:space="preserve">Issue A1-4: </w:t>
      </w:r>
      <w:r>
        <w:rPr>
          <w:highlight w:val="cyan"/>
          <w:lang w:val="en-US" w:eastAsia="ko-KR"/>
        </w:rPr>
        <w:t>[High Priority]</w:t>
      </w:r>
      <w:r>
        <w:rPr>
          <w:lang w:val="en-US" w:eastAsia="ko-KR"/>
        </w:rPr>
        <w:t xml:space="preserve"> </w:t>
      </w:r>
      <w:r>
        <w:t>Multi-slot monitoring for IDLE UEs or prior to dedicated configuration (</w:t>
      </w:r>
      <w:r>
        <w:rPr>
          <w:i/>
        </w:rPr>
        <w:t>monitoringCapabilityConfig</w:t>
      </w:r>
      <w:r>
        <w:t>)</w:t>
      </w:r>
    </w:p>
    <w:p>
      <w:pPr>
        <w:pStyle w:val="5"/>
      </w:pPr>
      <w:r>
        <w:t>First round discussion</w:t>
      </w:r>
    </w:p>
    <w:p>
      <w:pPr>
        <w:rPr>
          <w:bCs/>
          <w:sz w:val="20"/>
          <w:szCs w:val="20"/>
          <w:lang w:eastAsia="zh-CN"/>
        </w:rPr>
      </w:pPr>
      <w:r>
        <w:rPr>
          <w:bCs/>
          <w:sz w:val="20"/>
          <w:szCs w:val="20"/>
          <w:lang w:eastAsia="zh-CN"/>
        </w:rPr>
        <w:t xml:space="preserve">FL Summary: </w:t>
      </w:r>
      <w:r>
        <w:rPr>
          <w:sz w:val="20"/>
          <w:szCs w:val="20"/>
        </w:rPr>
        <w:t>Most companies support to specify that</w:t>
      </w:r>
      <w:r>
        <w:rPr>
          <w:rFonts w:eastAsia="Times New Roman"/>
          <w:sz w:val="20"/>
          <w:szCs w:val="20"/>
          <w:lang w:eastAsia="en-GB"/>
        </w:rPr>
        <w:t xml:space="preserve"> </w:t>
      </w:r>
      <m:oMath>
        <m:d>
          <m:dPr>
            <m:ctrlPr>
              <w:rPr>
                <w:rFonts w:ascii="Cambria Math" w:hAnsi="Cambria Math" w:eastAsia="Times New Roman"/>
                <w:sz w:val="20"/>
                <w:szCs w:val="20"/>
                <w:lang w:eastAsia="en-GB"/>
              </w:rPr>
            </m:ctrlPr>
          </m:dPr>
          <m:e>
            <m:sSub>
              <m:sSubPr>
                <m:ctrlPr>
                  <w:rPr>
                    <w:rFonts w:ascii="Cambria Math" w:hAnsi="Cambria Math" w:eastAsia="Times New Roman"/>
                    <w:sz w:val="20"/>
                    <w:szCs w:val="20"/>
                    <w:lang w:eastAsia="en-GB"/>
                  </w:rPr>
                </m:ctrlPr>
              </m:sSubPr>
              <m:e>
                <m:r>
                  <w:rPr>
                    <w:rFonts w:ascii="Cambria Math" w:hAnsi="Cambria Math" w:eastAsia="Times New Roman"/>
                    <w:sz w:val="20"/>
                    <w:szCs w:val="20"/>
                    <w:lang w:eastAsia="en-GB"/>
                  </w:rPr>
                  <m:t>X</m:t>
                </m:r>
                <m:ctrlPr>
                  <w:rPr>
                    <w:rFonts w:ascii="Cambria Math" w:hAnsi="Cambria Math" w:eastAsia="Times New Roman"/>
                    <w:sz w:val="20"/>
                    <w:szCs w:val="20"/>
                    <w:lang w:eastAsia="en-GB"/>
                  </w:rPr>
                </m:ctrlPr>
              </m:e>
              <m:sub>
                <m:r>
                  <w:rPr>
                    <w:rFonts w:ascii="Cambria Math" w:hAnsi="Cambria Math" w:eastAsia="Times New Roman"/>
                    <w:sz w:val="20"/>
                    <w:szCs w:val="20"/>
                    <w:lang w:eastAsia="en-GB"/>
                  </w:rPr>
                  <m:t>s</m:t>
                </m:r>
                <m:ctrlPr>
                  <w:rPr>
                    <w:rFonts w:ascii="Cambria Math" w:hAnsi="Cambria Math" w:eastAsia="Times New Roman"/>
                    <w:sz w:val="20"/>
                    <w:szCs w:val="20"/>
                    <w:lang w:eastAsia="en-GB"/>
                  </w:rPr>
                </m:ctrlPr>
              </m:sub>
            </m:sSub>
            <m:r>
              <m:rPr>
                <m:sty m:val="p"/>
              </m:rPr>
              <w:rPr>
                <w:rFonts w:ascii="Cambria Math" w:hAnsi="Cambria Math" w:eastAsia="Times New Roman"/>
                <w:sz w:val="20"/>
                <w:szCs w:val="20"/>
                <w:lang w:eastAsia="en-GB"/>
              </w:rPr>
              <m:t>,</m:t>
            </m:r>
            <m:sSub>
              <m:sSubPr>
                <m:ctrlPr>
                  <w:rPr>
                    <w:rFonts w:ascii="Cambria Math" w:hAnsi="Cambria Math" w:eastAsia="Times New Roman"/>
                    <w:sz w:val="20"/>
                    <w:szCs w:val="20"/>
                    <w:lang w:eastAsia="en-GB"/>
                  </w:rPr>
                </m:ctrlPr>
              </m:sSubPr>
              <m:e>
                <m:r>
                  <w:rPr>
                    <w:rFonts w:ascii="Cambria Math" w:hAnsi="Cambria Math" w:eastAsia="Times New Roman"/>
                    <w:sz w:val="20"/>
                    <w:szCs w:val="20"/>
                    <w:lang w:eastAsia="en-GB"/>
                  </w:rPr>
                  <m:t>Y</m:t>
                </m:r>
                <m:ctrlPr>
                  <w:rPr>
                    <w:rFonts w:ascii="Cambria Math" w:hAnsi="Cambria Math" w:eastAsia="Times New Roman"/>
                    <w:sz w:val="20"/>
                    <w:szCs w:val="20"/>
                    <w:lang w:eastAsia="en-GB"/>
                  </w:rPr>
                </m:ctrlPr>
              </m:e>
              <m:sub>
                <m:r>
                  <w:rPr>
                    <w:rFonts w:ascii="Cambria Math" w:hAnsi="Cambria Math" w:eastAsia="Times New Roman"/>
                    <w:sz w:val="20"/>
                    <w:szCs w:val="20"/>
                    <w:lang w:eastAsia="en-GB"/>
                  </w:rPr>
                  <m:t>s</m:t>
                </m:r>
                <m:ctrlPr>
                  <w:rPr>
                    <w:rFonts w:ascii="Cambria Math" w:hAnsi="Cambria Math" w:eastAsia="Times New Roman"/>
                    <w:sz w:val="20"/>
                    <w:szCs w:val="20"/>
                    <w:lang w:eastAsia="en-GB"/>
                  </w:rPr>
                </m:ctrlPr>
              </m:sub>
            </m:sSub>
            <m:ctrlPr>
              <w:rPr>
                <w:rFonts w:ascii="Cambria Math" w:hAnsi="Cambria Math" w:eastAsia="Times New Roman"/>
                <w:sz w:val="20"/>
                <w:szCs w:val="20"/>
                <w:lang w:eastAsia="en-GB"/>
              </w:rPr>
            </m:ctrlPr>
          </m:e>
        </m:d>
        <m:r>
          <m:rPr>
            <m:sty m:val="p"/>
          </m:rPr>
          <w:rPr>
            <w:rFonts w:ascii="Cambria Math" w:hAnsi="Cambria Math" w:eastAsia="Times New Roman"/>
            <w:sz w:val="20"/>
            <w:szCs w:val="20"/>
            <w:lang w:eastAsia="en-GB"/>
          </w:rPr>
          <m:t>=(4,1)</m:t>
        </m:r>
      </m:oMath>
      <w:r>
        <w:rPr>
          <w:rFonts w:eastAsia="Times New Roman"/>
          <w:sz w:val="20"/>
          <w:szCs w:val="20"/>
          <w:lang w:eastAsia="en-GB"/>
        </w:rPr>
        <w:t xml:space="preserve"> for μ = 5 and </w:t>
      </w:r>
      <m:oMath>
        <m:d>
          <m:dPr>
            <m:ctrlPr>
              <w:rPr>
                <w:rFonts w:ascii="Cambria Math" w:hAnsi="Cambria Math" w:eastAsia="Times New Roman"/>
                <w:sz w:val="20"/>
                <w:szCs w:val="20"/>
                <w:lang w:eastAsia="en-GB"/>
              </w:rPr>
            </m:ctrlPr>
          </m:dPr>
          <m:e>
            <m:sSub>
              <m:sSubPr>
                <m:ctrlPr>
                  <w:rPr>
                    <w:rFonts w:ascii="Cambria Math" w:hAnsi="Cambria Math" w:eastAsia="Times New Roman"/>
                    <w:sz w:val="20"/>
                    <w:szCs w:val="20"/>
                    <w:lang w:eastAsia="en-GB"/>
                  </w:rPr>
                </m:ctrlPr>
              </m:sSubPr>
              <m:e>
                <m:r>
                  <w:rPr>
                    <w:rFonts w:ascii="Cambria Math" w:hAnsi="Cambria Math" w:eastAsia="Times New Roman"/>
                    <w:sz w:val="20"/>
                    <w:szCs w:val="20"/>
                    <w:lang w:eastAsia="en-GB"/>
                  </w:rPr>
                  <m:t>X</m:t>
                </m:r>
                <m:ctrlPr>
                  <w:rPr>
                    <w:rFonts w:ascii="Cambria Math" w:hAnsi="Cambria Math" w:eastAsia="Times New Roman"/>
                    <w:sz w:val="20"/>
                    <w:szCs w:val="20"/>
                    <w:lang w:eastAsia="en-GB"/>
                  </w:rPr>
                </m:ctrlPr>
              </m:e>
              <m:sub>
                <m:r>
                  <w:rPr>
                    <w:rFonts w:ascii="Cambria Math" w:hAnsi="Cambria Math" w:eastAsia="Times New Roman"/>
                    <w:sz w:val="20"/>
                    <w:szCs w:val="20"/>
                    <w:lang w:eastAsia="en-GB"/>
                  </w:rPr>
                  <m:t>s</m:t>
                </m:r>
                <m:ctrlPr>
                  <w:rPr>
                    <w:rFonts w:ascii="Cambria Math" w:hAnsi="Cambria Math" w:eastAsia="Times New Roman"/>
                    <w:sz w:val="20"/>
                    <w:szCs w:val="20"/>
                    <w:lang w:eastAsia="en-GB"/>
                  </w:rPr>
                </m:ctrlPr>
              </m:sub>
            </m:sSub>
            <m:r>
              <m:rPr>
                <m:sty m:val="p"/>
              </m:rPr>
              <w:rPr>
                <w:rFonts w:ascii="Cambria Math" w:hAnsi="Cambria Math" w:eastAsia="Times New Roman"/>
                <w:sz w:val="20"/>
                <w:szCs w:val="20"/>
                <w:lang w:eastAsia="en-GB"/>
              </w:rPr>
              <m:t>,</m:t>
            </m:r>
            <m:sSub>
              <m:sSubPr>
                <m:ctrlPr>
                  <w:rPr>
                    <w:rFonts w:ascii="Cambria Math" w:hAnsi="Cambria Math" w:eastAsia="Times New Roman"/>
                    <w:sz w:val="20"/>
                    <w:szCs w:val="20"/>
                    <w:lang w:eastAsia="en-GB"/>
                  </w:rPr>
                </m:ctrlPr>
              </m:sSubPr>
              <m:e>
                <m:r>
                  <w:rPr>
                    <w:rFonts w:ascii="Cambria Math" w:hAnsi="Cambria Math" w:eastAsia="Times New Roman"/>
                    <w:sz w:val="20"/>
                    <w:szCs w:val="20"/>
                    <w:lang w:eastAsia="en-GB"/>
                  </w:rPr>
                  <m:t>Y</m:t>
                </m:r>
                <m:ctrlPr>
                  <w:rPr>
                    <w:rFonts w:ascii="Cambria Math" w:hAnsi="Cambria Math" w:eastAsia="Times New Roman"/>
                    <w:sz w:val="20"/>
                    <w:szCs w:val="20"/>
                    <w:lang w:eastAsia="en-GB"/>
                  </w:rPr>
                </m:ctrlPr>
              </m:e>
              <m:sub>
                <m:r>
                  <w:rPr>
                    <w:rFonts w:ascii="Cambria Math" w:hAnsi="Cambria Math" w:eastAsia="Times New Roman"/>
                    <w:sz w:val="20"/>
                    <w:szCs w:val="20"/>
                    <w:lang w:eastAsia="en-GB"/>
                  </w:rPr>
                  <m:t>s</m:t>
                </m:r>
                <m:ctrlPr>
                  <w:rPr>
                    <w:rFonts w:ascii="Cambria Math" w:hAnsi="Cambria Math" w:eastAsia="Times New Roman"/>
                    <w:sz w:val="20"/>
                    <w:szCs w:val="20"/>
                    <w:lang w:eastAsia="en-GB"/>
                  </w:rPr>
                </m:ctrlPr>
              </m:sub>
            </m:sSub>
            <m:ctrlPr>
              <w:rPr>
                <w:rFonts w:ascii="Cambria Math" w:hAnsi="Cambria Math" w:eastAsia="Times New Roman"/>
                <w:sz w:val="20"/>
                <w:szCs w:val="20"/>
                <w:lang w:eastAsia="en-GB"/>
              </w:rPr>
            </m:ctrlPr>
          </m:e>
        </m:d>
        <m:r>
          <m:rPr>
            <m:sty m:val="p"/>
          </m:rPr>
          <w:rPr>
            <w:rFonts w:ascii="Cambria Math" w:hAnsi="Cambria Math" w:eastAsia="Times New Roman"/>
            <w:sz w:val="20"/>
            <w:szCs w:val="20"/>
            <w:lang w:eastAsia="en-GB"/>
          </w:rPr>
          <m:t>=(8,1)</m:t>
        </m:r>
      </m:oMath>
      <w:r>
        <w:rPr>
          <w:rFonts w:eastAsia="Times New Roman"/>
          <w:sz w:val="20"/>
          <w:szCs w:val="20"/>
          <w:lang w:eastAsia="en-GB"/>
        </w:rPr>
        <w:t xml:space="preserve"> for μ = 6</w:t>
      </w:r>
      <w:r>
        <w:rPr>
          <w:sz w:val="20"/>
          <w:szCs w:val="20"/>
        </w:rPr>
        <w:t xml:space="preserve"> if </w:t>
      </w:r>
      <w:r>
        <w:rPr>
          <w:rFonts w:eastAsia="Times New Roman"/>
          <w:i/>
          <w:iCs/>
          <w:sz w:val="20"/>
          <w:szCs w:val="20"/>
          <w:lang w:eastAsia="en-GB"/>
        </w:rPr>
        <w:t>monitoringCapabilityConfig</w:t>
      </w:r>
      <w:r>
        <w:rPr>
          <w:rFonts w:eastAsia="Times New Roman"/>
          <w:sz w:val="20"/>
          <w:szCs w:val="20"/>
          <w:lang w:eastAsia="en-GB"/>
        </w:rPr>
        <w:t xml:space="preserve"> is not provided. </w:t>
      </w:r>
      <w:r>
        <w:rPr>
          <w:bCs/>
          <w:sz w:val="20"/>
          <w:szCs w:val="20"/>
          <w:lang w:eastAsia="zh-CN"/>
        </w:rPr>
        <w:t xml:space="preserve">Discussion in RAN1#107bis-e showed that several companies don't see the need to change the wording from </w:t>
      </w:r>
      <w:r>
        <w:rPr>
          <w:bCs/>
          <w:i/>
          <w:iCs/>
          <w:sz w:val="20"/>
          <w:szCs w:val="20"/>
          <w:lang w:eastAsia="zh-CN"/>
        </w:rPr>
        <w:t>for a serving cell</w:t>
      </w:r>
      <w:r>
        <w:rPr>
          <w:bCs/>
          <w:sz w:val="20"/>
          <w:szCs w:val="20"/>
          <w:lang w:eastAsia="zh-CN"/>
        </w:rPr>
        <w:t xml:space="preserve"> to </w:t>
      </w:r>
      <w:r>
        <w:rPr>
          <w:bCs/>
          <w:i/>
          <w:iCs/>
          <w:sz w:val="20"/>
          <w:szCs w:val="20"/>
          <w:lang w:eastAsia="zh-CN"/>
        </w:rPr>
        <w:t>for an active DL BWP of a serving cell</w:t>
      </w:r>
      <w:r>
        <w:rPr>
          <w:bCs/>
          <w:sz w:val="20"/>
          <w:szCs w:val="20"/>
          <w:lang w:eastAsia="zh-CN"/>
        </w:rPr>
        <w:t xml:space="preserve"> in that context. </w:t>
      </w:r>
      <w:r>
        <w:rPr>
          <w:bCs/>
          <w:sz w:val="20"/>
          <w:szCs w:val="20"/>
          <w:highlight w:val="yellow"/>
          <w:lang w:eastAsia="zh-CN"/>
        </w:rPr>
        <w:t xml:space="preserve">FL </w:t>
      </w:r>
      <w:r>
        <w:rPr>
          <w:bCs/>
          <w:sz w:val="20"/>
          <w:szCs w:val="20"/>
          <w:lang w:eastAsia="zh-CN"/>
        </w:rPr>
        <w:t xml:space="preserve">provides two TPs with and without the change to </w:t>
      </w:r>
      <w:r>
        <w:rPr>
          <w:bCs/>
          <w:i/>
          <w:iCs/>
          <w:sz w:val="20"/>
          <w:szCs w:val="20"/>
          <w:lang w:eastAsia="zh-CN"/>
        </w:rPr>
        <w:t>active DL BWP of a serving cell</w:t>
      </w:r>
      <w:r>
        <w:rPr>
          <w:bCs/>
          <w:sz w:val="20"/>
          <w:szCs w:val="20"/>
          <w:lang w:eastAsia="zh-CN"/>
        </w:rPr>
        <w:t xml:space="preserve"> and asks companies to show their preference.</w:t>
      </w:r>
    </w:p>
    <w:p>
      <w:pPr>
        <w:rPr>
          <w:sz w:val="20"/>
          <w:szCs w:val="20"/>
        </w:rPr>
      </w:pPr>
      <w:r>
        <w:rPr>
          <w:bCs/>
          <w:sz w:val="20"/>
          <w:szCs w:val="20"/>
          <w:lang w:eastAsia="zh-CN"/>
        </w:rPr>
        <w:t>FL Note: The TPs here assume that Issue A1-3 is resolved without introduction of an RRC parameter; otherwise, the text should change e.g. to "I</w:t>
      </w:r>
      <w:r>
        <w:rPr>
          <w:rFonts w:eastAsia="Times New Roman"/>
          <w:szCs w:val="20"/>
          <w:lang w:eastAsia="en-GB"/>
        </w:rPr>
        <w:t xml:space="preserve">f the UE is not provided </w:t>
      </w:r>
      <w:r>
        <w:rPr>
          <w:rFonts w:eastAsia="Times New Roman"/>
          <w:i/>
          <w:iCs/>
          <w:szCs w:val="20"/>
          <w:lang w:eastAsia="en-GB"/>
        </w:rPr>
        <w:t>monitoringCapabilityConfig</w:t>
      </w:r>
      <w:r>
        <w:rPr>
          <w:rFonts w:eastAsia="Times New Roman"/>
          <w:szCs w:val="20"/>
          <w:lang w:eastAsia="en-GB"/>
        </w:rPr>
        <w:t xml:space="preserve"> for μ </w:t>
      </w:r>
      <w:r>
        <w:rPr>
          <w:rFonts w:ascii="Cambria Math" w:hAnsi="Cambria Math" w:eastAsia="Times New Roman" w:cs="Cambria Math"/>
          <w:szCs w:val="20"/>
          <w:lang w:eastAsia="en-GB"/>
        </w:rPr>
        <w:t>∈</w:t>
      </w:r>
      <w:r>
        <w:rPr>
          <w:rFonts w:eastAsia="Times New Roman"/>
          <w:szCs w:val="20"/>
          <w:lang w:eastAsia="en-GB"/>
        </w:rPr>
        <w:t xml:space="preserve"> {5,6} or is not configured with a </w:t>
      </w:r>
      <w: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lang w:eastAsia="zh-CN"/>
              </w:rPr>
            </m:ctrlPr>
          </m:e>
        </m:d>
      </m:oMath>
      <w:r>
        <w:rPr>
          <w:rFonts w:eastAsia="Times New Roman"/>
          <w:szCs w:val="20"/>
          <w:lang w:eastAsia="en-GB"/>
        </w:rPr>
        <w:t xml:space="preserve"> for μ </w:t>
      </w:r>
      <w:r>
        <w:rPr>
          <w:rFonts w:ascii="Cambria Math" w:hAnsi="Cambria Math" w:eastAsia="Times New Roman" w:cs="Cambria Math"/>
          <w:szCs w:val="20"/>
          <w:lang w:eastAsia="en-GB"/>
        </w:rPr>
        <w:t>∈</w:t>
      </w:r>
      <w:r>
        <w:rPr>
          <w:rFonts w:eastAsia="Times New Roman"/>
          <w:szCs w:val="20"/>
          <w:lang w:eastAsia="en-GB"/>
        </w:rPr>
        <w:t xml:space="preserve"> {5,6}</w:t>
      </w:r>
      <w:r>
        <w:rPr>
          <w:lang w:eastAsia="zh-CN"/>
        </w:rPr>
        <w:t>, […]"</w:t>
      </w:r>
    </w:p>
    <w:p>
      <w:pPr>
        <w:tabs>
          <w:tab w:val="left" w:pos="1300"/>
        </w:tabs>
        <w:spacing w:after="0"/>
        <w:jc w:val="both"/>
        <w:rPr>
          <w:b/>
          <w:sz w:val="20"/>
          <w:szCs w:val="20"/>
        </w:rPr>
      </w:pPr>
      <w:r>
        <w:rPr>
          <w:b/>
          <w:sz w:val="20"/>
          <w:szCs w:val="20"/>
          <w:u w:val="single"/>
        </w:rPr>
        <w:t>Text Proposal A1-4.1</w:t>
      </w:r>
      <w:r>
        <w:rPr>
          <w:b/>
          <w:sz w:val="20"/>
          <w:szCs w:val="20"/>
        </w:rPr>
        <w:t xml:space="preserve">: Change </w:t>
      </w:r>
      <w:r>
        <w:rPr>
          <w:b/>
          <w:bCs/>
        </w:rPr>
        <w:t>TS 38.213 Clause 10 as follows:</w:t>
      </w:r>
    </w:p>
    <w:tbl>
      <w:tblPr>
        <w:tblStyle w:val="55"/>
        <w:tblW w:w="139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9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44" w:type="dxa"/>
            <w:vAlign w:val="center"/>
          </w:tcPr>
          <w:p>
            <w:pPr>
              <w:widowControl w:val="0"/>
              <w:rPr>
                <w:rFonts w:eastAsia="宋体"/>
                <w:szCs w:val="20"/>
              </w:rPr>
            </w:pPr>
            <w:r>
              <w:rPr>
                <w:rFonts w:eastAsia="宋体"/>
                <w:szCs w:val="20"/>
              </w:rPr>
              <w:t xml:space="preserve">If a UE is provided </w:t>
            </w:r>
            <w:r>
              <w:rPr>
                <w:rFonts w:eastAsia="宋体"/>
                <w:i/>
                <w:szCs w:val="20"/>
              </w:rPr>
              <w:t>monitoringCapabilityConfig</w:t>
            </w:r>
            <w:r>
              <w:rPr>
                <w:rFonts w:eastAsia="宋体"/>
                <w:szCs w:val="20"/>
              </w:rPr>
              <w:t xml:space="preserve"> for a serving cell, the UE obtains an indication to monitor PDCCH on the serving cell for a maximum number of PDCCH candidates and non-overlapping CCEs </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slot, as in Tables 10.1-2 and 10.1-3,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r15monitoringcapability</w:t>
            </w:r>
            <w:r>
              <w:rPr>
                <w:rFonts w:eastAsia="宋体"/>
              </w:rPr>
              <w:t xml:space="preserve">, </w:t>
            </w:r>
            <w:r>
              <w:rPr>
                <w:rFonts w:eastAsia="宋体"/>
                <w:szCs w:val="20"/>
              </w:rPr>
              <w:t xml:space="preserve">or </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span, as in Tables 10.1-2A and 10.1-3A,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r16monitoringcapability</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group </w:t>
            </w:r>
            <w:r>
              <w:rPr>
                <w:rFonts w:eastAsia="宋体"/>
                <w:szCs w:val="20"/>
                <w:lang w:eastAsia="zh-CN"/>
              </w:rPr>
              <w:t xml:space="preserve">of </w:t>
            </w:r>
            <m:oMath>
              <m:sSub>
                <m:sSubPr>
                  <m:ctrlPr>
                    <w:rPr>
                      <w:rFonts w:ascii="Cambria Math" w:hAnsi="Cambria Math" w:eastAsia="宋体"/>
                      <w:i/>
                      <w:szCs w:val="20"/>
                      <w:lang w:val="zh-CN" w:eastAsia="zh-CN"/>
                    </w:rPr>
                  </m:ctrlPr>
                </m:sSubPr>
                <m:e>
                  <m:r>
                    <w:rPr>
                      <w:rFonts w:ascii="Cambria Math" w:hAnsi="Cambria Math" w:eastAsia="宋体"/>
                      <w:szCs w:val="20"/>
                      <w:lang w:val="zh-CN" w:eastAsia="zh-CN"/>
                    </w:rPr>
                    <m:t>X</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oMath>
            <w:r>
              <w:rPr>
                <w:rFonts w:eastAsia="宋体"/>
                <w:szCs w:val="20"/>
                <w:lang w:eastAsia="zh-CN"/>
              </w:rPr>
              <w:t xml:space="preserve"> slots</w:t>
            </w:r>
            <w:r>
              <w:rPr>
                <w:rFonts w:eastAsia="宋体"/>
                <w:szCs w:val="20"/>
              </w:rPr>
              <w:t xml:space="preserve"> </w:t>
            </w:r>
            <w:r>
              <w:rPr>
                <w:rFonts w:eastAsia="宋体"/>
                <w:szCs w:val="20"/>
                <w:lang w:eastAsia="zh-CN"/>
              </w:rPr>
              <w:t xml:space="preserve">according to combination </w:t>
            </w:r>
            <m:oMath>
              <m:d>
                <m:dPr>
                  <m:ctrlPr>
                    <w:rPr>
                      <w:rFonts w:ascii="Cambria Math" w:hAnsi="Cambria Math" w:eastAsia="宋体"/>
                      <w:szCs w:val="20"/>
                      <w:lang w:val="zh-CN" w:eastAsia="zh-CN"/>
                    </w:rPr>
                  </m:ctrlPr>
                </m:dPr>
                <m:e>
                  <m:sSub>
                    <m:sSubPr>
                      <m:ctrlPr>
                        <w:rPr>
                          <w:rFonts w:ascii="Cambria Math" w:hAnsi="Cambria Math" w:eastAsia="宋体"/>
                          <w:i/>
                          <w:szCs w:val="20"/>
                          <w:lang w:val="zh-CN" w:eastAsia="zh-CN"/>
                        </w:rPr>
                      </m:ctrlPr>
                    </m:sSubPr>
                    <m:e>
                      <m:r>
                        <w:rPr>
                          <w:rFonts w:ascii="Cambria Math" w:hAnsi="Cambria Math" w:eastAsia="宋体"/>
                          <w:szCs w:val="20"/>
                          <w:lang w:val="zh-CN" w:eastAsia="zh-CN"/>
                        </w:rPr>
                        <m:t>X</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r>
                    <w:rPr>
                      <w:rFonts w:ascii="Cambria Math" w:hAnsi="Cambria Math" w:eastAsia="宋体"/>
                      <w:szCs w:val="20"/>
                      <w:lang w:eastAsia="zh-CN"/>
                    </w:rPr>
                    <m:t>,</m:t>
                  </m:r>
                  <m:sSub>
                    <m:sSubPr>
                      <m:ctrlPr>
                        <w:rPr>
                          <w:rFonts w:ascii="Cambria Math" w:hAnsi="Cambria Math" w:eastAsia="宋体"/>
                          <w:i/>
                          <w:szCs w:val="20"/>
                          <w:lang w:val="zh-CN" w:eastAsia="zh-CN"/>
                        </w:rPr>
                      </m:ctrlPr>
                    </m:sSubPr>
                    <m:e>
                      <m:r>
                        <w:rPr>
                          <w:rFonts w:ascii="Cambria Math" w:hAnsi="Cambria Math" w:eastAsia="宋体"/>
                          <w:szCs w:val="20"/>
                          <w:lang w:val="zh-CN" w:eastAsia="zh-CN"/>
                        </w:rPr>
                        <m:t>Y</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ctrlPr>
                    <w:rPr>
                      <w:rFonts w:ascii="Cambria Math" w:hAnsi="Cambria Math" w:eastAsia="宋体"/>
                      <w:szCs w:val="20"/>
                      <w:lang w:val="zh-CN" w:eastAsia="zh-CN"/>
                    </w:rPr>
                  </m:ctrlPr>
                </m:e>
              </m:d>
            </m:oMath>
            <w:r>
              <w:rPr>
                <w:rFonts w:eastAsia="宋体"/>
                <w:szCs w:val="20"/>
              </w:rPr>
              <w:t xml:space="preserve">, as in Tables 10.1-2B and 10.1-3B,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r17monitoringcapability</w:t>
            </w:r>
          </w:p>
          <w:p>
            <w:pPr>
              <w:widowControl w:val="0"/>
              <w:spacing w:after="180" w:line="240" w:lineRule="auto"/>
              <w:rPr>
                <w:rFonts w:eastAsia="宋体"/>
                <w:szCs w:val="20"/>
                <w:lang w:eastAsia="zh-CN"/>
              </w:rPr>
            </w:pPr>
            <w:r>
              <w:rPr>
                <w:rFonts w:eastAsia="宋体"/>
                <w:szCs w:val="20"/>
              </w:rPr>
              <w:t xml:space="preserve">If the UE is not provided </w:t>
            </w:r>
            <w:r>
              <w:rPr>
                <w:rFonts w:eastAsia="宋体"/>
                <w:i/>
                <w:szCs w:val="20"/>
              </w:rPr>
              <w:t>monitoringCapabilityConfig</w:t>
            </w:r>
            <w:ins w:id="119" w:author="Alexander Golitschek" w:date="2022-02-20T19:31:00Z">
              <w:r>
                <w:rPr>
                  <w:rFonts w:eastAsia="Times New Roman"/>
                  <w:szCs w:val="20"/>
                  <w:lang w:eastAsia="en-GB"/>
                </w:rPr>
                <w:t xml:space="preserve"> f</w:t>
              </w:r>
            </w:ins>
            <w:ins w:id="120" w:author="Alexander Golitschek" w:date="2022-02-20T19:31:00Z">
              <w:r>
                <w:rPr>
                  <w:rFonts w:eastAsia="Times New Roman"/>
                  <w:szCs w:val="20"/>
                  <w:lang w:val="en-GB" w:eastAsia="en-GB"/>
                </w:rPr>
                <w:t xml:space="preserve">or μ </w:t>
              </w:r>
            </w:ins>
            <w:ins w:id="121" w:author="Alexander Golitschek" w:date="2022-02-20T19:31:00Z">
              <w:r>
                <w:rPr>
                  <w:rFonts w:ascii="Cambria Math" w:hAnsi="Cambria Math" w:eastAsia="Times New Roman" w:cs="Cambria Math"/>
                  <w:szCs w:val="20"/>
                  <w:lang w:val="en-GB" w:eastAsia="en-GB"/>
                </w:rPr>
                <w:t>∈</w:t>
              </w:r>
            </w:ins>
            <w:ins w:id="122" w:author="Alexander Golitschek" w:date="2022-02-20T19:31:00Z">
              <w:r>
                <w:rPr>
                  <w:rFonts w:eastAsia="Times New Roman"/>
                  <w:szCs w:val="20"/>
                  <w:lang w:val="en-GB" w:eastAsia="en-GB"/>
                </w:rPr>
                <w:t xml:space="preserve"> {0,1,2,3}</w:t>
              </w:r>
            </w:ins>
            <w:r>
              <w:rPr>
                <w:rFonts w:eastAsia="宋体"/>
                <w:szCs w:val="20"/>
              </w:rPr>
              <w:t xml:space="preserve">, the UE monitors PDCCH on the serving cell for a maximum number of PDCCH candidates and non-overlapping CCEs per slot. </w:t>
            </w:r>
          </w:p>
          <w:p>
            <w:pPr>
              <w:widowControl w:val="0"/>
              <w:spacing w:after="180" w:line="240" w:lineRule="auto"/>
              <w:rPr>
                <w:rFonts w:eastAsia="Times New Roman"/>
                <w:szCs w:val="20"/>
                <w:lang w:eastAsia="en-GB"/>
              </w:rPr>
            </w:pPr>
            <w:ins w:id="123" w:author="Alexander Golitschek" w:date="2022-02-20T19:31:00Z">
              <w:r>
                <w:rPr>
                  <w:rFonts w:eastAsia="Times New Roman"/>
                  <w:szCs w:val="20"/>
                  <w:lang w:eastAsia="en-GB"/>
                </w:rPr>
                <w:t>I</w:t>
              </w:r>
            </w:ins>
            <w:ins w:id="124" w:author="Alexander Golitschek" w:date="2022-02-20T18:58:00Z">
              <w:r>
                <w:rPr>
                  <w:rFonts w:eastAsia="Times New Roman"/>
                  <w:szCs w:val="20"/>
                  <w:lang w:eastAsia="en-GB"/>
                </w:rPr>
                <w:t xml:space="preserve">f the UE is not provided </w:t>
              </w:r>
            </w:ins>
            <w:ins w:id="125" w:author="Alexander Golitschek" w:date="2022-02-20T18:58:00Z">
              <w:r>
                <w:rPr>
                  <w:rFonts w:eastAsia="Times New Roman"/>
                  <w:i/>
                  <w:iCs/>
                  <w:szCs w:val="20"/>
                  <w:lang w:eastAsia="en-GB"/>
                </w:rPr>
                <w:t>monitoringCapabilityConfig</w:t>
              </w:r>
            </w:ins>
            <w:ins w:id="126" w:author="Alexander Golitschek" w:date="2022-02-20T19:31:00Z">
              <w:r>
                <w:rPr>
                  <w:rFonts w:eastAsia="Times New Roman"/>
                  <w:i/>
                  <w:iCs/>
                  <w:szCs w:val="20"/>
                  <w:lang w:eastAsia="en-GB"/>
                </w:rPr>
                <w:t xml:space="preserve"> </w:t>
              </w:r>
            </w:ins>
            <w:ins w:id="127" w:author="Alexander Golitschek" w:date="2022-02-20T19:31:00Z">
              <w:r>
                <w:rPr>
                  <w:rFonts w:eastAsia="Times New Roman"/>
                  <w:szCs w:val="20"/>
                  <w:lang w:eastAsia="en-GB"/>
                </w:rPr>
                <w:t xml:space="preserve">for μ </w:t>
              </w:r>
            </w:ins>
            <w:ins w:id="128" w:author="Alexander Golitschek" w:date="2022-02-20T19:31:00Z">
              <w:r>
                <w:rPr>
                  <w:rFonts w:ascii="Cambria Math" w:hAnsi="Cambria Math" w:eastAsia="Times New Roman" w:cs="Cambria Math"/>
                  <w:szCs w:val="20"/>
                  <w:lang w:eastAsia="en-GB"/>
                </w:rPr>
                <w:t>∈</w:t>
              </w:r>
            </w:ins>
            <w:ins w:id="129" w:author="Alexander Golitschek" w:date="2022-02-20T19:31:00Z">
              <w:r>
                <w:rPr>
                  <w:rFonts w:eastAsia="Times New Roman"/>
                  <w:szCs w:val="20"/>
                  <w:lang w:eastAsia="en-GB"/>
                </w:rPr>
                <w:t xml:space="preserve"> {5,6}</w:t>
              </w:r>
            </w:ins>
            <w:ins w:id="130" w:author="Alexander Golitschek" w:date="2022-02-20T18:58:00Z">
              <w:r>
                <w:rPr>
                  <w:rFonts w:eastAsia="Times New Roman"/>
                  <w:szCs w:val="20"/>
                  <w:lang w:eastAsia="en-GB"/>
                </w:rPr>
                <w:t xml:space="preserve">, the UE monitors PDCCH on the serving cell for a maximum number of PDCCH candidates and non-overlapping CCEs per group of </w:t>
              </w:r>
            </w:ins>
            <m:oMath>
              <m:sSub>
                <m:sSubPr>
                  <m:ctrlPr>
                    <w:ins w:id="131" w:author="Alexander Golitschek" w:date="2022-02-20T18:58:00Z">
                      <w:rPr>
                        <w:rFonts w:ascii="Cambria Math" w:hAnsi="Cambria Math" w:eastAsia="Times New Roman"/>
                        <w:szCs w:val="20"/>
                        <w:lang w:eastAsia="en-GB"/>
                      </w:rPr>
                    </w:ins>
                  </m:ctrlPr>
                </m:sSubPr>
                <m:e>
                  <w:ins w:id="132" w:author="Alexander Golitschek" w:date="2022-02-20T18:58:00Z">
                    <m:r>
                      <w:rPr>
                        <w:rFonts w:ascii="Cambria Math" w:hAnsi="Cambria Math" w:eastAsia="Times New Roman"/>
                        <w:szCs w:val="20"/>
                        <w:lang w:eastAsia="en-GB"/>
                      </w:rPr>
                      <m:t>X</m:t>
                    </m:r>
                  </w:ins>
                  <m:ctrlPr>
                    <w:ins w:id="133" w:author="Alexander Golitschek" w:date="2022-02-20T18:58:00Z">
                      <w:rPr>
                        <w:rFonts w:ascii="Cambria Math" w:hAnsi="Cambria Math" w:eastAsia="Times New Roman"/>
                        <w:szCs w:val="20"/>
                        <w:lang w:eastAsia="en-GB"/>
                      </w:rPr>
                    </w:ins>
                  </m:ctrlPr>
                </m:e>
                <m:sub>
                  <w:ins w:id="134" w:author="Alexander Golitschek" w:date="2022-02-20T18:58:00Z">
                    <m:r>
                      <w:rPr>
                        <w:rFonts w:ascii="Cambria Math" w:hAnsi="Cambria Math" w:eastAsia="Times New Roman"/>
                        <w:szCs w:val="20"/>
                        <w:lang w:eastAsia="en-GB"/>
                      </w:rPr>
                      <m:t>s</m:t>
                    </m:r>
                  </w:ins>
                  <m:ctrlPr>
                    <w:ins w:id="135" w:author="Alexander Golitschek" w:date="2022-02-20T18:58:00Z">
                      <w:rPr>
                        <w:rFonts w:ascii="Cambria Math" w:hAnsi="Cambria Math" w:eastAsia="Times New Roman"/>
                        <w:szCs w:val="20"/>
                        <w:lang w:eastAsia="en-GB"/>
                      </w:rPr>
                    </w:ins>
                  </m:ctrlPr>
                </m:sub>
              </m:sSub>
            </m:oMath>
            <w:ins w:id="136" w:author="Alexander Golitschek" w:date="2022-02-20T18:58:00Z">
              <w:r>
                <w:rPr>
                  <w:rFonts w:eastAsia="Times New Roman"/>
                  <w:szCs w:val="20"/>
                  <w:lang w:eastAsia="en-GB"/>
                </w:rPr>
                <w:t xml:space="preserve"> slots according to combination </w:t>
              </w:r>
            </w:ins>
            <m:oMath>
              <m:d>
                <m:dPr>
                  <m:ctrlPr>
                    <w:ins w:id="137" w:author="Alexander Golitschek" w:date="2022-02-20T18:58:00Z">
                      <w:rPr>
                        <w:rFonts w:ascii="Cambria Math" w:hAnsi="Cambria Math" w:eastAsia="Times New Roman"/>
                        <w:szCs w:val="20"/>
                        <w:lang w:eastAsia="en-GB"/>
                      </w:rPr>
                    </w:ins>
                  </m:ctrlPr>
                </m:dPr>
                <m:e>
                  <m:sSub>
                    <m:sSubPr>
                      <m:ctrlPr>
                        <w:ins w:id="138" w:author="Alexander Golitschek" w:date="2022-02-20T18:58:00Z">
                          <w:rPr>
                            <w:rFonts w:ascii="Cambria Math" w:hAnsi="Cambria Math" w:eastAsia="Times New Roman"/>
                            <w:szCs w:val="20"/>
                            <w:lang w:eastAsia="en-GB"/>
                          </w:rPr>
                        </w:ins>
                      </m:ctrlPr>
                    </m:sSubPr>
                    <m:e>
                      <w:ins w:id="139" w:author="Alexander Golitschek" w:date="2022-02-20T18:58:00Z">
                        <m:r>
                          <w:rPr>
                            <w:rFonts w:ascii="Cambria Math" w:hAnsi="Cambria Math" w:eastAsia="Times New Roman"/>
                            <w:szCs w:val="20"/>
                            <w:lang w:eastAsia="en-GB"/>
                          </w:rPr>
                          <m:t>X</m:t>
                        </m:r>
                      </w:ins>
                      <m:ctrlPr>
                        <w:ins w:id="140" w:author="Alexander Golitschek" w:date="2022-02-20T18:58:00Z">
                          <w:rPr>
                            <w:rFonts w:ascii="Cambria Math" w:hAnsi="Cambria Math" w:eastAsia="Times New Roman"/>
                            <w:szCs w:val="20"/>
                            <w:lang w:eastAsia="en-GB"/>
                          </w:rPr>
                        </w:ins>
                      </m:ctrlPr>
                    </m:e>
                    <m:sub>
                      <w:ins w:id="141" w:author="Alexander Golitschek" w:date="2022-02-20T18:58:00Z">
                        <m:r>
                          <w:rPr>
                            <w:rFonts w:ascii="Cambria Math" w:hAnsi="Cambria Math" w:eastAsia="Times New Roman"/>
                            <w:szCs w:val="20"/>
                            <w:lang w:eastAsia="en-GB"/>
                          </w:rPr>
                          <m:t>s</m:t>
                        </m:r>
                      </w:ins>
                      <m:ctrlPr>
                        <w:ins w:id="142" w:author="Alexander Golitschek" w:date="2022-02-20T18:58:00Z">
                          <w:rPr>
                            <w:rFonts w:ascii="Cambria Math" w:hAnsi="Cambria Math" w:eastAsia="Times New Roman"/>
                            <w:szCs w:val="20"/>
                            <w:lang w:eastAsia="en-GB"/>
                          </w:rPr>
                        </w:ins>
                      </m:ctrlPr>
                    </m:sub>
                  </m:sSub>
                  <w:ins w:id="143" w:author="Alexander Golitschek" w:date="2022-02-20T18:58:00Z">
                    <m:r>
                      <m:rPr>
                        <m:sty m:val="p"/>
                      </m:rPr>
                      <w:rPr>
                        <w:rFonts w:ascii="Cambria Math" w:hAnsi="Cambria Math" w:eastAsia="Times New Roman"/>
                        <w:szCs w:val="20"/>
                        <w:lang w:eastAsia="en-GB"/>
                      </w:rPr>
                      <m:t>,</m:t>
                    </m:r>
                  </w:ins>
                  <m:sSub>
                    <m:sSubPr>
                      <m:ctrlPr>
                        <w:ins w:id="144" w:author="Alexander Golitschek" w:date="2022-02-20T18:58:00Z">
                          <w:rPr>
                            <w:rFonts w:ascii="Cambria Math" w:hAnsi="Cambria Math" w:eastAsia="Times New Roman"/>
                            <w:szCs w:val="20"/>
                            <w:lang w:eastAsia="en-GB"/>
                          </w:rPr>
                        </w:ins>
                      </m:ctrlPr>
                    </m:sSubPr>
                    <m:e>
                      <w:ins w:id="145" w:author="Alexander Golitschek" w:date="2022-02-20T18:58:00Z">
                        <m:r>
                          <w:rPr>
                            <w:rFonts w:ascii="Cambria Math" w:hAnsi="Cambria Math" w:eastAsia="Times New Roman"/>
                            <w:szCs w:val="20"/>
                            <w:lang w:eastAsia="en-GB"/>
                          </w:rPr>
                          <m:t>Y</m:t>
                        </m:r>
                      </w:ins>
                      <m:ctrlPr>
                        <w:ins w:id="146" w:author="Alexander Golitschek" w:date="2022-02-20T18:58:00Z">
                          <w:rPr>
                            <w:rFonts w:ascii="Cambria Math" w:hAnsi="Cambria Math" w:eastAsia="Times New Roman"/>
                            <w:szCs w:val="20"/>
                            <w:lang w:eastAsia="en-GB"/>
                          </w:rPr>
                        </w:ins>
                      </m:ctrlPr>
                    </m:e>
                    <m:sub>
                      <w:ins w:id="147" w:author="Alexander Golitschek" w:date="2022-02-20T18:58:00Z">
                        <m:r>
                          <w:rPr>
                            <w:rFonts w:ascii="Cambria Math" w:hAnsi="Cambria Math" w:eastAsia="Times New Roman"/>
                            <w:szCs w:val="20"/>
                            <w:lang w:eastAsia="en-GB"/>
                          </w:rPr>
                          <m:t>s</m:t>
                        </m:r>
                      </w:ins>
                      <m:ctrlPr>
                        <w:ins w:id="148" w:author="Alexander Golitschek" w:date="2022-02-20T18:58:00Z">
                          <w:rPr>
                            <w:rFonts w:ascii="Cambria Math" w:hAnsi="Cambria Math" w:eastAsia="Times New Roman"/>
                            <w:szCs w:val="20"/>
                            <w:lang w:eastAsia="en-GB"/>
                          </w:rPr>
                        </w:ins>
                      </m:ctrlPr>
                    </m:sub>
                  </m:sSub>
                  <m:ctrlPr>
                    <w:ins w:id="149" w:author="Alexander Golitschek" w:date="2022-02-20T18:58:00Z">
                      <w:rPr>
                        <w:rFonts w:ascii="Cambria Math" w:hAnsi="Cambria Math" w:eastAsia="Times New Roman"/>
                        <w:szCs w:val="20"/>
                        <w:lang w:eastAsia="en-GB"/>
                      </w:rPr>
                    </w:ins>
                  </m:ctrlPr>
                </m:e>
              </m:d>
              <w:ins w:id="150" w:author="Alexander Golitschek" w:date="2022-02-20T18:58:00Z">
                <m:r>
                  <m:rPr>
                    <m:sty m:val="p"/>
                  </m:rPr>
                  <w:rPr>
                    <w:rFonts w:ascii="Cambria Math" w:hAnsi="Cambria Math" w:eastAsia="Times New Roman"/>
                    <w:szCs w:val="20"/>
                    <w:lang w:eastAsia="en-GB"/>
                  </w:rPr>
                  <m:t>=(4,1)</m:t>
                </m:r>
              </w:ins>
            </m:oMath>
            <w:ins w:id="151" w:author="Alexander Golitschek" w:date="2022-02-20T18:58:00Z">
              <w:r>
                <w:rPr>
                  <w:rFonts w:eastAsia="Times New Roman"/>
                  <w:szCs w:val="20"/>
                  <w:lang w:eastAsia="en-GB"/>
                </w:rPr>
                <w:t xml:space="preserve"> for μ =</w:t>
              </w:r>
            </w:ins>
            <w:ins w:id="152" w:author="Alexander Golitschek" w:date="2022-02-20T19:01:00Z">
              <w:r>
                <w:rPr>
                  <w:rFonts w:eastAsia="Times New Roman"/>
                  <w:szCs w:val="20"/>
                  <w:lang w:eastAsia="en-GB"/>
                </w:rPr>
                <w:t xml:space="preserve"> </w:t>
              </w:r>
            </w:ins>
            <w:ins w:id="153" w:author="Alexander Golitschek" w:date="2022-02-20T18:58:00Z">
              <w:r>
                <w:rPr>
                  <w:rFonts w:eastAsia="Times New Roman"/>
                  <w:szCs w:val="20"/>
                  <w:lang w:eastAsia="en-GB"/>
                </w:rPr>
                <w:t xml:space="preserve">5 and </w:t>
              </w:r>
            </w:ins>
            <m:oMath>
              <m:d>
                <m:dPr>
                  <m:ctrlPr>
                    <w:ins w:id="154" w:author="Alexander Golitschek" w:date="2022-02-20T18:58:00Z">
                      <w:rPr>
                        <w:rFonts w:ascii="Cambria Math" w:hAnsi="Cambria Math" w:eastAsia="Times New Roman"/>
                        <w:szCs w:val="20"/>
                        <w:lang w:eastAsia="en-GB"/>
                      </w:rPr>
                    </w:ins>
                  </m:ctrlPr>
                </m:dPr>
                <m:e>
                  <m:sSub>
                    <m:sSubPr>
                      <m:ctrlPr>
                        <w:ins w:id="155" w:author="Alexander Golitschek" w:date="2022-02-20T18:58:00Z">
                          <w:rPr>
                            <w:rFonts w:ascii="Cambria Math" w:hAnsi="Cambria Math" w:eastAsia="Times New Roman"/>
                            <w:szCs w:val="20"/>
                            <w:lang w:eastAsia="en-GB"/>
                          </w:rPr>
                        </w:ins>
                      </m:ctrlPr>
                    </m:sSubPr>
                    <m:e>
                      <w:ins w:id="156" w:author="Alexander Golitschek" w:date="2022-02-20T18:58:00Z">
                        <m:r>
                          <w:rPr>
                            <w:rFonts w:ascii="Cambria Math" w:hAnsi="Cambria Math" w:eastAsia="Times New Roman"/>
                            <w:szCs w:val="20"/>
                            <w:lang w:eastAsia="en-GB"/>
                          </w:rPr>
                          <m:t>X</m:t>
                        </m:r>
                      </w:ins>
                      <m:ctrlPr>
                        <w:ins w:id="157" w:author="Alexander Golitschek" w:date="2022-02-20T18:58:00Z">
                          <w:rPr>
                            <w:rFonts w:ascii="Cambria Math" w:hAnsi="Cambria Math" w:eastAsia="Times New Roman"/>
                            <w:szCs w:val="20"/>
                            <w:lang w:eastAsia="en-GB"/>
                          </w:rPr>
                        </w:ins>
                      </m:ctrlPr>
                    </m:e>
                    <m:sub>
                      <w:ins w:id="158" w:author="Alexander Golitschek" w:date="2022-02-20T18:58:00Z">
                        <m:r>
                          <w:rPr>
                            <w:rFonts w:ascii="Cambria Math" w:hAnsi="Cambria Math" w:eastAsia="Times New Roman"/>
                            <w:szCs w:val="20"/>
                            <w:lang w:eastAsia="en-GB"/>
                          </w:rPr>
                          <m:t>s</m:t>
                        </m:r>
                      </w:ins>
                      <m:ctrlPr>
                        <w:ins w:id="159" w:author="Alexander Golitschek" w:date="2022-02-20T18:58:00Z">
                          <w:rPr>
                            <w:rFonts w:ascii="Cambria Math" w:hAnsi="Cambria Math" w:eastAsia="Times New Roman"/>
                            <w:szCs w:val="20"/>
                            <w:lang w:eastAsia="en-GB"/>
                          </w:rPr>
                        </w:ins>
                      </m:ctrlPr>
                    </m:sub>
                  </m:sSub>
                  <w:ins w:id="160" w:author="Alexander Golitschek" w:date="2022-02-20T18:58:00Z">
                    <m:r>
                      <m:rPr>
                        <m:sty m:val="p"/>
                      </m:rPr>
                      <w:rPr>
                        <w:rFonts w:ascii="Cambria Math" w:hAnsi="Cambria Math" w:eastAsia="Times New Roman"/>
                        <w:szCs w:val="20"/>
                        <w:lang w:eastAsia="en-GB"/>
                      </w:rPr>
                      <m:t>,</m:t>
                    </m:r>
                  </w:ins>
                  <m:sSub>
                    <m:sSubPr>
                      <m:ctrlPr>
                        <w:ins w:id="161" w:author="Alexander Golitschek" w:date="2022-02-20T18:58:00Z">
                          <w:rPr>
                            <w:rFonts w:ascii="Cambria Math" w:hAnsi="Cambria Math" w:eastAsia="Times New Roman"/>
                            <w:szCs w:val="20"/>
                            <w:lang w:eastAsia="en-GB"/>
                          </w:rPr>
                        </w:ins>
                      </m:ctrlPr>
                    </m:sSubPr>
                    <m:e>
                      <w:ins w:id="162" w:author="Alexander Golitschek" w:date="2022-02-20T18:58:00Z">
                        <m:r>
                          <w:rPr>
                            <w:rFonts w:ascii="Cambria Math" w:hAnsi="Cambria Math" w:eastAsia="Times New Roman"/>
                            <w:szCs w:val="20"/>
                            <w:lang w:eastAsia="en-GB"/>
                          </w:rPr>
                          <m:t>Y</m:t>
                        </m:r>
                      </w:ins>
                      <m:ctrlPr>
                        <w:ins w:id="163" w:author="Alexander Golitschek" w:date="2022-02-20T18:58:00Z">
                          <w:rPr>
                            <w:rFonts w:ascii="Cambria Math" w:hAnsi="Cambria Math" w:eastAsia="Times New Roman"/>
                            <w:szCs w:val="20"/>
                            <w:lang w:eastAsia="en-GB"/>
                          </w:rPr>
                        </w:ins>
                      </m:ctrlPr>
                    </m:e>
                    <m:sub>
                      <w:ins w:id="164" w:author="Alexander Golitschek" w:date="2022-02-20T18:58:00Z">
                        <m:r>
                          <w:rPr>
                            <w:rFonts w:ascii="Cambria Math" w:hAnsi="Cambria Math" w:eastAsia="Times New Roman"/>
                            <w:szCs w:val="20"/>
                            <w:lang w:eastAsia="en-GB"/>
                          </w:rPr>
                          <m:t>s</m:t>
                        </m:r>
                      </w:ins>
                      <m:ctrlPr>
                        <w:ins w:id="165" w:author="Alexander Golitschek" w:date="2022-02-20T18:58:00Z">
                          <w:rPr>
                            <w:rFonts w:ascii="Cambria Math" w:hAnsi="Cambria Math" w:eastAsia="Times New Roman"/>
                            <w:szCs w:val="20"/>
                            <w:lang w:eastAsia="en-GB"/>
                          </w:rPr>
                        </w:ins>
                      </m:ctrlPr>
                    </m:sub>
                  </m:sSub>
                  <m:ctrlPr>
                    <w:ins w:id="166" w:author="Alexander Golitschek" w:date="2022-02-20T18:58:00Z">
                      <w:rPr>
                        <w:rFonts w:ascii="Cambria Math" w:hAnsi="Cambria Math" w:eastAsia="Times New Roman"/>
                        <w:szCs w:val="20"/>
                        <w:lang w:eastAsia="en-GB"/>
                      </w:rPr>
                    </w:ins>
                  </m:ctrlPr>
                </m:e>
              </m:d>
              <w:ins w:id="167" w:author="Alexander Golitschek" w:date="2022-02-20T18:58:00Z">
                <m:r>
                  <m:rPr>
                    <m:sty m:val="p"/>
                  </m:rPr>
                  <w:rPr>
                    <w:rFonts w:ascii="Cambria Math" w:hAnsi="Cambria Math" w:eastAsia="Times New Roman"/>
                    <w:szCs w:val="20"/>
                    <w:lang w:eastAsia="en-GB"/>
                  </w:rPr>
                  <m:t>=(8,1)</m:t>
                </m:r>
              </w:ins>
            </m:oMath>
            <w:ins w:id="168" w:author="Alexander Golitschek" w:date="2022-02-20T18:58:00Z">
              <w:r>
                <w:rPr>
                  <w:rFonts w:eastAsia="Times New Roman"/>
                  <w:szCs w:val="20"/>
                  <w:lang w:eastAsia="en-GB"/>
                </w:rPr>
                <w:t xml:space="preserve"> for μ </w:t>
              </w:r>
            </w:ins>
            <w:ins w:id="169" w:author="Alexander Golitschek" w:date="2022-02-20T19:01:00Z">
              <w:r>
                <w:rPr>
                  <w:rFonts w:eastAsia="Times New Roman"/>
                  <w:szCs w:val="20"/>
                  <w:lang w:eastAsia="en-GB"/>
                </w:rPr>
                <w:t>=</w:t>
              </w:r>
            </w:ins>
            <w:ins w:id="170" w:author="Alexander Golitschek" w:date="2022-02-20T19:02:00Z">
              <w:r>
                <w:rPr>
                  <w:rFonts w:eastAsia="Times New Roman"/>
                  <w:szCs w:val="20"/>
                  <w:lang w:eastAsia="en-GB"/>
                </w:rPr>
                <w:t xml:space="preserve"> </w:t>
              </w:r>
            </w:ins>
            <w:ins w:id="171" w:author="Alexander Golitschek" w:date="2022-02-20T18:58:00Z">
              <w:r>
                <w:rPr>
                  <w:rFonts w:eastAsia="Times New Roman"/>
                  <w:szCs w:val="20"/>
                  <w:lang w:eastAsia="en-GB"/>
                </w:rPr>
                <w:t>6 as in Tables 10.1-2B and 10.1-3B.</w:t>
              </w:r>
            </w:ins>
          </w:p>
        </w:tc>
      </w:tr>
    </w:tbl>
    <w:p>
      <w:pPr>
        <w:tabs>
          <w:tab w:val="left" w:pos="1300"/>
        </w:tabs>
        <w:spacing w:after="0"/>
        <w:jc w:val="both"/>
        <w:rPr>
          <w:b/>
          <w:sz w:val="20"/>
          <w:szCs w:val="20"/>
          <w:u w:val="single"/>
          <w:lang w:val="en-GB"/>
        </w:rPr>
      </w:pPr>
    </w:p>
    <w:p>
      <w:pPr>
        <w:tabs>
          <w:tab w:val="left" w:pos="1300"/>
        </w:tabs>
        <w:spacing w:after="0"/>
        <w:jc w:val="both"/>
        <w:rPr>
          <w:b/>
          <w:sz w:val="20"/>
          <w:szCs w:val="20"/>
        </w:rPr>
      </w:pPr>
      <w:r>
        <w:rPr>
          <w:b/>
          <w:sz w:val="20"/>
          <w:szCs w:val="20"/>
          <w:u w:val="single"/>
        </w:rPr>
        <w:t>Text Proposal A1-4.2</w:t>
      </w:r>
      <w:r>
        <w:rPr>
          <w:b/>
          <w:sz w:val="20"/>
          <w:szCs w:val="20"/>
        </w:rPr>
        <w:t xml:space="preserve">: Change </w:t>
      </w:r>
      <w:r>
        <w:rPr>
          <w:b/>
          <w:bCs/>
        </w:rPr>
        <w:t xml:space="preserve">TS 38.213 Clause 10 as follows </w:t>
      </w:r>
      <w:r>
        <w:t xml:space="preserve">(change to </w:t>
      </w:r>
      <w:r>
        <w:rPr>
          <w:sz w:val="20"/>
          <w:szCs w:val="20"/>
        </w:rPr>
        <w:t xml:space="preserve">Text Proposal A1-4.1 is </w:t>
      </w:r>
      <w:r>
        <w:rPr>
          <w:sz w:val="20"/>
          <w:szCs w:val="20"/>
          <w:highlight w:val="cyan"/>
        </w:rPr>
        <w:t>highlighted</w:t>
      </w:r>
      <w:r>
        <w:rPr>
          <w:sz w:val="20"/>
          <w:szCs w:val="20"/>
        </w:rPr>
        <w:t>)</w:t>
      </w:r>
      <w:r>
        <w:rPr>
          <w:b/>
          <w:bCs/>
        </w:rPr>
        <w:t>:</w:t>
      </w:r>
    </w:p>
    <w:tbl>
      <w:tblPr>
        <w:tblStyle w:val="55"/>
        <w:tblW w:w="139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9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44" w:type="dxa"/>
            <w:vAlign w:val="center"/>
          </w:tcPr>
          <w:p>
            <w:pPr>
              <w:widowControl w:val="0"/>
              <w:rPr>
                <w:rFonts w:eastAsia="宋体"/>
                <w:szCs w:val="20"/>
              </w:rPr>
            </w:pPr>
            <w:r>
              <w:rPr>
                <w:rFonts w:eastAsia="宋体"/>
                <w:szCs w:val="20"/>
              </w:rPr>
              <w:t xml:space="preserve">If a UE is provided </w:t>
            </w:r>
            <w:r>
              <w:rPr>
                <w:rFonts w:eastAsia="宋体"/>
                <w:i/>
                <w:szCs w:val="20"/>
              </w:rPr>
              <w:t>monitoringCapabilityConfig</w:t>
            </w:r>
            <w:r>
              <w:rPr>
                <w:rFonts w:eastAsia="宋体"/>
                <w:szCs w:val="20"/>
              </w:rPr>
              <w:t xml:space="preserve"> for a</w:t>
            </w:r>
            <w:ins w:id="172" w:author="Alexander Golitschek" w:date="2022-02-20T19:09:00Z">
              <w:r>
                <w:rPr>
                  <w:rFonts w:eastAsia="宋体"/>
                  <w:szCs w:val="20"/>
                  <w:highlight w:val="cyan"/>
                </w:rPr>
                <w:t>n active DL BWP of a</w:t>
              </w:r>
            </w:ins>
            <w:r>
              <w:rPr>
                <w:rFonts w:eastAsia="宋体"/>
                <w:szCs w:val="20"/>
              </w:rPr>
              <w:t xml:space="preserve"> serving cell, the UE obtains an indication to monitor PDCCH on the </w:t>
            </w:r>
            <w:ins w:id="173" w:author="Alexander Golitschek" w:date="2022-02-20T19:12:00Z">
              <w:r>
                <w:rPr>
                  <w:rFonts w:eastAsia="宋体"/>
                  <w:szCs w:val="20"/>
                  <w:highlight w:val="cyan"/>
                </w:rPr>
                <w:t>the active DL BWP of</w:t>
              </w:r>
            </w:ins>
            <w:ins w:id="174" w:author="Alexander Golitschek" w:date="2022-02-20T19:12:00Z">
              <w:r>
                <w:rPr>
                  <w:rFonts w:eastAsia="宋体"/>
                  <w:szCs w:val="20"/>
                </w:rPr>
                <w:t xml:space="preserve"> </w:t>
              </w:r>
            </w:ins>
            <w:r>
              <w:rPr>
                <w:rFonts w:eastAsia="宋体"/>
                <w:szCs w:val="20"/>
              </w:rPr>
              <w:t xml:space="preserve">serving cell for a maximum number of PDCCH candidates and non-overlapping CCEs </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slot, as in Tables 10.1-2 and 10.1-3,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r15monitoringcapability</w:t>
            </w:r>
            <w:r>
              <w:rPr>
                <w:rFonts w:eastAsia="宋体"/>
              </w:rPr>
              <w:t xml:space="preserve">, </w:t>
            </w:r>
            <w:r>
              <w:rPr>
                <w:rFonts w:eastAsia="宋体"/>
                <w:szCs w:val="20"/>
              </w:rPr>
              <w:t xml:space="preserve">or </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span, as in Tables 10.1-2A and 10.1-3A,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r16monitoringcapability</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group </w:t>
            </w:r>
            <w:r>
              <w:rPr>
                <w:rFonts w:eastAsia="宋体"/>
                <w:szCs w:val="20"/>
                <w:lang w:eastAsia="zh-CN"/>
              </w:rPr>
              <w:t xml:space="preserve">of </w:t>
            </w:r>
            <m:oMath>
              <m:sSub>
                <m:sSubPr>
                  <m:ctrlPr>
                    <w:rPr>
                      <w:rFonts w:ascii="Cambria Math" w:hAnsi="Cambria Math" w:eastAsia="宋体"/>
                      <w:i/>
                      <w:szCs w:val="20"/>
                      <w:lang w:val="zh-CN" w:eastAsia="zh-CN"/>
                    </w:rPr>
                  </m:ctrlPr>
                </m:sSubPr>
                <m:e>
                  <m:r>
                    <w:rPr>
                      <w:rFonts w:ascii="Cambria Math" w:hAnsi="Cambria Math" w:eastAsia="宋体"/>
                      <w:szCs w:val="20"/>
                      <w:lang w:val="zh-CN" w:eastAsia="zh-CN"/>
                    </w:rPr>
                    <m:t>X</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oMath>
            <w:r>
              <w:rPr>
                <w:rFonts w:eastAsia="宋体"/>
                <w:szCs w:val="20"/>
                <w:lang w:eastAsia="zh-CN"/>
              </w:rPr>
              <w:t xml:space="preserve"> slots</w:t>
            </w:r>
            <w:r>
              <w:rPr>
                <w:rFonts w:eastAsia="宋体"/>
                <w:szCs w:val="20"/>
              </w:rPr>
              <w:t xml:space="preserve"> </w:t>
            </w:r>
            <w:r>
              <w:rPr>
                <w:rFonts w:eastAsia="宋体"/>
                <w:szCs w:val="20"/>
                <w:lang w:eastAsia="zh-CN"/>
              </w:rPr>
              <w:t xml:space="preserve">according to combination </w:t>
            </w:r>
            <m:oMath>
              <m:d>
                <m:dPr>
                  <m:ctrlPr>
                    <w:rPr>
                      <w:rFonts w:ascii="Cambria Math" w:hAnsi="Cambria Math" w:eastAsia="宋体"/>
                      <w:szCs w:val="20"/>
                      <w:lang w:val="zh-CN" w:eastAsia="zh-CN"/>
                    </w:rPr>
                  </m:ctrlPr>
                </m:dPr>
                <m:e>
                  <m:sSub>
                    <m:sSubPr>
                      <m:ctrlPr>
                        <w:rPr>
                          <w:rFonts w:ascii="Cambria Math" w:hAnsi="Cambria Math" w:eastAsia="宋体"/>
                          <w:i/>
                          <w:szCs w:val="20"/>
                          <w:lang w:val="zh-CN" w:eastAsia="zh-CN"/>
                        </w:rPr>
                      </m:ctrlPr>
                    </m:sSubPr>
                    <m:e>
                      <m:r>
                        <w:rPr>
                          <w:rFonts w:ascii="Cambria Math" w:hAnsi="Cambria Math" w:eastAsia="宋体"/>
                          <w:szCs w:val="20"/>
                          <w:lang w:val="zh-CN" w:eastAsia="zh-CN"/>
                        </w:rPr>
                        <m:t>X</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r>
                    <w:rPr>
                      <w:rFonts w:ascii="Cambria Math" w:hAnsi="Cambria Math" w:eastAsia="宋体"/>
                      <w:szCs w:val="20"/>
                      <w:lang w:eastAsia="zh-CN"/>
                    </w:rPr>
                    <m:t>,</m:t>
                  </m:r>
                  <m:sSub>
                    <m:sSubPr>
                      <m:ctrlPr>
                        <w:rPr>
                          <w:rFonts w:ascii="Cambria Math" w:hAnsi="Cambria Math" w:eastAsia="宋体"/>
                          <w:i/>
                          <w:szCs w:val="20"/>
                          <w:lang w:val="zh-CN" w:eastAsia="zh-CN"/>
                        </w:rPr>
                      </m:ctrlPr>
                    </m:sSubPr>
                    <m:e>
                      <m:r>
                        <w:rPr>
                          <w:rFonts w:ascii="Cambria Math" w:hAnsi="Cambria Math" w:eastAsia="宋体"/>
                          <w:szCs w:val="20"/>
                          <w:lang w:val="zh-CN" w:eastAsia="zh-CN"/>
                        </w:rPr>
                        <m:t>Y</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ctrlPr>
                    <w:rPr>
                      <w:rFonts w:ascii="Cambria Math" w:hAnsi="Cambria Math" w:eastAsia="宋体"/>
                      <w:szCs w:val="20"/>
                      <w:lang w:val="zh-CN" w:eastAsia="zh-CN"/>
                    </w:rPr>
                  </m:ctrlPr>
                </m:e>
              </m:d>
            </m:oMath>
            <w:r>
              <w:rPr>
                <w:rFonts w:eastAsia="宋体"/>
                <w:szCs w:val="20"/>
              </w:rPr>
              <w:t xml:space="preserve">, as in Tables 10.1-2B and 10.1-3B,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r17monitoringcapability</w:t>
            </w:r>
          </w:p>
          <w:p>
            <w:pPr>
              <w:widowControl w:val="0"/>
              <w:spacing w:after="180" w:line="240" w:lineRule="auto"/>
              <w:rPr>
                <w:rFonts w:eastAsia="宋体"/>
                <w:szCs w:val="20"/>
                <w:lang w:eastAsia="zh-CN"/>
              </w:rPr>
            </w:pPr>
            <w:r>
              <w:rPr>
                <w:rFonts w:eastAsia="宋体"/>
                <w:szCs w:val="20"/>
              </w:rPr>
              <w:t xml:space="preserve">If the UE is not provided </w:t>
            </w:r>
            <w:r>
              <w:rPr>
                <w:rFonts w:eastAsia="宋体"/>
                <w:i/>
                <w:szCs w:val="20"/>
              </w:rPr>
              <w:t>monitoringCapabilityConfig</w:t>
            </w:r>
            <w:ins w:id="175" w:author="Alexander Golitschek" w:date="2022-02-20T19:32:00Z">
              <w:r>
                <w:rPr>
                  <w:rFonts w:eastAsia="Times New Roman"/>
                  <w:szCs w:val="20"/>
                  <w:lang w:eastAsia="en-GB"/>
                </w:rPr>
                <w:t xml:space="preserve"> f</w:t>
              </w:r>
            </w:ins>
            <w:ins w:id="176" w:author="Alexander Golitschek" w:date="2022-02-20T19:32:00Z">
              <w:r>
                <w:rPr>
                  <w:rFonts w:eastAsia="Times New Roman"/>
                  <w:szCs w:val="20"/>
                  <w:lang w:val="en-GB" w:eastAsia="en-GB"/>
                </w:rPr>
                <w:t xml:space="preserve">or μ </w:t>
              </w:r>
            </w:ins>
            <w:ins w:id="177" w:author="Alexander Golitschek" w:date="2022-02-20T19:32:00Z">
              <w:r>
                <w:rPr>
                  <w:rFonts w:ascii="Cambria Math" w:hAnsi="Cambria Math" w:eastAsia="Times New Roman" w:cs="Cambria Math"/>
                  <w:szCs w:val="20"/>
                  <w:lang w:val="en-GB" w:eastAsia="en-GB"/>
                </w:rPr>
                <w:t>∈</w:t>
              </w:r>
            </w:ins>
            <w:ins w:id="178" w:author="Alexander Golitschek" w:date="2022-02-20T19:32:00Z">
              <w:r>
                <w:rPr>
                  <w:rFonts w:eastAsia="Times New Roman"/>
                  <w:szCs w:val="20"/>
                  <w:lang w:val="en-GB" w:eastAsia="en-GB"/>
                </w:rPr>
                <w:t xml:space="preserve"> {0,1,2,3}</w:t>
              </w:r>
            </w:ins>
            <w:r>
              <w:rPr>
                <w:rFonts w:eastAsia="宋体"/>
                <w:szCs w:val="20"/>
              </w:rPr>
              <w:t xml:space="preserve">, the UE monitors PDCCH on the </w:t>
            </w:r>
            <w:ins w:id="179" w:author="Alexander Golitschek" w:date="2022-02-20T19:14:00Z">
              <w:r>
                <w:rPr>
                  <w:rFonts w:eastAsia="Times New Roman"/>
                  <w:szCs w:val="20"/>
                  <w:highlight w:val="cyan"/>
                  <w:lang w:eastAsia="en-GB"/>
                </w:rPr>
                <w:t>active DL BWP of a</w:t>
              </w:r>
            </w:ins>
            <w:ins w:id="180" w:author="Alexander Golitschek" w:date="2022-02-20T19:14:00Z">
              <w:r>
                <w:rPr>
                  <w:rFonts w:eastAsia="宋体"/>
                  <w:szCs w:val="20"/>
                </w:rPr>
                <w:t xml:space="preserve"> </w:t>
              </w:r>
            </w:ins>
            <w:r>
              <w:rPr>
                <w:rFonts w:eastAsia="宋体"/>
                <w:szCs w:val="20"/>
              </w:rPr>
              <w:t xml:space="preserve">serving cell for a maximum number of PDCCH candidates and non-overlapping CCEs per slot. </w:t>
            </w:r>
          </w:p>
          <w:p>
            <w:pPr>
              <w:widowControl w:val="0"/>
              <w:spacing w:after="180" w:line="240" w:lineRule="auto"/>
              <w:rPr>
                <w:rFonts w:eastAsia="Times New Roman"/>
                <w:szCs w:val="20"/>
                <w:lang w:eastAsia="en-GB"/>
              </w:rPr>
            </w:pPr>
            <w:ins w:id="181" w:author="Alexander Golitschek" w:date="2022-02-20T19:32:00Z">
              <w:r>
                <w:rPr>
                  <w:rFonts w:eastAsia="Times New Roman"/>
                  <w:szCs w:val="20"/>
                  <w:lang w:eastAsia="en-GB"/>
                </w:rPr>
                <w:t>I</w:t>
              </w:r>
            </w:ins>
            <w:ins w:id="182" w:author="Alexander Golitschek" w:date="2022-02-20T18:58:00Z">
              <w:r>
                <w:rPr>
                  <w:rFonts w:eastAsia="Times New Roman"/>
                  <w:szCs w:val="20"/>
                  <w:lang w:eastAsia="en-GB"/>
                </w:rPr>
                <w:t xml:space="preserve">f the UE is not provided </w:t>
              </w:r>
            </w:ins>
            <w:ins w:id="183" w:author="Alexander Golitschek" w:date="2022-02-20T18:58:00Z">
              <w:r>
                <w:rPr>
                  <w:rFonts w:eastAsia="Times New Roman"/>
                  <w:i/>
                  <w:iCs/>
                  <w:szCs w:val="20"/>
                  <w:lang w:eastAsia="en-GB"/>
                </w:rPr>
                <w:t>monitoringCapabilityConfig</w:t>
              </w:r>
            </w:ins>
            <w:ins w:id="184" w:author="Alexander Golitschek" w:date="2022-02-20T19:32:00Z">
              <w:r>
                <w:rPr>
                  <w:rFonts w:eastAsia="Times New Roman"/>
                  <w:szCs w:val="20"/>
                  <w:lang w:eastAsia="en-GB"/>
                </w:rPr>
                <w:t xml:space="preserve"> for μ </w:t>
              </w:r>
            </w:ins>
            <w:ins w:id="185" w:author="Alexander Golitschek" w:date="2022-02-20T19:32:00Z">
              <w:r>
                <w:rPr>
                  <w:rFonts w:ascii="Cambria Math" w:hAnsi="Cambria Math" w:eastAsia="Times New Roman" w:cs="Cambria Math"/>
                  <w:szCs w:val="20"/>
                  <w:lang w:eastAsia="en-GB"/>
                </w:rPr>
                <w:t>∈</w:t>
              </w:r>
            </w:ins>
            <w:ins w:id="186" w:author="Alexander Golitschek" w:date="2022-02-20T19:32:00Z">
              <w:r>
                <w:rPr>
                  <w:rFonts w:eastAsia="Times New Roman"/>
                  <w:szCs w:val="20"/>
                  <w:lang w:eastAsia="en-GB"/>
                </w:rPr>
                <w:t xml:space="preserve"> {5,6}, </w:t>
              </w:r>
            </w:ins>
            <w:ins w:id="187" w:author="Alexander Golitschek" w:date="2022-02-20T18:58:00Z">
              <w:r>
                <w:rPr>
                  <w:rFonts w:eastAsia="Times New Roman"/>
                  <w:szCs w:val="20"/>
                  <w:lang w:eastAsia="en-GB"/>
                </w:rPr>
                <w:t xml:space="preserve">the UE monitors PDCCH on the </w:t>
              </w:r>
            </w:ins>
            <w:ins w:id="188" w:author="Alexander Golitschek" w:date="2022-02-20T19:13:00Z">
              <w:r>
                <w:rPr>
                  <w:rFonts w:eastAsia="Times New Roman"/>
                  <w:szCs w:val="20"/>
                  <w:highlight w:val="cyan"/>
                  <w:lang w:eastAsia="en-GB"/>
                </w:rPr>
                <w:t>active DL BWP of a</w:t>
              </w:r>
            </w:ins>
            <w:ins w:id="189" w:author="Alexander Golitschek" w:date="2022-02-20T19:13:00Z">
              <w:r>
                <w:rPr>
                  <w:rFonts w:eastAsia="Times New Roman"/>
                  <w:szCs w:val="20"/>
                  <w:lang w:eastAsia="en-GB"/>
                </w:rPr>
                <w:t xml:space="preserve"> </w:t>
              </w:r>
            </w:ins>
            <w:ins w:id="190"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191" w:author="Alexander Golitschek" w:date="2022-02-20T18:58:00Z">
                      <w:rPr>
                        <w:rFonts w:ascii="Cambria Math" w:hAnsi="Cambria Math" w:eastAsia="Times New Roman"/>
                        <w:szCs w:val="20"/>
                        <w:lang w:eastAsia="en-GB"/>
                      </w:rPr>
                    </w:ins>
                  </m:ctrlPr>
                </m:sSubPr>
                <m:e>
                  <w:ins w:id="192" w:author="Alexander Golitschek" w:date="2022-02-20T18:58:00Z">
                    <m:r>
                      <w:rPr>
                        <w:rFonts w:ascii="Cambria Math" w:hAnsi="Cambria Math" w:eastAsia="Times New Roman"/>
                        <w:szCs w:val="20"/>
                        <w:lang w:eastAsia="en-GB"/>
                      </w:rPr>
                      <m:t>X</m:t>
                    </m:r>
                  </w:ins>
                  <m:ctrlPr>
                    <w:ins w:id="193" w:author="Alexander Golitschek" w:date="2022-02-20T18:58:00Z">
                      <w:rPr>
                        <w:rFonts w:ascii="Cambria Math" w:hAnsi="Cambria Math" w:eastAsia="Times New Roman"/>
                        <w:szCs w:val="20"/>
                        <w:lang w:eastAsia="en-GB"/>
                      </w:rPr>
                    </w:ins>
                  </m:ctrlPr>
                </m:e>
                <m:sub>
                  <w:ins w:id="194" w:author="Alexander Golitschek" w:date="2022-02-20T18:58:00Z">
                    <m:r>
                      <w:rPr>
                        <w:rFonts w:ascii="Cambria Math" w:hAnsi="Cambria Math" w:eastAsia="Times New Roman"/>
                        <w:szCs w:val="20"/>
                        <w:lang w:eastAsia="en-GB"/>
                      </w:rPr>
                      <m:t>s</m:t>
                    </m:r>
                  </w:ins>
                  <m:ctrlPr>
                    <w:ins w:id="195" w:author="Alexander Golitschek" w:date="2022-02-20T18:58:00Z">
                      <w:rPr>
                        <w:rFonts w:ascii="Cambria Math" w:hAnsi="Cambria Math" w:eastAsia="Times New Roman"/>
                        <w:szCs w:val="20"/>
                        <w:lang w:eastAsia="en-GB"/>
                      </w:rPr>
                    </w:ins>
                  </m:ctrlPr>
                </m:sub>
              </m:sSub>
            </m:oMath>
            <w:ins w:id="196" w:author="Alexander Golitschek" w:date="2022-02-20T18:58:00Z">
              <w:r>
                <w:rPr>
                  <w:rFonts w:eastAsia="Times New Roman"/>
                  <w:szCs w:val="20"/>
                  <w:lang w:eastAsia="en-GB"/>
                </w:rPr>
                <w:t xml:space="preserve"> slots according to combination </w:t>
              </w:r>
            </w:ins>
            <m:oMath>
              <m:d>
                <m:dPr>
                  <m:ctrlPr>
                    <w:ins w:id="197" w:author="Alexander Golitschek" w:date="2022-02-20T18:58:00Z">
                      <w:rPr>
                        <w:rFonts w:ascii="Cambria Math" w:hAnsi="Cambria Math" w:eastAsia="Times New Roman"/>
                        <w:szCs w:val="20"/>
                        <w:lang w:eastAsia="en-GB"/>
                      </w:rPr>
                    </w:ins>
                  </m:ctrlPr>
                </m:dPr>
                <m:e>
                  <m:sSub>
                    <m:sSubPr>
                      <m:ctrlPr>
                        <w:ins w:id="198" w:author="Alexander Golitschek" w:date="2022-02-20T18:58:00Z">
                          <w:rPr>
                            <w:rFonts w:ascii="Cambria Math" w:hAnsi="Cambria Math" w:eastAsia="Times New Roman"/>
                            <w:szCs w:val="20"/>
                            <w:lang w:eastAsia="en-GB"/>
                          </w:rPr>
                        </w:ins>
                      </m:ctrlPr>
                    </m:sSubPr>
                    <m:e>
                      <w:ins w:id="199" w:author="Alexander Golitschek" w:date="2022-02-20T18:58:00Z">
                        <m:r>
                          <w:rPr>
                            <w:rFonts w:ascii="Cambria Math" w:hAnsi="Cambria Math" w:eastAsia="Times New Roman"/>
                            <w:szCs w:val="20"/>
                            <w:lang w:eastAsia="en-GB"/>
                          </w:rPr>
                          <m:t>X</m:t>
                        </m:r>
                      </w:ins>
                      <m:ctrlPr>
                        <w:ins w:id="200" w:author="Alexander Golitschek" w:date="2022-02-20T18:58:00Z">
                          <w:rPr>
                            <w:rFonts w:ascii="Cambria Math" w:hAnsi="Cambria Math" w:eastAsia="Times New Roman"/>
                            <w:szCs w:val="20"/>
                            <w:lang w:eastAsia="en-GB"/>
                          </w:rPr>
                        </w:ins>
                      </m:ctrlPr>
                    </m:e>
                    <m:sub>
                      <w:ins w:id="201" w:author="Alexander Golitschek" w:date="2022-02-20T18:58:00Z">
                        <m:r>
                          <w:rPr>
                            <w:rFonts w:ascii="Cambria Math" w:hAnsi="Cambria Math" w:eastAsia="Times New Roman"/>
                            <w:szCs w:val="20"/>
                            <w:lang w:eastAsia="en-GB"/>
                          </w:rPr>
                          <m:t>s</m:t>
                        </m:r>
                      </w:ins>
                      <m:ctrlPr>
                        <w:ins w:id="202" w:author="Alexander Golitschek" w:date="2022-02-20T18:58:00Z">
                          <w:rPr>
                            <w:rFonts w:ascii="Cambria Math" w:hAnsi="Cambria Math" w:eastAsia="Times New Roman"/>
                            <w:szCs w:val="20"/>
                            <w:lang w:eastAsia="en-GB"/>
                          </w:rPr>
                        </w:ins>
                      </m:ctrlPr>
                    </m:sub>
                  </m:sSub>
                  <w:ins w:id="203" w:author="Alexander Golitschek" w:date="2022-02-20T18:58:00Z">
                    <m:r>
                      <m:rPr>
                        <m:sty m:val="p"/>
                      </m:rPr>
                      <w:rPr>
                        <w:rFonts w:ascii="Cambria Math" w:hAnsi="Cambria Math" w:eastAsia="Times New Roman"/>
                        <w:szCs w:val="20"/>
                        <w:lang w:eastAsia="en-GB"/>
                      </w:rPr>
                      <m:t>,</m:t>
                    </m:r>
                  </w:ins>
                  <m:sSub>
                    <m:sSubPr>
                      <m:ctrlPr>
                        <w:ins w:id="204" w:author="Alexander Golitschek" w:date="2022-02-20T18:58:00Z">
                          <w:rPr>
                            <w:rFonts w:ascii="Cambria Math" w:hAnsi="Cambria Math" w:eastAsia="Times New Roman"/>
                            <w:szCs w:val="20"/>
                            <w:lang w:eastAsia="en-GB"/>
                          </w:rPr>
                        </w:ins>
                      </m:ctrlPr>
                    </m:sSubPr>
                    <m:e>
                      <w:ins w:id="205" w:author="Alexander Golitschek" w:date="2022-02-20T18:58:00Z">
                        <m:r>
                          <w:rPr>
                            <w:rFonts w:ascii="Cambria Math" w:hAnsi="Cambria Math" w:eastAsia="Times New Roman"/>
                            <w:szCs w:val="20"/>
                            <w:lang w:eastAsia="en-GB"/>
                          </w:rPr>
                          <m:t>Y</m:t>
                        </m:r>
                      </w:ins>
                      <m:ctrlPr>
                        <w:ins w:id="206" w:author="Alexander Golitschek" w:date="2022-02-20T18:58:00Z">
                          <w:rPr>
                            <w:rFonts w:ascii="Cambria Math" w:hAnsi="Cambria Math" w:eastAsia="Times New Roman"/>
                            <w:szCs w:val="20"/>
                            <w:lang w:eastAsia="en-GB"/>
                          </w:rPr>
                        </w:ins>
                      </m:ctrlPr>
                    </m:e>
                    <m:sub>
                      <w:ins w:id="207" w:author="Alexander Golitschek" w:date="2022-02-20T18:58:00Z">
                        <m:r>
                          <w:rPr>
                            <w:rFonts w:ascii="Cambria Math" w:hAnsi="Cambria Math" w:eastAsia="Times New Roman"/>
                            <w:szCs w:val="20"/>
                            <w:lang w:eastAsia="en-GB"/>
                          </w:rPr>
                          <m:t>s</m:t>
                        </m:r>
                      </w:ins>
                      <m:ctrlPr>
                        <w:ins w:id="208" w:author="Alexander Golitschek" w:date="2022-02-20T18:58:00Z">
                          <w:rPr>
                            <w:rFonts w:ascii="Cambria Math" w:hAnsi="Cambria Math" w:eastAsia="Times New Roman"/>
                            <w:szCs w:val="20"/>
                            <w:lang w:eastAsia="en-GB"/>
                          </w:rPr>
                        </w:ins>
                      </m:ctrlPr>
                    </m:sub>
                  </m:sSub>
                  <m:ctrlPr>
                    <w:ins w:id="209" w:author="Alexander Golitschek" w:date="2022-02-20T18:58:00Z">
                      <w:rPr>
                        <w:rFonts w:ascii="Cambria Math" w:hAnsi="Cambria Math" w:eastAsia="Times New Roman"/>
                        <w:szCs w:val="20"/>
                        <w:lang w:eastAsia="en-GB"/>
                      </w:rPr>
                    </w:ins>
                  </m:ctrlPr>
                </m:e>
              </m:d>
              <w:ins w:id="210" w:author="Alexander Golitschek" w:date="2022-02-20T18:58:00Z">
                <m:r>
                  <m:rPr>
                    <m:sty m:val="p"/>
                  </m:rPr>
                  <w:rPr>
                    <w:rFonts w:ascii="Cambria Math" w:hAnsi="Cambria Math" w:eastAsia="Times New Roman"/>
                    <w:szCs w:val="20"/>
                    <w:lang w:eastAsia="en-GB"/>
                  </w:rPr>
                  <m:t>=(4,1)</m:t>
                </m:r>
              </w:ins>
            </m:oMath>
            <w:ins w:id="211" w:author="Alexander Golitschek" w:date="2022-02-20T18:58:00Z">
              <w:r>
                <w:rPr>
                  <w:rFonts w:eastAsia="Times New Roman"/>
                  <w:szCs w:val="20"/>
                  <w:lang w:eastAsia="en-GB"/>
                </w:rPr>
                <w:t xml:space="preserve"> for μ =</w:t>
              </w:r>
            </w:ins>
            <w:ins w:id="212" w:author="Alexander Golitschek" w:date="2022-02-20T19:01:00Z">
              <w:r>
                <w:rPr>
                  <w:rFonts w:eastAsia="Times New Roman"/>
                  <w:szCs w:val="20"/>
                  <w:lang w:eastAsia="en-GB"/>
                </w:rPr>
                <w:t xml:space="preserve"> </w:t>
              </w:r>
            </w:ins>
            <w:ins w:id="213" w:author="Alexander Golitschek" w:date="2022-02-20T18:58:00Z">
              <w:r>
                <w:rPr>
                  <w:rFonts w:eastAsia="Times New Roman"/>
                  <w:szCs w:val="20"/>
                  <w:lang w:eastAsia="en-GB"/>
                </w:rPr>
                <w:t xml:space="preserve">5 and </w:t>
              </w:r>
            </w:ins>
            <m:oMath>
              <m:d>
                <m:dPr>
                  <m:ctrlPr>
                    <w:ins w:id="214" w:author="Alexander Golitschek" w:date="2022-02-20T18:58:00Z">
                      <w:rPr>
                        <w:rFonts w:ascii="Cambria Math" w:hAnsi="Cambria Math" w:eastAsia="Times New Roman"/>
                        <w:szCs w:val="20"/>
                        <w:lang w:eastAsia="en-GB"/>
                      </w:rPr>
                    </w:ins>
                  </m:ctrlPr>
                </m:dPr>
                <m:e>
                  <m:sSub>
                    <m:sSubPr>
                      <m:ctrlPr>
                        <w:ins w:id="215" w:author="Alexander Golitschek" w:date="2022-02-20T18:58:00Z">
                          <w:rPr>
                            <w:rFonts w:ascii="Cambria Math" w:hAnsi="Cambria Math" w:eastAsia="Times New Roman"/>
                            <w:szCs w:val="20"/>
                            <w:lang w:eastAsia="en-GB"/>
                          </w:rPr>
                        </w:ins>
                      </m:ctrlPr>
                    </m:sSubPr>
                    <m:e>
                      <w:ins w:id="216" w:author="Alexander Golitschek" w:date="2022-02-20T18:58:00Z">
                        <m:r>
                          <w:rPr>
                            <w:rFonts w:ascii="Cambria Math" w:hAnsi="Cambria Math" w:eastAsia="Times New Roman"/>
                            <w:szCs w:val="20"/>
                            <w:lang w:eastAsia="en-GB"/>
                          </w:rPr>
                          <m:t>X</m:t>
                        </m:r>
                      </w:ins>
                      <m:ctrlPr>
                        <w:ins w:id="217" w:author="Alexander Golitschek" w:date="2022-02-20T18:58:00Z">
                          <w:rPr>
                            <w:rFonts w:ascii="Cambria Math" w:hAnsi="Cambria Math" w:eastAsia="Times New Roman"/>
                            <w:szCs w:val="20"/>
                            <w:lang w:eastAsia="en-GB"/>
                          </w:rPr>
                        </w:ins>
                      </m:ctrlPr>
                    </m:e>
                    <m:sub>
                      <w:ins w:id="218" w:author="Alexander Golitschek" w:date="2022-02-20T18:58:00Z">
                        <m:r>
                          <w:rPr>
                            <w:rFonts w:ascii="Cambria Math" w:hAnsi="Cambria Math" w:eastAsia="Times New Roman"/>
                            <w:szCs w:val="20"/>
                            <w:lang w:eastAsia="en-GB"/>
                          </w:rPr>
                          <m:t>s</m:t>
                        </m:r>
                      </w:ins>
                      <m:ctrlPr>
                        <w:ins w:id="219" w:author="Alexander Golitschek" w:date="2022-02-20T18:58:00Z">
                          <w:rPr>
                            <w:rFonts w:ascii="Cambria Math" w:hAnsi="Cambria Math" w:eastAsia="Times New Roman"/>
                            <w:szCs w:val="20"/>
                            <w:lang w:eastAsia="en-GB"/>
                          </w:rPr>
                        </w:ins>
                      </m:ctrlPr>
                    </m:sub>
                  </m:sSub>
                  <w:ins w:id="220" w:author="Alexander Golitschek" w:date="2022-02-20T18:58:00Z">
                    <m:r>
                      <m:rPr>
                        <m:sty m:val="p"/>
                      </m:rPr>
                      <w:rPr>
                        <w:rFonts w:ascii="Cambria Math" w:hAnsi="Cambria Math" w:eastAsia="Times New Roman"/>
                        <w:szCs w:val="20"/>
                        <w:lang w:eastAsia="en-GB"/>
                      </w:rPr>
                      <m:t>,</m:t>
                    </m:r>
                  </w:ins>
                  <m:sSub>
                    <m:sSubPr>
                      <m:ctrlPr>
                        <w:ins w:id="221" w:author="Alexander Golitschek" w:date="2022-02-20T18:58:00Z">
                          <w:rPr>
                            <w:rFonts w:ascii="Cambria Math" w:hAnsi="Cambria Math" w:eastAsia="Times New Roman"/>
                            <w:szCs w:val="20"/>
                            <w:lang w:eastAsia="en-GB"/>
                          </w:rPr>
                        </w:ins>
                      </m:ctrlPr>
                    </m:sSubPr>
                    <m:e>
                      <w:ins w:id="222" w:author="Alexander Golitschek" w:date="2022-02-20T18:58:00Z">
                        <m:r>
                          <w:rPr>
                            <w:rFonts w:ascii="Cambria Math" w:hAnsi="Cambria Math" w:eastAsia="Times New Roman"/>
                            <w:szCs w:val="20"/>
                            <w:lang w:eastAsia="en-GB"/>
                          </w:rPr>
                          <m:t>Y</m:t>
                        </m:r>
                      </w:ins>
                      <m:ctrlPr>
                        <w:ins w:id="223" w:author="Alexander Golitschek" w:date="2022-02-20T18:58:00Z">
                          <w:rPr>
                            <w:rFonts w:ascii="Cambria Math" w:hAnsi="Cambria Math" w:eastAsia="Times New Roman"/>
                            <w:szCs w:val="20"/>
                            <w:lang w:eastAsia="en-GB"/>
                          </w:rPr>
                        </w:ins>
                      </m:ctrlPr>
                    </m:e>
                    <m:sub>
                      <w:ins w:id="224" w:author="Alexander Golitschek" w:date="2022-02-20T18:58:00Z">
                        <m:r>
                          <w:rPr>
                            <w:rFonts w:ascii="Cambria Math" w:hAnsi="Cambria Math" w:eastAsia="Times New Roman"/>
                            <w:szCs w:val="20"/>
                            <w:lang w:eastAsia="en-GB"/>
                          </w:rPr>
                          <m:t>s</m:t>
                        </m:r>
                      </w:ins>
                      <m:ctrlPr>
                        <w:ins w:id="225" w:author="Alexander Golitschek" w:date="2022-02-20T18:58:00Z">
                          <w:rPr>
                            <w:rFonts w:ascii="Cambria Math" w:hAnsi="Cambria Math" w:eastAsia="Times New Roman"/>
                            <w:szCs w:val="20"/>
                            <w:lang w:eastAsia="en-GB"/>
                          </w:rPr>
                        </w:ins>
                      </m:ctrlPr>
                    </m:sub>
                  </m:sSub>
                  <m:ctrlPr>
                    <w:ins w:id="226" w:author="Alexander Golitschek" w:date="2022-02-20T18:58:00Z">
                      <w:rPr>
                        <w:rFonts w:ascii="Cambria Math" w:hAnsi="Cambria Math" w:eastAsia="Times New Roman"/>
                        <w:szCs w:val="20"/>
                        <w:lang w:eastAsia="en-GB"/>
                      </w:rPr>
                    </w:ins>
                  </m:ctrlPr>
                </m:e>
              </m:d>
              <w:ins w:id="227" w:author="Alexander Golitschek" w:date="2022-02-20T18:58:00Z">
                <m:r>
                  <m:rPr>
                    <m:sty m:val="p"/>
                  </m:rPr>
                  <w:rPr>
                    <w:rFonts w:ascii="Cambria Math" w:hAnsi="Cambria Math" w:eastAsia="Times New Roman"/>
                    <w:szCs w:val="20"/>
                    <w:lang w:eastAsia="en-GB"/>
                  </w:rPr>
                  <m:t>=(8,1)</m:t>
                </m:r>
              </w:ins>
            </m:oMath>
            <w:ins w:id="228" w:author="Alexander Golitschek" w:date="2022-02-20T18:58:00Z">
              <w:r>
                <w:rPr>
                  <w:rFonts w:eastAsia="Times New Roman"/>
                  <w:szCs w:val="20"/>
                  <w:lang w:eastAsia="en-GB"/>
                </w:rPr>
                <w:t xml:space="preserve"> for μ </w:t>
              </w:r>
            </w:ins>
            <w:ins w:id="229" w:author="Alexander Golitschek" w:date="2022-02-20T19:01:00Z">
              <w:r>
                <w:rPr>
                  <w:rFonts w:eastAsia="Times New Roman"/>
                  <w:szCs w:val="20"/>
                  <w:lang w:eastAsia="en-GB"/>
                </w:rPr>
                <w:t>=</w:t>
              </w:r>
            </w:ins>
            <w:ins w:id="230" w:author="Alexander Golitschek" w:date="2022-02-20T19:02:00Z">
              <w:r>
                <w:rPr>
                  <w:rFonts w:eastAsia="Times New Roman"/>
                  <w:szCs w:val="20"/>
                  <w:lang w:eastAsia="en-GB"/>
                </w:rPr>
                <w:t xml:space="preserve"> </w:t>
              </w:r>
            </w:ins>
            <w:ins w:id="231" w:author="Alexander Golitschek" w:date="2022-02-20T18:58:00Z">
              <w:r>
                <w:rPr>
                  <w:rFonts w:eastAsia="Times New Roman"/>
                  <w:szCs w:val="20"/>
                  <w:lang w:eastAsia="en-GB"/>
                </w:rPr>
                <w:t>6 as in Tables 10.1-2B and 10.1-3B.</w:t>
              </w:r>
            </w:ins>
          </w:p>
        </w:tc>
      </w:tr>
    </w:tbl>
    <w:p>
      <w:pPr>
        <w:rPr>
          <w:bCs/>
          <w:sz w:val="20"/>
          <w:szCs w:val="20"/>
        </w:rPr>
      </w:pP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We support TP A1-4.2. One typo correction for TP A1-4.2, the inserted “the active DL BWP of” should be before “the” to avoid duplicated “the”. </w:t>
            </w:r>
          </w:p>
          <w:p>
            <w:pPr>
              <w:widowControl w:val="0"/>
              <w:rPr>
                <w:lang w:eastAsia="zh-CN"/>
              </w:rPr>
            </w:pPr>
            <w:r>
              <w:rPr>
                <w:rFonts w:eastAsia="宋体"/>
                <w:szCs w:val="20"/>
              </w:rPr>
              <w:t xml:space="preserve">If a UE is provided </w:t>
            </w:r>
            <w:r>
              <w:rPr>
                <w:rFonts w:eastAsia="宋体"/>
                <w:i/>
                <w:szCs w:val="20"/>
              </w:rPr>
              <w:t>monitoringCapabilityConfig</w:t>
            </w:r>
            <w:r>
              <w:rPr>
                <w:rFonts w:eastAsia="宋体"/>
                <w:szCs w:val="20"/>
              </w:rPr>
              <w:t xml:space="preserve"> for a</w:t>
            </w:r>
            <w:r>
              <w:rPr>
                <w:rFonts w:eastAsia="宋体"/>
                <w:szCs w:val="20"/>
                <w:highlight w:val="cyan"/>
              </w:rPr>
              <w:t>n active DL BWP of a</w:t>
            </w:r>
            <w:r>
              <w:rPr>
                <w:rFonts w:eastAsia="宋体"/>
                <w:szCs w:val="20"/>
              </w:rPr>
              <w:t xml:space="preserve"> serving cell, the UE obtains an indication to monitor PDCCH on </w:t>
            </w:r>
            <w:r>
              <w:rPr>
                <w:rFonts w:eastAsia="宋体"/>
                <w:szCs w:val="20"/>
                <w:highlight w:val="cyan"/>
              </w:rPr>
              <w:t>the active DL BWP of</w:t>
            </w:r>
            <w:r>
              <w:rPr>
                <w:rFonts w:eastAsia="宋体"/>
                <w:szCs w:val="20"/>
              </w:rPr>
              <w:t xml:space="preserve"> </w:t>
            </w:r>
            <w:r>
              <w:rPr>
                <w:rFonts w:eastAsia="宋体"/>
                <w:szCs w:val="20"/>
                <w:highlight w:val="yellow"/>
              </w:rPr>
              <w:t>the</w:t>
            </w:r>
            <w:r>
              <w:rPr>
                <w:rFonts w:eastAsia="宋体"/>
                <w:szCs w:val="20"/>
              </w:rPr>
              <w:t xml:space="preserve"> serving cell for a maximum number of PDCCH candidates and non-overlapping CCEs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Ericsson</w:t>
            </w:r>
          </w:p>
        </w:tc>
        <w:tc>
          <w:tcPr>
            <w:tcW w:w="12176" w:type="dxa"/>
            <w:vAlign w:val="center"/>
          </w:tcPr>
          <w:p>
            <w:pPr>
              <w:widowControl w:val="0"/>
              <w:rPr>
                <w:sz w:val="20"/>
                <w:lang w:eastAsia="zh-CN"/>
              </w:rPr>
            </w:pPr>
            <w:r>
              <w:rPr>
                <w:sz w:val="20"/>
                <w:lang w:eastAsia="zh-CN"/>
              </w:rPr>
              <w:t>We support TP A1-4.1.</w:t>
            </w:r>
          </w:p>
          <w:p>
            <w:pPr>
              <w:widowControl w:val="0"/>
              <w:rPr>
                <w:sz w:val="20"/>
                <w:lang w:eastAsia="zh-CN"/>
              </w:rPr>
            </w:pPr>
            <w:r>
              <w:rPr>
                <w:sz w:val="20"/>
                <w:lang w:eastAsia="zh-CN"/>
              </w:rPr>
              <w:t xml:space="preserve">Furthermore, we think that TP A1-4.1 works regardless of whether or not Issue A1-3 is resolved by supporting an RRC parameter for indicating an "effective" Xs for which all search space sets comply. The intent of the clause "if the UE is not provided </w:t>
            </w:r>
            <w:r>
              <w:rPr>
                <w:i/>
                <w:iCs/>
                <w:sz w:val="20"/>
                <w:lang w:eastAsia="zh-CN"/>
              </w:rPr>
              <w:t>monitoringCapabilityConfig</w:t>
            </w:r>
            <w:r>
              <w:rPr>
                <w:sz w:val="20"/>
                <w:lang w:eastAsia="zh-CN"/>
              </w:rPr>
              <w:t xml:space="preserve">" is to cover the initial access case. It is our understanding that for 480/960 kHz the UE will always be configured with </w:t>
            </w:r>
            <w:r>
              <w:rPr>
                <w:i/>
                <w:iCs/>
                <w:sz w:val="20"/>
                <w:lang w:eastAsia="zh-CN"/>
              </w:rPr>
              <w:t>monitoringCapabilityConfig</w:t>
            </w:r>
            <w:r>
              <w:rPr>
                <w:sz w:val="20"/>
                <w:lang w:eastAsia="zh-CN"/>
              </w:rPr>
              <w:t xml:space="preserve"> = </w:t>
            </w:r>
            <w:r>
              <w:rPr>
                <w:i/>
                <w:iCs/>
                <w:sz w:val="20"/>
                <w:lang w:eastAsia="zh-CN"/>
              </w:rPr>
              <w:t>r17monitoringcapability</w:t>
            </w:r>
            <w:r>
              <w:rPr>
                <w:sz w:val="20"/>
                <w:lang w:eastAsia="zh-CN"/>
              </w:rPr>
              <w:t xml:space="preserve"> once in CONNECTED mode, since we have agreed that per-slot group monitoring is mandatory and per-slot monitoring is not supported for these SCSs (see Proposal A1-4.3 below). If an RRC parameter is agreed for Issue A1-3, it would be used once the UE is in CONNECTED mode only if a UE indicates support for multiple (Xs,Ys) combinations and there is a need to indicate the value of Xs that the UE should assume. A default can be defined if this parameter is absent, but that is a separate issue that can be handled in the field description in 38.331for the new parameter (if agreed). </w:t>
            </w:r>
          </w:p>
          <w:p>
            <w:pPr>
              <w:widowControl w:val="0"/>
              <w:rPr>
                <w:sz w:val="20"/>
                <w:lang w:eastAsia="zh-CN"/>
              </w:rPr>
            </w:pPr>
            <w:r>
              <w:rPr>
                <w:sz w:val="20"/>
                <w:lang w:eastAsia="zh-CN"/>
              </w:rPr>
              <w:t>We don't support TP A1-4.2 since we see no need to change the current spec from "for a serving cell" to "for an active DL BWP of a serving cell." In both cases the UE is monitoring on a serving cell, so the behavior is clear.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Qualcomm</w:t>
            </w:r>
          </w:p>
        </w:tc>
        <w:tc>
          <w:tcPr>
            <w:tcW w:w="12176" w:type="dxa"/>
            <w:vAlign w:val="center"/>
          </w:tcPr>
          <w:p>
            <w:pPr>
              <w:widowControl w:val="0"/>
              <w:rPr>
                <w:sz w:val="20"/>
                <w:lang w:eastAsia="zh-CN"/>
              </w:rPr>
            </w:pPr>
            <w:r>
              <w:rPr>
                <w:sz w:val="20"/>
                <w:lang w:eastAsia="zh-CN"/>
              </w:rPr>
              <w:t xml:space="preserve">We are fine with A1-4.2. We believe that the TP will also clarify the legacy behavior (i.e., </w:t>
            </w:r>
            <w:r>
              <w:rPr>
                <w:i/>
                <w:iCs/>
                <w:sz w:val="20"/>
                <w:lang w:eastAsia="zh-CN"/>
              </w:rPr>
              <w:t>monitoringCapabilityConfig</w:t>
            </w:r>
            <w:r>
              <w:rPr>
                <w:sz w:val="20"/>
                <w:lang w:eastAsia="zh-CN"/>
              </w:rPr>
              <w:t xml:space="preserve"> is per BWP configuration and the value doesn’t need to be the same across all BWPs of a serving cell).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rFonts w:hint="eastAsia"/>
                <w:sz w:val="20"/>
                <w:lang w:eastAsia="zh-CN"/>
              </w:rPr>
              <w:t>v</w:t>
            </w:r>
            <w:r>
              <w:rPr>
                <w:sz w:val="20"/>
                <w:lang w:eastAsia="zh-CN"/>
              </w:rPr>
              <w:t>ivo</w:t>
            </w:r>
          </w:p>
        </w:tc>
        <w:tc>
          <w:tcPr>
            <w:tcW w:w="12176" w:type="dxa"/>
            <w:vAlign w:val="center"/>
          </w:tcPr>
          <w:p>
            <w:pPr>
              <w:widowControl w:val="0"/>
              <w:rPr>
                <w:sz w:val="21"/>
                <w:szCs w:val="24"/>
                <w:lang w:eastAsia="zh-CN"/>
              </w:rPr>
            </w:pPr>
            <w:r>
              <w:rPr>
                <w:rFonts w:hint="eastAsia"/>
                <w:sz w:val="21"/>
                <w:szCs w:val="24"/>
                <w:lang w:eastAsia="zh-CN"/>
              </w:rPr>
              <w:t>W</w:t>
            </w:r>
            <w:r>
              <w:rPr>
                <w:sz w:val="21"/>
                <w:szCs w:val="24"/>
                <w:lang w:eastAsia="zh-CN"/>
              </w:rPr>
              <w:t>e support TP A1-4.2.</w:t>
            </w:r>
          </w:p>
          <w:p>
            <w:pPr>
              <w:widowControl w:val="0"/>
              <w:rPr>
                <w:sz w:val="20"/>
                <w:lang w:eastAsia="zh-CN"/>
              </w:rPr>
            </w:pPr>
            <w:r>
              <w:rPr>
                <w:rFonts w:hint="eastAsia" w:eastAsia="宋体"/>
                <w:iCs/>
                <w:szCs w:val="20"/>
              </w:rPr>
              <w:t>O</w:t>
            </w:r>
            <w:r>
              <w:rPr>
                <w:rFonts w:eastAsia="宋体"/>
                <w:iCs/>
                <w:szCs w:val="20"/>
              </w:rPr>
              <w:t xml:space="preserve">n adding “active DL BWP”, we support to add it since the spec is not accurate in Rel-17 case. For example, assuming a case that there are two </w:t>
            </w:r>
            <w:r>
              <w:rPr>
                <w:sz w:val="20"/>
                <w:lang w:eastAsia="zh-CN"/>
              </w:rPr>
              <w:t xml:space="preserve">BWPs existing in one serving cell, i.e. one BWP with 120KHz SCS where </w:t>
            </w:r>
            <w:r>
              <w:rPr>
                <w:rFonts w:eastAsia="宋体"/>
                <w:i/>
                <w:szCs w:val="20"/>
              </w:rPr>
              <w:t>monitoringCapabilityConfig</w:t>
            </w:r>
            <w:r>
              <w:rPr>
                <w:sz w:val="20"/>
                <w:lang w:eastAsia="zh-CN"/>
              </w:rPr>
              <w:t xml:space="preserve"> is not provided and the other BWP with 480KHz SCS where  </w:t>
            </w:r>
            <w:r>
              <w:rPr>
                <w:rFonts w:eastAsia="宋体"/>
                <w:i/>
                <w:szCs w:val="20"/>
              </w:rPr>
              <w:t xml:space="preserve">monitoringCapabilityConfig </w:t>
            </w:r>
            <w:r>
              <w:rPr>
                <w:rFonts w:eastAsia="宋体"/>
                <w:iCs/>
                <w:szCs w:val="20"/>
              </w:rPr>
              <w:t xml:space="preserve">is provided with </w:t>
            </w:r>
            <w:r>
              <w:rPr>
                <w:rFonts w:eastAsia="宋体"/>
                <w:i/>
                <w:szCs w:val="20"/>
              </w:rPr>
              <w:t>r17monitoringcapability</w:t>
            </w:r>
            <w:r>
              <w:rPr>
                <w:rFonts w:eastAsia="宋体"/>
                <w:iCs/>
                <w:szCs w:val="20"/>
              </w:rPr>
              <w:t>. If the active BWP is 120KHz BWP, what’s the evaluation result of “</w:t>
            </w:r>
            <w:r>
              <w:rPr>
                <w:rFonts w:eastAsia="宋体"/>
                <w:szCs w:val="20"/>
              </w:rPr>
              <w:t xml:space="preserve"> If a UE is provided </w:t>
            </w:r>
            <w:r>
              <w:rPr>
                <w:rFonts w:eastAsia="宋体"/>
                <w:i/>
                <w:szCs w:val="20"/>
              </w:rPr>
              <w:t>monitoringCapabilityConfig</w:t>
            </w:r>
            <w:r>
              <w:rPr>
                <w:rFonts w:eastAsia="宋体"/>
                <w:szCs w:val="20"/>
              </w:rPr>
              <w:t xml:space="preserve"> for a serving cell” from UE? In our understanding, if strictly following current text, the answer should be ‘Yes’ since </w:t>
            </w:r>
            <w:r>
              <w:rPr>
                <w:rFonts w:eastAsia="宋体"/>
                <w:i/>
                <w:szCs w:val="20"/>
              </w:rPr>
              <w:t xml:space="preserve">monitoringCapabilityConfig </w:t>
            </w:r>
            <w:r>
              <w:rPr>
                <w:rFonts w:eastAsia="宋体"/>
                <w:iCs/>
                <w:szCs w:val="20"/>
              </w:rPr>
              <w:t xml:space="preserve">is actually provided for the serving cell (i.e. in 480KHz BWP). Then UE will perform the operation in this branch, which is not correct.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lang w:eastAsia="zh-CN"/>
              </w:rPr>
              <w:t>Nokia, NSB</w:t>
            </w:r>
          </w:p>
        </w:tc>
        <w:tc>
          <w:tcPr>
            <w:tcW w:w="12176" w:type="dxa"/>
            <w:vAlign w:val="center"/>
          </w:tcPr>
          <w:p>
            <w:pPr>
              <w:widowControl w:val="0"/>
              <w:rPr>
                <w:sz w:val="20"/>
                <w:lang w:eastAsia="zh-CN"/>
              </w:rPr>
            </w:pPr>
            <w:r>
              <w:rPr>
                <w:b/>
                <w:sz w:val="20"/>
                <w:szCs w:val="20"/>
              </w:rPr>
              <w:t xml:space="preserve">Text Proposal A1-4.2 </w:t>
            </w:r>
            <w:r>
              <w:rPr>
                <w:bCs/>
                <w:sz w:val="20"/>
                <w:szCs w:val="20"/>
              </w:rPr>
              <w:t>can be seen as a more accurate wording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rFonts w:eastAsia="宋体"/>
                <w:szCs w:val="20"/>
                <w:lang w:eastAsia="en-GB"/>
              </w:rPr>
            </w:pPr>
            <w:r>
              <w:rPr>
                <w:lang w:eastAsia="zh-CN"/>
              </w:rPr>
              <w:t xml:space="preserve">We are now a bit confused by the two TPs. Are they proposed that only </w:t>
            </w:r>
            <m:oMath>
              <m:d>
                <m:dPr>
                  <m:ctrlPr>
                    <w:rPr>
                      <w:rFonts w:ascii="Cambria Math" w:hAnsi="Cambria Math" w:eastAsia="Times New Roman"/>
                      <w:szCs w:val="20"/>
                      <w:lang w:eastAsia="en-GB"/>
                    </w:rPr>
                  </m:ctrlPr>
                </m:dPr>
                <m:e>
                  <m:sSub>
                    <m:sSubPr>
                      <m:ctrlPr>
                        <w:rPr>
                          <w:rFonts w:ascii="Cambria Math" w:hAnsi="Cambria Math" w:eastAsia="Times New Roman"/>
                          <w:szCs w:val="20"/>
                          <w:lang w:eastAsia="en-GB"/>
                        </w:rPr>
                      </m:ctrlPr>
                    </m:sSubPr>
                    <m:e>
                      <m:r>
                        <w:rPr>
                          <w:rFonts w:ascii="Cambria Math" w:hAnsi="Cambria Math" w:eastAsia="Times New Roman"/>
                          <w:szCs w:val="20"/>
                          <w:lang w:eastAsia="en-GB"/>
                        </w:rPr>
                        <m:t>X</m:t>
                      </m:r>
                      <m:ctrlPr>
                        <w:rPr>
                          <w:rFonts w:ascii="Cambria Math" w:hAnsi="Cambria Math" w:eastAsia="Times New Roman"/>
                          <w:szCs w:val="20"/>
                          <w:lang w:eastAsia="en-GB"/>
                        </w:rPr>
                      </m:ctrlPr>
                    </m:e>
                    <m:sub>
                      <m:r>
                        <w:rPr>
                          <w:rFonts w:ascii="Cambria Math" w:hAnsi="Cambria Math" w:eastAsia="Times New Roman"/>
                          <w:szCs w:val="20"/>
                          <w:lang w:eastAsia="en-GB"/>
                        </w:rPr>
                        <m:t>s</m:t>
                      </m:r>
                      <m:ctrlPr>
                        <w:rPr>
                          <w:rFonts w:ascii="Cambria Math" w:hAnsi="Cambria Math" w:eastAsia="Times New Roman"/>
                          <w:szCs w:val="20"/>
                          <w:lang w:eastAsia="en-GB"/>
                        </w:rPr>
                      </m:ctrlPr>
                    </m:sub>
                  </m:sSub>
                  <m:r>
                    <m:rPr>
                      <m:sty m:val="p"/>
                    </m:rPr>
                    <w:rPr>
                      <w:rFonts w:ascii="Cambria Math" w:hAnsi="Cambria Math" w:eastAsia="Times New Roman"/>
                      <w:szCs w:val="20"/>
                      <w:lang w:eastAsia="en-GB"/>
                    </w:rPr>
                    <m:t>,</m:t>
                  </m:r>
                  <m:sSub>
                    <m:sSubPr>
                      <m:ctrlPr>
                        <w:rPr>
                          <w:rFonts w:ascii="Cambria Math" w:hAnsi="Cambria Math" w:eastAsia="Times New Roman"/>
                          <w:szCs w:val="20"/>
                          <w:lang w:eastAsia="en-GB"/>
                        </w:rPr>
                      </m:ctrlPr>
                    </m:sSubPr>
                    <m:e>
                      <m:r>
                        <w:rPr>
                          <w:rFonts w:ascii="Cambria Math" w:hAnsi="Cambria Math" w:eastAsia="Times New Roman"/>
                          <w:szCs w:val="20"/>
                          <w:lang w:eastAsia="en-GB"/>
                        </w:rPr>
                        <m:t>Y</m:t>
                      </m:r>
                      <m:ctrlPr>
                        <w:rPr>
                          <w:rFonts w:ascii="Cambria Math" w:hAnsi="Cambria Math" w:eastAsia="Times New Roman"/>
                          <w:szCs w:val="20"/>
                          <w:lang w:eastAsia="en-GB"/>
                        </w:rPr>
                      </m:ctrlPr>
                    </m:e>
                    <m:sub>
                      <m:r>
                        <w:rPr>
                          <w:rFonts w:ascii="Cambria Math" w:hAnsi="Cambria Math" w:eastAsia="Times New Roman"/>
                          <w:szCs w:val="20"/>
                          <w:lang w:eastAsia="en-GB"/>
                        </w:rPr>
                        <m:t>s</m:t>
                      </m:r>
                      <m:ctrlPr>
                        <w:rPr>
                          <w:rFonts w:ascii="Cambria Math" w:hAnsi="Cambria Math" w:eastAsia="Times New Roman"/>
                          <w:szCs w:val="20"/>
                          <w:lang w:eastAsia="en-GB"/>
                        </w:rPr>
                      </m:ctrlPr>
                    </m:sub>
                  </m:sSub>
                  <m:ctrlPr>
                    <w:rPr>
                      <w:rFonts w:ascii="Cambria Math" w:hAnsi="Cambria Math" w:eastAsia="Times New Roman"/>
                      <w:szCs w:val="20"/>
                      <w:lang w:eastAsia="en-GB"/>
                    </w:rPr>
                  </m:ctrlPr>
                </m:e>
              </m:d>
              <m:r>
                <m:rPr>
                  <m:sty m:val="p"/>
                </m:rPr>
                <w:rPr>
                  <w:rFonts w:ascii="Cambria Math" w:hAnsi="Cambria Math" w:eastAsia="Times New Roman"/>
                  <w:szCs w:val="20"/>
                  <w:lang w:eastAsia="en-GB"/>
                </w:rPr>
                <m:t>=(4,1)</m:t>
              </m:r>
            </m:oMath>
            <w:r>
              <w:rPr>
                <w:rFonts w:eastAsia="Times New Roman"/>
                <w:szCs w:val="20"/>
                <w:lang w:eastAsia="en-GB"/>
              </w:rPr>
              <w:t xml:space="preserve"> for μ = 5 and </w:t>
            </w:r>
            <m:oMath>
              <m:d>
                <m:dPr>
                  <m:ctrlPr>
                    <w:rPr>
                      <w:rFonts w:ascii="Cambria Math" w:hAnsi="Cambria Math" w:eastAsia="Times New Roman"/>
                      <w:szCs w:val="20"/>
                      <w:lang w:eastAsia="en-GB"/>
                    </w:rPr>
                  </m:ctrlPr>
                </m:dPr>
                <m:e>
                  <m:sSub>
                    <m:sSubPr>
                      <m:ctrlPr>
                        <w:rPr>
                          <w:rFonts w:ascii="Cambria Math" w:hAnsi="Cambria Math" w:eastAsia="Times New Roman"/>
                          <w:szCs w:val="20"/>
                          <w:lang w:eastAsia="en-GB"/>
                        </w:rPr>
                      </m:ctrlPr>
                    </m:sSubPr>
                    <m:e>
                      <m:r>
                        <w:rPr>
                          <w:rFonts w:ascii="Cambria Math" w:hAnsi="Cambria Math" w:eastAsia="Times New Roman"/>
                          <w:szCs w:val="20"/>
                          <w:lang w:eastAsia="en-GB"/>
                        </w:rPr>
                        <m:t>X</m:t>
                      </m:r>
                      <m:ctrlPr>
                        <w:rPr>
                          <w:rFonts w:ascii="Cambria Math" w:hAnsi="Cambria Math" w:eastAsia="Times New Roman"/>
                          <w:szCs w:val="20"/>
                          <w:lang w:eastAsia="en-GB"/>
                        </w:rPr>
                      </m:ctrlPr>
                    </m:e>
                    <m:sub>
                      <m:r>
                        <w:rPr>
                          <w:rFonts w:ascii="Cambria Math" w:hAnsi="Cambria Math" w:eastAsia="Times New Roman"/>
                          <w:szCs w:val="20"/>
                          <w:lang w:eastAsia="en-GB"/>
                        </w:rPr>
                        <m:t>s</m:t>
                      </m:r>
                      <m:ctrlPr>
                        <w:rPr>
                          <w:rFonts w:ascii="Cambria Math" w:hAnsi="Cambria Math" w:eastAsia="Times New Roman"/>
                          <w:szCs w:val="20"/>
                          <w:lang w:eastAsia="en-GB"/>
                        </w:rPr>
                      </m:ctrlPr>
                    </m:sub>
                  </m:sSub>
                  <m:r>
                    <m:rPr>
                      <m:sty m:val="p"/>
                    </m:rPr>
                    <w:rPr>
                      <w:rFonts w:ascii="Cambria Math" w:hAnsi="Cambria Math" w:eastAsia="Times New Roman"/>
                      <w:szCs w:val="20"/>
                      <w:lang w:eastAsia="en-GB"/>
                    </w:rPr>
                    <m:t>,</m:t>
                  </m:r>
                  <m:sSub>
                    <m:sSubPr>
                      <m:ctrlPr>
                        <w:rPr>
                          <w:rFonts w:ascii="Cambria Math" w:hAnsi="Cambria Math" w:eastAsia="Times New Roman"/>
                          <w:szCs w:val="20"/>
                          <w:lang w:eastAsia="en-GB"/>
                        </w:rPr>
                      </m:ctrlPr>
                    </m:sSubPr>
                    <m:e>
                      <m:r>
                        <w:rPr>
                          <w:rFonts w:ascii="Cambria Math" w:hAnsi="Cambria Math" w:eastAsia="Times New Roman"/>
                          <w:szCs w:val="20"/>
                          <w:lang w:eastAsia="en-GB"/>
                        </w:rPr>
                        <m:t>Y</m:t>
                      </m:r>
                      <m:ctrlPr>
                        <w:rPr>
                          <w:rFonts w:ascii="Cambria Math" w:hAnsi="Cambria Math" w:eastAsia="Times New Roman"/>
                          <w:szCs w:val="20"/>
                          <w:lang w:eastAsia="en-GB"/>
                        </w:rPr>
                      </m:ctrlPr>
                    </m:e>
                    <m:sub>
                      <m:r>
                        <w:rPr>
                          <w:rFonts w:ascii="Cambria Math" w:hAnsi="Cambria Math" w:eastAsia="Times New Roman"/>
                          <w:szCs w:val="20"/>
                          <w:lang w:eastAsia="en-GB"/>
                        </w:rPr>
                        <m:t>s</m:t>
                      </m:r>
                      <m:ctrlPr>
                        <w:rPr>
                          <w:rFonts w:ascii="Cambria Math" w:hAnsi="Cambria Math" w:eastAsia="Times New Roman"/>
                          <w:szCs w:val="20"/>
                          <w:lang w:eastAsia="en-GB"/>
                        </w:rPr>
                      </m:ctrlPr>
                    </m:sub>
                  </m:sSub>
                  <m:ctrlPr>
                    <w:rPr>
                      <w:rFonts w:ascii="Cambria Math" w:hAnsi="Cambria Math" w:eastAsia="Times New Roman"/>
                      <w:szCs w:val="20"/>
                      <w:lang w:eastAsia="en-GB"/>
                    </w:rPr>
                  </m:ctrlPr>
                </m:e>
              </m:d>
              <m:r>
                <m:rPr>
                  <m:sty m:val="p"/>
                </m:rPr>
                <w:rPr>
                  <w:rFonts w:ascii="Cambria Math" w:hAnsi="Cambria Math" w:eastAsia="Times New Roman"/>
                  <w:szCs w:val="20"/>
                  <w:lang w:eastAsia="en-GB"/>
                </w:rPr>
                <m:t>=(8,1)</m:t>
              </m:r>
            </m:oMath>
            <w:r>
              <w:rPr>
                <w:rFonts w:eastAsia="Times New Roman"/>
                <w:szCs w:val="20"/>
                <w:lang w:eastAsia="en-GB"/>
              </w:rPr>
              <w:t xml:space="preserve"> for μ = 6 are applicable for a UE after RRC connection if </w:t>
            </w:r>
            <w:r>
              <w:rPr>
                <w:rFonts w:eastAsia="宋体"/>
                <w:i/>
                <w:szCs w:val="20"/>
              </w:rPr>
              <w:t xml:space="preserve">r17monitoringcapability </w:t>
            </w:r>
            <w:r>
              <w:rPr>
                <w:rFonts w:eastAsia="宋体"/>
                <w:iCs/>
                <w:szCs w:val="20"/>
              </w:rPr>
              <w:t xml:space="preserve">is not configured? We prefer to define default combination only for a UE before RRC connection. Specifically,  </w:t>
            </w:r>
            <m:oMath>
              <m:d>
                <m:dPr>
                  <m:ctrlPr>
                    <w:rPr>
                      <w:rFonts w:ascii="Cambria Math" w:hAnsi="Cambria Math" w:eastAsia="Times New Roman"/>
                      <w:szCs w:val="20"/>
                      <w:lang w:eastAsia="en-GB"/>
                    </w:rPr>
                  </m:ctrlPr>
                </m:dPr>
                <m:e>
                  <m:sSub>
                    <m:sSubPr>
                      <m:ctrlPr>
                        <w:rPr>
                          <w:rFonts w:ascii="Cambria Math" w:hAnsi="Cambria Math" w:eastAsia="Times New Roman"/>
                          <w:szCs w:val="20"/>
                          <w:lang w:eastAsia="en-GB"/>
                        </w:rPr>
                      </m:ctrlPr>
                    </m:sSubPr>
                    <m:e>
                      <m:r>
                        <w:rPr>
                          <w:rFonts w:ascii="Cambria Math" w:hAnsi="Cambria Math" w:eastAsia="Times New Roman"/>
                          <w:szCs w:val="20"/>
                          <w:lang w:eastAsia="en-GB"/>
                        </w:rPr>
                        <m:t>X</m:t>
                      </m:r>
                      <m:ctrlPr>
                        <w:rPr>
                          <w:rFonts w:ascii="Cambria Math" w:hAnsi="Cambria Math" w:eastAsia="Times New Roman"/>
                          <w:szCs w:val="20"/>
                          <w:lang w:eastAsia="en-GB"/>
                        </w:rPr>
                      </m:ctrlPr>
                    </m:e>
                    <m:sub>
                      <m:r>
                        <w:rPr>
                          <w:rFonts w:ascii="Cambria Math" w:hAnsi="Cambria Math" w:eastAsia="Times New Roman"/>
                          <w:szCs w:val="20"/>
                          <w:lang w:eastAsia="en-GB"/>
                        </w:rPr>
                        <m:t>s</m:t>
                      </m:r>
                      <m:ctrlPr>
                        <w:rPr>
                          <w:rFonts w:ascii="Cambria Math" w:hAnsi="Cambria Math" w:eastAsia="Times New Roman"/>
                          <w:szCs w:val="20"/>
                          <w:lang w:eastAsia="en-GB"/>
                        </w:rPr>
                      </m:ctrlPr>
                    </m:sub>
                  </m:sSub>
                  <m:r>
                    <m:rPr>
                      <m:sty m:val="p"/>
                    </m:rPr>
                    <w:rPr>
                      <w:rFonts w:ascii="Cambria Math" w:hAnsi="Cambria Math" w:eastAsia="Times New Roman"/>
                      <w:szCs w:val="20"/>
                      <w:lang w:eastAsia="en-GB"/>
                    </w:rPr>
                    <m:t>,</m:t>
                  </m:r>
                  <m:sSub>
                    <m:sSubPr>
                      <m:ctrlPr>
                        <w:rPr>
                          <w:rFonts w:ascii="Cambria Math" w:hAnsi="Cambria Math" w:eastAsia="Times New Roman"/>
                          <w:szCs w:val="20"/>
                          <w:lang w:eastAsia="en-GB"/>
                        </w:rPr>
                      </m:ctrlPr>
                    </m:sSubPr>
                    <m:e>
                      <m:r>
                        <w:rPr>
                          <w:rFonts w:ascii="Cambria Math" w:hAnsi="Cambria Math" w:eastAsia="Times New Roman"/>
                          <w:szCs w:val="20"/>
                          <w:lang w:eastAsia="en-GB"/>
                        </w:rPr>
                        <m:t>Y</m:t>
                      </m:r>
                      <m:ctrlPr>
                        <w:rPr>
                          <w:rFonts w:ascii="Cambria Math" w:hAnsi="Cambria Math" w:eastAsia="Times New Roman"/>
                          <w:szCs w:val="20"/>
                          <w:lang w:eastAsia="en-GB"/>
                        </w:rPr>
                      </m:ctrlPr>
                    </m:e>
                    <m:sub>
                      <m:r>
                        <w:rPr>
                          <w:rFonts w:ascii="Cambria Math" w:hAnsi="Cambria Math" w:eastAsia="Times New Roman"/>
                          <w:szCs w:val="20"/>
                          <w:lang w:eastAsia="en-GB"/>
                        </w:rPr>
                        <m:t>s</m:t>
                      </m:r>
                      <m:ctrlPr>
                        <w:rPr>
                          <w:rFonts w:ascii="Cambria Math" w:hAnsi="Cambria Math" w:eastAsia="Times New Roman"/>
                          <w:szCs w:val="20"/>
                          <w:lang w:eastAsia="en-GB"/>
                        </w:rPr>
                      </m:ctrlPr>
                    </m:sub>
                  </m:sSub>
                  <m:ctrlPr>
                    <w:rPr>
                      <w:rFonts w:ascii="Cambria Math" w:hAnsi="Cambria Math" w:eastAsia="Times New Roman"/>
                      <w:szCs w:val="20"/>
                      <w:lang w:eastAsia="en-GB"/>
                    </w:rPr>
                  </m:ctrlPr>
                </m:e>
              </m:d>
              <m:r>
                <m:rPr>
                  <m:sty m:val="p"/>
                </m:rPr>
                <w:rPr>
                  <w:rFonts w:ascii="Cambria Math" w:hAnsi="Cambria Math" w:eastAsia="Times New Roman"/>
                  <w:szCs w:val="20"/>
                  <w:lang w:eastAsia="en-GB"/>
                </w:rPr>
                <m:t>=(4,1)</m:t>
              </m:r>
            </m:oMath>
            <w:r>
              <w:rPr>
                <w:rFonts w:eastAsia="宋体"/>
                <w:szCs w:val="20"/>
                <w:lang w:eastAsia="en-GB"/>
              </w:rPr>
              <w:t xml:space="preserve"> applies for SCS 480kHz. The active combination </w:t>
            </w:r>
            <m:oMath>
              <m:d>
                <m:dPr>
                  <m:ctrlPr>
                    <w:rPr>
                      <w:rFonts w:ascii="Cambria Math" w:hAnsi="Cambria Math" w:eastAsia="Times New Roman"/>
                      <w:szCs w:val="20"/>
                      <w:lang w:eastAsia="en-GB"/>
                    </w:rPr>
                  </m:ctrlPr>
                </m:dPr>
                <m:e>
                  <m:sSub>
                    <m:sSubPr>
                      <m:ctrlPr>
                        <w:rPr>
                          <w:rFonts w:ascii="Cambria Math" w:hAnsi="Cambria Math" w:eastAsia="Times New Roman"/>
                          <w:szCs w:val="20"/>
                          <w:lang w:eastAsia="en-GB"/>
                        </w:rPr>
                      </m:ctrlPr>
                    </m:sSubPr>
                    <m:e>
                      <m:r>
                        <w:rPr>
                          <w:rFonts w:ascii="Cambria Math" w:hAnsi="Cambria Math" w:eastAsia="Times New Roman"/>
                          <w:szCs w:val="20"/>
                          <w:lang w:eastAsia="en-GB"/>
                        </w:rPr>
                        <m:t>X</m:t>
                      </m:r>
                      <m:ctrlPr>
                        <w:rPr>
                          <w:rFonts w:ascii="Cambria Math" w:hAnsi="Cambria Math" w:eastAsia="Times New Roman"/>
                          <w:szCs w:val="20"/>
                          <w:lang w:eastAsia="en-GB"/>
                        </w:rPr>
                      </m:ctrlPr>
                    </m:e>
                    <m:sub>
                      <m:r>
                        <w:rPr>
                          <w:rFonts w:ascii="Cambria Math" w:hAnsi="Cambria Math" w:eastAsia="Times New Roman"/>
                          <w:szCs w:val="20"/>
                          <w:lang w:eastAsia="en-GB"/>
                        </w:rPr>
                        <m:t>s</m:t>
                      </m:r>
                      <m:ctrlPr>
                        <w:rPr>
                          <w:rFonts w:ascii="Cambria Math" w:hAnsi="Cambria Math" w:eastAsia="Times New Roman"/>
                          <w:szCs w:val="20"/>
                          <w:lang w:eastAsia="en-GB"/>
                        </w:rPr>
                      </m:ctrlPr>
                    </m:sub>
                  </m:sSub>
                  <m:r>
                    <m:rPr>
                      <m:sty m:val="p"/>
                    </m:rPr>
                    <w:rPr>
                      <w:rFonts w:ascii="Cambria Math" w:hAnsi="Cambria Math" w:eastAsia="Times New Roman"/>
                      <w:szCs w:val="20"/>
                      <w:lang w:eastAsia="en-GB"/>
                    </w:rPr>
                    <m:t>,</m:t>
                  </m:r>
                  <m:sSub>
                    <m:sSubPr>
                      <m:ctrlPr>
                        <w:rPr>
                          <w:rFonts w:ascii="Cambria Math" w:hAnsi="Cambria Math" w:eastAsia="Times New Roman"/>
                          <w:szCs w:val="20"/>
                          <w:lang w:eastAsia="en-GB"/>
                        </w:rPr>
                      </m:ctrlPr>
                    </m:sSubPr>
                    <m:e>
                      <m:r>
                        <w:rPr>
                          <w:rFonts w:ascii="Cambria Math" w:hAnsi="Cambria Math" w:eastAsia="Times New Roman"/>
                          <w:szCs w:val="20"/>
                          <w:lang w:eastAsia="en-GB"/>
                        </w:rPr>
                        <m:t>Y</m:t>
                      </m:r>
                      <m:ctrlPr>
                        <w:rPr>
                          <w:rFonts w:ascii="Cambria Math" w:hAnsi="Cambria Math" w:eastAsia="Times New Roman"/>
                          <w:szCs w:val="20"/>
                          <w:lang w:eastAsia="en-GB"/>
                        </w:rPr>
                      </m:ctrlPr>
                    </m:e>
                    <m:sub>
                      <m:r>
                        <w:rPr>
                          <w:rFonts w:ascii="Cambria Math" w:hAnsi="Cambria Math" w:eastAsia="Times New Roman"/>
                          <w:szCs w:val="20"/>
                          <w:lang w:eastAsia="en-GB"/>
                        </w:rPr>
                        <m:t>s</m:t>
                      </m:r>
                      <m:ctrlPr>
                        <w:rPr>
                          <w:rFonts w:ascii="Cambria Math" w:hAnsi="Cambria Math" w:eastAsia="Times New Roman"/>
                          <w:szCs w:val="20"/>
                          <w:lang w:eastAsia="en-GB"/>
                        </w:rPr>
                      </m:ctrlPr>
                    </m:sub>
                  </m:sSub>
                  <m:ctrlPr>
                    <w:rPr>
                      <w:rFonts w:ascii="Cambria Math" w:hAnsi="Cambria Math" w:eastAsia="Times New Roman"/>
                      <w:szCs w:val="20"/>
                      <w:lang w:eastAsia="en-GB"/>
                    </w:rPr>
                  </m:ctrlPr>
                </m:e>
              </m:d>
            </m:oMath>
            <w:r>
              <w:rPr>
                <w:rFonts w:eastAsia="宋体"/>
                <w:szCs w:val="20"/>
                <w:lang w:eastAsia="en-GB"/>
              </w:rPr>
              <w:t xml:space="preserve"> after RRC connection can be determined by all configured USS/CSS sets. </w:t>
            </w:r>
          </w:p>
          <w:p>
            <w:pPr>
              <w:widowControl w:val="0"/>
              <w:rPr>
                <w:iCs/>
                <w:lang w:eastAsia="zh-CN"/>
              </w:rPr>
            </w:pPr>
            <w:r>
              <w:rPr>
                <w:rFonts w:eastAsia="宋体"/>
                <w:szCs w:val="20"/>
                <w:lang w:eastAsia="en-GB"/>
              </w:rPr>
              <w:t xml:space="preserve">Above all, we don’t think different behaviors are necessary for the case </w:t>
            </w:r>
            <w:r>
              <w:rPr>
                <w:rFonts w:eastAsia="宋体"/>
                <w:i/>
                <w:szCs w:val="20"/>
              </w:rPr>
              <w:t xml:space="preserve">r17monitoringcapability </w:t>
            </w:r>
            <w:r>
              <w:rPr>
                <w:rFonts w:eastAsia="宋体"/>
                <w:iCs/>
                <w:szCs w:val="20"/>
              </w:rPr>
              <w:t xml:space="preserve">is configured or not configured, since multi-slot PDCCH monitoring is the only applicable UE behavior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rFonts w:eastAsia="宋体"/>
                <w:szCs w:val="20"/>
                <w:lang w:eastAsia="en-GB"/>
              </w:rPr>
            </w:pPr>
            <w:r>
              <w:rPr>
                <w:rFonts w:hint="eastAsia"/>
                <w:sz w:val="21"/>
                <w:szCs w:val="24"/>
                <w:lang w:eastAsia="zh-CN"/>
              </w:rPr>
              <w:t xml:space="preserve">We slightly prefer Text Proposal A1-4.1. Since the parameter </w:t>
            </w:r>
            <w:r>
              <w:rPr>
                <w:rFonts w:eastAsia="宋体"/>
                <w:i/>
                <w:szCs w:val="20"/>
              </w:rPr>
              <w:t>monitoringCapabilityConfig</w:t>
            </w:r>
            <w:r>
              <w:rPr>
                <w:rFonts w:hint="eastAsia"/>
                <w:sz w:val="21"/>
                <w:szCs w:val="24"/>
                <w:lang w:eastAsia="zh-CN"/>
              </w:rPr>
              <w:t xml:space="preserve"> included in </w:t>
            </w:r>
            <w:r>
              <w:rPr>
                <w:i/>
                <w:sz w:val="21"/>
                <w:szCs w:val="21"/>
              </w:rPr>
              <w:t>PDCCH-Config</w:t>
            </w:r>
            <w:r>
              <w:rPr>
                <w:rFonts w:hint="eastAsia"/>
                <w:sz w:val="21"/>
                <w:szCs w:val="24"/>
                <w:lang w:eastAsia="zh-CN"/>
              </w:rPr>
              <w:t xml:space="preserve"> is specified for one BWP in TS 38.331, we think it will not cause any ambiguity without </w:t>
            </w:r>
            <w:r>
              <w:rPr>
                <w:sz w:val="21"/>
                <w:szCs w:val="24"/>
                <w:lang w:eastAsia="zh-CN"/>
              </w:rPr>
              <w:t>“</w:t>
            </w:r>
            <w:r>
              <w:rPr>
                <w:rFonts w:eastAsia="宋体"/>
                <w:szCs w:val="20"/>
              </w:rPr>
              <w:t xml:space="preserve"> </w:t>
            </w:r>
            <w:ins w:id="232" w:author="Alexander Golitschek" w:date="2022-02-20T19:14:00Z">
              <w:r>
                <w:rPr>
                  <w:rFonts w:eastAsia="Times New Roman"/>
                  <w:szCs w:val="20"/>
                  <w:highlight w:val="cyan"/>
                  <w:lang w:eastAsia="en-GB"/>
                </w:rPr>
                <w:t>active DL BWP of a</w:t>
              </w:r>
            </w:ins>
            <w:ins w:id="233" w:author="Alexander Golitschek" w:date="2022-02-20T19:14:00Z">
              <w:r>
                <w:rPr>
                  <w:rFonts w:eastAsia="宋体"/>
                  <w:szCs w:val="20"/>
                </w:rPr>
                <w:t xml:space="preserve"> </w:t>
              </w:r>
            </w:ins>
            <w:r>
              <w:rPr>
                <w:rFonts w:eastAsia="宋体"/>
                <w:szCs w:val="20"/>
              </w:rPr>
              <w:t>serving cell</w:t>
            </w:r>
            <w:r>
              <w:rPr>
                <w:sz w:val="21"/>
                <w:szCs w:val="24"/>
                <w:lang w:eastAsia="zh-CN"/>
              </w:rPr>
              <w:t>”</w:t>
            </w:r>
            <w:r>
              <w:rPr>
                <w:rFonts w:hint="eastAsia"/>
                <w:sz w:val="21"/>
                <w:szCs w:val="24"/>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sz w:val="20"/>
                <w:lang w:eastAsia="ja-JP"/>
              </w:rPr>
              <w:t>N</w:t>
            </w:r>
            <w:r>
              <w:rPr>
                <w:rFonts w:eastAsia="MS Mincho"/>
                <w:sz w:val="20"/>
                <w:lang w:eastAsia="ja-JP"/>
              </w:rPr>
              <w:t>TT DOCOMO</w:t>
            </w:r>
          </w:p>
        </w:tc>
        <w:tc>
          <w:tcPr>
            <w:tcW w:w="12176" w:type="dxa"/>
            <w:vAlign w:val="center"/>
          </w:tcPr>
          <w:p>
            <w:pPr>
              <w:widowControl w:val="0"/>
              <w:rPr>
                <w:sz w:val="21"/>
                <w:szCs w:val="24"/>
                <w:lang w:eastAsia="zh-CN"/>
              </w:rPr>
            </w:pPr>
            <w:r>
              <w:rPr>
                <w:rFonts w:eastAsia="MS Mincho"/>
                <w:szCs w:val="28"/>
                <w:lang w:eastAsia="ja-JP"/>
              </w:rPr>
              <w:t>For both proposal A1-4.1 and 4.2, we are not sure whether it is necessary to define a default capability for 960 kHz SCS since it is not expected to be used during initial access, but we are fine with the proposals in general.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sz w:val="20"/>
                <w:lang w:eastAsia="ja-JP"/>
              </w:rPr>
            </w:pPr>
            <w:r>
              <w:rPr>
                <w:sz w:val="20"/>
              </w:rPr>
              <w:t>LG Electronics</w:t>
            </w:r>
          </w:p>
        </w:tc>
        <w:tc>
          <w:tcPr>
            <w:tcW w:w="12176" w:type="dxa"/>
            <w:vAlign w:val="center"/>
          </w:tcPr>
          <w:p>
            <w:pPr>
              <w:widowControl w:val="0"/>
              <w:rPr>
                <w:rFonts w:eastAsia="MS Mincho"/>
                <w:szCs w:val="28"/>
                <w:lang w:eastAsia="ja-JP"/>
              </w:rPr>
            </w:pPr>
            <w:r>
              <w:rPr>
                <w:sz w:val="20"/>
                <w:lang w:eastAsia="zh-CN"/>
              </w:rPr>
              <w:t>We support TP A1-4.1 as our first preference, but TP A1-4.2 is fine too.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Apple</w:t>
            </w:r>
          </w:p>
        </w:tc>
        <w:tc>
          <w:tcPr>
            <w:tcW w:w="12176" w:type="dxa"/>
            <w:vAlign w:val="center"/>
          </w:tcPr>
          <w:p>
            <w:pPr>
              <w:widowControl w:val="0"/>
              <w:rPr>
                <w:sz w:val="20"/>
                <w:lang w:eastAsia="zh-CN"/>
              </w:rPr>
            </w:pPr>
            <w:r>
              <w:rPr>
                <w:sz w:val="20"/>
                <w:lang w:eastAsia="zh-CN"/>
              </w:rPr>
              <w:t>We are fine with TP A1-4.2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sz w:val="20"/>
                <w:lang w:eastAsia="zh-CN"/>
              </w:rPr>
              <w:t>Transsion</w:t>
            </w:r>
          </w:p>
        </w:tc>
        <w:tc>
          <w:tcPr>
            <w:tcW w:w="12176" w:type="dxa"/>
            <w:vAlign w:val="center"/>
          </w:tcPr>
          <w:p>
            <w:pPr>
              <w:widowControl w:val="0"/>
              <w:rPr>
                <w:sz w:val="20"/>
                <w:lang w:eastAsia="zh-CN"/>
              </w:rPr>
            </w:pPr>
            <w:r>
              <w:rPr>
                <w:rFonts w:hint="eastAsia"/>
                <w:sz w:val="20"/>
                <w:lang w:eastAsia="zh-CN"/>
              </w:rPr>
              <w:t>We support TP A1-4.2.</w:t>
            </w:r>
          </w:p>
        </w:tc>
      </w:tr>
    </w:tbl>
    <w:tbl>
      <w:tblPr>
        <w:tblStyle w:val="268"/>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sz w:val="20"/>
                <w:lang w:eastAsia="ja-JP"/>
              </w:rPr>
            </w:pPr>
            <w:r>
              <w:rPr>
                <w:sz w:val="20"/>
                <w:lang w:eastAsia="ja-JP"/>
              </w:rPr>
              <w:t>Futurewei</w:t>
            </w:r>
          </w:p>
        </w:tc>
        <w:tc>
          <w:tcPr>
            <w:tcW w:w="12176" w:type="dxa"/>
            <w:vAlign w:val="center"/>
          </w:tcPr>
          <w:p>
            <w:pPr>
              <w:widowControl w:val="0"/>
              <w:spacing w:line="240" w:lineRule="auto"/>
              <w:rPr>
                <w:sz w:val="20"/>
                <w:lang w:eastAsia="zh-CN"/>
              </w:rPr>
            </w:pPr>
            <w:r>
              <w:rPr>
                <w:sz w:val="20"/>
                <w:lang w:eastAsia="zh-CN"/>
              </w:rPr>
              <w:t>We prefer  TP A1-4.2, and we could live with TP A1-4.1.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sz w:val="20"/>
                <w:lang w:eastAsia="ja-JP"/>
              </w:rPr>
            </w:pPr>
            <w:r>
              <w:rPr>
                <w:sz w:val="20"/>
                <w:lang w:eastAsia="ja-JP"/>
              </w:rPr>
              <w:t>Lenovo</w:t>
            </w:r>
          </w:p>
        </w:tc>
        <w:tc>
          <w:tcPr>
            <w:tcW w:w="12176" w:type="dxa"/>
            <w:vAlign w:val="center"/>
          </w:tcPr>
          <w:p>
            <w:pPr>
              <w:widowControl w:val="0"/>
              <w:spacing w:line="240" w:lineRule="auto"/>
              <w:rPr>
                <w:sz w:val="20"/>
                <w:lang w:eastAsia="zh-CN"/>
              </w:rPr>
            </w:pPr>
            <w:r>
              <w:rPr>
                <w:sz w:val="20"/>
                <w:lang w:eastAsia="zh-CN"/>
              </w:rPr>
              <w:t>TP A1-4.1 is good enough and our first preference, but we can accept TP A1-4.2.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sz w:val="20"/>
                <w:lang w:eastAsia="ja-JP"/>
              </w:rPr>
            </w:pPr>
            <w:r>
              <w:rPr>
                <w:sz w:val="20"/>
                <w:lang w:eastAsia="ja-JP"/>
              </w:rPr>
              <w:t>Huawei, HiSilicon</w:t>
            </w:r>
          </w:p>
        </w:tc>
        <w:tc>
          <w:tcPr>
            <w:tcW w:w="12176" w:type="dxa"/>
            <w:vAlign w:val="center"/>
          </w:tcPr>
          <w:p>
            <w:pPr>
              <w:widowControl w:val="0"/>
              <w:spacing w:line="240" w:lineRule="auto"/>
              <w:rPr>
                <w:sz w:val="20"/>
                <w:szCs w:val="20"/>
                <w:lang w:eastAsia="zh-CN"/>
              </w:rPr>
            </w:pPr>
            <w:r>
              <w:rPr>
                <w:sz w:val="20"/>
                <w:szCs w:val="20"/>
                <w:lang w:eastAsia="zh-CN"/>
              </w:rPr>
              <w:t xml:space="preserve">We cannot support either of the TPs. </w:t>
            </w:r>
          </w:p>
          <w:p>
            <w:pPr>
              <w:widowControl w:val="0"/>
              <w:spacing w:before="120" w:beforeLines="50" w:afterLines="50" w:line="240" w:lineRule="auto"/>
              <w:rPr>
                <w:rFonts w:eastAsia="宋体"/>
                <w:kern w:val="2"/>
                <w:sz w:val="20"/>
                <w:szCs w:val="20"/>
                <w:lang w:eastAsia="zh-CN"/>
              </w:rPr>
            </w:pPr>
            <w:r>
              <w:rPr>
                <w:sz w:val="20"/>
                <w:szCs w:val="20"/>
                <w:lang w:eastAsia="zh-CN"/>
              </w:rPr>
              <w:t xml:space="preserve">We think that default </w:t>
            </w:r>
            <w:r>
              <w:rPr>
                <w:rStyle w:val="67"/>
                <w:sz w:val="20"/>
                <w:szCs w:val="20"/>
                <w:lang w:eastAsia="ja-JP"/>
              </w:rPr>
              <w:t xml:space="preserve">monitoring behavior for </w:t>
            </w:r>
            <m:oMath>
              <m:r>
                <w:rPr>
                  <w:rStyle w:val="67"/>
                  <w:rFonts w:ascii="Cambria Math" w:hAnsi="Cambria Math"/>
                  <w:sz w:val="20"/>
                  <w:szCs w:val="20"/>
                  <w:lang w:eastAsia="ja-JP"/>
                </w:rPr>
                <m:t>μ</m:t>
              </m:r>
              <m:r>
                <m:rPr>
                  <m:sty m:val="p"/>
                </m:rPr>
                <w:rPr>
                  <w:rStyle w:val="67"/>
                  <w:rFonts w:ascii="Cambria Math" w:hAnsi="Cambria Math"/>
                  <w:sz w:val="20"/>
                  <w:szCs w:val="20"/>
                  <w:lang w:eastAsia="ja-JP"/>
                </w:rPr>
                <m:t>∈</m:t>
              </m:r>
              <m:d>
                <m:dPr>
                  <m:begChr m:val="{"/>
                  <m:endChr m:val="}"/>
                  <m:ctrlPr>
                    <w:rPr>
                      <w:rStyle w:val="67"/>
                      <w:rFonts w:ascii="Cambria Math" w:hAnsi="Cambria Math"/>
                      <w:sz w:val="20"/>
                      <w:szCs w:val="20"/>
                      <w:lang w:eastAsia="ja-JP"/>
                    </w:rPr>
                  </m:ctrlPr>
                </m:dPr>
                <m:e>
                  <m:r>
                    <m:rPr>
                      <m:sty m:val="p"/>
                    </m:rPr>
                    <w:rPr>
                      <w:rStyle w:val="67"/>
                      <w:rFonts w:ascii="Cambria Math" w:hAnsi="Cambria Math"/>
                      <w:sz w:val="20"/>
                      <w:szCs w:val="20"/>
                      <w:lang w:eastAsia="ja-JP"/>
                    </w:rPr>
                    <m:t>5,6</m:t>
                  </m:r>
                  <m:ctrlPr>
                    <w:rPr>
                      <w:rStyle w:val="67"/>
                      <w:rFonts w:ascii="Cambria Math" w:hAnsi="Cambria Math"/>
                      <w:sz w:val="20"/>
                      <w:szCs w:val="20"/>
                      <w:lang w:eastAsia="ja-JP"/>
                    </w:rPr>
                  </m:ctrlPr>
                </m:e>
              </m:d>
            </m:oMath>
            <w:r>
              <w:rPr>
                <w:rStyle w:val="67"/>
                <w:sz w:val="20"/>
                <w:szCs w:val="20"/>
                <w:lang w:eastAsia="ja-JP"/>
              </w:rPr>
              <w:t xml:space="preserve"> only applies to an RRC_IDLE UE or a UE during initial access. </w:t>
            </w:r>
            <w:r>
              <w:rPr>
                <w:sz w:val="20"/>
                <w:szCs w:val="20"/>
                <w:lang w:eastAsia="zh-CN"/>
              </w:rPr>
              <w:t xml:space="preserve"> </w:t>
            </w:r>
            <w:r>
              <w:rPr>
                <w:rFonts w:eastAsia="宋体"/>
                <w:kern w:val="2"/>
                <w:sz w:val="20"/>
                <w:szCs w:val="20"/>
                <w:lang w:eastAsia="zh-CN"/>
              </w:rPr>
              <w:t>For an RRC_IDLE UE or a UE during initial access, following observations can be made:</w:t>
            </w:r>
          </w:p>
          <w:p>
            <w:pPr>
              <w:widowControl w:val="0"/>
              <w:numPr>
                <w:ilvl w:val="0"/>
                <w:numId w:val="24"/>
              </w:numPr>
              <w:autoSpaceDE/>
              <w:autoSpaceDN/>
              <w:adjustRightInd/>
              <w:snapToGrid/>
              <w:spacing w:before="120" w:beforeLines="50" w:afterLines="50" w:line="240" w:lineRule="auto"/>
              <w:contextualSpacing/>
              <w:jc w:val="both"/>
              <w:rPr>
                <w:rFonts w:eastAsia="宋体"/>
                <w:sz w:val="20"/>
                <w:szCs w:val="20"/>
                <w:lang w:eastAsia="ja-JP"/>
              </w:rPr>
            </w:pPr>
            <w:r>
              <w:rPr>
                <w:rFonts w:eastAsia="宋体"/>
                <w:sz w:val="20"/>
                <w:szCs w:val="20"/>
                <w:lang w:eastAsia="ja-JP"/>
              </w:rPr>
              <w:t xml:space="preserve">UE does not monitor PDCCH for </w:t>
            </w:r>
            <m:oMath>
              <m:r>
                <w:rPr>
                  <w:rFonts w:ascii="Cambria Math" w:hAnsi="Cambria Math" w:eastAsia="宋体"/>
                  <w:sz w:val="20"/>
                  <w:szCs w:val="20"/>
                  <w:lang w:eastAsia="ja-JP"/>
                </w:rPr>
                <m:t>μ</m:t>
              </m:r>
              <m:r>
                <m:rPr>
                  <m:sty m:val="p"/>
                </m:rPr>
                <w:rPr>
                  <w:rFonts w:ascii="Cambria Math" w:hAnsi="Cambria Math" w:eastAsia="宋体"/>
                  <w:sz w:val="20"/>
                  <w:szCs w:val="20"/>
                  <w:lang w:eastAsia="ja-JP"/>
                </w:rPr>
                <m:t>=6.</m:t>
              </m:r>
            </m:oMath>
          </w:p>
          <w:p>
            <w:pPr>
              <w:widowControl w:val="0"/>
              <w:numPr>
                <w:ilvl w:val="0"/>
                <w:numId w:val="24"/>
              </w:numPr>
              <w:autoSpaceDE/>
              <w:autoSpaceDN/>
              <w:adjustRightInd/>
              <w:snapToGrid/>
              <w:spacing w:before="120" w:beforeLines="50" w:afterLines="50" w:line="240" w:lineRule="auto"/>
              <w:contextualSpacing/>
              <w:jc w:val="both"/>
              <w:rPr>
                <w:rFonts w:eastAsia="宋体"/>
                <w:sz w:val="20"/>
                <w:szCs w:val="20"/>
                <w:lang w:eastAsia="ja-JP"/>
              </w:rPr>
            </w:pPr>
            <w:r>
              <w:rPr>
                <w:rFonts w:eastAsia="宋体"/>
                <w:sz w:val="20"/>
                <w:szCs w:val="20"/>
                <w:lang w:eastAsia="ja-JP"/>
              </w:rPr>
              <w:t xml:space="preserve">For </w:t>
            </w:r>
            <m:oMath>
              <m:r>
                <w:rPr>
                  <w:rFonts w:ascii="Cambria Math" w:hAnsi="Cambria Math" w:eastAsia="宋体"/>
                  <w:sz w:val="20"/>
                  <w:szCs w:val="20"/>
                  <w:lang w:eastAsia="ja-JP"/>
                </w:rPr>
                <m:t>μ</m:t>
              </m:r>
              <m:r>
                <m:rPr>
                  <m:sty m:val="p"/>
                </m:rPr>
                <w:rPr>
                  <w:rFonts w:ascii="Cambria Math" w:hAnsi="Cambria Math" w:eastAsia="宋体"/>
                  <w:sz w:val="20"/>
                  <w:szCs w:val="20"/>
                  <w:lang w:eastAsia="ja-JP"/>
                </w:rPr>
                <m:t>=5</m:t>
              </m:r>
            </m:oMath>
            <w:r>
              <w:rPr>
                <w:rFonts w:eastAsia="宋体"/>
                <w:sz w:val="20"/>
                <w:szCs w:val="20"/>
                <w:lang w:eastAsia="ja-JP"/>
              </w:rPr>
              <w:t xml:space="preserve">, even if UE supports both </w:t>
            </w:r>
            <m:oMath>
              <m:d>
                <m:dPr>
                  <m:ctrlPr>
                    <w:rPr>
                      <w:rFonts w:ascii="Cambria Math" w:hAnsi="Cambria Math" w:eastAsia="宋体"/>
                      <w:i/>
                      <w:sz w:val="20"/>
                      <w:szCs w:val="20"/>
                      <w:lang w:eastAsia="ja-JP"/>
                    </w:rPr>
                  </m:ctrlPr>
                </m:dPr>
                <m:e>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r>
                    <w:rPr>
                      <w:rFonts w:ascii="Cambria Math" w:hAnsi="Cambria Math" w:eastAsia="宋体"/>
                      <w:sz w:val="20"/>
                      <w:szCs w:val="20"/>
                      <w:lang w:eastAsia="zh-CN"/>
                    </w:rPr>
                    <m:t>,</m:t>
                  </m:r>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ctrlPr>
                    <w:rPr>
                      <w:rFonts w:ascii="Cambria Math" w:hAnsi="Cambria Math" w:eastAsia="宋体"/>
                      <w:i/>
                      <w:sz w:val="20"/>
                      <w:szCs w:val="20"/>
                      <w:lang w:eastAsia="ja-JP"/>
                    </w:rPr>
                  </m:ctrlPr>
                </m:e>
              </m:d>
              <m:r>
                <w:rPr>
                  <w:rFonts w:ascii="Cambria Math" w:hAnsi="Cambria Math" w:eastAsia="宋体"/>
                  <w:sz w:val="20"/>
                  <w:szCs w:val="20"/>
                  <w:lang w:eastAsia="ja-JP"/>
                </w:rPr>
                <m:t>=(4,1)</m:t>
              </m:r>
            </m:oMath>
            <w:r>
              <w:rPr>
                <w:rFonts w:eastAsia="宋体"/>
                <w:sz w:val="20"/>
                <w:szCs w:val="20"/>
                <w:lang w:eastAsia="ja-JP"/>
              </w:rPr>
              <w:t xml:space="preserve">and </w:t>
            </w:r>
            <m:oMath>
              <m:d>
                <m:dPr>
                  <m:ctrlPr>
                    <w:rPr>
                      <w:rFonts w:ascii="Cambria Math" w:hAnsi="Cambria Math" w:eastAsia="宋体"/>
                      <w:i/>
                      <w:sz w:val="20"/>
                      <w:szCs w:val="20"/>
                      <w:lang w:eastAsia="ja-JP"/>
                    </w:rPr>
                  </m:ctrlPr>
                </m:dPr>
                <m:e>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r>
                    <w:rPr>
                      <w:rFonts w:ascii="Cambria Math" w:hAnsi="Cambria Math" w:eastAsia="宋体"/>
                      <w:sz w:val="20"/>
                      <w:szCs w:val="20"/>
                      <w:lang w:eastAsia="zh-CN"/>
                    </w:rPr>
                    <m:t>,</m:t>
                  </m:r>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ctrlPr>
                    <w:rPr>
                      <w:rFonts w:ascii="Cambria Math" w:hAnsi="Cambria Math" w:eastAsia="宋体"/>
                      <w:i/>
                      <w:sz w:val="20"/>
                      <w:szCs w:val="20"/>
                      <w:lang w:eastAsia="ja-JP"/>
                    </w:rPr>
                  </m:ctrlPr>
                </m:e>
              </m:d>
              <m:r>
                <w:rPr>
                  <w:rFonts w:ascii="Cambria Math" w:hAnsi="Cambria Math" w:eastAsia="宋体"/>
                  <w:sz w:val="20"/>
                  <w:szCs w:val="20"/>
                  <w:lang w:eastAsia="ja-JP"/>
                </w:rPr>
                <m:t>=(4,2)</m:t>
              </m:r>
            </m:oMath>
            <w:r>
              <w:rPr>
                <w:rFonts w:eastAsia="宋体"/>
                <w:sz w:val="20"/>
                <w:szCs w:val="20"/>
                <w:lang w:eastAsia="ja-JP"/>
              </w:rPr>
              <w:t xml:space="preserve">, UE does not monitor Group (1) SS and, therefore, the considered value for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ja-JP"/>
              </w:rPr>
              <w:t xml:space="preserve"> is irrelevant. Further, for both </w:t>
            </w:r>
            <m:oMath>
              <m:d>
                <m:dPr>
                  <m:ctrlPr>
                    <w:rPr>
                      <w:rFonts w:ascii="Cambria Math" w:hAnsi="Cambria Math" w:eastAsia="宋体"/>
                      <w:i/>
                      <w:sz w:val="20"/>
                      <w:szCs w:val="20"/>
                      <w:lang w:eastAsia="ja-JP"/>
                    </w:rPr>
                  </m:ctrlPr>
                </m:dPr>
                <m:e>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r>
                    <w:rPr>
                      <w:rFonts w:ascii="Cambria Math" w:hAnsi="Cambria Math" w:eastAsia="宋体"/>
                      <w:sz w:val="20"/>
                      <w:szCs w:val="20"/>
                      <w:lang w:eastAsia="zh-CN"/>
                    </w:rPr>
                    <m:t>,</m:t>
                  </m:r>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ctrlPr>
                    <w:rPr>
                      <w:rFonts w:ascii="Cambria Math" w:hAnsi="Cambria Math" w:eastAsia="宋体"/>
                      <w:i/>
                      <w:sz w:val="20"/>
                      <w:szCs w:val="20"/>
                      <w:lang w:eastAsia="ja-JP"/>
                    </w:rPr>
                  </m:ctrlPr>
                </m:e>
              </m:d>
              <m:r>
                <w:rPr>
                  <w:rFonts w:ascii="Cambria Math" w:hAnsi="Cambria Math" w:eastAsia="宋体"/>
                  <w:sz w:val="20"/>
                  <w:szCs w:val="20"/>
                  <w:lang w:eastAsia="ja-JP"/>
                </w:rPr>
                <m:t>=(4,1)</m:t>
              </m:r>
            </m:oMath>
            <w:r>
              <w:rPr>
                <w:rFonts w:eastAsia="宋体"/>
                <w:sz w:val="20"/>
                <w:szCs w:val="20"/>
                <w:lang w:eastAsia="ja-JP"/>
              </w:rPr>
              <w:t xml:space="preserve">and </w:t>
            </w:r>
            <m:oMath>
              <m:d>
                <m:dPr>
                  <m:ctrlPr>
                    <w:rPr>
                      <w:rFonts w:ascii="Cambria Math" w:hAnsi="Cambria Math" w:eastAsia="宋体"/>
                      <w:i/>
                      <w:sz w:val="20"/>
                      <w:szCs w:val="20"/>
                      <w:lang w:eastAsia="ja-JP"/>
                    </w:rPr>
                  </m:ctrlPr>
                </m:dPr>
                <m:e>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r>
                    <w:rPr>
                      <w:rFonts w:ascii="Cambria Math" w:hAnsi="Cambria Math" w:eastAsia="宋体"/>
                      <w:sz w:val="20"/>
                      <w:szCs w:val="20"/>
                      <w:lang w:eastAsia="zh-CN"/>
                    </w:rPr>
                    <m:t>,</m:t>
                  </m:r>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ctrlPr>
                    <w:rPr>
                      <w:rFonts w:ascii="Cambria Math" w:hAnsi="Cambria Math" w:eastAsia="宋体"/>
                      <w:i/>
                      <w:sz w:val="20"/>
                      <w:szCs w:val="20"/>
                      <w:lang w:eastAsia="ja-JP"/>
                    </w:rPr>
                  </m:ctrlPr>
                </m:e>
              </m:d>
              <m:r>
                <w:rPr>
                  <w:rFonts w:ascii="Cambria Math" w:hAnsi="Cambria Math" w:eastAsia="宋体"/>
                  <w:sz w:val="20"/>
                  <w:szCs w:val="20"/>
                  <w:lang w:eastAsia="ja-JP"/>
                </w:rPr>
                <m:t>=</m:t>
              </m:r>
              <m:d>
                <m:dPr>
                  <m:ctrlPr>
                    <w:rPr>
                      <w:rFonts w:ascii="Cambria Math" w:hAnsi="Cambria Math" w:eastAsia="宋体"/>
                      <w:i/>
                      <w:sz w:val="20"/>
                      <w:szCs w:val="20"/>
                      <w:lang w:eastAsia="ja-JP"/>
                    </w:rPr>
                  </m:ctrlPr>
                </m:dPr>
                <m:e>
                  <m:r>
                    <w:rPr>
                      <w:rFonts w:ascii="Cambria Math" w:hAnsi="Cambria Math" w:eastAsia="宋体"/>
                      <w:sz w:val="20"/>
                      <w:szCs w:val="20"/>
                      <w:lang w:eastAsia="ja-JP"/>
                    </w:rPr>
                    <m:t>4,2</m:t>
                  </m:r>
                  <m:ctrlPr>
                    <w:rPr>
                      <w:rFonts w:ascii="Cambria Math" w:hAnsi="Cambria Math" w:eastAsia="宋体"/>
                      <w:i/>
                      <w:sz w:val="20"/>
                      <w:szCs w:val="20"/>
                      <w:lang w:eastAsia="ja-JP"/>
                    </w:rPr>
                  </m:ctrlPr>
                </m:e>
              </m:d>
              <m:r>
                <w:rPr>
                  <w:rFonts w:ascii="Cambria Math" w:hAnsi="Cambria Math" w:eastAsia="宋体"/>
                  <w:sz w:val="20"/>
                  <w:szCs w:val="20"/>
                  <w:lang w:eastAsia="ja-JP"/>
                </w:rPr>
                <m:t xml:space="preserve">, </m:t>
              </m:r>
            </m:oMath>
            <w:r>
              <w:rPr>
                <w:rFonts w:eastAsia="宋体"/>
                <w:sz w:val="20"/>
                <w:szCs w:val="20"/>
                <w:lang w:eastAsia="ja-JP"/>
              </w:rPr>
              <w:t>maximum BD and CCE budgets are equal to 20 and 32, respectively.</w:t>
            </w:r>
          </w:p>
          <w:p>
            <w:pPr>
              <w:widowControl w:val="0"/>
              <w:numPr>
                <w:ilvl w:val="0"/>
                <w:numId w:val="24"/>
              </w:numPr>
              <w:autoSpaceDE/>
              <w:autoSpaceDN/>
              <w:adjustRightInd/>
              <w:snapToGrid/>
              <w:spacing w:before="120" w:beforeLines="50" w:afterLines="50" w:line="240" w:lineRule="auto"/>
              <w:contextualSpacing/>
              <w:jc w:val="both"/>
              <w:rPr>
                <w:rFonts w:eastAsia="宋体"/>
                <w:sz w:val="20"/>
                <w:szCs w:val="20"/>
                <w:lang w:eastAsia="ja-JP"/>
              </w:rPr>
            </w:pPr>
            <w:r>
              <w:rPr>
                <w:rFonts w:eastAsia="宋体"/>
                <w:sz w:val="20"/>
                <w:szCs w:val="20"/>
                <w:lang w:eastAsia="ja-JP"/>
              </w:rPr>
              <w:t xml:space="preserve">For </w:t>
            </w:r>
            <m:oMath>
              <m:r>
                <w:rPr>
                  <w:rFonts w:ascii="Cambria Math" w:hAnsi="Cambria Math" w:eastAsia="宋体"/>
                  <w:sz w:val="20"/>
                  <w:szCs w:val="20"/>
                  <w:lang w:eastAsia="ja-JP"/>
                </w:rPr>
                <m:t>μ</m:t>
              </m:r>
              <m:r>
                <m:rPr>
                  <m:sty m:val="p"/>
                </m:rPr>
                <w:rPr>
                  <w:rFonts w:ascii="Cambria Math" w:hAnsi="Cambria Math" w:eastAsia="宋体"/>
                  <w:sz w:val="20"/>
                  <w:szCs w:val="20"/>
                  <w:lang w:eastAsia="ja-JP"/>
                </w:rPr>
                <m:t xml:space="preserve">=5, </m:t>
              </m:r>
            </m:oMath>
            <w:r>
              <w:rPr>
                <w:rFonts w:eastAsia="宋体"/>
                <w:sz w:val="20"/>
                <w:szCs w:val="20"/>
                <w:lang w:eastAsia="ja-JP"/>
              </w:rPr>
              <w:t xml:space="preserve"> UE mandatorily supports </w:t>
            </w:r>
            <m:oMath>
              <m:d>
                <m:dPr>
                  <m:ctrlPr>
                    <w:rPr>
                      <w:rFonts w:ascii="Cambria Math" w:hAnsi="Cambria Math" w:eastAsia="宋体"/>
                      <w:i/>
                      <w:sz w:val="20"/>
                      <w:szCs w:val="20"/>
                      <w:lang w:eastAsia="ja-JP"/>
                    </w:rPr>
                  </m:ctrlPr>
                </m:dPr>
                <m:e>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r>
                    <w:rPr>
                      <w:rFonts w:ascii="Cambria Math" w:hAnsi="Cambria Math" w:eastAsia="宋体"/>
                      <w:sz w:val="20"/>
                      <w:szCs w:val="20"/>
                      <w:lang w:eastAsia="zh-CN"/>
                    </w:rPr>
                    <m:t>,</m:t>
                  </m:r>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ctrlPr>
                    <w:rPr>
                      <w:rFonts w:ascii="Cambria Math" w:hAnsi="Cambria Math" w:eastAsia="宋体"/>
                      <w:i/>
                      <w:sz w:val="20"/>
                      <w:szCs w:val="20"/>
                      <w:lang w:eastAsia="ja-JP"/>
                    </w:rPr>
                  </m:ctrlPr>
                </m:e>
              </m:d>
              <m:r>
                <w:rPr>
                  <w:rFonts w:ascii="Cambria Math" w:hAnsi="Cambria Math" w:eastAsia="宋体"/>
                  <w:sz w:val="20"/>
                  <w:szCs w:val="20"/>
                  <w:lang w:eastAsia="ja-JP"/>
                </w:rPr>
                <m:t>=</m:t>
              </m:r>
              <m:d>
                <m:dPr>
                  <m:ctrlPr>
                    <w:rPr>
                      <w:rFonts w:ascii="Cambria Math" w:hAnsi="Cambria Math" w:eastAsia="宋体"/>
                      <w:i/>
                      <w:sz w:val="20"/>
                      <w:szCs w:val="20"/>
                      <w:lang w:eastAsia="ja-JP"/>
                    </w:rPr>
                  </m:ctrlPr>
                </m:dPr>
                <m:e>
                  <m:r>
                    <w:rPr>
                      <w:rFonts w:ascii="Cambria Math" w:hAnsi="Cambria Math" w:eastAsia="宋体"/>
                      <w:sz w:val="20"/>
                      <w:szCs w:val="20"/>
                      <w:lang w:eastAsia="ja-JP"/>
                    </w:rPr>
                    <m:t>4,1</m:t>
                  </m:r>
                  <m:ctrlPr>
                    <w:rPr>
                      <w:rFonts w:ascii="Cambria Math" w:hAnsi="Cambria Math" w:eastAsia="宋体"/>
                      <w:i/>
                      <w:sz w:val="20"/>
                      <w:szCs w:val="20"/>
                      <w:lang w:eastAsia="ja-JP"/>
                    </w:rPr>
                  </m:ctrlPr>
                </m:e>
              </m:d>
              <m:r>
                <w:rPr>
                  <w:rFonts w:ascii="Cambria Math" w:hAnsi="Cambria Math" w:eastAsia="宋体"/>
                  <w:sz w:val="20"/>
                  <w:szCs w:val="20"/>
                  <w:lang w:eastAsia="ja-JP"/>
                </w:rPr>
                <m:t>.</m:t>
              </m:r>
            </m:oMath>
            <w:r>
              <w:rPr>
                <w:rFonts w:eastAsia="宋体"/>
                <w:sz w:val="20"/>
                <w:szCs w:val="20"/>
                <w:lang w:eastAsia="ja-JP"/>
              </w:rPr>
              <w:t xml:space="preserve">      </w:t>
            </w:r>
          </w:p>
          <w:p>
            <w:pPr>
              <w:widowControl w:val="0"/>
              <w:autoSpaceDE/>
              <w:autoSpaceDN/>
              <w:adjustRightInd/>
              <w:spacing w:before="120" w:beforeLines="50" w:afterLines="50" w:line="240" w:lineRule="auto"/>
              <w:jc w:val="both"/>
              <w:rPr>
                <w:rFonts w:eastAsia="宋体"/>
                <w:kern w:val="2"/>
                <w:sz w:val="20"/>
                <w:szCs w:val="20"/>
                <w:lang w:eastAsia="zh-CN"/>
              </w:rPr>
            </w:pPr>
            <w:r>
              <w:rPr>
                <w:rFonts w:eastAsia="宋体"/>
                <w:kern w:val="2"/>
                <w:sz w:val="20"/>
                <w:szCs w:val="20"/>
                <w:lang w:eastAsia="zh-CN"/>
              </w:rPr>
              <w:t xml:space="preserve">Therefore, in our view, for </w:t>
            </w:r>
            <m:oMath>
              <m:r>
                <w:rPr>
                  <w:rFonts w:ascii="Cambria Math" w:hAnsi="Cambria Math" w:eastAsia="宋体"/>
                  <w:kern w:val="2"/>
                  <w:sz w:val="20"/>
                  <w:szCs w:val="20"/>
                  <w:lang w:eastAsia="zh-CN"/>
                </w:rPr>
                <m:t>μ</m:t>
              </m:r>
              <m:r>
                <m:rPr>
                  <m:sty m:val="p"/>
                </m:rPr>
                <w:rPr>
                  <w:rFonts w:ascii="Cambria Math" w:hAnsi="Cambria Math" w:eastAsia="宋体"/>
                  <w:kern w:val="2"/>
                  <w:sz w:val="20"/>
                  <w:szCs w:val="20"/>
                  <w:lang w:eastAsia="zh-CN"/>
                </w:rPr>
                <m:t>=5</m:t>
              </m:r>
            </m:oMath>
            <w:r>
              <w:rPr>
                <w:rFonts w:eastAsia="宋体"/>
                <w:kern w:val="2"/>
                <w:sz w:val="20"/>
                <w:szCs w:val="20"/>
                <w:lang w:eastAsia="zh-CN"/>
              </w:rPr>
              <w:t xml:space="preserve">, RRC_IDLE UE or a UE during initial access (i.e., when </w:t>
            </w:r>
            <w:r>
              <w:rPr>
                <w:rFonts w:eastAsia="宋体"/>
                <w:i/>
                <w:kern w:val="2"/>
                <w:sz w:val="20"/>
                <w:szCs w:val="20"/>
                <w:lang w:eastAsia="zh-CN"/>
              </w:rPr>
              <w:t>monitoringCapabilityConfig</w:t>
            </w:r>
            <w:r>
              <w:rPr>
                <w:rFonts w:eastAsia="宋体"/>
                <w:kern w:val="2"/>
                <w:sz w:val="20"/>
                <w:szCs w:val="20"/>
                <w:lang w:eastAsia="zh-CN"/>
              </w:rPr>
              <w:t xml:space="preserve"> is not provided) may monitor PDCCH on the serving cell for a maximum number of PDCCH candidates and non-overlapping CCEs according to either of the combinations </w:t>
            </w:r>
            <m:oMath>
              <m:d>
                <m:dPr>
                  <m:ctrlPr>
                    <w:rPr>
                      <w:rFonts w:ascii="Cambria Math" w:hAnsi="Cambria Math" w:eastAsia="宋体"/>
                      <w:i/>
                      <w:kern w:val="2"/>
                      <w:sz w:val="20"/>
                      <w:szCs w:val="20"/>
                      <w:lang w:eastAsia="zh-CN"/>
                    </w:rPr>
                  </m:ctrlPr>
                </m:dPr>
                <m:e>
                  <m:sSub>
                    <m:sSubPr>
                      <m:ctrlPr>
                        <w:rPr>
                          <w:rFonts w:ascii="Cambria Math" w:hAnsi="Cambria Math" w:eastAsia="宋体"/>
                          <w:i/>
                          <w:kern w:val="2"/>
                          <w:sz w:val="20"/>
                          <w:szCs w:val="20"/>
                          <w:lang w:eastAsia="zh-CN"/>
                        </w:rPr>
                      </m:ctrlPr>
                    </m:sSubPr>
                    <m:e>
                      <m:r>
                        <w:rPr>
                          <w:rFonts w:ascii="Cambria Math" w:hAnsi="Cambria Math" w:eastAsia="宋体"/>
                          <w:kern w:val="2"/>
                          <w:sz w:val="20"/>
                          <w:szCs w:val="20"/>
                          <w:lang w:eastAsia="zh-CN"/>
                        </w:rPr>
                        <m:t>X</m:t>
                      </m:r>
                      <m:ctrlPr>
                        <w:rPr>
                          <w:rFonts w:ascii="Cambria Math" w:hAnsi="Cambria Math" w:eastAsia="宋体"/>
                          <w:i/>
                          <w:kern w:val="2"/>
                          <w:sz w:val="20"/>
                          <w:szCs w:val="20"/>
                          <w:lang w:eastAsia="zh-CN"/>
                        </w:rPr>
                      </m:ctrlPr>
                    </m:e>
                    <m:sub>
                      <m:r>
                        <w:rPr>
                          <w:rFonts w:ascii="Cambria Math" w:hAnsi="Cambria Math" w:eastAsia="宋体"/>
                          <w:kern w:val="2"/>
                          <w:sz w:val="20"/>
                          <w:szCs w:val="20"/>
                          <w:lang w:eastAsia="zh-CN"/>
                        </w:rPr>
                        <m:t>s</m:t>
                      </m:r>
                      <m:ctrlPr>
                        <w:rPr>
                          <w:rFonts w:ascii="Cambria Math" w:hAnsi="Cambria Math" w:eastAsia="宋体"/>
                          <w:i/>
                          <w:kern w:val="2"/>
                          <w:sz w:val="20"/>
                          <w:szCs w:val="20"/>
                          <w:lang w:eastAsia="zh-CN"/>
                        </w:rPr>
                      </m:ctrlPr>
                    </m:sub>
                  </m:sSub>
                  <m:r>
                    <w:rPr>
                      <w:rFonts w:ascii="Cambria Math" w:hAnsi="Cambria Math" w:eastAsia="宋体"/>
                      <w:kern w:val="2"/>
                      <w:sz w:val="20"/>
                      <w:szCs w:val="20"/>
                      <w:lang w:eastAsia="zh-CN"/>
                    </w:rPr>
                    <m:t>,</m:t>
                  </m:r>
                  <m:sSub>
                    <m:sSubPr>
                      <m:ctrlPr>
                        <w:rPr>
                          <w:rFonts w:ascii="Cambria Math" w:hAnsi="Cambria Math" w:eastAsia="宋体"/>
                          <w:i/>
                          <w:kern w:val="2"/>
                          <w:sz w:val="20"/>
                          <w:szCs w:val="20"/>
                          <w:lang w:eastAsia="zh-CN"/>
                        </w:rPr>
                      </m:ctrlPr>
                    </m:sSubPr>
                    <m:e>
                      <m:r>
                        <w:rPr>
                          <w:rFonts w:ascii="Cambria Math" w:hAnsi="Cambria Math" w:eastAsia="宋体"/>
                          <w:kern w:val="2"/>
                          <w:sz w:val="20"/>
                          <w:szCs w:val="20"/>
                          <w:lang w:eastAsia="zh-CN"/>
                        </w:rPr>
                        <m:t>Y</m:t>
                      </m:r>
                      <m:ctrlPr>
                        <w:rPr>
                          <w:rFonts w:ascii="Cambria Math" w:hAnsi="Cambria Math" w:eastAsia="宋体"/>
                          <w:i/>
                          <w:kern w:val="2"/>
                          <w:sz w:val="20"/>
                          <w:szCs w:val="20"/>
                          <w:lang w:eastAsia="zh-CN"/>
                        </w:rPr>
                      </m:ctrlPr>
                    </m:e>
                    <m:sub>
                      <m:r>
                        <w:rPr>
                          <w:rFonts w:ascii="Cambria Math" w:hAnsi="Cambria Math" w:eastAsia="宋体"/>
                          <w:kern w:val="2"/>
                          <w:sz w:val="20"/>
                          <w:szCs w:val="20"/>
                          <w:lang w:eastAsia="zh-CN"/>
                        </w:rPr>
                        <m:t>s</m:t>
                      </m:r>
                      <m:ctrlPr>
                        <w:rPr>
                          <w:rFonts w:ascii="Cambria Math" w:hAnsi="Cambria Math" w:eastAsia="宋体"/>
                          <w:i/>
                          <w:kern w:val="2"/>
                          <w:sz w:val="20"/>
                          <w:szCs w:val="20"/>
                          <w:lang w:eastAsia="zh-CN"/>
                        </w:rPr>
                      </m:ctrlPr>
                    </m:sub>
                  </m:sSub>
                  <m:ctrlPr>
                    <w:rPr>
                      <w:rFonts w:ascii="Cambria Math" w:hAnsi="Cambria Math" w:eastAsia="宋体"/>
                      <w:i/>
                      <w:kern w:val="2"/>
                      <w:sz w:val="20"/>
                      <w:szCs w:val="20"/>
                      <w:lang w:eastAsia="zh-CN"/>
                    </w:rPr>
                  </m:ctrlPr>
                </m:e>
              </m:d>
              <m:r>
                <w:rPr>
                  <w:rFonts w:ascii="Cambria Math" w:hAnsi="Cambria Math" w:eastAsia="宋体"/>
                  <w:kern w:val="2"/>
                  <w:sz w:val="20"/>
                  <w:szCs w:val="20"/>
                  <w:lang w:eastAsia="zh-CN"/>
                </w:rPr>
                <m:t>=</m:t>
              </m:r>
              <m:d>
                <m:dPr>
                  <m:ctrlPr>
                    <w:rPr>
                      <w:rFonts w:ascii="Cambria Math" w:hAnsi="Cambria Math" w:eastAsia="宋体"/>
                      <w:i/>
                      <w:kern w:val="2"/>
                      <w:sz w:val="20"/>
                      <w:szCs w:val="20"/>
                      <w:lang w:eastAsia="zh-CN"/>
                    </w:rPr>
                  </m:ctrlPr>
                </m:dPr>
                <m:e>
                  <m:r>
                    <w:rPr>
                      <w:rFonts w:ascii="Cambria Math" w:hAnsi="Cambria Math" w:eastAsia="宋体"/>
                      <w:kern w:val="2"/>
                      <w:sz w:val="20"/>
                      <w:szCs w:val="20"/>
                      <w:lang w:eastAsia="zh-CN"/>
                    </w:rPr>
                    <m:t>4,1</m:t>
                  </m:r>
                  <m:ctrlPr>
                    <w:rPr>
                      <w:rFonts w:ascii="Cambria Math" w:hAnsi="Cambria Math" w:eastAsia="宋体"/>
                      <w:i/>
                      <w:kern w:val="2"/>
                      <w:sz w:val="20"/>
                      <w:szCs w:val="20"/>
                      <w:lang w:eastAsia="zh-CN"/>
                    </w:rPr>
                  </m:ctrlPr>
                </m:e>
              </m:d>
            </m:oMath>
            <w:r>
              <w:rPr>
                <w:rFonts w:eastAsia="宋体"/>
                <w:kern w:val="2"/>
                <w:sz w:val="20"/>
                <w:szCs w:val="20"/>
                <w:lang w:eastAsia="zh-CN"/>
              </w:rPr>
              <w:t xml:space="preserve"> or </w:t>
            </w:r>
            <m:oMath>
              <m:d>
                <m:dPr>
                  <m:ctrlPr>
                    <w:rPr>
                      <w:rFonts w:ascii="Cambria Math" w:hAnsi="Cambria Math" w:eastAsia="宋体"/>
                      <w:i/>
                      <w:kern w:val="2"/>
                      <w:sz w:val="20"/>
                      <w:szCs w:val="20"/>
                      <w:lang w:eastAsia="zh-CN"/>
                    </w:rPr>
                  </m:ctrlPr>
                </m:dPr>
                <m:e>
                  <m:sSub>
                    <m:sSubPr>
                      <m:ctrlPr>
                        <w:rPr>
                          <w:rFonts w:ascii="Cambria Math" w:hAnsi="Cambria Math" w:eastAsia="宋体"/>
                          <w:i/>
                          <w:kern w:val="2"/>
                          <w:sz w:val="20"/>
                          <w:szCs w:val="20"/>
                          <w:lang w:eastAsia="zh-CN"/>
                        </w:rPr>
                      </m:ctrlPr>
                    </m:sSubPr>
                    <m:e>
                      <m:r>
                        <w:rPr>
                          <w:rFonts w:ascii="Cambria Math" w:hAnsi="Cambria Math" w:eastAsia="宋体"/>
                          <w:kern w:val="2"/>
                          <w:sz w:val="20"/>
                          <w:szCs w:val="20"/>
                          <w:lang w:eastAsia="zh-CN"/>
                        </w:rPr>
                        <m:t>X</m:t>
                      </m:r>
                      <m:ctrlPr>
                        <w:rPr>
                          <w:rFonts w:ascii="Cambria Math" w:hAnsi="Cambria Math" w:eastAsia="宋体"/>
                          <w:i/>
                          <w:kern w:val="2"/>
                          <w:sz w:val="20"/>
                          <w:szCs w:val="20"/>
                          <w:lang w:eastAsia="zh-CN"/>
                        </w:rPr>
                      </m:ctrlPr>
                    </m:e>
                    <m:sub>
                      <m:r>
                        <w:rPr>
                          <w:rFonts w:ascii="Cambria Math" w:hAnsi="Cambria Math" w:eastAsia="宋体"/>
                          <w:kern w:val="2"/>
                          <w:sz w:val="20"/>
                          <w:szCs w:val="20"/>
                          <w:lang w:eastAsia="zh-CN"/>
                        </w:rPr>
                        <m:t>s</m:t>
                      </m:r>
                      <m:ctrlPr>
                        <w:rPr>
                          <w:rFonts w:ascii="Cambria Math" w:hAnsi="Cambria Math" w:eastAsia="宋体"/>
                          <w:i/>
                          <w:kern w:val="2"/>
                          <w:sz w:val="20"/>
                          <w:szCs w:val="20"/>
                          <w:lang w:eastAsia="zh-CN"/>
                        </w:rPr>
                      </m:ctrlPr>
                    </m:sub>
                  </m:sSub>
                  <m:r>
                    <w:rPr>
                      <w:rFonts w:ascii="Cambria Math" w:hAnsi="Cambria Math" w:eastAsia="宋体"/>
                      <w:kern w:val="2"/>
                      <w:sz w:val="20"/>
                      <w:szCs w:val="20"/>
                      <w:lang w:eastAsia="zh-CN"/>
                    </w:rPr>
                    <m:t>,</m:t>
                  </m:r>
                  <m:sSub>
                    <m:sSubPr>
                      <m:ctrlPr>
                        <w:rPr>
                          <w:rFonts w:ascii="Cambria Math" w:hAnsi="Cambria Math" w:eastAsia="宋体"/>
                          <w:i/>
                          <w:kern w:val="2"/>
                          <w:sz w:val="20"/>
                          <w:szCs w:val="20"/>
                          <w:lang w:eastAsia="zh-CN"/>
                        </w:rPr>
                      </m:ctrlPr>
                    </m:sSubPr>
                    <m:e>
                      <m:r>
                        <w:rPr>
                          <w:rFonts w:ascii="Cambria Math" w:hAnsi="Cambria Math" w:eastAsia="宋体"/>
                          <w:kern w:val="2"/>
                          <w:sz w:val="20"/>
                          <w:szCs w:val="20"/>
                          <w:lang w:eastAsia="zh-CN"/>
                        </w:rPr>
                        <m:t>Y</m:t>
                      </m:r>
                      <m:ctrlPr>
                        <w:rPr>
                          <w:rFonts w:ascii="Cambria Math" w:hAnsi="Cambria Math" w:eastAsia="宋体"/>
                          <w:i/>
                          <w:kern w:val="2"/>
                          <w:sz w:val="20"/>
                          <w:szCs w:val="20"/>
                          <w:lang w:eastAsia="zh-CN"/>
                        </w:rPr>
                      </m:ctrlPr>
                    </m:e>
                    <m:sub>
                      <m:r>
                        <w:rPr>
                          <w:rFonts w:ascii="Cambria Math" w:hAnsi="Cambria Math" w:eastAsia="宋体"/>
                          <w:kern w:val="2"/>
                          <w:sz w:val="20"/>
                          <w:szCs w:val="20"/>
                          <w:lang w:eastAsia="zh-CN"/>
                        </w:rPr>
                        <m:t>s</m:t>
                      </m:r>
                      <m:ctrlPr>
                        <w:rPr>
                          <w:rFonts w:ascii="Cambria Math" w:hAnsi="Cambria Math" w:eastAsia="宋体"/>
                          <w:i/>
                          <w:kern w:val="2"/>
                          <w:sz w:val="20"/>
                          <w:szCs w:val="20"/>
                          <w:lang w:eastAsia="zh-CN"/>
                        </w:rPr>
                      </m:ctrlPr>
                    </m:sub>
                  </m:sSub>
                  <m:ctrlPr>
                    <w:rPr>
                      <w:rFonts w:ascii="Cambria Math" w:hAnsi="Cambria Math" w:eastAsia="宋体"/>
                      <w:i/>
                      <w:kern w:val="2"/>
                      <w:sz w:val="20"/>
                      <w:szCs w:val="20"/>
                      <w:lang w:eastAsia="zh-CN"/>
                    </w:rPr>
                  </m:ctrlPr>
                </m:e>
              </m:d>
              <m:r>
                <w:rPr>
                  <w:rFonts w:ascii="Cambria Math" w:hAnsi="Cambria Math" w:eastAsia="宋体"/>
                  <w:kern w:val="2"/>
                  <w:sz w:val="20"/>
                  <w:szCs w:val="20"/>
                  <w:lang w:eastAsia="zh-CN"/>
                </w:rPr>
                <m:t>=</m:t>
              </m:r>
              <m:d>
                <m:dPr>
                  <m:ctrlPr>
                    <w:rPr>
                      <w:rFonts w:ascii="Cambria Math" w:hAnsi="Cambria Math" w:eastAsia="宋体"/>
                      <w:i/>
                      <w:kern w:val="2"/>
                      <w:sz w:val="20"/>
                      <w:szCs w:val="20"/>
                      <w:lang w:eastAsia="zh-CN"/>
                    </w:rPr>
                  </m:ctrlPr>
                </m:dPr>
                <m:e>
                  <m:r>
                    <w:rPr>
                      <w:rFonts w:ascii="Cambria Math" w:hAnsi="Cambria Math" w:eastAsia="宋体"/>
                      <w:kern w:val="2"/>
                      <w:sz w:val="20"/>
                      <w:szCs w:val="20"/>
                      <w:lang w:eastAsia="zh-CN"/>
                    </w:rPr>
                    <m:t>4,2</m:t>
                  </m:r>
                  <m:ctrlPr>
                    <w:rPr>
                      <w:rFonts w:ascii="Cambria Math" w:hAnsi="Cambria Math" w:eastAsia="宋体"/>
                      <w:i/>
                      <w:kern w:val="2"/>
                      <w:sz w:val="20"/>
                      <w:szCs w:val="20"/>
                      <w:lang w:eastAsia="zh-CN"/>
                    </w:rPr>
                  </m:ctrlPr>
                </m:e>
              </m:d>
            </m:oMath>
            <w:r>
              <w:rPr>
                <w:rFonts w:eastAsia="宋体"/>
                <w:kern w:val="2"/>
                <w:sz w:val="20"/>
                <w:szCs w:val="20"/>
                <w:lang w:eastAsia="zh-CN"/>
              </w:rPr>
              <w:t xml:space="preserve"> as either or the combinations have exactly the same BD and CCE budget. As such, it seems to be more accurate to specify that, for </w:t>
            </w:r>
            <m:oMath>
              <m:r>
                <w:rPr>
                  <w:rFonts w:ascii="Cambria Math" w:hAnsi="Cambria Math" w:eastAsia="宋体"/>
                  <w:kern w:val="2"/>
                  <w:sz w:val="20"/>
                  <w:szCs w:val="20"/>
                  <w:lang w:eastAsia="zh-CN"/>
                </w:rPr>
                <m:t>μ</m:t>
              </m:r>
              <m:r>
                <m:rPr>
                  <m:sty m:val="p"/>
                </m:rPr>
                <w:rPr>
                  <w:rFonts w:ascii="Cambria Math" w:hAnsi="Cambria Math" w:eastAsia="宋体"/>
                  <w:kern w:val="2"/>
                  <w:sz w:val="20"/>
                  <w:szCs w:val="20"/>
                  <w:lang w:eastAsia="zh-CN"/>
                </w:rPr>
                <m:t>=5</m:t>
              </m:r>
            </m:oMath>
            <w:r>
              <w:rPr>
                <w:rFonts w:eastAsia="宋体"/>
                <w:kern w:val="2"/>
                <w:sz w:val="20"/>
                <w:szCs w:val="20"/>
                <w:lang w:eastAsia="zh-CN"/>
              </w:rPr>
              <w:t xml:space="preserve">, RRC_IDLE UE or a UE during initial access (i.e., when </w:t>
            </w:r>
            <w:r>
              <w:rPr>
                <w:rFonts w:eastAsia="宋体"/>
                <w:i/>
                <w:kern w:val="2"/>
                <w:sz w:val="20"/>
                <w:szCs w:val="20"/>
                <w:lang w:eastAsia="zh-CN"/>
              </w:rPr>
              <w:t>monitoringCapabilityConfig</w:t>
            </w:r>
            <w:r>
              <w:rPr>
                <w:rFonts w:eastAsia="宋体"/>
                <w:kern w:val="2"/>
                <w:sz w:val="20"/>
                <w:szCs w:val="20"/>
                <w:lang w:eastAsia="zh-CN"/>
              </w:rPr>
              <w:t xml:space="preserve"> is not provided) monitors PDCCH on the serving cell for a maximum number of PDCCH candidates and non-overlapping CCEs according to </w:t>
            </w:r>
            <m:oMath>
              <m:sSub>
                <m:sSubPr>
                  <m:ctrlPr>
                    <w:rPr>
                      <w:rFonts w:ascii="Cambria Math" w:hAnsi="Cambria Math" w:eastAsia="宋体"/>
                      <w:i/>
                      <w:kern w:val="2"/>
                      <w:sz w:val="20"/>
                      <w:szCs w:val="20"/>
                      <w:lang w:eastAsia="zh-CN"/>
                    </w:rPr>
                  </m:ctrlPr>
                </m:sSubPr>
                <m:e>
                  <m:r>
                    <w:rPr>
                      <w:rFonts w:ascii="Cambria Math" w:hAnsi="Cambria Math" w:eastAsia="宋体"/>
                      <w:kern w:val="2"/>
                      <w:sz w:val="20"/>
                      <w:szCs w:val="20"/>
                      <w:lang w:eastAsia="zh-CN"/>
                    </w:rPr>
                    <m:t>X</m:t>
                  </m:r>
                  <m:ctrlPr>
                    <w:rPr>
                      <w:rFonts w:ascii="Cambria Math" w:hAnsi="Cambria Math" w:eastAsia="宋体"/>
                      <w:i/>
                      <w:kern w:val="2"/>
                      <w:sz w:val="20"/>
                      <w:szCs w:val="20"/>
                      <w:lang w:eastAsia="zh-CN"/>
                    </w:rPr>
                  </m:ctrlPr>
                </m:e>
                <m:sub>
                  <m:r>
                    <w:rPr>
                      <w:rFonts w:ascii="Cambria Math" w:hAnsi="Cambria Math" w:eastAsia="宋体"/>
                      <w:kern w:val="2"/>
                      <w:sz w:val="20"/>
                      <w:szCs w:val="20"/>
                      <w:lang w:eastAsia="zh-CN"/>
                    </w:rPr>
                    <m:t>s</m:t>
                  </m:r>
                  <m:ctrlPr>
                    <w:rPr>
                      <w:rFonts w:ascii="Cambria Math" w:hAnsi="Cambria Math" w:eastAsia="宋体"/>
                      <w:i/>
                      <w:kern w:val="2"/>
                      <w:sz w:val="20"/>
                      <w:szCs w:val="20"/>
                      <w:lang w:eastAsia="zh-CN"/>
                    </w:rPr>
                  </m:ctrlPr>
                </m:sub>
              </m:sSub>
              <m:r>
                <m:rPr>
                  <m:sty m:val="p"/>
                </m:rPr>
                <w:rPr>
                  <w:rFonts w:ascii="Cambria Math" w:hAnsi="Cambria Math" w:eastAsia="宋体"/>
                  <w:kern w:val="2"/>
                  <w:sz w:val="20"/>
                  <w:szCs w:val="20"/>
                  <w:lang w:eastAsia="zh-CN"/>
                </w:rPr>
                <m:t>=4</m:t>
              </m:r>
            </m:oMath>
            <w:r>
              <w:rPr>
                <w:rFonts w:eastAsia="宋体"/>
                <w:kern w:val="2"/>
                <w:sz w:val="20"/>
                <w:szCs w:val="20"/>
                <w:lang w:eastAsia="zh-CN"/>
              </w:rPr>
              <w:t xml:space="preserve">. However, as a convention, it may be preferable to alternatively specify that, for </w:t>
            </w:r>
            <m:oMath>
              <m:r>
                <w:rPr>
                  <w:rFonts w:ascii="Cambria Math" w:hAnsi="Cambria Math" w:eastAsia="宋体"/>
                  <w:kern w:val="2"/>
                  <w:sz w:val="20"/>
                  <w:szCs w:val="20"/>
                  <w:lang w:eastAsia="zh-CN"/>
                </w:rPr>
                <m:t>μ</m:t>
              </m:r>
              <m:r>
                <m:rPr>
                  <m:sty m:val="p"/>
                </m:rPr>
                <w:rPr>
                  <w:rFonts w:ascii="Cambria Math" w:hAnsi="Cambria Math" w:eastAsia="宋体"/>
                  <w:kern w:val="2"/>
                  <w:sz w:val="20"/>
                  <w:szCs w:val="20"/>
                  <w:lang w:eastAsia="zh-CN"/>
                </w:rPr>
                <m:t>=5</m:t>
              </m:r>
            </m:oMath>
            <w:r>
              <w:rPr>
                <w:rFonts w:eastAsia="宋体"/>
                <w:kern w:val="2"/>
                <w:sz w:val="20"/>
                <w:szCs w:val="20"/>
                <w:lang w:eastAsia="zh-CN"/>
              </w:rPr>
              <w:t xml:space="preserve">, RRC_IDLE UE or a UE during initial access (i.e., when </w:t>
            </w:r>
            <w:r>
              <w:rPr>
                <w:rFonts w:eastAsia="宋体"/>
                <w:i/>
                <w:kern w:val="2"/>
                <w:sz w:val="20"/>
                <w:szCs w:val="20"/>
                <w:lang w:eastAsia="zh-CN"/>
              </w:rPr>
              <w:t>monitoringCapabilityConfig</w:t>
            </w:r>
            <w:r>
              <w:rPr>
                <w:rFonts w:eastAsia="宋体"/>
                <w:kern w:val="2"/>
                <w:sz w:val="20"/>
                <w:szCs w:val="20"/>
                <w:lang w:eastAsia="zh-CN"/>
              </w:rPr>
              <w:t xml:space="preserve"> is not provided) monitors PDCCH on the serving cell for a maximum number of PDCCH candidates and non-overlapping CCEs according to combination</w:t>
            </w:r>
            <m:oMath>
              <m:d>
                <m:dPr>
                  <m:ctrlPr>
                    <w:rPr>
                      <w:rFonts w:ascii="Cambria Math" w:hAnsi="Cambria Math" w:eastAsia="宋体"/>
                      <w:kern w:val="2"/>
                      <w:sz w:val="20"/>
                      <w:szCs w:val="20"/>
                      <w:lang w:eastAsia="zh-CN"/>
                    </w:rPr>
                  </m:ctrlPr>
                </m:dPr>
                <m:e>
                  <m:sSub>
                    <m:sSubPr>
                      <m:ctrlPr>
                        <w:rPr>
                          <w:rFonts w:ascii="Cambria Math" w:hAnsi="Cambria Math" w:eastAsia="宋体"/>
                          <w:kern w:val="2"/>
                          <w:sz w:val="20"/>
                          <w:szCs w:val="20"/>
                          <w:lang w:eastAsia="zh-CN"/>
                        </w:rPr>
                      </m:ctrlPr>
                    </m:sSubPr>
                    <m:e>
                      <m:r>
                        <w:rPr>
                          <w:rFonts w:ascii="Cambria Math" w:hAnsi="Cambria Math" w:eastAsia="宋体"/>
                          <w:kern w:val="2"/>
                          <w:sz w:val="20"/>
                          <w:szCs w:val="20"/>
                          <w:lang w:eastAsia="zh-CN"/>
                        </w:rPr>
                        <m:t>X</m:t>
                      </m:r>
                      <m:ctrlPr>
                        <w:rPr>
                          <w:rFonts w:ascii="Cambria Math" w:hAnsi="Cambria Math" w:eastAsia="宋体"/>
                          <w:kern w:val="2"/>
                          <w:sz w:val="20"/>
                          <w:szCs w:val="20"/>
                          <w:lang w:eastAsia="zh-CN"/>
                        </w:rPr>
                      </m:ctrlPr>
                    </m:e>
                    <m:sub>
                      <m:r>
                        <w:rPr>
                          <w:rFonts w:ascii="Cambria Math" w:hAnsi="Cambria Math" w:eastAsia="宋体"/>
                          <w:kern w:val="2"/>
                          <w:sz w:val="20"/>
                          <w:szCs w:val="20"/>
                          <w:lang w:eastAsia="zh-CN"/>
                        </w:rPr>
                        <m:t>s</m:t>
                      </m:r>
                      <m:ctrlPr>
                        <w:rPr>
                          <w:rFonts w:ascii="Cambria Math" w:hAnsi="Cambria Math" w:eastAsia="宋体"/>
                          <w:kern w:val="2"/>
                          <w:sz w:val="20"/>
                          <w:szCs w:val="20"/>
                          <w:lang w:eastAsia="zh-CN"/>
                        </w:rPr>
                      </m:ctrlPr>
                    </m:sub>
                  </m:sSub>
                  <m:r>
                    <m:rPr>
                      <m:sty m:val="p"/>
                    </m:rPr>
                    <w:rPr>
                      <w:rFonts w:ascii="Cambria Math" w:hAnsi="Cambria Math" w:eastAsia="宋体"/>
                      <w:kern w:val="2"/>
                      <w:sz w:val="20"/>
                      <w:szCs w:val="20"/>
                      <w:lang w:eastAsia="zh-CN"/>
                    </w:rPr>
                    <m:t>,</m:t>
                  </m:r>
                  <m:sSub>
                    <m:sSubPr>
                      <m:ctrlPr>
                        <w:rPr>
                          <w:rFonts w:ascii="Cambria Math" w:hAnsi="Cambria Math" w:eastAsia="宋体"/>
                          <w:kern w:val="2"/>
                          <w:sz w:val="20"/>
                          <w:szCs w:val="20"/>
                          <w:lang w:eastAsia="zh-CN"/>
                        </w:rPr>
                      </m:ctrlPr>
                    </m:sSubPr>
                    <m:e>
                      <m:r>
                        <w:rPr>
                          <w:rFonts w:ascii="Cambria Math" w:hAnsi="Cambria Math" w:eastAsia="宋体"/>
                          <w:kern w:val="2"/>
                          <w:sz w:val="20"/>
                          <w:szCs w:val="20"/>
                          <w:lang w:eastAsia="zh-CN"/>
                        </w:rPr>
                        <m:t>Y</m:t>
                      </m:r>
                      <m:ctrlPr>
                        <w:rPr>
                          <w:rFonts w:ascii="Cambria Math" w:hAnsi="Cambria Math" w:eastAsia="宋体"/>
                          <w:kern w:val="2"/>
                          <w:sz w:val="20"/>
                          <w:szCs w:val="20"/>
                          <w:lang w:eastAsia="zh-CN"/>
                        </w:rPr>
                      </m:ctrlPr>
                    </m:e>
                    <m:sub>
                      <m:r>
                        <w:rPr>
                          <w:rFonts w:ascii="Cambria Math" w:hAnsi="Cambria Math" w:eastAsia="宋体"/>
                          <w:kern w:val="2"/>
                          <w:sz w:val="20"/>
                          <w:szCs w:val="20"/>
                          <w:lang w:eastAsia="zh-CN"/>
                        </w:rPr>
                        <m:t>s</m:t>
                      </m:r>
                      <m:ctrlPr>
                        <w:rPr>
                          <w:rFonts w:ascii="Cambria Math" w:hAnsi="Cambria Math" w:eastAsia="宋体"/>
                          <w:kern w:val="2"/>
                          <w:sz w:val="20"/>
                          <w:szCs w:val="20"/>
                          <w:lang w:eastAsia="zh-CN"/>
                        </w:rPr>
                      </m:ctrlPr>
                    </m:sub>
                  </m:sSub>
                  <m:ctrlPr>
                    <w:rPr>
                      <w:rFonts w:ascii="Cambria Math" w:hAnsi="Cambria Math" w:eastAsia="宋体"/>
                      <w:kern w:val="2"/>
                      <w:sz w:val="20"/>
                      <w:szCs w:val="20"/>
                      <w:lang w:eastAsia="zh-CN"/>
                    </w:rPr>
                  </m:ctrlPr>
                </m:e>
              </m:d>
              <m:r>
                <m:rPr>
                  <m:sty m:val="p"/>
                </m:rPr>
                <w:rPr>
                  <w:rFonts w:ascii="Cambria Math" w:hAnsi="Cambria Math" w:eastAsia="宋体"/>
                  <w:kern w:val="2"/>
                  <w:sz w:val="20"/>
                  <w:szCs w:val="20"/>
                  <w:lang w:eastAsia="zh-CN"/>
                </w:rPr>
                <m:t>=</m:t>
              </m:r>
              <m:d>
                <m:dPr>
                  <m:ctrlPr>
                    <w:rPr>
                      <w:rFonts w:ascii="Cambria Math" w:hAnsi="Cambria Math" w:eastAsia="宋体"/>
                      <w:kern w:val="2"/>
                      <w:sz w:val="20"/>
                      <w:szCs w:val="20"/>
                      <w:lang w:eastAsia="zh-CN"/>
                    </w:rPr>
                  </m:ctrlPr>
                </m:dPr>
                <m:e>
                  <m:r>
                    <m:rPr>
                      <m:sty m:val="p"/>
                    </m:rPr>
                    <w:rPr>
                      <w:rFonts w:ascii="Cambria Math" w:hAnsi="Cambria Math" w:eastAsia="宋体"/>
                      <w:kern w:val="2"/>
                      <w:sz w:val="20"/>
                      <w:szCs w:val="20"/>
                      <w:lang w:eastAsia="zh-CN"/>
                    </w:rPr>
                    <m:t>4,1</m:t>
                  </m:r>
                  <m:ctrlPr>
                    <w:rPr>
                      <w:rFonts w:ascii="Cambria Math" w:hAnsi="Cambria Math" w:eastAsia="宋体"/>
                      <w:kern w:val="2"/>
                      <w:sz w:val="20"/>
                      <w:szCs w:val="20"/>
                      <w:lang w:eastAsia="zh-CN"/>
                    </w:rPr>
                  </m:ctrlPr>
                </m:e>
              </m:d>
            </m:oMath>
            <w:r>
              <w:rPr>
                <w:rFonts w:eastAsia="宋体"/>
                <w:kern w:val="2"/>
                <w:sz w:val="20"/>
                <w:szCs w:val="20"/>
                <w:lang w:eastAsia="zh-CN"/>
              </w:rPr>
              <w:t xml:space="preserve"> simply because combination </w:t>
            </w:r>
            <m:oMath>
              <m:d>
                <m:dPr>
                  <m:ctrlPr>
                    <w:rPr>
                      <w:rFonts w:ascii="Cambria Math" w:hAnsi="Cambria Math" w:eastAsia="宋体"/>
                      <w:kern w:val="2"/>
                      <w:sz w:val="20"/>
                      <w:szCs w:val="20"/>
                      <w:lang w:eastAsia="zh-CN"/>
                    </w:rPr>
                  </m:ctrlPr>
                </m:dPr>
                <m:e>
                  <m:sSub>
                    <m:sSubPr>
                      <m:ctrlPr>
                        <w:rPr>
                          <w:rFonts w:ascii="Cambria Math" w:hAnsi="Cambria Math" w:eastAsia="宋体"/>
                          <w:kern w:val="2"/>
                          <w:sz w:val="20"/>
                          <w:szCs w:val="20"/>
                          <w:lang w:eastAsia="zh-CN"/>
                        </w:rPr>
                      </m:ctrlPr>
                    </m:sSubPr>
                    <m:e>
                      <m:r>
                        <w:rPr>
                          <w:rFonts w:ascii="Cambria Math" w:hAnsi="Cambria Math" w:eastAsia="宋体"/>
                          <w:kern w:val="2"/>
                          <w:sz w:val="20"/>
                          <w:szCs w:val="20"/>
                          <w:lang w:eastAsia="zh-CN"/>
                        </w:rPr>
                        <m:t>X</m:t>
                      </m:r>
                      <m:ctrlPr>
                        <w:rPr>
                          <w:rFonts w:ascii="Cambria Math" w:hAnsi="Cambria Math" w:eastAsia="宋体"/>
                          <w:kern w:val="2"/>
                          <w:sz w:val="20"/>
                          <w:szCs w:val="20"/>
                          <w:lang w:eastAsia="zh-CN"/>
                        </w:rPr>
                      </m:ctrlPr>
                    </m:e>
                    <m:sub>
                      <m:r>
                        <w:rPr>
                          <w:rFonts w:ascii="Cambria Math" w:hAnsi="Cambria Math" w:eastAsia="宋体"/>
                          <w:kern w:val="2"/>
                          <w:sz w:val="20"/>
                          <w:szCs w:val="20"/>
                          <w:lang w:eastAsia="zh-CN"/>
                        </w:rPr>
                        <m:t>s</m:t>
                      </m:r>
                      <m:ctrlPr>
                        <w:rPr>
                          <w:rFonts w:ascii="Cambria Math" w:hAnsi="Cambria Math" w:eastAsia="宋体"/>
                          <w:kern w:val="2"/>
                          <w:sz w:val="20"/>
                          <w:szCs w:val="20"/>
                          <w:lang w:eastAsia="zh-CN"/>
                        </w:rPr>
                      </m:ctrlPr>
                    </m:sub>
                  </m:sSub>
                  <m:r>
                    <m:rPr>
                      <m:sty m:val="p"/>
                    </m:rPr>
                    <w:rPr>
                      <w:rFonts w:ascii="Cambria Math" w:hAnsi="Cambria Math" w:eastAsia="宋体"/>
                      <w:kern w:val="2"/>
                      <w:sz w:val="20"/>
                      <w:szCs w:val="20"/>
                      <w:lang w:eastAsia="zh-CN"/>
                    </w:rPr>
                    <m:t>,</m:t>
                  </m:r>
                  <m:sSub>
                    <m:sSubPr>
                      <m:ctrlPr>
                        <w:rPr>
                          <w:rFonts w:ascii="Cambria Math" w:hAnsi="Cambria Math" w:eastAsia="宋体"/>
                          <w:kern w:val="2"/>
                          <w:sz w:val="20"/>
                          <w:szCs w:val="20"/>
                          <w:lang w:eastAsia="zh-CN"/>
                        </w:rPr>
                      </m:ctrlPr>
                    </m:sSubPr>
                    <m:e>
                      <m:r>
                        <w:rPr>
                          <w:rFonts w:ascii="Cambria Math" w:hAnsi="Cambria Math" w:eastAsia="宋体"/>
                          <w:kern w:val="2"/>
                          <w:sz w:val="20"/>
                          <w:szCs w:val="20"/>
                          <w:lang w:eastAsia="zh-CN"/>
                        </w:rPr>
                        <m:t>Y</m:t>
                      </m:r>
                      <m:ctrlPr>
                        <w:rPr>
                          <w:rFonts w:ascii="Cambria Math" w:hAnsi="Cambria Math" w:eastAsia="宋体"/>
                          <w:kern w:val="2"/>
                          <w:sz w:val="20"/>
                          <w:szCs w:val="20"/>
                          <w:lang w:eastAsia="zh-CN"/>
                        </w:rPr>
                      </m:ctrlPr>
                    </m:e>
                    <m:sub>
                      <m:r>
                        <w:rPr>
                          <w:rFonts w:ascii="Cambria Math" w:hAnsi="Cambria Math" w:eastAsia="宋体"/>
                          <w:kern w:val="2"/>
                          <w:sz w:val="20"/>
                          <w:szCs w:val="20"/>
                          <w:lang w:eastAsia="zh-CN"/>
                        </w:rPr>
                        <m:t>s</m:t>
                      </m:r>
                      <m:ctrlPr>
                        <w:rPr>
                          <w:rFonts w:ascii="Cambria Math" w:hAnsi="Cambria Math" w:eastAsia="宋体"/>
                          <w:kern w:val="2"/>
                          <w:sz w:val="20"/>
                          <w:szCs w:val="20"/>
                          <w:lang w:eastAsia="zh-CN"/>
                        </w:rPr>
                      </m:ctrlPr>
                    </m:sub>
                  </m:sSub>
                  <m:ctrlPr>
                    <w:rPr>
                      <w:rFonts w:ascii="Cambria Math" w:hAnsi="Cambria Math" w:eastAsia="宋体"/>
                      <w:kern w:val="2"/>
                      <w:sz w:val="20"/>
                      <w:szCs w:val="20"/>
                      <w:lang w:eastAsia="zh-CN"/>
                    </w:rPr>
                  </m:ctrlPr>
                </m:e>
              </m:d>
              <m:r>
                <m:rPr>
                  <m:sty m:val="p"/>
                </m:rPr>
                <w:rPr>
                  <w:rFonts w:ascii="Cambria Math" w:hAnsi="Cambria Math" w:eastAsia="宋体"/>
                  <w:kern w:val="2"/>
                  <w:sz w:val="20"/>
                  <w:szCs w:val="20"/>
                  <w:lang w:eastAsia="zh-CN"/>
                </w:rPr>
                <m:t>=</m:t>
              </m:r>
              <m:d>
                <m:dPr>
                  <m:ctrlPr>
                    <w:rPr>
                      <w:rFonts w:ascii="Cambria Math" w:hAnsi="Cambria Math" w:eastAsia="宋体"/>
                      <w:kern w:val="2"/>
                      <w:sz w:val="20"/>
                      <w:szCs w:val="20"/>
                      <w:lang w:eastAsia="zh-CN"/>
                    </w:rPr>
                  </m:ctrlPr>
                </m:dPr>
                <m:e>
                  <m:r>
                    <m:rPr>
                      <m:sty m:val="p"/>
                    </m:rPr>
                    <w:rPr>
                      <w:rFonts w:ascii="Cambria Math" w:hAnsi="Cambria Math" w:eastAsia="宋体"/>
                      <w:kern w:val="2"/>
                      <w:sz w:val="20"/>
                      <w:szCs w:val="20"/>
                      <w:lang w:eastAsia="zh-CN"/>
                    </w:rPr>
                    <m:t>4,1</m:t>
                  </m:r>
                  <m:ctrlPr>
                    <w:rPr>
                      <w:rFonts w:ascii="Cambria Math" w:hAnsi="Cambria Math" w:eastAsia="宋体"/>
                      <w:kern w:val="2"/>
                      <w:sz w:val="20"/>
                      <w:szCs w:val="20"/>
                      <w:lang w:eastAsia="zh-CN"/>
                    </w:rPr>
                  </m:ctrlPr>
                </m:e>
              </m:d>
            </m:oMath>
            <w:r>
              <w:rPr>
                <w:rFonts w:eastAsia="宋体"/>
                <w:kern w:val="2"/>
                <w:sz w:val="20"/>
                <w:szCs w:val="20"/>
                <w:lang w:eastAsia="zh-CN"/>
              </w:rPr>
              <w:t xml:space="preserve"> is mandatorily supported.</w:t>
            </w:r>
          </w:p>
          <w:p>
            <w:pPr>
              <w:widowControl w:val="0"/>
              <w:autoSpaceDE/>
              <w:autoSpaceDN/>
              <w:adjustRightInd/>
              <w:spacing w:before="120" w:beforeLines="50" w:afterLines="50" w:line="240" w:lineRule="auto"/>
              <w:jc w:val="both"/>
              <w:rPr>
                <w:rFonts w:eastAsia="宋体"/>
                <w:kern w:val="2"/>
                <w:sz w:val="20"/>
                <w:szCs w:val="20"/>
                <w:lang w:eastAsia="zh-CN"/>
              </w:rPr>
            </w:pPr>
            <w:r>
              <w:rPr>
                <w:rFonts w:eastAsia="宋体"/>
                <w:kern w:val="2"/>
                <w:sz w:val="20"/>
                <w:szCs w:val="20"/>
                <w:lang w:eastAsia="zh-CN"/>
              </w:rPr>
              <w:t xml:space="preserve">Further, in our view, it should be clarified for </w:t>
            </w:r>
            <m:oMath>
              <m:r>
                <w:rPr>
                  <w:rFonts w:ascii="Cambria Math" w:hAnsi="Cambria Math" w:eastAsia="宋体"/>
                  <w:kern w:val="2"/>
                  <w:sz w:val="20"/>
                  <w:szCs w:val="20"/>
                  <w:lang w:eastAsia="zh-CN"/>
                </w:rPr>
                <m:t>μ</m:t>
              </m:r>
              <m:r>
                <m:rPr>
                  <m:sty m:val="p"/>
                </m:rPr>
                <w:rPr>
                  <w:rFonts w:ascii="Cambria Math" w:hAnsi="Cambria Math" w:eastAsia="宋体"/>
                  <w:kern w:val="2"/>
                  <w:sz w:val="20"/>
                  <w:szCs w:val="20"/>
                  <w:lang w:eastAsia="zh-CN"/>
                </w:rPr>
                <m:t>∈</m:t>
              </m:r>
              <m:d>
                <m:dPr>
                  <m:begChr m:val="{"/>
                  <m:endChr m:val="}"/>
                  <m:ctrlPr>
                    <w:rPr>
                      <w:rFonts w:ascii="Cambria Math" w:hAnsi="Cambria Math" w:eastAsia="宋体"/>
                      <w:kern w:val="2"/>
                      <w:sz w:val="20"/>
                      <w:szCs w:val="20"/>
                      <w:lang w:eastAsia="zh-CN"/>
                    </w:rPr>
                  </m:ctrlPr>
                </m:dPr>
                <m:e>
                  <m:r>
                    <m:rPr>
                      <m:sty m:val="p"/>
                    </m:rPr>
                    <w:rPr>
                      <w:rFonts w:ascii="Cambria Math" w:hAnsi="Cambria Math" w:eastAsia="宋体"/>
                      <w:kern w:val="2"/>
                      <w:sz w:val="20"/>
                      <w:szCs w:val="20"/>
                      <w:lang w:eastAsia="zh-CN"/>
                    </w:rPr>
                    <m:t>5,6</m:t>
                  </m:r>
                  <m:ctrlPr>
                    <w:rPr>
                      <w:rFonts w:ascii="Cambria Math" w:hAnsi="Cambria Math" w:eastAsia="宋体"/>
                      <w:kern w:val="2"/>
                      <w:sz w:val="20"/>
                      <w:szCs w:val="20"/>
                      <w:lang w:eastAsia="zh-CN"/>
                    </w:rPr>
                  </m:ctrlPr>
                </m:e>
              </m:d>
            </m:oMath>
            <w:r>
              <w:rPr>
                <w:rFonts w:eastAsia="宋体"/>
                <w:kern w:val="2"/>
                <w:sz w:val="20"/>
                <w:szCs w:val="20"/>
                <w:lang w:eastAsia="zh-CN"/>
              </w:rPr>
              <w:t xml:space="preserve"> that an RRC_CONNECTED UE is expected to be provided with </w:t>
            </w:r>
            <w:r>
              <w:rPr>
                <w:rFonts w:eastAsia="宋体"/>
                <w:i/>
                <w:kern w:val="2"/>
                <w:sz w:val="20"/>
                <w:szCs w:val="20"/>
                <w:lang w:eastAsia="zh-CN"/>
              </w:rPr>
              <w:t>monitoringCapabilityConfig=</w:t>
            </w:r>
            <w:r>
              <w:rPr>
                <w:rFonts w:eastAsia="宋体"/>
                <w:kern w:val="2"/>
                <w:sz w:val="20"/>
                <w:szCs w:val="20"/>
                <w:lang w:eastAsia="zh-CN"/>
              </w:rPr>
              <w:t xml:space="preserve"> r17monitoringcapability so the UE does not fall back to its default monitoring mode during RRC_CONNECTED state. </w:t>
            </w:r>
          </w:p>
          <w:p>
            <w:pPr>
              <w:widowControl w:val="0"/>
              <w:autoSpaceDE/>
              <w:autoSpaceDN/>
              <w:adjustRightInd/>
              <w:spacing w:before="120" w:beforeLines="50" w:afterLines="50" w:line="240" w:lineRule="auto"/>
              <w:jc w:val="both"/>
              <w:rPr>
                <w:rFonts w:eastAsia="宋体"/>
                <w:kern w:val="2"/>
                <w:sz w:val="20"/>
                <w:szCs w:val="20"/>
                <w:lang w:eastAsia="zh-CN"/>
              </w:rPr>
            </w:pPr>
            <w:r>
              <w:rPr>
                <w:rFonts w:eastAsia="宋体"/>
                <w:kern w:val="2"/>
                <w:sz w:val="20"/>
                <w:szCs w:val="20"/>
                <w:lang w:eastAsia="zh-CN"/>
              </w:rPr>
              <w:t xml:space="preserve">As such, we suggest the following alternative TP (we are open to change </w:t>
            </w:r>
            <w:r>
              <w:rPr>
                <w:rFonts w:eastAsia="宋体"/>
                <w:kern w:val="2"/>
                <w:sz w:val="20"/>
                <w:szCs w:val="20"/>
                <w:highlight w:val="cyan"/>
                <w:lang w:eastAsia="zh-CN"/>
              </w:rPr>
              <w:t>“a serving cell”</w:t>
            </w:r>
            <w:r>
              <w:rPr>
                <w:rFonts w:eastAsia="宋体"/>
                <w:kern w:val="2"/>
                <w:sz w:val="20"/>
                <w:szCs w:val="20"/>
                <w:lang w:eastAsia="zh-CN"/>
              </w:rPr>
              <w:t xml:space="preserve"> to </w:t>
            </w:r>
            <w:r>
              <w:rPr>
                <w:rFonts w:eastAsia="宋体"/>
                <w:kern w:val="2"/>
                <w:sz w:val="20"/>
                <w:szCs w:val="20"/>
                <w:highlight w:val="cyan"/>
                <w:lang w:eastAsia="zh-CN"/>
              </w:rPr>
              <w:t>“active DL BWP of a serving cell”</w:t>
            </w:r>
            <w:r>
              <w:rPr>
                <w:rFonts w:eastAsia="宋体"/>
                <w:kern w:val="2"/>
                <w:sz w:val="20"/>
                <w:szCs w:val="20"/>
                <w:lang w:eastAsia="zh-CN"/>
              </w:rPr>
              <w:t xml:space="preserve"> if such a change has the majority support alothough we don’t believe that such a change is essential):</w:t>
            </w:r>
          </w:p>
          <w:p>
            <w:pPr>
              <w:widowControl w:val="0"/>
              <w:autoSpaceDE/>
              <w:autoSpaceDN/>
              <w:adjustRightInd/>
              <w:spacing w:before="120" w:beforeLines="50" w:afterLines="50" w:line="240" w:lineRule="auto"/>
              <w:jc w:val="both"/>
              <w:rPr>
                <w:rFonts w:eastAsia="宋体"/>
                <w:kern w:val="2"/>
                <w:sz w:val="20"/>
                <w:szCs w:val="20"/>
                <w:lang w:eastAsia="zh-CN"/>
              </w:rPr>
            </w:pPr>
          </w:p>
          <w:tbl>
            <w:tblPr>
              <w:tblStyle w:val="5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9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1950" w:type="dxa"/>
                  <w:vAlign w:val="center"/>
                </w:tcPr>
                <w:p>
                  <w:pPr>
                    <w:widowControl w:val="0"/>
                    <w:jc w:val="center"/>
                    <w:rPr>
                      <w:color w:val="FF0000"/>
                      <w:sz w:val="20"/>
                      <w:szCs w:val="20"/>
                      <w:lang w:eastAsia="zh-CN"/>
                    </w:rPr>
                  </w:pPr>
                  <w:r>
                    <w:rPr>
                      <w:color w:val="FF0000"/>
                      <w:sz w:val="20"/>
                      <w:szCs w:val="20"/>
                      <w:lang w:eastAsia="zh-CN"/>
                    </w:rPr>
                    <w:t>*** Unchanged text is omitted ***</w:t>
                  </w:r>
                </w:p>
                <w:p>
                  <w:pPr>
                    <w:widowControl w:val="0"/>
                    <w:rPr>
                      <w:sz w:val="20"/>
                      <w:szCs w:val="20"/>
                      <w:lang w:eastAsia="zh-CN"/>
                    </w:rPr>
                  </w:pPr>
                  <w:r>
                    <w:rPr>
                      <w:sz w:val="20"/>
                      <w:szCs w:val="20"/>
                      <w:lang w:eastAsia="zh-CN"/>
                    </w:rPr>
                    <w:t xml:space="preserve">If a UE is provided </w:t>
                  </w:r>
                  <w:r>
                    <w:rPr>
                      <w:i/>
                      <w:sz w:val="20"/>
                      <w:szCs w:val="20"/>
                      <w:lang w:eastAsia="zh-CN"/>
                    </w:rPr>
                    <w:t>monitoringCapabilityConfig</w:t>
                  </w:r>
                  <w:r>
                    <w:rPr>
                      <w:sz w:val="20"/>
                      <w:szCs w:val="20"/>
                      <w:lang w:eastAsia="zh-CN"/>
                    </w:rPr>
                    <w:t xml:space="preserve"> for a serving cell, the UE obtains an indication to monitor PDCCH on the serving cell for a maximum number of PDCCH candidates and non-overlapping CCEs</w:t>
                  </w:r>
                </w:p>
                <w:p>
                  <w:pPr>
                    <w:pStyle w:val="285"/>
                    <w:numPr>
                      <w:ilvl w:val="0"/>
                      <w:numId w:val="25"/>
                    </w:numPr>
                    <w:autoSpaceDE w:val="0"/>
                    <w:autoSpaceDN w:val="0"/>
                    <w:adjustRightInd w:val="0"/>
                    <w:snapToGrid w:val="0"/>
                    <w:spacing w:before="120" w:after="120"/>
                    <w:ind w:right="680"/>
                    <w:jc w:val="both"/>
                    <w:rPr>
                      <w:rStyle w:val="67"/>
                      <w:rFonts w:ascii="Times New Roman" w:hAnsi="Times New Roman" w:cs="Times New Roman"/>
                      <w:i w:val="0"/>
                      <w:color w:val="000000"/>
                      <w:sz w:val="20"/>
                      <w:szCs w:val="20"/>
                      <w14:textFill>
                        <w14:solidFill>
                          <w14:srgbClr w14:val="000000">
                            <w14:lumMod w14:val="75000"/>
                            <w14:lumOff w14:val="25000"/>
                          </w14:srgbClr>
                        </w14:solidFill>
                      </w14:textFill>
                    </w:rPr>
                  </w:pPr>
                  <w:r>
                    <w:rPr>
                      <w:rStyle w:val="67"/>
                      <w:rFonts w:ascii="Times New Roman" w:hAnsi="Times New Roman" w:cs="Times New Roman"/>
                      <w:i w:val="0"/>
                      <w:color w:val="000000"/>
                      <w:sz w:val="20"/>
                      <w:szCs w:val="20"/>
                      <w14:textFill>
                        <w14:solidFill>
                          <w14:srgbClr w14:val="000000">
                            <w14:lumMod w14:val="75000"/>
                            <w14:lumOff w14:val="25000"/>
                          </w14:srgbClr>
                        </w14:solidFill>
                      </w14:textFill>
                    </w:rPr>
                    <w:t xml:space="preserve">per slot, as in Tables 10.1-2 and 10.1-3, if </w:t>
                  </w:r>
                  <w:r>
                    <w:rPr>
                      <w:rStyle w:val="67"/>
                      <w:rFonts w:ascii="Times New Roman" w:hAnsi="Times New Roman" w:cs="Times New Roman"/>
                      <w:color w:val="000000"/>
                      <w:sz w:val="20"/>
                      <w:szCs w:val="20"/>
                      <w14:textFill>
                        <w14:solidFill>
                          <w14:srgbClr w14:val="000000">
                            <w14:lumMod w14:val="75000"/>
                            <w14:lumOff w14:val="25000"/>
                          </w14:srgbClr>
                        </w14:solidFill>
                      </w14:textFill>
                    </w:rPr>
                    <w:t>monitoringCapabilityConfig = r15monitoringcapability</w:t>
                  </w:r>
                  <w:r>
                    <w:rPr>
                      <w:rStyle w:val="67"/>
                      <w:rFonts w:ascii="Times New Roman" w:hAnsi="Times New Roman" w:cs="Times New Roman"/>
                      <w:i w:val="0"/>
                      <w:color w:val="000000"/>
                      <w:sz w:val="20"/>
                      <w:szCs w:val="20"/>
                      <w14:textFill>
                        <w14:solidFill>
                          <w14:srgbClr w14:val="000000">
                            <w14:lumMod w14:val="75000"/>
                            <w14:lumOff w14:val="25000"/>
                          </w14:srgbClr>
                        </w14:solidFill>
                      </w14:textFill>
                    </w:rPr>
                    <w:t xml:space="preserve">, or </w:t>
                  </w:r>
                </w:p>
                <w:p>
                  <w:pPr>
                    <w:pStyle w:val="285"/>
                    <w:numPr>
                      <w:ilvl w:val="0"/>
                      <w:numId w:val="25"/>
                    </w:numPr>
                    <w:autoSpaceDE w:val="0"/>
                    <w:autoSpaceDN w:val="0"/>
                    <w:adjustRightInd w:val="0"/>
                    <w:snapToGrid w:val="0"/>
                    <w:spacing w:before="120" w:after="120"/>
                    <w:ind w:right="680"/>
                    <w:jc w:val="both"/>
                    <w:rPr>
                      <w:rStyle w:val="67"/>
                      <w:rFonts w:ascii="Times New Roman" w:hAnsi="Times New Roman" w:cs="Times New Roman"/>
                      <w:i w:val="0"/>
                      <w:color w:val="000000"/>
                      <w:sz w:val="20"/>
                      <w:szCs w:val="20"/>
                      <w14:textFill>
                        <w14:solidFill>
                          <w14:srgbClr w14:val="000000">
                            <w14:lumMod w14:val="75000"/>
                            <w14:lumOff w14:val="25000"/>
                          </w14:srgbClr>
                        </w14:solidFill>
                      </w14:textFill>
                    </w:rPr>
                  </w:pPr>
                  <w:r>
                    <w:rPr>
                      <w:rFonts w:ascii="Times New Roman" w:hAnsi="Times New Roman" w:cs="Times New Roman"/>
                      <w:i w:val="0"/>
                      <w:color w:val="000000"/>
                      <w:sz w:val="20"/>
                      <w:szCs w:val="20"/>
                      <w14:textFill>
                        <w14:solidFill>
                          <w14:srgbClr w14:val="000000">
                            <w14:lumMod w14:val="75000"/>
                            <w14:lumOff w14:val="25000"/>
                          </w14:srgbClr>
                        </w14:solidFill>
                      </w14:textFill>
                    </w:rPr>
                    <w:t xml:space="preserve">per span, as in Tables 10.1-2A and 10.1-3A, if </w:t>
                  </w:r>
                  <w:r>
                    <w:rPr>
                      <w:rFonts w:ascii="Times New Roman" w:hAnsi="Times New Roman" w:cs="Times New Roman"/>
                      <w:color w:val="000000"/>
                      <w:sz w:val="20"/>
                      <w:szCs w:val="20"/>
                      <w14:textFill>
                        <w14:solidFill>
                          <w14:srgbClr w14:val="000000">
                            <w14:lumMod w14:val="75000"/>
                            <w14:lumOff w14:val="25000"/>
                          </w14:srgbClr>
                        </w14:solidFill>
                      </w14:textFill>
                    </w:rPr>
                    <w:t>monitoringCapabilityConfig = r16monitoringcapability</w:t>
                  </w:r>
                  <w:r>
                    <w:rPr>
                      <w:rStyle w:val="67"/>
                      <w:rFonts w:ascii="Times New Roman" w:hAnsi="Times New Roman" w:cs="Times New Roman"/>
                      <w:i w:val="0"/>
                      <w:color w:val="000000"/>
                      <w:sz w:val="20"/>
                      <w:szCs w:val="20"/>
                      <w14:textFill>
                        <w14:solidFill>
                          <w14:srgbClr w14:val="000000">
                            <w14:lumMod w14:val="75000"/>
                            <w14:lumOff w14:val="25000"/>
                          </w14:srgbClr>
                        </w14:solidFill>
                      </w14:textFill>
                    </w:rPr>
                    <w:t>, or</w:t>
                  </w:r>
                </w:p>
                <w:p>
                  <w:pPr>
                    <w:pStyle w:val="285"/>
                    <w:numPr>
                      <w:ilvl w:val="0"/>
                      <w:numId w:val="25"/>
                    </w:numPr>
                    <w:autoSpaceDE w:val="0"/>
                    <w:autoSpaceDN w:val="0"/>
                    <w:adjustRightInd w:val="0"/>
                    <w:snapToGrid w:val="0"/>
                    <w:spacing w:before="120" w:after="120"/>
                    <w:ind w:right="680"/>
                    <w:jc w:val="both"/>
                    <w:rPr>
                      <w:rStyle w:val="67"/>
                      <w:rFonts w:ascii="Times New Roman" w:hAnsi="Times New Roman" w:cs="Times New Roman"/>
                      <w:i w:val="0"/>
                      <w:color w:val="000000"/>
                      <w:sz w:val="20"/>
                      <w:szCs w:val="20"/>
                      <w14:textFill>
                        <w14:solidFill>
                          <w14:srgbClr w14:val="000000">
                            <w14:lumMod w14:val="75000"/>
                            <w14:lumOff w14:val="25000"/>
                          </w14:srgbClr>
                        </w14:solidFill>
                      </w14:textFill>
                    </w:rPr>
                  </w:pPr>
                  <w:r>
                    <w:rPr>
                      <w:rStyle w:val="67"/>
                      <w:rFonts w:ascii="Times New Roman" w:hAnsi="Times New Roman" w:cs="Times New Roman"/>
                      <w:i w:val="0"/>
                      <w:color w:val="000000"/>
                      <w:sz w:val="20"/>
                      <w:szCs w:val="20"/>
                      <w14:textFill>
                        <w14:solidFill>
                          <w14:srgbClr w14:val="000000">
                            <w14:lumMod w14:val="75000"/>
                            <w14:lumOff w14:val="25000"/>
                          </w14:srgbClr>
                        </w14:solidFill>
                      </w14:textFill>
                    </w:rPr>
                    <w:t xml:space="preserve">per group of </w:t>
                  </w:r>
                  <m:oMath>
                    <m:sSub>
                      <m:sSubPr>
                        <m:ctrlPr>
                          <w:rPr>
                            <w:rStyle w:val="67"/>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67"/>
                            <w:rFonts w:ascii="Cambria Math" w:hAnsi="Cambria Math" w:cs="Times New Roman"/>
                            <w:color w:val="000000"/>
                            <w:sz w:val="20"/>
                            <w:szCs w:val="20"/>
                            <w14:textFill>
                              <w14:solidFill>
                                <w14:srgbClr w14:val="000000">
                                  <w14:lumMod w14:val="75000"/>
                                  <w14:lumOff w14:val="25000"/>
                                </w14:srgbClr>
                              </w14:solidFill>
                            </w14:textFill>
                          </w:rPr>
                          <m:t>X</m:t>
                        </m:r>
                        <m:ctrlPr>
                          <w:rPr>
                            <w:rStyle w:val="67"/>
                            <w:rFonts w:ascii="Cambria Math" w:hAnsi="Cambria Math" w:cs="Times New Roman"/>
                            <w:color w:val="000000"/>
                            <w:sz w:val="20"/>
                            <w:szCs w:val="20"/>
                            <w14:textFill>
                              <w14:solidFill>
                                <w14:srgbClr w14:val="000000">
                                  <w14:lumMod w14:val="75000"/>
                                  <w14:lumOff w14:val="25000"/>
                                </w14:srgbClr>
                              </w14:solidFill>
                            </w14:textFill>
                          </w:rPr>
                        </m:ctrlPr>
                      </m:e>
                      <m:sub>
                        <m:r>
                          <w:rPr>
                            <w:rStyle w:val="67"/>
                            <w:rFonts w:ascii="Cambria Math" w:hAnsi="Cambria Math" w:cs="Times New Roman"/>
                            <w:color w:val="000000"/>
                            <w:sz w:val="20"/>
                            <w:szCs w:val="20"/>
                            <w14:textFill>
                              <w14:solidFill>
                                <w14:srgbClr w14:val="000000">
                                  <w14:lumMod w14:val="75000"/>
                                  <w14:lumOff w14:val="25000"/>
                                </w14:srgbClr>
                              </w14:solidFill>
                            </w14:textFill>
                          </w:rPr>
                          <m:t>s</m:t>
                        </m:r>
                        <m:ctrlPr>
                          <w:rPr>
                            <w:rStyle w:val="67"/>
                            <w:rFonts w:ascii="Cambria Math" w:hAnsi="Cambria Math" w:cs="Times New Roman"/>
                            <w:color w:val="000000"/>
                            <w:sz w:val="20"/>
                            <w:szCs w:val="20"/>
                            <w14:textFill>
                              <w14:solidFill>
                                <w14:srgbClr w14:val="000000">
                                  <w14:lumMod w14:val="75000"/>
                                  <w14:lumOff w14:val="25000"/>
                                </w14:srgbClr>
                              </w14:solidFill>
                            </w14:textFill>
                          </w:rPr>
                        </m:ctrlPr>
                      </m:sub>
                    </m:sSub>
                  </m:oMath>
                  <w:r>
                    <w:rPr>
                      <w:rStyle w:val="67"/>
                      <w:rFonts w:ascii="Times New Roman" w:hAnsi="Times New Roman" w:cs="Times New Roman"/>
                      <w:i w:val="0"/>
                      <w:color w:val="000000"/>
                      <w:sz w:val="20"/>
                      <w:szCs w:val="20"/>
                      <w14:textFill>
                        <w14:solidFill>
                          <w14:srgbClr w14:val="000000">
                            <w14:lumMod w14:val="75000"/>
                            <w14:lumOff w14:val="25000"/>
                          </w14:srgbClr>
                        </w14:solidFill>
                      </w14:textFill>
                    </w:rPr>
                    <w:t xml:space="preserve"> slots according to combination </w:t>
                  </w:r>
                  <m:oMath>
                    <m:d>
                      <m:dPr>
                        <m:ctrlPr>
                          <w:rPr>
                            <w:rStyle w:val="67"/>
                            <w:rFonts w:ascii="Cambria Math" w:hAnsi="Cambria Math" w:cs="Times New Roman"/>
                            <w:color w:val="000000"/>
                            <w:sz w:val="20"/>
                            <w:szCs w:val="20"/>
                            <w14:textFill>
                              <w14:solidFill>
                                <w14:srgbClr w14:val="000000">
                                  <w14:lumMod w14:val="75000"/>
                                  <w14:lumOff w14:val="25000"/>
                                </w14:srgbClr>
                              </w14:solidFill>
                            </w14:textFill>
                          </w:rPr>
                        </m:ctrlPr>
                      </m:dPr>
                      <m:e>
                        <m:sSub>
                          <m:sSubPr>
                            <m:ctrlPr>
                              <w:rPr>
                                <w:rStyle w:val="67"/>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67"/>
                                <w:rFonts w:ascii="Cambria Math" w:hAnsi="Cambria Math" w:cs="Times New Roman"/>
                                <w:color w:val="000000"/>
                                <w:sz w:val="20"/>
                                <w:szCs w:val="20"/>
                                <w14:textFill>
                                  <w14:solidFill>
                                    <w14:srgbClr w14:val="000000">
                                      <w14:lumMod w14:val="75000"/>
                                      <w14:lumOff w14:val="25000"/>
                                    </w14:srgbClr>
                                  </w14:solidFill>
                                </w14:textFill>
                              </w:rPr>
                              <m:t>X</m:t>
                            </m:r>
                            <m:ctrlPr>
                              <w:rPr>
                                <w:rStyle w:val="67"/>
                                <w:rFonts w:ascii="Cambria Math" w:hAnsi="Cambria Math" w:cs="Times New Roman"/>
                                <w:color w:val="000000"/>
                                <w:sz w:val="20"/>
                                <w:szCs w:val="20"/>
                                <w14:textFill>
                                  <w14:solidFill>
                                    <w14:srgbClr w14:val="000000">
                                      <w14:lumMod w14:val="75000"/>
                                      <w14:lumOff w14:val="25000"/>
                                    </w14:srgbClr>
                                  </w14:solidFill>
                                </w14:textFill>
                              </w:rPr>
                            </m:ctrlPr>
                          </m:e>
                          <m:sub>
                            <m:r>
                              <w:rPr>
                                <w:rStyle w:val="67"/>
                                <w:rFonts w:ascii="Cambria Math" w:hAnsi="Cambria Math" w:cs="Times New Roman"/>
                                <w:color w:val="000000"/>
                                <w:sz w:val="20"/>
                                <w:szCs w:val="20"/>
                                <w14:textFill>
                                  <w14:solidFill>
                                    <w14:srgbClr w14:val="000000">
                                      <w14:lumMod w14:val="75000"/>
                                      <w14:lumOff w14:val="25000"/>
                                    </w14:srgbClr>
                                  </w14:solidFill>
                                </w14:textFill>
                              </w:rPr>
                              <m:t>s</m:t>
                            </m:r>
                            <m:ctrlPr>
                              <w:rPr>
                                <w:rStyle w:val="67"/>
                                <w:rFonts w:ascii="Cambria Math" w:hAnsi="Cambria Math" w:cs="Times New Roman"/>
                                <w:color w:val="000000"/>
                                <w:sz w:val="20"/>
                                <w:szCs w:val="20"/>
                                <w14:textFill>
                                  <w14:solidFill>
                                    <w14:srgbClr w14:val="000000">
                                      <w14:lumMod w14:val="75000"/>
                                      <w14:lumOff w14:val="25000"/>
                                    </w14:srgbClr>
                                  </w14:solidFill>
                                </w14:textFill>
                              </w:rPr>
                            </m:ctrlPr>
                          </m:sub>
                        </m:sSub>
                        <m:r>
                          <w:rPr>
                            <w:rStyle w:val="67"/>
                            <w:rFonts w:ascii="Cambria Math" w:hAnsi="Cambria Math" w:cs="Times New Roman"/>
                            <w:color w:val="000000"/>
                            <w:sz w:val="20"/>
                            <w:szCs w:val="20"/>
                            <w14:textFill>
                              <w14:solidFill>
                                <w14:srgbClr w14:val="000000">
                                  <w14:lumMod w14:val="75000"/>
                                  <w14:lumOff w14:val="25000"/>
                                </w14:srgbClr>
                              </w14:solidFill>
                            </w14:textFill>
                          </w:rPr>
                          <m:t>,</m:t>
                        </m:r>
                        <m:sSub>
                          <m:sSubPr>
                            <m:ctrlPr>
                              <w:rPr>
                                <w:rStyle w:val="67"/>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67"/>
                                <w:rFonts w:ascii="Cambria Math" w:hAnsi="Cambria Math" w:cs="Times New Roman"/>
                                <w:color w:val="000000"/>
                                <w:sz w:val="20"/>
                                <w:szCs w:val="20"/>
                                <w14:textFill>
                                  <w14:solidFill>
                                    <w14:srgbClr w14:val="000000">
                                      <w14:lumMod w14:val="75000"/>
                                      <w14:lumOff w14:val="25000"/>
                                    </w14:srgbClr>
                                  </w14:solidFill>
                                </w14:textFill>
                              </w:rPr>
                              <m:t>Y</m:t>
                            </m:r>
                            <m:ctrlPr>
                              <w:rPr>
                                <w:rStyle w:val="67"/>
                                <w:rFonts w:ascii="Cambria Math" w:hAnsi="Cambria Math" w:cs="Times New Roman"/>
                                <w:color w:val="000000"/>
                                <w:sz w:val="20"/>
                                <w:szCs w:val="20"/>
                                <w14:textFill>
                                  <w14:solidFill>
                                    <w14:srgbClr w14:val="000000">
                                      <w14:lumMod w14:val="75000"/>
                                      <w14:lumOff w14:val="25000"/>
                                    </w14:srgbClr>
                                  </w14:solidFill>
                                </w14:textFill>
                              </w:rPr>
                            </m:ctrlPr>
                          </m:e>
                          <m:sub>
                            <m:r>
                              <w:rPr>
                                <w:rStyle w:val="67"/>
                                <w:rFonts w:ascii="Cambria Math" w:hAnsi="Cambria Math" w:cs="Times New Roman"/>
                                <w:color w:val="000000"/>
                                <w:sz w:val="20"/>
                                <w:szCs w:val="20"/>
                                <w14:textFill>
                                  <w14:solidFill>
                                    <w14:srgbClr w14:val="000000">
                                      <w14:lumMod w14:val="75000"/>
                                      <w14:lumOff w14:val="25000"/>
                                    </w14:srgbClr>
                                  </w14:solidFill>
                                </w14:textFill>
                              </w:rPr>
                              <m:t>s</m:t>
                            </m:r>
                            <m:ctrlPr>
                              <w:rPr>
                                <w:rStyle w:val="67"/>
                                <w:rFonts w:ascii="Cambria Math" w:hAnsi="Cambria Math" w:cs="Times New Roman"/>
                                <w:color w:val="000000"/>
                                <w:sz w:val="20"/>
                                <w:szCs w:val="20"/>
                                <w14:textFill>
                                  <w14:solidFill>
                                    <w14:srgbClr w14:val="000000">
                                      <w14:lumMod w14:val="75000"/>
                                      <w14:lumOff w14:val="25000"/>
                                    </w14:srgbClr>
                                  </w14:solidFill>
                                </w14:textFill>
                              </w:rPr>
                            </m:ctrlPr>
                          </m:sub>
                        </m:sSub>
                        <m:ctrlPr>
                          <w:rPr>
                            <w:rStyle w:val="67"/>
                            <w:rFonts w:ascii="Cambria Math" w:hAnsi="Cambria Math" w:cs="Times New Roman"/>
                            <w:color w:val="000000"/>
                            <w:sz w:val="20"/>
                            <w:szCs w:val="20"/>
                            <w14:textFill>
                              <w14:solidFill>
                                <w14:srgbClr w14:val="000000">
                                  <w14:lumMod w14:val="75000"/>
                                  <w14:lumOff w14:val="25000"/>
                                </w14:srgbClr>
                              </w14:solidFill>
                            </w14:textFill>
                          </w:rPr>
                        </m:ctrlPr>
                      </m:e>
                    </m:d>
                  </m:oMath>
                  <w:r>
                    <w:rPr>
                      <w:rStyle w:val="67"/>
                      <w:rFonts w:ascii="Times New Roman" w:hAnsi="Times New Roman" w:cs="Times New Roman"/>
                      <w:i w:val="0"/>
                      <w:color w:val="000000"/>
                      <w:sz w:val="20"/>
                      <w:szCs w:val="20"/>
                      <w14:textFill>
                        <w14:solidFill>
                          <w14:srgbClr w14:val="000000">
                            <w14:lumMod w14:val="75000"/>
                            <w14:lumOff w14:val="25000"/>
                          </w14:srgbClr>
                        </w14:solidFill>
                      </w14:textFill>
                    </w:rPr>
                    <w:t xml:space="preserve">, as in Tables 10.1-2B and 10.1-3B, if </w:t>
                  </w:r>
                  <w:r>
                    <w:rPr>
                      <w:rStyle w:val="67"/>
                      <w:rFonts w:ascii="Times New Roman" w:hAnsi="Times New Roman" w:cs="Times New Roman"/>
                      <w:color w:val="000000"/>
                      <w:sz w:val="20"/>
                      <w:szCs w:val="20"/>
                      <w14:textFill>
                        <w14:solidFill>
                          <w14:srgbClr w14:val="000000">
                            <w14:lumMod w14:val="75000"/>
                            <w14:lumOff w14:val="25000"/>
                          </w14:srgbClr>
                        </w14:solidFill>
                      </w14:textFill>
                    </w:rPr>
                    <w:t>monitoringCapabilityConfig = r17monitoringcapability</w:t>
                  </w:r>
                  <w:r>
                    <w:rPr>
                      <w:rStyle w:val="67"/>
                      <w:rFonts w:ascii="Times New Roman" w:hAnsi="Times New Roman" w:cs="Times New Roman"/>
                      <w:i w:val="0"/>
                      <w:color w:val="000000"/>
                      <w:sz w:val="20"/>
                      <w:szCs w:val="20"/>
                      <w14:textFill>
                        <w14:solidFill>
                          <w14:srgbClr w14:val="000000">
                            <w14:lumMod w14:val="75000"/>
                            <w14:lumOff w14:val="25000"/>
                          </w14:srgbClr>
                        </w14:solidFill>
                      </w14:textFill>
                    </w:rPr>
                    <w:t>.</w:t>
                  </w:r>
                </w:p>
                <w:p>
                  <w:pPr>
                    <w:widowControl w:val="0"/>
                    <w:rPr>
                      <w:rStyle w:val="67"/>
                      <w:sz w:val="20"/>
                      <w:szCs w:val="20"/>
                    </w:rPr>
                  </w:pPr>
                  <w:r>
                    <w:rPr>
                      <w:rStyle w:val="67"/>
                      <w:color w:val="FF0000"/>
                      <w:sz w:val="20"/>
                      <w:szCs w:val="20"/>
                    </w:rPr>
                    <w:t xml:space="preserve">For </w:t>
                  </w:r>
                  <m:oMath>
                    <m:r>
                      <w:rPr>
                        <w:rStyle w:val="67"/>
                        <w:rFonts w:ascii="Cambria Math" w:hAnsi="Cambria Math"/>
                        <w:color w:val="FF0000"/>
                        <w:sz w:val="20"/>
                        <w:szCs w:val="20"/>
                      </w:rPr>
                      <m:t>μ</m:t>
                    </m:r>
                    <m:r>
                      <m:rPr>
                        <m:sty m:val="p"/>
                      </m:rPr>
                      <w:rPr>
                        <w:rStyle w:val="67"/>
                        <w:rFonts w:ascii="Cambria Math" w:hAnsi="Cambria Math"/>
                        <w:color w:val="FF0000"/>
                        <w:sz w:val="20"/>
                        <w:szCs w:val="20"/>
                      </w:rPr>
                      <m:t>∈</m:t>
                    </m:r>
                    <m:d>
                      <m:dPr>
                        <m:begChr m:val="{"/>
                        <m:endChr m:val="}"/>
                        <m:ctrlPr>
                          <w:rPr>
                            <w:rStyle w:val="67"/>
                            <w:rFonts w:ascii="Cambria Math" w:hAnsi="Cambria Math"/>
                            <w:color w:val="FF0000"/>
                            <w:sz w:val="20"/>
                            <w:szCs w:val="20"/>
                          </w:rPr>
                        </m:ctrlPr>
                      </m:dPr>
                      <m:e>
                        <m:r>
                          <m:rPr>
                            <m:sty m:val="p"/>
                          </m:rPr>
                          <w:rPr>
                            <w:rStyle w:val="67"/>
                            <w:rFonts w:ascii="Cambria Math" w:hAnsi="Cambria Math"/>
                            <w:color w:val="FF0000"/>
                            <w:sz w:val="20"/>
                            <w:szCs w:val="20"/>
                          </w:rPr>
                          <m:t>0,1,2,3</m:t>
                        </m:r>
                        <m:ctrlPr>
                          <w:rPr>
                            <w:rStyle w:val="67"/>
                            <w:rFonts w:ascii="Cambria Math" w:hAnsi="Cambria Math"/>
                            <w:color w:val="FF0000"/>
                            <w:sz w:val="20"/>
                            <w:szCs w:val="20"/>
                          </w:rPr>
                        </m:ctrlPr>
                      </m:e>
                    </m:d>
                    <m:r>
                      <m:rPr>
                        <m:sty m:val="p"/>
                      </m:rPr>
                      <w:rPr>
                        <w:rStyle w:val="67"/>
                        <w:rFonts w:ascii="Cambria Math" w:hAnsi="Cambria Math"/>
                        <w:color w:val="FF0000"/>
                        <w:sz w:val="20"/>
                        <w:szCs w:val="20"/>
                      </w:rPr>
                      <m:t>, if</m:t>
                    </m:r>
                    <m:r>
                      <m:rPr>
                        <m:sty m:val="p"/>
                      </m:rPr>
                      <w:rPr>
                        <w:rStyle w:val="67"/>
                        <w:rFonts w:ascii="Cambria Math" w:hAnsi="Cambria Math"/>
                        <w:sz w:val="20"/>
                        <w:szCs w:val="20"/>
                      </w:rPr>
                      <m:t xml:space="preserve"> </m:t>
                    </m:r>
                  </m:oMath>
                  <w:r>
                    <w:rPr>
                      <w:rStyle w:val="67"/>
                      <w:sz w:val="20"/>
                      <w:szCs w:val="20"/>
                    </w:rPr>
                    <w:t xml:space="preserve">UE is not provided </w:t>
                  </w:r>
                  <w:r>
                    <w:rPr>
                      <w:rStyle w:val="67"/>
                      <w:i/>
                      <w:sz w:val="20"/>
                      <w:szCs w:val="20"/>
                    </w:rPr>
                    <w:t xml:space="preserve">monitoringCapabilityConfig </w:t>
                  </w:r>
                  <w:r>
                    <w:rPr>
                      <w:sz w:val="20"/>
                      <w:szCs w:val="20"/>
                      <w:lang w:eastAsia="zh-CN"/>
                    </w:rPr>
                    <w:t>for a serving cell</w:t>
                  </w:r>
                  <w:r>
                    <w:rPr>
                      <w:rStyle w:val="67"/>
                      <w:sz w:val="20"/>
                      <w:szCs w:val="20"/>
                    </w:rPr>
                    <w:t>, the UE monitors PDCCH on the serving cell for a maximum number of PDCCH candidates and non-overlapping CCEs per slot.</w:t>
                  </w:r>
                </w:p>
                <w:p>
                  <w:pPr>
                    <w:widowControl w:val="0"/>
                    <w:rPr>
                      <w:color w:val="FF0000"/>
                      <w:sz w:val="20"/>
                      <w:szCs w:val="20"/>
                    </w:rPr>
                  </w:pPr>
                  <w:r>
                    <w:rPr>
                      <w:rStyle w:val="67"/>
                      <w:color w:val="FF0000"/>
                      <w:sz w:val="20"/>
                      <w:szCs w:val="20"/>
                    </w:rPr>
                    <w:t xml:space="preserve">For </w:t>
                  </w:r>
                  <m:oMath>
                    <m:r>
                      <w:rPr>
                        <w:rStyle w:val="67"/>
                        <w:rFonts w:ascii="Cambria Math" w:hAnsi="Cambria Math"/>
                        <w:color w:val="FF0000"/>
                        <w:sz w:val="20"/>
                        <w:szCs w:val="20"/>
                      </w:rPr>
                      <m:t>μ</m:t>
                    </m:r>
                    <m:r>
                      <m:rPr>
                        <m:sty m:val="p"/>
                      </m:rPr>
                      <w:rPr>
                        <w:rStyle w:val="67"/>
                        <w:rFonts w:ascii="Cambria Math" w:hAnsi="Cambria Math"/>
                        <w:color w:val="FF0000"/>
                        <w:sz w:val="20"/>
                        <w:szCs w:val="20"/>
                      </w:rPr>
                      <m:t>∈</m:t>
                    </m:r>
                    <m:d>
                      <m:dPr>
                        <m:begChr m:val="{"/>
                        <m:endChr m:val="}"/>
                        <m:ctrlPr>
                          <w:rPr>
                            <w:rStyle w:val="67"/>
                            <w:rFonts w:ascii="Cambria Math" w:hAnsi="Cambria Math"/>
                            <w:color w:val="FF0000"/>
                            <w:sz w:val="20"/>
                            <w:szCs w:val="20"/>
                          </w:rPr>
                        </m:ctrlPr>
                      </m:dPr>
                      <m:e>
                        <m:r>
                          <m:rPr>
                            <m:sty m:val="p"/>
                          </m:rPr>
                          <w:rPr>
                            <w:rStyle w:val="67"/>
                            <w:rFonts w:ascii="Cambria Math" w:hAnsi="Cambria Math"/>
                            <w:color w:val="FF0000"/>
                            <w:sz w:val="20"/>
                            <w:szCs w:val="20"/>
                          </w:rPr>
                          <m:t>5,6</m:t>
                        </m:r>
                        <m:ctrlPr>
                          <w:rPr>
                            <w:rStyle w:val="67"/>
                            <w:rFonts w:ascii="Cambria Math" w:hAnsi="Cambria Math"/>
                            <w:color w:val="FF0000"/>
                            <w:sz w:val="20"/>
                            <w:szCs w:val="20"/>
                          </w:rPr>
                        </m:ctrlPr>
                      </m:e>
                    </m:d>
                    <m:r>
                      <w:rPr>
                        <w:rStyle w:val="67"/>
                        <w:rFonts w:ascii="Cambria Math" w:hAnsi="Cambria Math"/>
                        <w:color w:val="FF0000"/>
                        <w:sz w:val="20"/>
                        <w:szCs w:val="20"/>
                      </w:rPr>
                      <m:t xml:space="preserve">, </m:t>
                    </m:r>
                  </m:oMath>
                  <w:r>
                    <w:rPr>
                      <w:rStyle w:val="67"/>
                      <w:color w:val="FF0000"/>
                      <w:sz w:val="20"/>
                      <w:szCs w:val="20"/>
                    </w:rPr>
                    <w:t xml:space="preserve">a </w:t>
                  </w:r>
                  <w:r>
                    <w:rPr>
                      <w:rFonts w:eastAsia="MS Mincho"/>
                      <w:color w:val="FF0000"/>
                      <w:sz w:val="20"/>
                      <w:szCs w:val="20"/>
                    </w:rPr>
                    <w:t>UE that is provided dedicated higher layer parameters</w:t>
                  </w:r>
                  <w:r>
                    <w:rPr>
                      <w:color w:val="FF0000"/>
                      <w:sz w:val="20"/>
                      <w:szCs w:val="20"/>
                    </w:rPr>
                    <w:t xml:space="preserve">, expects to be configured with </w:t>
                  </w:r>
                  <w:r>
                    <w:rPr>
                      <w:rStyle w:val="67"/>
                      <w:i/>
                      <w:color w:val="FF0000"/>
                      <w:sz w:val="20"/>
                      <w:szCs w:val="20"/>
                    </w:rPr>
                    <w:t>monitoringCapabilityConfig = r17monitoringcapability</w:t>
                  </w:r>
                  <w:r>
                    <w:rPr>
                      <w:rStyle w:val="67"/>
                      <w:color w:val="FF0000"/>
                      <w:sz w:val="20"/>
                      <w:szCs w:val="20"/>
                    </w:rPr>
                    <w:t xml:space="preserve"> for a serving cell. For </w:t>
                  </w:r>
                  <m:oMath>
                    <m:r>
                      <w:rPr>
                        <w:rStyle w:val="67"/>
                        <w:rFonts w:ascii="Cambria Math" w:hAnsi="Cambria Math"/>
                        <w:color w:val="FF0000"/>
                        <w:sz w:val="20"/>
                        <w:szCs w:val="20"/>
                      </w:rPr>
                      <m:t>μ</m:t>
                    </m:r>
                    <m:r>
                      <m:rPr>
                        <m:sty m:val="p"/>
                      </m:rPr>
                      <w:rPr>
                        <w:rStyle w:val="67"/>
                        <w:rFonts w:ascii="Cambria Math" w:hAnsi="Cambria Math"/>
                        <w:color w:val="FF0000"/>
                        <w:sz w:val="20"/>
                        <w:szCs w:val="20"/>
                      </w:rPr>
                      <m:t>=5</m:t>
                    </m:r>
                  </m:oMath>
                  <w:r>
                    <w:rPr>
                      <w:rStyle w:val="67"/>
                      <w:color w:val="FF0000"/>
                      <w:sz w:val="20"/>
                      <w:szCs w:val="20"/>
                    </w:rPr>
                    <w:t xml:space="preserve">, if a UE is not provided with </w:t>
                  </w:r>
                  <w:r>
                    <w:rPr>
                      <w:rStyle w:val="67"/>
                      <w:i/>
                      <w:color w:val="FF0000"/>
                      <w:sz w:val="20"/>
                      <w:szCs w:val="20"/>
                    </w:rPr>
                    <w:t>monitoringCapabilityConfig</w:t>
                  </w:r>
                  <w:r>
                    <w:rPr>
                      <w:rStyle w:val="67"/>
                      <w:color w:val="FF0000"/>
                      <w:sz w:val="20"/>
                      <w:szCs w:val="20"/>
                    </w:rPr>
                    <w:t xml:space="preserve"> for a serving cell, UE </w:t>
                  </w:r>
                  <w:r>
                    <w:rPr>
                      <w:color w:val="FF0000"/>
                      <w:sz w:val="20"/>
                      <w:szCs w:val="20"/>
                    </w:rPr>
                    <w:t xml:space="preserve">monitors PDCCH on the serving cell for a maximum number of PDCCH candidates and non-overlapping CCEs </w:t>
                  </w:r>
                  <w:r>
                    <w:rPr>
                      <w:color w:val="FF0000"/>
                      <w:sz w:val="20"/>
                      <w:szCs w:val="20"/>
                      <w:lang w:eastAsia="zh-CN"/>
                    </w:rPr>
                    <w:t xml:space="preserve">according to combination </w:t>
                  </w:r>
                  <m:oMath>
                    <m:d>
                      <m:dPr>
                        <m:ctrlPr>
                          <w:rPr>
                            <w:rFonts w:ascii="Cambria Math" w:hAnsi="Cambria Math"/>
                            <w:i/>
                            <w:color w:val="FF0000"/>
                            <w:sz w:val="20"/>
                            <w:szCs w:val="20"/>
                          </w:rPr>
                        </m:ctrlPr>
                      </m:dPr>
                      <m:e>
                        <m:sSub>
                          <m:sSubPr>
                            <m:ctrlPr>
                              <w:rPr>
                                <w:rFonts w:ascii="Cambria Math" w:hAnsi="Cambria Math"/>
                                <w:i/>
                                <w:color w:val="FF0000"/>
                                <w:sz w:val="20"/>
                                <w:szCs w:val="20"/>
                                <w:lang w:eastAsia="zh-CN"/>
                              </w:rPr>
                            </m:ctrlPr>
                          </m:sSubPr>
                          <m:e>
                            <m:r>
                              <m:rPr>
                                <m:sty m:val="bi"/>
                              </m:rPr>
                              <w:rPr>
                                <w:rFonts w:ascii="Cambria Math" w:hAnsi="Cambria Math"/>
                                <w:color w:val="FF0000"/>
                                <w:sz w:val="20"/>
                                <w:szCs w:val="20"/>
                                <w:lang w:eastAsia="zh-CN"/>
                              </w:rPr>
                              <m:t>X</m:t>
                            </m:r>
                            <m:ctrlPr>
                              <w:rPr>
                                <w:rFonts w:ascii="Cambria Math" w:hAnsi="Cambria Math"/>
                                <w:i/>
                                <w:color w:val="FF0000"/>
                                <w:sz w:val="20"/>
                                <w:szCs w:val="20"/>
                                <w:lang w:eastAsia="zh-CN"/>
                              </w:rPr>
                            </m:ctrlPr>
                          </m:e>
                          <m:sub>
                            <m:r>
                              <m:rPr>
                                <m:sty m:val="bi"/>
                              </m:rPr>
                              <w:rPr>
                                <w:rFonts w:ascii="Cambria Math" w:hAnsi="Cambria Math"/>
                                <w:color w:val="FF0000"/>
                                <w:sz w:val="20"/>
                                <w:szCs w:val="20"/>
                                <w:lang w:eastAsia="zh-CN"/>
                              </w:rPr>
                              <m:t>s</m:t>
                            </m:r>
                            <m:ctrlPr>
                              <w:rPr>
                                <w:rFonts w:ascii="Cambria Math" w:hAnsi="Cambria Math"/>
                                <w:i/>
                                <w:color w:val="FF0000"/>
                                <w:sz w:val="20"/>
                                <w:szCs w:val="20"/>
                                <w:lang w:eastAsia="zh-CN"/>
                              </w:rPr>
                            </m:ctrlPr>
                          </m:sub>
                        </m:sSub>
                        <m:r>
                          <m:rPr>
                            <m:sty m:val="bi"/>
                          </m:rPr>
                          <w:rPr>
                            <w:rFonts w:ascii="Cambria Math" w:hAnsi="Cambria Math"/>
                            <w:color w:val="FF0000"/>
                            <w:sz w:val="20"/>
                            <w:szCs w:val="20"/>
                            <w:lang w:eastAsia="zh-CN"/>
                          </w:rPr>
                          <m:t>,</m:t>
                        </m:r>
                        <m:sSub>
                          <m:sSubPr>
                            <m:ctrlPr>
                              <w:rPr>
                                <w:rFonts w:ascii="Cambria Math" w:hAnsi="Cambria Math"/>
                                <w:i/>
                                <w:color w:val="FF0000"/>
                                <w:sz w:val="20"/>
                                <w:szCs w:val="20"/>
                                <w:lang w:eastAsia="zh-CN"/>
                              </w:rPr>
                            </m:ctrlPr>
                          </m:sSubPr>
                          <m:e>
                            <m:r>
                              <m:rPr>
                                <m:sty m:val="bi"/>
                              </m:rPr>
                              <w:rPr>
                                <w:rFonts w:ascii="Cambria Math" w:hAnsi="Cambria Math"/>
                                <w:color w:val="FF0000"/>
                                <w:sz w:val="20"/>
                                <w:szCs w:val="20"/>
                                <w:lang w:eastAsia="zh-CN"/>
                              </w:rPr>
                              <m:t>Y</m:t>
                            </m:r>
                            <m:ctrlPr>
                              <w:rPr>
                                <w:rFonts w:ascii="Cambria Math" w:hAnsi="Cambria Math"/>
                                <w:i/>
                                <w:color w:val="FF0000"/>
                                <w:sz w:val="20"/>
                                <w:szCs w:val="20"/>
                                <w:lang w:eastAsia="zh-CN"/>
                              </w:rPr>
                            </m:ctrlPr>
                          </m:e>
                          <m:sub>
                            <m:r>
                              <m:rPr>
                                <m:sty m:val="bi"/>
                              </m:rPr>
                              <w:rPr>
                                <w:rFonts w:ascii="Cambria Math" w:hAnsi="Cambria Math"/>
                                <w:color w:val="FF0000"/>
                                <w:sz w:val="20"/>
                                <w:szCs w:val="20"/>
                                <w:lang w:eastAsia="zh-CN"/>
                              </w:rPr>
                              <m:t>s</m:t>
                            </m:r>
                            <m:ctrlPr>
                              <w:rPr>
                                <w:rFonts w:ascii="Cambria Math" w:hAnsi="Cambria Math"/>
                                <w:i/>
                                <w:color w:val="FF0000"/>
                                <w:sz w:val="20"/>
                                <w:szCs w:val="20"/>
                                <w:lang w:eastAsia="zh-CN"/>
                              </w:rPr>
                            </m:ctrlPr>
                          </m:sub>
                        </m:sSub>
                        <m:ctrlPr>
                          <w:rPr>
                            <w:rFonts w:ascii="Cambria Math" w:hAnsi="Cambria Math"/>
                            <w:i/>
                            <w:color w:val="FF0000"/>
                            <w:sz w:val="20"/>
                            <w:szCs w:val="20"/>
                          </w:rPr>
                        </m:ctrlPr>
                      </m:e>
                    </m:d>
                    <m:r>
                      <w:rPr>
                        <w:rFonts w:ascii="Cambria Math" w:hAnsi="Cambria Math"/>
                        <w:color w:val="FF0000"/>
                        <w:sz w:val="20"/>
                        <w:szCs w:val="20"/>
                      </w:rPr>
                      <m:t>=</m:t>
                    </m:r>
                    <m:d>
                      <m:dPr>
                        <m:ctrlPr>
                          <w:rPr>
                            <w:rFonts w:ascii="Cambria Math" w:hAnsi="Cambria Math"/>
                            <w:i/>
                            <w:color w:val="FF0000"/>
                            <w:sz w:val="20"/>
                            <w:szCs w:val="20"/>
                          </w:rPr>
                        </m:ctrlPr>
                      </m:dPr>
                      <m:e>
                        <m:r>
                          <w:rPr>
                            <w:rFonts w:ascii="Cambria Math" w:hAnsi="Cambria Math"/>
                            <w:color w:val="FF0000"/>
                            <w:sz w:val="20"/>
                            <w:szCs w:val="20"/>
                          </w:rPr>
                          <m:t>4,1</m:t>
                        </m:r>
                        <m:ctrlPr>
                          <w:rPr>
                            <w:rFonts w:ascii="Cambria Math" w:hAnsi="Cambria Math"/>
                            <w:i/>
                            <w:color w:val="FF0000"/>
                            <w:sz w:val="20"/>
                            <w:szCs w:val="20"/>
                          </w:rPr>
                        </m:ctrlPr>
                      </m:e>
                    </m:d>
                    <m:r>
                      <w:rPr>
                        <w:rFonts w:ascii="Cambria Math" w:hAnsi="Cambria Math"/>
                        <w:color w:val="FF0000"/>
                        <w:sz w:val="20"/>
                        <w:szCs w:val="20"/>
                      </w:rPr>
                      <m:t>.</m:t>
                    </m:r>
                  </m:oMath>
                </w:p>
                <w:p>
                  <w:pPr>
                    <w:widowControl w:val="0"/>
                    <w:jc w:val="center"/>
                    <w:rPr>
                      <w:rStyle w:val="67"/>
                      <w:color w:val="FF0000"/>
                      <w:sz w:val="20"/>
                      <w:szCs w:val="20"/>
                    </w:rPr>
                  </w:pPr>
                </w:p>
                <w:p>
                  <w:pPr>
                    <w:widowControl w:val="0"/>
                    <w:autoSpaceDE/>
                    <w:autoSpaceDN/>
                    <w:adjustRightInd/>
                    <w:spacing w:before="120" w:beforeLines="50" w:afterLines="50" w:line="240" w:lineRule="auto"/>
                    <w:jc w:val="center"/>
                    <w:rPr>
                      <w:rFonts w:eastAsia="宋体"/>
                      <w:kern w:val="2"/>
                      <w:sz w:val="20"/>
                      <w:szCs w:val="20"/>
                      <w:lang w:eastAsia="zh-CN"/>
                    </w:rPr>
                  </w:pPr>
                  <w:r>
                    <w:rPr>
                      <w:color w:val="FF0000"/>
                      <w:sz w:val="20"/>
                      <w:szCs w:val="20"/>
                      <w:lang w:eastAsia="zh-CN"/>
                    </w:rPr>
                    <w:t>*** Unchanged text is omitted ***</w:t>
                  </w:r>
                </w:p>
              </w:tc>
            </w:tr>
          </w:tbl>
          <w:p>
            <w:pPr>
              <w:widowControl w:val="0"/>
              <w:autoSpaceDE/>
              <w:autoSpaceDN/>
              <w:adjustRightInd/>
              <w:spacing w:before="120" w:beforeLines="50" w:afterLines="50" w:line="240" w:lineRule="auto"/>
              <w:jc w:val="both"/>
              <w:rPr>
                <w:rFonts w:eastAsia="宋体"/>
                <w:kern w:val="2"/>
                <w:sz w:val="21"/>
                <w:szCs w:val="21"/>
                <w:lang w:eastAsia="zh-CN"/>
              </w:rPr>
            </w:pPr>
          </w:p>
          <w:p>
            <w:pPr>
              <w:widowControl w:val="0"/>
              <w:spacing w:line="240" w:lineRule="auto"/>
              <w:rPr>
                <w:sz w:val="20"/>
                <w:lang w:eastAsia="zh-CN"/>
              </w:rPr>
            </w:pPr>
          </w:p>
        </w:tc>
      </w:tr>
    </w:tbl>
    <w:p>
      <w:pPr>
        <w:spacing w:after="0"/>
        <w:rPr>
          <w:b/>
          <w:sz w:val="20"/>
          <w:szCs w:val="20"/>
          <w:lang w:eastAsia="zh-CN"/>
        </w:rPr>
      </w:pPr>
    </w:p>
    <w:p>
      <w:pPr>
        <w:tabs>
          <w:tab w:val="left" w:pos="1300"/>
        </w:tabs>
        <w:spacing w:after="0"/>
        <w:jc w:val="both"/>
        <w:rPr>
          <w:b/>
          <w:sz w:val="20"/>
          <w:szCs w:val="20"/>
          <w:u w:val="single"/>
        </w:rPr>
      </w:pPr>
    </w:p>
    <w:p>
      <w:pPr>
        <w:tabs>
          <w:tab w:val="left" w:pos="1300"/>
        </w:tabs>
        <w:spacing w:after="0"/>
        <w:jc w:val="both"/>
        <w:rPr>
          <w:b/>
          <w:sz w:val="20"/>
          <w:szCs w:val="20"/>
        </w:rPr>
      </w:pPr>
      <w:r>
        <w:rPr>
          <w:b/>
          <w:sz w:val="20"/>
          <w:szCs w:val="20"/>
          <w:u w:val="single"/>
        </w:rPr>
        <w:t>Proposal A1-4.3</w:t>
      </w:r>
      <w:r>
        <w:rPr>
          <w:b/>
          <w:sz w:val="20"/>
          <w:szCs w:val="20"/>
        </w:rPr>
        <w:t xml:space="preserve"> (see R1-2201735):</w:t>
      </w:r>
    </w:p>
    <w:p>
      <w:pPr>
        <w:pStyle w:val="212"/>
        <w:numPr>
          <w:ilvl w:val="0"/>
          <w:numId w:val="0"/>
        </w:numPr>
        <w:tabs>
          <w:tab w:val="left" w:pos="0"/>
          <w:tab w:val="clear" w:pos="1304"/>
          <w:tab w:val="clear" w:pos="2722"/>
        </w:tabs>
        <w:spacing w:after="120"/>
        <w:rPr>
          <w:rFonts w:ascii="Times New Roman" w:hAnsi="Times New Roman" w:cs="Times New Roman"/>
          <w:b w:val="0"/>
          <w:bCs w:val="0"/>
        </w:rPr>
      </w:pPr>
      <w:r>
        <w:rPr>
          <w:rFonts w:ascii="Times New Roman" w:hAnsi="Times New Roman" w:cs="Times New Roman" w:eastAsiaTheme="minorEastAsia"/>
          <w:b w:val="0"/>
          <w:bCs w:val="0"/>
          <w:lang w:eastAsia="ja-JP"/>
        </w:rPr>
        <w:t xml:space="preserve">Inform RAN2 that the value range for the existing parameter </w:t>
      </w:r>
      <w:r>
        <w:rPr>
          <w:rFonts w:ascii="Times New Roman" w:hAnsi="Times New Roman" w:cs="Times New Roman"/>
          <w:b w:val="0"/>
          <w:bCs w:val="0"/>
          <w:i/>
        </w:rPr>
        <w:t>monitoringCapabilityConfig</w:t>
      </w:r>
      <w:r>
        <w:rPr>
          <w:rFonts w:ascii="Times New Roman" w:hAnsi="Times New Roman" w:cs="Times New Roman"/>
          <w:b w:val="0"/>
          <w:bCs w:val="0"/>
        </w:rPr>
        <w:t xml:space="preserve"> needs to be be extended to include the new value </w:t>
      </w:r>
      <w:r>
        <w:rPr>
          <w:rFonts w:ascii="Times New Roman" w:hAnsi="Times New Roman" w:cs="Times New Roman"/>
          <w:b w:val="0"/>
          <w:bCs w:val="0"/>
          <w:i/>
        </w:rPr>
        <w:t>r17monitoringcapability</w:t>
      </w:r>
      <w:r>
        <w:rPr>
          <w:rFonts w:ascii="Times New Roman" w:hAnsi="Times New Roman" w:cs="Times New Roman"/>
          <w:b w:val="0"/>
          <w:bCs w:val="0"/>
        </w:rPr>
        <w:t>, and that for 480 and 960 kHz SCS, the UE expects to be configured with this value. A note can be added to the RRC parameter spreadsheet to propose that RAN2 updates the field description of the parameter as follows:</w:t>
      </w:r>
    </w:p>
    <w:p>
      <w:pPr>
        <w:pStyle w:val="88"/>
        <w:ind w:left="1304"/>
        <w:rPr>
          <w:b/>
          <w:bCs/>
          <w:i/>
          <w:iCs/>
        </w:rPr>
      </w:pPr>
      <w:r>
        <w:rPr>
          <w:b/>
          <w:bCs/>
          <w:i/>
          <w:iCs/>
        </w:rPr>
        <w:t>monitoringCapabilityConfig</w:t>
      </w:r>
    </w:p>
    <w:p>
      <w:pPr>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p>
      <w:pPr>
        <w:spacing w:after="0"/>
        <w:rPr>
          <w:b/>
          <w:sz w:val="20"/>
          <w:szCs w:val="20"/>
        </w:rPr>
      </w:pPr>
      <w:r>
        <w:rPr>
          <w:b/>
          <w:sz w:val="20"/>
          <w:szCs w:val="20"/>
        </w:rPr>
        <w:t>Please comment whether Proposal A1-4.3 is acceptable.</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Ok with the change.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Ericsson</w:t>
            </w:r>
          </w:p>
        </w:tc>
        <w:tc>
          <w:tcPr>
            <w:tcW w:w="12176" w:type="dxa"/>
            <w:vAlign w:val="center"/>
          </w:tcPr>
          <w:p>
            <w:pPr>
              <w:widowControl w:val="0"/>
              <w:rPr>
                <w:sz w:val="20"/>
                <w:lang w:eastAsia="zh-CN"/>
              </w:rPr>
            </w:pPr>
            <w:r>
              <w:rPr>
                <w:sz w:val="20"/>
                <w:lang w:eastAsia="zh-CN"/>
              </w:rPr>
              <w:t>Support the proposal as proponent.</w:t>
            </w:r>
          </w:p>
          <w:p>
            <w:pPr>
              <w:widowControl w:val="0"/>
              <w:rPr>
                <w:sz w:val="20"/>
                <w:lang w:eastAsia="zh-CN"/>
              </w:rPr>
            </w:pPr>
            <w:r>
              <w:rPr>
                <w:sz w:val="20"/>
                <w:lang w:eastAsia="zh-CN"/>
              </w:rPr>
              <w:t>We emphasize that this would need to be added to the RRC parameter spreadsheet, so should be discussed prior to the RRC deadline on 2/24.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Qualcomm</w:t>
            </w:r>
          </w:p>
        </w:tc>
        <w:tc>
          <w:tcPr>
            <w:tcW w:w="12176" w:type="dxa"/>
            <w:vAlign w:val="center"/>
          </w:tcPr>
          <w:p>
            <w:pPr>
              <w:widowControl w:val="0"/>
              <w:rPr>
                <w:sz w:val="20"/>
                <w:lang w:eastAsia="zh-CN"/>
              </w:rPr>
            </w:pPr>
            <w:r>
              <w:rPr>
                <w:sz w:val="20"/>
                <w:lang w:eastAsia="zh-CN"/>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rFonts w:hint="eastAsia"/>
                <w:sz w:val="20"/>
                <w:lang w:eastAsia="zh-CN"/>
              </w:rPr>
              <w:t>v</w:t>
            </w:r>
            <w:r>
              <w:rPr>
                <w:sz w:val="20"/>
                <w:lang w:eastAsia="zh-CN"/>
              </w:rPr>
              <w:t>ivo</w:t>
            </w:r>
          </w:p>
        </w:tc>
        <w:tc>
          <w:tcPr>
            <w:tcW w:w="12176" w:type="dxa"/>
            <w:vAlign w:val="center"/>
          </w:tcPr>
          <w:p>
            <w:pPr>
              <w:widowControl w:val="0"/>
              <w:rPr>
                <w:sz w:val="20"/>
                <w:lang w:eastAsia="zh-CN"/>
              </w:rPr>
            </w:pPr>
            <w:r>
              <w:rPr>
                <w:rFonts w:hint="eastAsia"/>
                <w:sz w:val="20"/>
                <w:lang w:eastAsia="zh-CN"/>
              </w:rPr>
              <w:t>J</w:t>
            </w:r>
            <w:r>
              <w:rPr>
                <w:sz w:val="20"/>
                <w:lang w:eastAsia="zh-CN"/>
              </w:rPr>
              <w:t>ust a clarification: there maybe the following two understandings from current text:</w:t>
            </w:r>
          </w:p>
          <w:p>
            <w:pPr>
              <w:widowControl w:val="0"/>
              <w:rPr>
                <w:i/>
                <w:color w:val="FF0000"/>
                <w:lang w:eastAsia="sv-SE"/>
              </w:rPr>
            </w:pPr>
            <w:r>
              <w:rPr>
                <w:rFonts w:hint="eastAsia"/>
                <w:sz w:val="20"/>
                <w:lang w:eastAsia="zh-CN"/>
              </w:rPr>
              <w:t>U</w:t>
            </w:r>
            <w:r>
              <w:rPr>
                <w:sz w:val="20"/>
                <w:lang w:eastAsia="zh-CN"/>
              </w:rPr>
              <w:t xml:space="preserve">nderstanding 1: For BWP with 480/960KHz SCS, </w:t>
            </w:r>
            <w:r>
              <w:rPr>
                <w:b/>
                <w:bCs/>
                <w:i/>
                <w:iCs/>
              </w:rPr>
              <w:t>monitoringCapabilityConfig</w:t>
            </w:r>
            <w:r>
              <w:rPr>
                <w:b/>
                <w:bCs/>
              </w:rPr>
              <w:t xml:space="preserve"> </w:t>
            </w:r>
            <w:r>
              <w:rPr>
                <w:sz w:val="20"/>
                <w:lang w:eastAsia="zh-CN"/>
              </w:rPr>
              <w:t xml:space="preserve">is mandatory present with value </w:t>
            </w:r>
            <w:r>
              <w:rPr>
                <w:i/>
                <w:color w:val="FF0000"/>
                <w:lang w:eastAsia="sv-SE"/>
              </w:rPr>
              <w:t>r17monitoringcapablity</w:t>
            </w:r>
          </w:p>
          <w:p>
            <w:pPr>
              <w:widowControl w:val="0"/>
              <w:rPr>
                <w:sz w:val="20"/>
                <w:lang w:eastAsia="zh-CN"/>
              </w:rPr>
            </w:pPr>
            <w:r>
              <w:rPr>
                <w:rFonts w:hint="eastAsia"/>
                <w:sz w:val="20"/>
                <w:lang w:eastAsia="zh-CN"/>
              </w:rPr>
              <w:t>U</w:t>
            </w:r>
            <w:r>
              <w:rPr>
                <w:sz w:val="20"/>
                <w:lang w:eastAsia="zh-CN"/>
              </w:rPr>
              <w:t xml:space="preserve">nderstanding 2: For BWP with 480/960KHz SCS, </w:t>
            </w:r>
            <w:r>
              <w:rPr>
                <w:b/>
                <w:bCs/>
                <w:i/>
                <w:iCs/>
              </w:rPr>
              <w:t>monitoringCapabilityConfig</w:t>
            </w:r>
            <w:r>
              <w:rPr>
                <w:b/>
                <w:bCs/>
              </w:rPr>
              <w:t xml:space="preserve"> </w:t>
            </w:r>
            <w:r>
              <w:rPr>
                <w:sz w:val="20"/>
                <w:lang w:eastAsia="zh-CN"/>
              </w:rPr>
              <w:t xml:space="preserve">is optionally present. When present, </w:t>
            </w:r>
            <w:r>
              <w:rPr>
                <w:i/>
                <w:color w:val="FF0000"/>
                <w:lang w:eastAsia="sv-SE"/>
              </w:rPr>
              <w:t>r17monitoringcapablity</w:t>
            </w:r>
            <w:r>
              <w:rPr>
                <w:iCs/>
                <w:color w:val="FF0000"/>
                <w:lang w:eastAsia="sv-SE"/>
              </w:rPr>
              <w:t xml:space="preserve"> </w:t>
            </w:r>
            <w:r>
              <w:rPr>
                <w:sz w:val="20"/>
                <w:lang w:eastAsia="zh-CN"/>
              </w:rPr>
              <w:t>should be the mandotary value.</w:t>
            </w:r>
          </w:p>
          <w:p>
            <w:pPr>
              <w:widowControl w:val="0"/>
              <w:rPr>
                <w:iCs/>
                <w:sz w:val="20"/>
                <w:lang w:eastAsia="zh-CN"/>
              </w:rPr>
            </w:pPr>
            <w:r>
              <w:rPr>
                <w:rFonts w:hint="eastAsia"/>
                <w:sz w:val="20"/>
                <w:lang w:eastAsia="zh-CN"/>
              </w:rPr>
              <w:t>B</w:t>
            </w:r>
            <w:r>
              <w:rPr>
                <w:sz w:val="20"/>
                <w:lang w:eastAsia="zh-CN"/>
              </w:rPr>
              <w:t xml:space="preserve">esides, </w:t>
            </w:r>
            <w:r>
              <w:rPr>
                <w:lang w:eastAsia="sv-SE"/>
              </w:rPr>
              <w:t>Rel-17 PDCCH monitoring capability should be added into the first sentence:</w:t>
            </w:r>
          </w:p>
          <w:p>
            <w:pPr>
              <w:widowControl w:val="0"/>
              <w:rPr>
                <w:sz w:val="20"/>
                <w:lang w:eastAsia="zh-CN"/>
              </w:rPr>
            </w:pPr>
            <w:r>
              <w:rPr>
                <w:lang w:eastAsia="sv-SE"/>
              </w:rPr>
              <w:t xml:space="preserve">Configures </w:t>
            </w:r>
            <w:r>
              <w:rPr>
                <w:strike/>
                <w:color w:val="FF0000"/>
                <w:lang w:eastAsia="sv-SE"/>
              </w:rPr>
              <w:t xml:space="preserve">either </w:t>
            </w:r>
            <w:r>
              <w:rPr>
                <w:lang w:eastAsia="sv-SE"/>
              </w:rPr>
              <w:t>Rel-15 PDCCH monitoring capability</w:t>
            </w:r>
            <w:r>
              <w:rPr>
                <w:color w:val="FF0000"/>
                <w:lang w:eastAsia="sv-SE"/>
              </w:rPr>
              <w:t xml:space="preserve">, </w:t>
            </w:r>
            <w:r>
              <w:rPr>
                <w:strike/>
                <w:color w:val="FF0000"/>
                <w:lang w:eastAsia="sv-SE"/>
              </w:rPr>
              <w:t xml:space="preserve">or </w:t>
            </w:r>
            <w:r>
              <w:rPr>
                <w:lang w:eastAsia="sv-SE"/>
              </w:rPr>
              <w:t xml:space="preserve">Rel-16 PDCCH monitoring capability </w:t>
            </w:r>
            <w:r>
              <w:rPr>
                <w:color w:val="FF0000"/>
                <w:lang w:eastAsia="sv-SE"/>
              </w:rPr>
              <w:t>or Rel-17 PDCCH monitoring capability</w:t>
            </w:r>
            <w:r>
              <w:rPr>
                <w:lang w:eastAsia="sv-SE"/>
              </w:rPr>
              <w:t xml:space="preserve"> for PDCCH monitoring on a serving cell.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Nokia, NSB</w:t>
            </w:r>
          </w:p>
        </w:tc>
        <w:tc>
          <w:tcPr>
            <w:tcW w:w="12176" w:type="dxa"/>
            <w:vAlign w:val="center"/>
          </w:tcPr>
          <w:p>
            <w:pPr>
              <w:widowControl w:val="0"/>
              <w:rPr>
                <w:sz w:val="20"/>
                <w:lang w:eastAsia="zh-CN"/>
              </w:rPr>
            </w:pPr>
            <w:r>
              <w:rPr>
                <w:sz w:val="20"/>
                <w:lang w:eastAsia="zh-CN"/>
              </w:rPr>
              <w:t>We are also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 xml:space="preserve">We are fine with the proposal. In fact, it would be fine to clarify </w:t>
            </w:r>
            <w:r>
              <w:rPr>
                <w:i/>
                <w:color w:val="FF0000"/>
                <w:lang w:eastAsia="sv-SE"/>
              </w:rPr>
              <w:t>r17monitoringcapablity</w:t>
            </w:r>
            <w:r>
              <w:rPr>
                <w:lang w:eastAsia="zh-CN"/>
              </w:rPr>
              <w:t xml:space="preserve"> is always configured for SCS 480/960kHz in either physical layer or high layer specification.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sz w:val="21"/>
                <w:szCs w:val="24"/>
                <w:lang w:eastAsia="zh-CN"/>
              </w:rPr>
            </w:pPr>
            <w:r>
              <w:rPr>
                <w:rFonts w:hint="eastAsia"/>
                <w:sz w:val="21"/>
                <w:szCs w:val="24"/>
                <w:lang w:eastAsia="zh-CN"/>
              </w:rPr>
              <w:t>We agree with this proposal and we can further perfect the wording (marked in blue) as follows:</w:t>
            </w:r>
          </w:p>
          <w:p>
            <w:pPr>
              <w:pStyle w:val="88"/>
              <w:widowControl w:val="0"/>
              <w:ind w:left="1304"/>
              <w:rPr>
                <w:b/>
                <w:bCs/>
                <w:i/>
                <w:iCs/>
              </w:rPr>
            </w:pPr>
            <w:r>
              <w:rPr>
                <w:b/>
                <w:bCs/>
                <w:i/>
                <w:iCs/>
              </w:rPr>
              <w:t>monitoringCapabilityConfig</w:t>
            </w:r>
          </w:p>
          <w:p>
            <w:pPr>
              <w:widowControl w:val="0"/>
              <w:ind w:left="1304"/>
              <w:rPr>
                <w:lang w:eastAsia="zh-CN"/>
              </w:rPr>
            </w:pPr>
            <w:r>
              <w:rPr>
                <w:lang w:eastAsia="sv-SE"/>
              </w:rPr>
              <w:t>Configures either Rel-15 PDCCH monitoring capability or Rel-16 PDCCH monitoring capability</w:t>
            </w:r>
            <w:r>
              <w:rPr>
                <w:rFonts w:hint="eastAsia"/>
                <w:lang w:eastAsia="zh-CN"/>
              </w:rPr>
              <w:t xml:space="preserve"> </w:t>
            </w:r>
            <w:r>
              <w:rPr>
                <w:rFonts w:hint="eastAsia"/>
                <w:color w:val="0000FF"/>
                <w:lang w:eastAsia="zh-CN"/>
              </w:rPr>
              <w:t>or Rel-17 PDCCH monitoring capability</w:t>
            </w:r>
            <w:r>
              <w:rPr>
                <w:lang w:eastAsia="sv-SE"/>
              </w:rPr>
              <w:t xml:space="preserve">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sz w:val="20"/>
                <w:lang w:eastAsia="ja-JP"/>
              </w:rPr>
              <w:t>N</w:t>
            </w:r>
            <w:r>
              <w:rPr>
                <w:rFonts w:eastAsia="MS Mincho"/>
                <w:sz w:val="20"/>
                <w:lang w:eastAsia="ja-JP"/>
              </w:rPr>
              <w:t>TT DOCOMO</w:t>
            </w:r>
          </w:p>
        </w:tc>
        <w:tc>
          <w:tcPr>
            <w:tcW w:w="12176" w:type="dxa"/>
            <w:vAlign w:val="center"/>
          </w:tcPr>
          <w:p>
            <w:pPr>
              <w:widowControl w:val="0"/>
              <w:rPr>
                <w:sz w:val="21"/>
                <w:szCs w:val="24"/>
                <w:lang w:eastAsia="zh-CN"/>
              </w:rPr>
            </w:pPr>
            <w:r>
              <w:rPr>
                <w:rFonts w:eastAsia="MS Mincho"/>
                <w:sz w:val="20"/>
                <w:lang w:eastAsia="ja-JP"/>
              </w:rPr>
              <w:t>We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sz w:val="20"/>
                <w:lang w:eastAsia="ja-JP"/>
              </w:rPr>
            </w:pPr>
            <w:r>
              <w:t>LG Electronics</w:t>
            </w:r>
          </w:p>
        </w:tc>
        <w:tc>
          <w:tcPr>
            <w:tcW w:w="12176" w:type="dxa"/>
            <w:vAlign w:val="center"/>
          </w:tcPr>
          <w:p>
            <w:pPr>
              <w:widowControl w:val="0"/>
              <w:rPr>
                <w:rFonts w:eastAsia="MS Mincho"/>
                <w:sz w:val="20"/>
                <w:lang w:eastAsia="ja-JP"/>
              </w:rPr>
            </w:pPr>
            <w:r>
              <w:rPr>
                <w:lang w:eastAsia="zh-CN"/>
              </w:rPr>
              <w:t>Not sure if this is an urgent issue, but we are OK with the proposed change.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Apple</w:t>
            </w:r>
          </w:p>
        </w:tc>
        <w:tc>
          <w:tcPr>
            <w:tcW w:w="12176" w:type="dxa"/>
            <w:vAlign w:val="center"/>
          </w:tcPr>
          <w:p>
            <w:pPr>
              <w:widowControl w:val="0"/>
              <w:rPr>
                <w:lang w:eastAsia="zh-CN"/>
              </w:rPr>
            </w:pPr>
            <w:r>
              <w:rPr>
                <w:lang w:eastAsia="zh-CN"/>
              </w:rPr>
              <w:t>Fine with the proposal and Vivo’s edits to the first line. Can be optionally present if we define the default behavior if absent.</w:t>
            </w:r>
          </w:p>
        </w:tc>
      </w:tr>
    </w:tbl>
    <w:tbl>
      <w:tblPr>
        <w:tblStyle w:val="269"/>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lang w:eastAsia="ja-JP"/>
              </w:rPr>
            </w:pPr>
            <w:r>
              <w:rPr>
                <w:lang w:eastAsia="ja-JP"/>
              </w:rPr>
              <w:t>Futurewei</w:t>
            </w:r>
          </w:p>
        </w:tc>
        <w:tc>
          <w:tcPr>
            <w:tcW w:w="12176" w:type="dxa"/>
            <w:vAlign w:val="center"/>
          </w:tcPr>
          <w:p>
            <w:pPr>
              <w:widowControl w:val="0"/>
              <w:spacing w:line="240" w:lineRule="auto"/>
              <w:rPr>
                <w:lang w:eastAsia="zh-CN"/>
              </w:rPr>
            </w:pPr>
            <w:r>
              <w:rPr>
                <w:lang w:eastAsia="zh-CN"/>
              </w:rPr>
              <w:t>We are OK with the proposed changes.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lang w:eastAsia="ja-JP"/>
              </w:rPr>
            </w:pPr>
            <w:r>
              <w:rPr>
                <w:lang w:eastAsia="ja-JP"/>
              </w:rPr>
              <w:t>Lenovo</w:t>
            </w:r>
          </w:p>
        </w:tc>
        <w:tc>
          <w:tcPr>
            <w:tcW w:w="12176" w:type="dxa"/>
            <w:vAlign w:val="center"/>
          </w:tcPr>
          <w:p>
            <w:pPr>
              <w:widowControl w:val="0"/>
              <w:spacing w:line="240" w:lineRule="auto"/>
              <w:rPr>
                <w:lang w:eastAsia="zh-CN"/>
              </w:rPr>
            </w:pPr>
            <w:r>
              <w:rPr>
                <w:lang w:eastAsia="zh-CN"/>
              </w:rPr>
              <w:t>Generally fine including updates by vivo/ZTE. The last sentence could be rephrased for clarity. Our complete proposal is:</w:t>
            </w:r>
          </w:p>
          <w:p>
            <w:pPr>
              <w:pStyle w:val="88"/>
              <w:widowControl w:val="0"/>
              <w:spacing w:line="240" w:lineRule="auto"/>
              <w:ind w:left="1304"/>
              <w:rPr>
                <w:b/>
                <w:bCs/>
                <w:i/>
                <w:iCs/>
              </w:rPr>
            </w:pPr>
            <w:r>
              <w:rPr>
                <w:lang w:eastAsia="zh-CN"/>
              </w:rPr>
              <w:t xml:space="preserve"> </w:t>
            </w:r>
            <w:r>
              <w:rPr>
                <w:b/>
                <w:bCs/>
                <w:i/>
                <w:iCs/>
              </w:rPr>
              <w:t>monitoringCapabilityConfig</w:t>
            </w:r>
          </w:p>
          <w:p>
            <w:pPr>
              <w:widowControl w:val="0"/>
              <w:spacing w:line="240" w:lineRule="auto"/>
              <w:rPr>
                <w:lang w:eastAsia="zh-CN"/>
              </w:rPr>
            </w:pPr>
            <w:r>
              <w:rPr>
                <w:lang w:eastAsia="sv-SE"/>
              </w:rPr>
              <w:t>Configures either Rel-15 PDCCH monitoring capability or Rel-16 PDCCH monitoring capability</w:t>
            </w:r>
            <w:r>
              <w:rPr>
                <w:rFonts w:hint="eastAsia"/>
                <w:lang w:eastAsia="zh-CN"/>
              </w:rPr>
              <w:t xml:space="preserve"> </w:t>
            </w:r>
            <w:r>
              <w:rPr>
                <w:rFonts w:hint="eastAsia"/>
                <w:color w:val="0000FF"/>
                <w:lang w:eastAsia="zh-CN"/>
              </w:rPr>
              <w:t>or Rel-17 PDCCH monitoring capability</w:t>
            </w:r>
            <w:r>
              <w:rPr>
                <w:lang w:eastAsia="sv-SE"/>
              </w:rPr>
              <w:t xml:space="preserve">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w:t>
            </w:r>
            <w:r>
              <w:rPr>
                <w:color w:val="00B050"/>
                <w:lang w:eastAsia="sv-SE"/>
              </w:rPr>
              <w:t xml:space="preserve">a UE configured with 480 kHz or 960 kHz SCS </w:t>
            </w:r>
            <w:r>
              <w:rPr>
                <w:color w:val="FF0000"/>
                <w:lang w:eastAsia="sv-SE"/>
              </w:rPr>
              <w:t xml:space="preserve">expects to be configured with </w:t>
            </w:r>
            <w:r>
              <w:rPr>
                <w:i/>
                <w:color w:val="FF0000"/>
                <w:lang w:eastAsia="sv-SE"/>
              </w:rPr>
              <w:t>r17monitoringcapablity</w:t>
            </w:r>
            <w:r>
              <w:rPr>
                <w:color w:val="FF0000"/>
                <w:lang w:eastAsia="sv-S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sz w:val="20"/>
                <w:lang w:eastAsia="ja-JP"/>
              </w:rPr>
            </w:pPr>
            <w:r>
              <w:rPr>
                <w:sz w:val="20"/>
                <w:lang w:eastAsia="ja-JP"/>
              </w:rPr>
              <w:t>Ericsson 2</w:t>
            </w:r>
          </w:p>
        </w:tc>
        <w:tc>
          <w:tcPr>
            <w:tcW w:w="12176" w:type="dxa"/>
            <w:vAlign w:val="center"/>
          </w:tcPr>
          <w:p>
            <w:pPr>
              <w:widowControl w:val="0"/>
              <w:spacing w:line="240" w:lineRule="auto"/>
              <w:rPr>
                <w:sz w:val="20"/>
                <w:lang w:eastAsia="zh-CN"/>
              </w:rPr>
            </w:pPr>
            <w:r>
              <w:rPr>
                <w:sz w:val="20"/>
                <w:lang w:eastAsia="zh-CN"/>
              </w:rPr>
              <w:t xml:space="preserve">To answer vivo's question, our view is Understanding #1. </w:t>
            </w:r>
          </w:p>
          <w:p>
            <w:pPr>
              <w:widowControl w:val="0"/>
              <w:spacing w:line="240" w:lineRule="auto"/>
              <w:rPr>
                <w:sz w:val="20"/>
                <w:lang w:eastAsia="zh-CN"/>
              </w:rPr>
            </w:pPr>
            <w:r>
              <w:rPr>
                <w:sz w:val="20"/>
                <w:lang w:eastAsia="zh-CN"/>
              </w:rPr>
              <w:t>Perhaps the following clarification can capture this:</w:t>
            </w:r>
          </w:p>
          <w:p>
            <w:pPr>
              <w:pStyle w:val="88"/>
              <w:widowControl w:val="0"/>
              <w:spacing w:line="240" w:lineRule="auto"/>
              <w:ind w:left="1304"/>
              <w:rPr>
                <w:b/>
                <w:bCs/>
                <w:i/>
                <w:iCs/>
              </w:rPr>
            </w:pPr>
            <w:r>
              <w:rPr>
                <w:b/>
                <w:bCs/>
                <w:i/>
                <w:iCs/>
              </w:rPr>
              <w:t>monitoringCapabilityConfig</w:t>
            </w:r>
          </w:p>
          <w:p>
            <w:pPr>
              <w:widowControl w:val="0"/>
              <w:spacing w:line="240" w:lineRule="auto"/>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00B050"/>
                <w:lang w:eastAsia="sv-SE"/>
              </w:rPr>
              <w:t xml:space="preserve">For a BWP with SCS configured as 480 or 960 kHz, </w:t>
            </w:r>
            <w:r>
              <w:rPr>
                <w:strike/>
                <w:color w:val="00B050"/>
                <w:lang w:eastAsia="sv-SE"/>
              </w:rPr>
              <w:t>When present,</w:t>
            </w:r>
            <w:r>
              <w:rPr>
                <w:color w:val="00B050"/>
                <w:lang w:eastAsia="sv-SE"/>
              </w:rPr>
              <w:t xml:space="preserve"> </w:t>
            </w:r>
            <w:r>
              <w:rPr>
                <w:color w:val="FF0000"/>
                <w:lang w:eastAsia="sv-SE"/>
              </w:rPr>
              <w:t xml:space="preserve">the UE expects to be configured with </w:t>
            </w:r>
            <w:r>
              <w:rPr>
                <w:i/>
                <w:color w:val="FF0000"/>
                <w:lang w:eastAsia="sv-SE"/>
              </w:rPr>
              <w:t>r17monitoringcapablity</w:t>
            </w:r>
            <w:r>
              <w:rPr>
                <w:iCs/>
                <w:color w:val="FF0000"/>
                <w:lang w:eastAsia="sv-SE"/>
              </w:rPr>
              <w:t xml:space="preserve"> </w:t>
            </w:r>
            <w:r>
              <w:rPr>
                <w:strike/>
                <w:color w:val="00B050"/>
                <w:lang w:eastAsia="sv-SE"/>
              </w:rPr>
              <w:t>for 480 and 960 kHz SCS</w:t>
            </w:r>
            <w:r>
              <w:rPr>
                <w:color w:val="FF0000"/>
                <w:lang w:eastAsia="sv-S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sz w:val="20"/>
                <w:lang w:eastAsia="ja-JP"/>
              </w:rPr>
            </w:pPr>
            <w:r>
              <w:rPr>
                <w:lang w:eastAsia="ja-JP"/>
              </w:rPr>
              <w:t>Huawei, HiSilicon</w:t>
            </w:r>
          </w:p>
        </w:tc>
        <w:tc>
          <w:tcPr>
            <w:tcW w:w="12176" w:type="dxa"/>
            <w:vAlign w:val="center"/>
          </w:tcPr>
          <w:p>
            <w:pPr>
              <w:widowControl w:val="0"/>
              <w:spacing w:line="240" w:lineRule="auto"/>
              <w:rPr>
                <w:rFonts w:eastAsia="宋体"/>
                <w:kern w:val="2"/>
                <w:lang w:eastAsia="zh-CN"/>
              </w:rPr>
            </w:pPr>
            <w:r>
              <w:rPr>
                <w:lang w:eastAsia="zh-CN"/>
              </w:rPr>
              <w:t xml:space="preserve">Similar to Ericsson, and as explained in our entry to issue A1-4, </w:t>
            </w:r>
            <w:r>
              <w:rPr>
                <w:rFonts w:eastAsia="宋体"/>
                <w:kern w:val="2"/>
                <w:lang w:eastAsia="zh-CN"/>
              </w:rPr>
              <w:t xml:space="preserve">in our view, it should be clarified for </w:t>
            </w:r>
            <m:oMath>
              <m:r>
                <w:rPr>
                  <w:rFonts w:ascii="Cambria Math" w:hAnsi="Cambria Math" w:eastAsia="宋体"/>
                  <w:kern w:val="2"/>
                  <w:lang w:eastAsia="zh-CN"/>
                </w:rPr>
                <m:t>μ</m:t>
              </m:r>
              <m:r>
                <m:rPr>
                  <m:sty m:val="p"/>
                </m:rPr>
                <w:rPr>
                  <w:rFonts w:ascii="Cambria Math" w:hAnsi="Cambria Math" w:eastAsia="宋体"/>
                  <w:kern w:val="2"/>
                  <w:lang w:eastAsia="zh-CN"/>
                </w:rPr>
                <m:t>∈</m:t>
              </m:r>
              <m:d>
                <m:dPr>
                  <m:begChr m:val="{"/>
                  <m:endChr m:val="}"/>
                  <m:ctrlPr>
                    <w:rPr>
                      <w:rFonts w:ascii="Cambria Math" w:hAnsi="Cambria Math" w:eastAsia="宋体"/>
                      <w:kern w:val="2"/>
                      <w:lang w:eastAsia="zh-CN"/>
                    </w:rPr>
                  </m:ctrlPr>
                </m:dPr>
                <m:e>
                  <m:r>
                    <m:rPr>
                      <m:sty m:val="p"/>
                    </m:rPr>
                    <w:rPr>
                      <w:rFonts w:ascii="Cambria Math" w:hAnsi="Cambria Math" w:eastAsia="宋体"/>
                      <w:kern w:val="2"/>
                      <w:lang w:eastAsia="zh-CN"/>
                    </w:rPr>
                    <m:t>5,6</m:t>
                  </m:r>
                  <m:ctrlPr>
                    <w:rPr>
                      <w:rFonts w:ascii="Cambria Math" w:hAnsi="Cambria Math" w:eastAsia="宋体"/>
                      <w:kern w:val="2"/>
                      <w:lang w:eastAsia="zh-CN"/>
                    </w:rPr>
                  </m:ctrlPr>
                </m:e>
              </m:d>
            </m:oMath>
            <w:r>
              <w:rPr>
                <w:rFonts w:eastAsia="宋体"/>
                <w:kern w:val="2"/>
                <w:lang w:eastAsia="zh-CN"/>
              </w:rPr>
              <w:t xml:space="preserve"> that an RRC_CONNECTED UE is expected to be provided with </w:t>
            </w:r>
            <w:r>
              <w:rPr>
                <w:rFonts w:eastAsia="宋体"/>
                <w:i/>
                <w:kern w:val="2"/>
                <w:lang w:eastAsia="zh-CN"/>
              </w:rPr>
              <w:t>monitoringCapabilityConfig=</w:t>
            </w:r>
            <w:r>
              <w:rPr>
                <w:rFonts w:eastAsia="宋体"/>
                <w:kern w:val="2"/>
                <w:lang w:eastAsia="zh-CN"/>
              </w:rPr>
              <w:t xml:space="preserve"> r17monitoringcapability so the UE does not fall back to its default monitoring mode during RRC_CONNECTED state (default monitoring mode is only used during RRC_IDLE state or initial access). In principle, we prefer a combination of Lenovo and Ericsson TP:</w:t>
            </w:r>
          </w:p>
          <w:p>
            <w:pPr>
              <w:pStyle w:val="88"/>
              <w:widowControl w:val="0"/>
              <w:spacing w:line="240" w:lineRule="auto"/>
              <w:ind w:left="1304"/>
              <w:rPr>
                <w:rFonts w:ascii="Times New Roman" w:hAnsi="Times New Roman"/>
                <w:b/>
                <w:bCs/>
                <w:i/>
                <w:iCs/>
                <w:sz w:val="22"/>
                <w:szCs w:val="22"/>
              </w:rPr>
            </w:pPr>
            <w:r>
              <w:rPr>
                <w:rFonts w:ascii="Times New Roman" w:hAnsi="Times New Roman"/>
                <w:b/>
                <w:bCs/>
                <w:i/>
                <w:iCs/>
                <w:sz w:val="22"/>
                <w:szCs w:val="22"/>
              </w:rPr>
              <w:t>monitoringCapabilityConfig</w:t>
            </w:r>
          </w:p>
          <w:p>
            <w:pPr>
              <w:widowControl w:val="0"/>
              <w:spacing w:line="240" w:lineRule="auto"/>
              <w:rPr>
                <w:color w:val="FF0000"/>
                <w:lang w:eastAsia="sv-SE"/>
              </w:rPr>
            </w:pPr>
            <w:r>
              <w:rPr>
                <w:lang w:eastAsia="sv-SE"/>
              </w:rPr>
              <w:t>Configures either Rel-15 PDCCH monitoring capability or Rel-16 PDCCH monitoring capability</w:t>
            </w:r>
            <w:r>
              <w:rPr>
                <w:lang w:eastAsia="zh-CN"/>
              </w:rPr>
              <w:t xml:space="preserve"> </w:t>
            </w:r>
            <w:r>
              <w:rPr>
                <w:lang w:eastAsia="sv-SE"/>
              </w:rPr>
              <w:t xml:space="preserve">for PDCCH monitoring on a serving cell </w:t>
            </w:r>
            <w:r>
              <w:rPr>
                <w:color w:val="0000FF"/>
                <w:lang w:eastAsia="zh-CN"/>
              </w:rPr>
              <w:t xml:space="preserve">or Rel-17 PDCCH monitoring capability </w:t>
            </w:r>
            <w:r>
              <w:rPr>
                <w:color w:val="00B050"/>
                <w:lang w:eastAsia="sv-SE"/>
              </w:rPr>
              <w:t>for a BWP with SCS configured as 480 or 960 kHz</w:t>
            </w:r>
            <w:r>
              <w:rPr>
                <w:lang w:eastAsia="sv-SE"/>
              </w:rPr>
              <w:t xml:space="preserve">.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00B050"/>
                <w:lang w:eastAsia="sv-SE"/>
              </w:rPr>
              <w:t xml:space="preserve">For a BWP with SCS configured as 480 or 960 kHz, </w:t>
            </w:r>
            <w:r>
              <w:rPr>
                <w:strike/>
                <w:color w:val="00B050"/>
                <w:lang w:eastAsia="sv-SE"/>
              </w:rPr>
              <w:t>When present,</w:t>
            </w:r>
            <w:r>
              <w:rPr>
                <w:color w:val="00B050"/>
                <w:lang w:eastAsia="sv-SE"/>
              </w:rPr>
              <w:t xml:space="preserve"> </w:t>
            </w:r>
            <w:r>
              <w:rPr>
                <w:color w:val="FF0000"/>
                <w:lang w:eastAsia="sv-SE"/>
              </w:rPr>
              <w:t xml:space="preserve">the UE expects to be configured with </w:t>
            </w:r>
            <w:r>
              <w:rPr>
                <w:i/>
                <w:color w:val="FF0000"/>
                <w:lang w:eastAsia="sv-SE"/>
              </w:rPr>
              <w:t>r17monitoringcapablity</w:t>
            </w:r>
            <w:r>
              <w:rPr>
                <w:iCs/>
                <w:color w:val="FF0000"/>
                <w:lang w:eastAsia="sv-SE"/>
              </w:rPr>
              <w:t xml:space="preserve"> </w:t>
            </w:r>
            <w:r>
              <w:rPr>
                <w:strike/>
                <w:color w:val="00B050"/>
                <w:lang w:eastAsia="sv-SE"/>
              </w:rPr>
              <w:t>for 480 and 960 kHz SCS</w:t>
            </w:r>
            <w:r>
              <w:rPr>
                <w:color w:val="FF0000"/>
                <w:lang w:eastAsia="sv-SE"/>
              </w:rPr>
              <w:t>.</w:t>
            </w:r>
          </w:p>
          <w:p>
            <w:pPr>
              <w:widowControl w:val="0"/>
              <w:spacing w:line="240" w:lineRule="auto"/>
              <w:rPr>
                <w:sz w:val="20"/>
                <w:lang w:eastAsia="zh-CN"/>
              </w:rPr>
            </w:pPr>
          </w:p>
        </w:tc>
      </w:tr>
    </w:tbl>
    <w:p>
      <w:pPr>
        <w:spacing w:after="0"/>
        <w:rPr>
          <w:b/>
          <w:sz w:val="20"/>
          <w:szCs w:val="20"/>
        </w:rPr>
      </w:pPr>
    </w:p>
    <w:p>
      <w:pPr>
        <w:pStyle w:val="5"/>
      </w:pPr>
      <w:r>
        <w:t>First round discussion summary</w:t>
      </w:r>
    </w:p>
    <w:p>
      <w:pPr>
        <w:rPr>
          <w:lang w:eastAsia="zh-CN"/>
        </w:rPr>
      </w:pPr>
      <w:r>
        <w:rPr>
          <w:lang w:eastAsia="zh-CN"/>
        </w:rPr>
        <w:t>A majority prefers TP A1-4.2 (with fixed typo) TP A1-4.1, where supporters of TP A1-4.1 think that the addition of "active DL BWP" by TP A1-4.2 is not necessary.</w:t>
      </w:r>
    </w:p>
    <w:p>
      <w:r>
        <w:rPr>
          <w:lang w:eastAsia="zh-CN"/>
        </w:rPr>
        <w:t xml:space="preserve">Additionally, Intel thinks that defining default combinations after RRC connection (as both TPs do) is not necessary, it is only required for the case prior to RRC connection. FL thinks that this aspect could be covered by the description of </w:t>
      </w:r>
      <w:r>
        <w:rPr>
          <w:i/>
          <w:iCs/>
        </w:rPr>
        <w:t>monitoringCapabilityConfig</w:t>
      </w:r>
      <w:r>
        <w:t xml:space="preserve"> in the RRC sheet.</w:t>
      </w:r>
    </w:p>
    <w:p>
      <w:r>
        <w:t xml:space="preserve">For the description of </w:t>
      </w:r>
      <w:r>
        <w:rPr>
          <w:i/>
          <w:iCs/>
        </w:rPr>
        <w:t>monitoringCapabilityConfig</w:t>
      </w:r>
      <w:r>
        <w:t xml:space="preserve"> in the RRC sheet, responding companies are overall fine with the direction. Considering also the discussion about the TPs, FL suggests to adopt Ericsson's latest suggestion with ZTE's addition in the first line. FL also moved the reference to 38.213 to apply for all Rel-15/Rel-16/Rel-17 PDCCH monitoring</w:t>
      </w:r>
    </w:p>
    <w:p>
      <w:pPr>
        <w:rPr>
          <w:lang w:eastAsia="zh-CN"/>
        </w:rPr>
      </w:pPr>
      <w:r>
        <w:rPr>
          <w:lang w:eastAsia="zh-CN"/>
        </w:rPr>
        <w:t>FL suggests to adopt Text Proposal A1-4.2a and Proposal A1-4.3a:</w:t>
      </w:r>
    </w:p>
    <w:p>
      <w:pPr>
        <w:tabs>
          <w:tab w:val="left" w:pos="1300"/>
        </w:tabs>
        <w:spacing w:after="0"/>
        <w:jc w:val="both"/>
        <w:rPr>
          <w:b/>
          <w:sz w:val="20"/>
          <w:szCs w:val="20"/>
        </w:rPr>
      </w:pPr>
      <w:r>
        <w:rPr>
          <w:b/>
          <w:sz w:val="20"/>
          <w:szCs w:val="20"/>
          <w:u w:val="single"/>
        </w:rPr>
        <w:t>Text Proposal A1-4.2a</w:t>
      </w:r>
      <w:r>
        <w:rPr>
          <w:b/>
          <w:sz w:val="20"/>
          <w:szCs w:val="20"/>
        </w:rPr>
        <w:t xml:space="preserve">: Change </w:t>
      </w:r>
      <w:r>
        <w:rPr>
          <w:b/>
          <w:bCs/>
          <w:sz w:val="20"/>
          <w:szCs w:val="20"/>
        </w:rPr>
        <w:t>TS 38.213 Clause 10 as follows:</w:t>
      </w:r>
    </w:p>
    <w:tbl>
      <w:tblPr>
        <w:tblStyle w:val="55"/>
        <w:tblW w:w="139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9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44" w:type="dxa"/>
            <w:vAlign w:val="center"/>
          </w:tcPr>
          <w:p>
            <w:pPr>
              <w:widowControl w:val="0"/>
              <w:rPr>
                <w:rFonts w:eastAsia="宋体"/>
                <w:szCs w:val="20"/>
              </w:rPr>
            </w:pPr>
            <w:r>
              <w:rPr>
                <w:rFonts w:eastAsia="宋体"/>
                <w:szCs w:val="20"/>
              </w:rPr>
              <w:t xml:space="preserve">If a UE is provided </w:t>
            </w:r>
            <w:r>
              <w:rPr>
                <w:rFonts w:eastAsia="宋体"/>
                <w:i/>
                <w:szCs w:val="20"/>
              </w:rPr>
              <w:t>monitoringCapabilityConfig</w:t>
            </w:r>
            <w:r>
              <w:rPr>
                <w:rFonts w:eastAsia="宋体"/>
                <w:szCs w:val="20"/>
              </w:rPr>
              <w:t xml:space="preserve"> for a</w:t>
            </w:r>
            <w:ins w:id="234" w:author="Alexander Golitschek" w:date="2022-02-20T19:09:00Z">
              <w:r>
                <w:rPr>
                  <w:rFonts w:eastAsia="宋体"/>
                  <w:szCs w:val="20"/>
                </w:rPr>
                <w:t>n active DL BWP of a</w:t>
              </w:r>
            </w:ins>
            <w:r>
              <w:rPr>
                <w:rFonts w:eastAsia="宋体"/>
                <w:szCs w:val="20"/>
              </w:rPr>
              <w:t xml:space="preserve"> serving cell, the UE obtains an indication to monitor PDCCH on </w:t>
            </w:r>
            <w:ins w:id="235" w:author="Alexander Golitschek" w:date="2022-02-20T19:12:00Z">
              <w:r>
                <w:rPr>
                  <w:rFonts w:eastAsia="宋体"/>
                  <w:szCs w:val="20"/>
                </w:rPr>
                <w:t xml:space="preserve">the active DL BWP of </w:t>
              </w:r>
            </w:ins>
            <w:r>
              <w:rPr>
                <w:rFonts w:eastAsia="宋体"/>
                <w:szCs w:val="20"/>
              </w:rPr>
              <w:t xml:space="preserve">the serving cell for a maximum number of PDCCH candidates and non-overlapping CCEs </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slot, as in Tables 10.1-2 and 10.1-3,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r15monitoringcapability</w:t>
            </w:r>
            <w:r>
              <w:rPr>
                <w:rFonts w:eastAsia="宋体"/>
              </w:rPr>
              <w:t xml:space="preserve">, </w:t>
            </w:r>
            <w:r>
              <w:rPr>
                <w:rFonts w:eastAsia="宋体"/>
                <w:szCs w:val="20"/>
              </w:rPr>
              <w:t xml:space="preserve">or </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span, as in Tables 10.1-2A and 10.1-3A,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r16monitoringcapability</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group </w:t>
            </w:r>
            <w:r>
              <w:rPr>
                <w:rFonts w:eastAsia="宋体"/>
                <w:szCs w:val="20"/>
                <w:lang w:eastAsia="zh-CN"/>
              </w:rPr>
              <w:t xml:space="preserve">of </w:t>
            </w:r>
            <m:oMath>
              <m:sSub>
                <m:sSubPr>
                  <m:ctrlPr>
                    <w:rPr>
                      <w:rFonts w:ascii="Cambria Math" w:hAnsi="Cambria Math" w:eastAsia="宋体"/>
                      <w:i/>
                      <w:szCs w:val="20"/>
                      <w:lang w:val="zh-CN" w:eastAsia="zh-CN"/>
                    </w:rPr>
                  </m:ctrlPr>
                </m:sSubPr>
                <m:e>
                  <m:r>
                    <w:rPr>
                      <w:rFonts w:ascii="Cambria Math" w:hAnsi="Cambria Math" w:eastAsia="宋体"/>
                      <w:szCs w:val="20"/>
                      <w:lang w:val="zh-CN" w:eastAsia="zh-CN"/>
                    </w:rPr>
                    <m:t>X</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oMath>
            <w:r>
              <w:rPr>
                <w:rFonts w:eastAsia="宋体"/>
                <w:szCs w:val="20"/>
                <w:lang w:eastAsia="zh-CN"/>
              </w:rPr>
              <w:t xml:space="preserve"> slots</w:t>
            </w:r>
            <w:r>
              <w:rPr>
                <w:rFonts w:eastAsia="宋体"/>
                <w:szCs w:val="20"/>
              </w:rPr>
              <w:t xml:space="preserve"> </w:t>
            </w:r>
            <w:r>
              <w:rPr>
                <w:rFonts w:eastAsia="宋体"/>
                <w:szCs w:val="20"/>
                <w:lang w:eastAsia="zh-CN"/>
              </w:rPr>
              <w:t xml:space="preserve">according to combination </w:t>
            </w:r>
            <m:oMath>
              <m:d>
                <m:dPr>
                  <m:ctrlPr>
                    <w:rPr>
                      <w:rFonts w:ascii="Cambria Math" w:hAnsi="Cambria Math" w:eastAsia="宋体"/>
                      <w:szCs w:val="20"/>
                      <w:lang w:val="zh-CN" w:eastAsia="zh-CN"/>
                    </w:rPr>
                  </m:ctrlPr>
                </m:dPr>
                <m:e>
                  <m:sSub>
                    <m:sSubPr>
                      <m:ctrlPr>
                        <w:rPr>
                          <w:rFonts w:ascii="Cambria Math" w:hAnsi="Cambria Math" w:eastAsia="宋体"/>
                          <w:i/>
                          <w:szCs w:val="20"/>
                          <w:lang w:val="zh-CN" w:eastAsia="zh-CN"/>
                        </w:rPr>
                      </m:ctrlPr>
                    </m:sSubPr>
                    <m:e>
                      <m:r>
                        <w:rPr>
                          <w:rFonts w:ascii="Cambria Math" w:hAnsi="Cambria Math" w:eastAsia="宋体"/>
                          <w:szCs w:val="20"/>
                          <w:lang w:val="zh-CN" w:eastAsia="zh-CN"/>
                        </w:rPr>
                        <m:t>X</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r>
                    <w:rPr>
                      <w:rFonts w:ascii="Cambria Math" w:hAnsi="Cambria Math" w:eastAsia="宋体"/>
                      <w:szCs w:val="20"/>
                      <w:lang w:eastAsia="zh-CN"/>
                    </w:rPr>
                    <m:t>,</m:t>
                  </m:r>
                  <m:sSub>
                    <m:sSubPr>
                      <m:ctrlPr>
                        <w:rPr>
                          <w:rFonts w:ascii="Cambria Math" w:hAnsi="Cambria Math" w:eastAsia="宋体"/>
                          <w:i/>
                          <w:szCs w:val="20"/>
                          <w:lang w:val="zh-CN" w:eastAsia="zh-CN"/>
                        </w:rPr>
                      </m:ctrlPr>
                    </m:sSubPr>
                    <m:e>
                      <m:r>
                        <w:rPr>
                          <w:rFonts w:ascii="Cambria Math" w:hAnsi="Cambria Math" w:eastAsia="宋体"/>
                          <w:szCs w:val="20"/>
                          <w:lang w:val="zh-CN" w:eastAsia="zh-CN"/>
                        </w:rPr>
                        <m:t>Y</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ctrlPr>
                    <w:rPr>
                      <w:rFonts w:ascii="Cambria Math" w:hAnsi="Cambria Math" w:eastAsia="宋体"/>
                      <w:szCs w:val="20"/>
                      <w:lang w:val="zh-CN" w:eastAsia="zh-CN"/>
                    </w:rPr>
                  </m:ctrlPr>
                </m:e>
              </m:d>
            </m:oMath>
            <w:r>
              <w:rPr>
                <w:rFonts w:eastAsia="宋体"/>
                <w:szCs w:val="20"/>
              </w:rPr>
              <w:t xml:space="preserve">, as in Tables 10.1-2B and 10.1-3B,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r17monitoringcapability</w:t>
            </w:r>
          </w:p>
          <w:p>
            <w:pPr>
              <w:widowControl w:val="0"/>
              <w:spacing w:after="180" w:line="240" w:lineRule="auto"/>
              <w:rPr>
                <w:rFonts w:eastAsia="宋体"/>
                <w:szCs w:val="20"/>
                <w:lang w:eastAsia="zh-CN"/>
              </w:rPr>
            </w:pPr>
            <w:r>
              <w:rPr>
                <w:rFonts w:eastAsia="宋体"/>
                <w:szCs w:val="20"/>
              </w:rPr>
              <w:t xml:space="preserve">If the UE is not provided </w:t>
            </w:r>
            <w:r>
              <w:rPr>
                <w:rFonts w:eastAsia="宋体"/>
                <w:i/>
                <w:szCs w:val="20"/>
              </w:rPr>
              <w:t>monitoringCapabilityConfig</w:t>
            </w:r>
            <w:ins w:id="236" w:author="Alexander Golitschek" w:date="2022-02-20T19:32:00Z">
              <w:r>
                <w:rPr>
                  <w:rFonts w:eastAsia="Times New Roman"/>
                  <w:szCs w:val="20"/>
                  <w:lang w:eastAsia="en-GB"/>
                </w:rPr>
                <w:t xml:space="preserve"> f</w:t>
              </w:r>
            </w:ins>
            <w:ins w:id="237" w:author="Alexander Golitschek" w:date="2022-02-20T19:32:00Z">
              <w:r>
                <w:rPr>
                  <w:rFonts w:eastAsia="Times New Roman"/>
                  <w:szCs w:val="20"/>
                  <w:lang w:val="en-GB" w:eastAsia="en-GB"/>
                </w:rPr>
                <w:t xml:space="preserve">or μ </w:t>
              </w:r>
            </w:ins>
            <w:ins w:id="238" w:author="Alexander Golitschek" w:date="2022-02-20T19:32:00Z">
              <w:r>
                <w:rPr>
                  <w:rFonts w:ascii="Cambria Math" w:hAnsi="Cambria Math" w:eastAsia="Times New Roman" w:cs="Cambria Math"/>
                  <w:szCs w:val="20"/>
                  <w:lang w:val="en-GB" w:eastAsia="en-GB"/>
                </w:rPr>
                <w:t>∈</w:t>
              </w:r>
            </w:ins>
            <w:ins w:id="239" w:author="Alexander Golitschek" w:date="2022-02-20T19:32:00Z">
              <w:r>
                <w:rPr>
                  <w:rFonts w:eastAsia="Times New Roman"/>
                  <w:szCs w:val="20"/>
                  <w:lang w:val="en-GB" w:eastAsia="en-GB"/>
                </w:rPr>
                <w:t xml:space="preserve"> {0,1,2,3}</w:t>
              </w:r>
            </w:ins>
            <w:r>
              <w:rPr>
                <w:rFonts w:eastAsia="宋体"/>
                <w:szCs w:val="20"/>
              </w:rPr>
              <w:t xml:space="preserve">, the UE monitors PDCCH on the </w:t>
            </w:r>
            <w:ins w:id="240" w:author="Alexander Golitschek" w:date="2022-02-20T19:14:00Z">
              <w:r>
                <w:rPr>
                  <w:rFonts w:eastAsia="Times New Roman"/>
                  <w:szCs w:val="20"/>
                  <w:lang w:eastAsia="en-GB"/>
                </w:rPr>
                <w:t>active DL BWP of a</w:t>
              </w:r>
            </w:ins>
            <w:ins w:id="241" w:author="Alexander Golitschek" w:date="2022-02-20T19:14:00Z">
              <w:r>
                <w:rPr>
                  <w:rFonts w:eastAsia="宋体"/>
                  <w:szCs w:val="20"/>
                </w:rPr>
                <w:t xml:space="preserve"> </w:t>
              </w:r>
            </w:ins>
            <w:r>
              <w:rPr>
                <w:rFonts w:eastAsia="宋体"/>
                <w:szCs w:val="20"/>
              </w:rPr>
              <w:t xml:space="preserve">serving cell for a maximum number of PDCCH candidates and non-overlapping CCEs per slot. </w:t>
            </w:r>
          </w:p>
          <w:p>
            <w:pPr>
              <w:widowControl w:val="0"/>
              <w:spacing w:after="180" w:line="240" w:lineRule="auto"/>
              <w:rPr>
                <w:rFonts w:eastAsia="Times New Roman"/>
                <w:szCs w:val="20"/>
                <w:lang w:eastAsia="en-GB"/>
              </w:rPr>
            </w:pPr>
            <w:ins w:id="242" w:author="Alexander Golitschek" w:date="2022-02-20T19:32:00Z">
              <w:r>
                <w:rPr>
                  <w:rFonts w:eastAsia="Times New Roman"/>
                  <w:szCs w:val="20"/>
                  <w:lang w:eastAsia="en-GB"/>
                </w:rPr>
                <w:t>I</w:t>
              </w:r>
            </w:ins>
            <w:ins w:id="243" w:author="Alexander Golitschek" w:date="2022-02-20T18:58:00Z">
              <w:r>
                <w:rPr>
                  <w:rFonts w:eastAsia="Times New Roman"/>
                  <w:szCs w:val="20"/>
                  <w:lang w:eastAsia="en-GB"/>
                </w:rPr>
                <w:t xml:space="preserve">f the UE is not provided </w:t>
              </w:r>
            </w:ins>
            <w:ins w:id="244" w:author="Alexander Golitschek" w:date="2022-02-20T18:58:00Z">
              <w:r>
                <w:rPr>
                  <w:rFonts w:eastAsia="Times New Roman"/>
                  <w:i/>
                  <w:iCs/>
                  <w:szCs w:val="20"/>
                  <w:lang w:eastAsia="en-GB"/>
                </w:rPr>
                <w:t>monitoringCapabilityConfig</w:t>
              </w:r>
            </w:ins>
            <w:ins w:id="245" w:author="Alexander Golitschek" w:date="2022-02-20T19:32:00Z">
              <w:r>
                <w:rPr>
                  <w:rFonts w:eastAsia="Times New Roman"/>
                  <w:szCs w:val="20"/>
                  <w:lang w:eastAsia="en-GB"/>
                </w:rPr>
                <w:t xml:space="preserve"> for μ </w:t>
              </w:r>
            </w:ins>
            <w:ins w:id="246" w:author="Alexander Golitschek" w:date="2022-02-20T19:32:00Z">
              <w:r>
                <w:rPr>
                  <w:rFonts w:ascii="Cambria Math" w:hAnsi="Cambria Math" w:eastAsia="Times New Roman" w:cs="Cambria Math"/>
                  <w:szCs w:val="20"/>
                  <w:lang w:eastAsia="en-GB"/>
                </w:rPr>
                <w:t>∈</w:t>
              </w:r>
            </w:ins>
            <w:ins w:id="247" w:author="Alexander Golitschek" w:date="2022-02-20T19:32:00Z">
              <w:r>
                <w:rPr>
                  <w:rFonts w:eastAsia="Times New Roman"/>
                  <w:szCs w:val="20"/>
                  <w:lang w:eastAsia="en-GB"/>
                </w:rPr>
                <w:t xml:space="preserve"> {5,6}, </w:t>
              </w:r>
            </w:ins>
            <w:ins w:id="248" w:author="Alexander Golitschek" w:date="2022-02-20T18:58:00Z">
              <w:r>
                <w:rPr>
                  <w:rFonts w:eastAsia="Times New Roman"/>
                  <w:szCs w:val="20"/>
                  <w:lang w:eastAsia="en-GB"/>
                </w:rPr>
                <w:t xml:space="preserve">the UE monitors PDCCH on the </w:t>
              </w:r>
            </w:ins>
            <w:ins w:id="249" w:author="Alexander Golitschek" w:date="2022-02-20T19:13:00Z">
              <w:r>
                <w:rPr>
                  <w:rFonts w:eastAsia="Times New Roman"/>
                  <w:szCs w:val="20"/>
                  <w:lang w:eastAsia="en-GB"/>
                </w:rPr>
                <w:t xml:space="preserve">active DL BWP of a </w:t>
              </w:r>
            </w:ins>
            <w:ins w:id="250"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251" w:author="Alexander Golitschek" w:date="2022-02-20T18:58:00Z">
                      <w:rPr>
                        <w:rFonts w:ascii="Cambria Math" w:hAnsi="Cambria Math" w:eastAsia="Times New Roman"/>
                        <w:szCs w:val="20"/>
                        <w:lang w:eastAsia="en-GB"/>
                      </w:rPr>
                    </w:ins>
                  </m:ctrlPr>
                </m:sSubPr>
                <m:e>
                  <w:ins w:id="252" w:author="Alexander Golitschek" w:date="2022-02-20T18:58:00Z">
                    <m:r>
                      <w:rPr>
                        <w:rFonts w:ascii="Cambria Math" w:hAnsi="Cambria Math" w:eastAsia="Times New Roman"/>
                        <w:szCs w:val="20"/>
                        <w:lang w:eastAsia="en-GB"/>
                      </w:rPr>
                      <m:t>X</m:t>
                    </m:r>
                  </w:ins>
                  <m:ctrlPr>
                    <w:ins w:id="253" w:author="Alexander Golitschek" w:date="2022-02-20T18:58:00Z">
                      <w:rPr>
                        <w:rFonts w:ascii="Cambria Math" w:hAnsi="Cambria Math" w:eastAsia="Times New Roman"/>
                        <w:szCs w:val="20"/>
                        <w:lang w:eastAsia="en-GB"/>
                      </w:rPr>
                    </w:ins>
                  </m:ctrlPr>
                </m:e>
                <m:sub>
                  <w:ins w:id="254" w:author="Alexander Golitschek" w:date="2022-02-20T18:58:00Z">
                    <m:r>
                      <w:rPr>
                        <w:rFonts w:ascii="Cambria Math" w:hAnsi="Cambria Math" w:eastAsia="Times New Roman"/>
                        <w:szCs w:val="20"/>
                        <w:lang w:eastAsia="en-GB"/>
                      </w:rPr>
                      <m:t>s</m:t>
                    </m:r>
                  </w:ins>
                  <m:ctrlPr>
                    <w:ins w:id="255" w:author="Alexander Golitschek" w:date="2022-02-20T18:58:00Z">
                      <w:rPr>
                        <w:rFonts w:ascii="Cambria Math" w:hAnsi="Cambria Math" w:eastAsia="Times New Roman"/>
                        <w:szCs w:val="20"/>
                        <w:lang w:eastAsia="en-GB"/>
                      </w:rPr>
                    </w:ins>
                  </m:ctrlPr>
                </m:sub>
              </m:sSub>
            </m:oMath>
            <w:ins w:id="256" w:author="Alexander Golitschek" w:date="2022-02-20T18:58:00Z">
              <w:r>
                <w:rPr>
                  <w:rFonts w:eastAsia="Times New Roman"/>
                  <w:szCs w:val="20"/>
                  <w:lang w:eastAsia="en-GB"/>
                </w:rPr>
                <w:t xml:space="preserve"> slots according to combination </w:t>
              </w:r>
            </w:ins>
            <m:oMath>
              <m:d>
                <m:dPr>
                  <m:ctrlPr>
                    <w:ins w:id="257" w:author="Alexander Golitschek" w:date="2022-02-20T18:58:00Z">
                      <w:rPr>
                        <w:rFonts w:ascii="Cambria Math" w:hAnsi="Cambria Math" w:eastAsia="Times New Roman"/>
                        <w:szCs w:val="20"/>
                        <w:lang w:eastAsia="en-GB"/>
                      </w:rPr>
                    </w:ins>
                  </m:ctrlPr>
                </m:dPr>
                <m:e>
                  <m:sSub>
                    <m:sSubPr>
                      <m:ctrlPr>
                        <w:ins w:id="258" w:author="Alexander Golitschek" w:date="2022-02-20T18:58:00Z">
                          <w:rPr>
                            <w:rFonts w:ascii="Cambria Math" w:hAnsi="Cambria Math" w:eastAsia="Times New Roman"/>
                            <w:szCs w:val="20"/>
                            <w:lang w:eastAsia="en-GB"/>
                          </w:rPr>
                        </w:ins>
                      </m:ctrlPr>
                    </m:sSubPr>
                    <m:e>
                      <w:ins w:id="259" w:author="Alexander Golitschek" w:date="2022-02-20T18:58:00Z">
                        <m:r>
                          <w:rPr>
                            <w:rFonts w:ascii="Cambria Math" w:hAnsi="Cambria Math" w:eastAsia="Times New Roman"/>
                            <w:szCs w:val="20"/>
                            <w:lang w:eastAsia="en-GB"/>
                          </w:rPr>
                          <m:t>X</m:t>
                        </m:r>
                      </w:ins>
                      <m:ctrlPr>
                        <w:ins w:id="260" w:author="Alexander Golitschek" w:date="2022-02-20T18:58:00Z">
                          <w:rPr>
                            <w:rFonts w:ascii="Cambria Math" w:hAnsi="Cambria Math" w:eastAsia="Times New Roman"/>
                            <w:szCs w:val="20"/>
                            <w:lang w:eastAsia="en-GB"/>
                          </w:rPr>
                        </w:ins>
                      </m:ctrlPr>
                    </m:e>
                    <m:sub>
                      <w:ins w:id="261" w:author="Alexander Golitschek" w:date="2022-02-20T18:58:00Z">
                        <m:r>
                          <w:rPr>
                            <w:rFonts w:ascii="Cambria Math" w:hAnsi="Cambria Math" w:eastAsia="Times New Roman"/>
                            <w:szCs w:val="20"/>
                            <w:lang w:eastAsia="en-GB"/>
                          </w:rPr>
                          <m:t>s</m:t>
                        </m:r>
                      </w:ins>
                      <m:ctrlPr>
                        <w:ins w:id="262" w:author="Alexander Golitschek" w:date="2022-02-20T18:58:00Z">
                          <w:rPr>
                            <w:rFonts w:ascii="Cambria Math" w:hAnsi="Cambria Math" w:eastAsia="Times New Roman"/>
                            <w:szCs w:val="20"/>
                            <w:lang w:eastAsia="en-GB"/>
                          </w:rPr>
                        </w:ins>
                      </m:ctrlPr>
                    </m:sub>
                  </m:sSub>
                  <w:ins w:id="263" w:author="Alexander Golitschek" w:date="2022-02-20T18:58:00Z">
                    <m:r>
                      <m:rPr>
                        <m:sty m:val="p"/>
                      </m:rPr>
                      <w:rPr>
                        <w:rFonts w:ascii="Cambria Math" w:hAnsi="Cambria Math" w:eastAsia="Times New Roman"/>
                        <w:szCs w:val="20"/>
                        <w:lang w:eastAsia="en-GB"/>
                      </w:rPr>
                      <m:t>,</m:t>
                    </m:r>
                  </w:ins>
                  <m:sSub>
                    <m:sSubPr>
                      <m:ctrlPr>
                        <w:ins w:id="264" w:author="Alexander Golitschek" w:date="2022-02-20T18:58:00Z">
                          <w:rPr>
                            <w:rFonts w:ascii="Cambria Math" w:hAnsi="Cambria Math" w:eastAsia="Times New Roman"/>
                            <w:szCs w:val="20"/>
                            <w:lang w:eastAsia="en-GB"/>
                          </w:rPr>
                        </w:ins>
                      </m:ctrlPr>
                    </m:sSubPr>
                    <m:e>
                      <w:ins w:id="265" w:author="Alexander Golitschek" w:date="2022-02-20T18:58:00Z">
                        <m:r>
                          <w:rPr>
                            <w:rFonts w:ascii="Cambria Math" w:hAnsi="Cambria Math" w:eastAsia="Times New Roman"/>
                            <w:szCs w:val="20"/>
                            <w:lang w:eastAsia="en-GB"/>
                          </w:rPr>
                          <m:t>Y</m:t>
                        </m:r>
                      </w:ins>
                      <m:ctrlPr>
                        <w:ins w:id="266" w:author="Alexander Golitschek" w:date="2022-02-20T18:58:00Z">
                          <w:rPr>
                            <w:rFonts w:ascii="Cambria Math" w:hAnsi="Cambria Math" w:eastAsia="Times New Roman"/>
                            <w:szCs w:val="20"/>
                            <w:lang w:eastAsia="en-GB"/>
                          </w:rPr>
                        </w:ins>
                      </m:ctrlPr>
                    </m:e>
                    <m:sub>
                      <w:ins w:id="267" w:author="Alexander Golitschek" w:date="2022-02-20T18:58:00Z">
                        <m:r>
                          <w:rPr>
                            <w:rFonts w:ascii="Cambria Math" w:hAnsi="Cambria Math" w:eastAsia="Times New Roman"/>
                            <w:szCs w:val="20"/>
                            <w:lang w:eastAsia="en-GB"/>
                          </w:rPr>
                          <m:t>s</m:t>
                        </m:r>
                      </w:ins>
                      <m:ctrlPr>
                        <w:ins w:id="268" w:author="Alexander Golitschek" w:date="2022-02-20T18:58:00Z">
                          <w:rPr>
                            <w:rFonts w:ascii="Cambria Math" w:hAnsi="Cambria Math" w:eastAsia="Times New Roman"/>
                            <w:szCs w:val="20"/>
                            <w:lang w:eastAsia="en-GB"/>
                          </w:rPr>
                        </w:ins>
                      </m:ctrlPr>
                    </m:sub>
                  </m:sSub>
                  <m:ctrlPr>
                    <w:ins w:id="269" w:author="Alexander Golitschek" w:date="2022-02-20T18:58:00Z">
                      <w:rPr>
                        <w:rFonts w:ascii="Cambria Math" w:hAnsi="Cambria Math" w:eastAsia="Times New Roman"/>
                        <w:szCs w:val="20"/>
                        <w:lang w:eastAsia="en-GB"/>
                      </w:rPr>
                    </w:ins>
                  </m:ctrlPr>
                </m:e>
              </m:d>
              <w:ins w:id="270" w:author="Alexander Golitschek" w:date="2022-02-20T18:58:00Z">
                <m:r>
                  <m:rPr>
                    <m:sty m:val="p"/>
                  </m:rPr>
                  <w:rPr>
                    <w:rFonts w:ascii="Cambria Math" w:hAnsi="Cambria Math" w:eastAsia="Times New Roman"/>
                    <w:szCs w:val="20"/>
                    <w:lang w:eastAsia="en-GB"/>
                  </w:rPr>
                  <m:t>=(4,1)</m:t>
                </m:r>
              </w:ins>
            </m:oMath>
            <w:ins w:id="271" w:author="Alexander Golitschek" w:date="2022-02-20T18:58:00Z">
              <w:r>
                <w:rPr>
                  <w:rFonts w:eastAsia="Times New Roman"/>
                  <w:szCs w:val="20"/>
                  <w:lang w:eastAsia="en-GB"/>
                </w:rPr>
                <w:t xml:space="preserve"> for μ =</w:t>
              </w:r>
            </w:ins>
            <w:ins w:id="272" w:author="Alexander Golitschek" w:date="2022-02-20T19:01:00Z">
              <w:r>
                <w:rPr>
                  <w:rFonts w:eastAsia="Times New Roman"/>
                  <w:szCs w:val="20"/>
                  <w:lang w:eastAsia="en-GB"/>
                </w:rPr>
                <w:t xml:space="preserve"> </w:t>
              </w:r>
            </w:ins>
            <w:ins w:id="273" w:author="Alexander Golitschek" w:date="2022-02-20T18:58:00Z">
              <w:r>
                <w:rPr>
                  <w:rFonts w:eastAsia="Times New Roman"/>
                  <w:szCs w:val="20"/>
                  <w:lang w:eastAsia="en-GB"/>
                </w:rPr>
                <w:t xml:space="preserve">5 and </w:t>
              </w:r>
            </w:ins>
            <m:oMath>
              <m:d>
                <m:dPr>
                  <m:ctrlPr>
                    <w:ins w:id="274" w:author="Alexander Golitschek" w:date="2022-02-20T18:58:00Z">
                      <w:rPr>
                        <w:rFonts w:ascii="Cambria Math" w:hAnsi="Cambria Math" w:eastAsia="Times New Roman"/>
                        <w:szCs w:val="20"/>
                        <w:lang w:eastAsia="en-GB"/>
                      </w:rPr>
                    </w:ins>
                  </m:ctrlPr>
                </m:dPr>
                <m:e>
                  <m:sSub>
                    <m:sSubPr>
                      <m:ctrlPr>
                        <w:ins w:id="275" w:author="Alexander Golitschek" w:date="2022-02-20T18:58:00Z">
                          <w:rPr>
                            <w:rFonts w:ascii="Cambria Math" w:hAnsi="Cambria Math" w:eastAsia="Times New Roman"/>
                            <w:szCs w:val="20"/>
                            <w:lang w:eastAsia="en-GB"/>
                          </w:rPr>
                        </w:ins>
                      </m:ctrlPr>
                    </m:sSubPr>
                    <m:e>
                      <w:ins w:id="276" w:author="Alexander Golitschek" w:date="2022-02-20T18:58:00Z">
                        <m:r>
                          <w:rPr>
                            <w:rFonts w:ascii="Cambria Math" w:hAnsi="Cambria Math" w:eastAsia="Times New Roman"/>
                            <w:szCs w:val="20"/>
                            <w:lang w:eastAsia="en-GB"/>
                          </w:rPr>
                          <m:t>X</m:t>
                        </m:r>
                      </w:ins>
                      <m:ctrlPr>
                        <w:ins w:id="277" w:author="Alexander Golitschek" w:date="2022-02-20T18:58:00Z">
                          <w:rPr>
                            <w:rFonts w:ascii="Cambria Math" w:hAnsi="Cambria Math" w:eastAsia="Times New Roman"/>
                            <w:szCs w:val="20"/>
                            <w:lang w:eastAsia="en-GB"/>
                          </w:rPr>
                        </w:ins>
                      </m:ctrlPr>
                    </m:e>
                    <m:sub>
                      <w:ins w:id="278" w:author="Alexander Golitschek" w:date="2022-02-20T18:58:00Z">
                        <m:r>
                          <w:rPr>
                            <w:rFonts w:ascii="Cambria Math" w:hAnsi="Cambria Math" w:eastAsia="Times New Roman"/>
                            <w:szCs w:val="20"/>
                            <w:lang w:eastAsia="en-GB"/>
                          </w:rPr>
                          <m:t>s</m:t>
                        </m:r>
                      </w:ins>
                      <m:ctrlPr>
                        <w:ins w:id="279" w:author="Alexander Golitschek" w:date="2022-02-20T18:58:00Z">
                          <w:rPr>
                            <w:rFonts w:ascii="Cambria Math" w:hAnsi="Cambria Math" w:eastAsia="Times New Roman"/>
                            <w:szCs w:val="20"/>
                            <w:lang w:eastAsia="en-GB"/>
                          </w:rPr>
                        </w:ins>
                      </m:ctrlPr>
                    </m:sub>
                  </m:sSub>
                  <w:ins w:id="280" w:author="Alexander Golitschek" w:date="2022-02-20T18:58:00Z">
                    <m:r>
                      <m:rPr>
                        <m:sty m:val="p"/>
                      </m:rPr>
                      <w:rPr>
                        <w:rFonts w:ascii="Cambria Math" w:hAnsi="Cambria Math" w:eastAsia="Times New Roman"/>
                        <w:szCs w:val="20"/>
                        <w:lang w:eastAsia="en-GB"/>
                      </w:rPr>
                      <m:t>,</m:t>
                    </m:r>
                  </w:ins>
                  <m:sSub>
                    <m:sSubPr>
                      <m:ctrlPr>
                        <w:ins w:id="281" w:author="Alexander Golitschek" w:date="2022-02-20T18:58:00Z">
                          <w:rPr>
                            <w:rFonts w:ascii="Cambria Math" w:hAnsi="Cambria Math" w:eastAsia="Times New Roman"/>
                            <w:szCs w:val="20"/>
                            <w:lang w:eastAsia="en-GB"/>
                          </w:rPr>
                        </w:ins>
                      </m:ctrlPr>
                    </m:sSubPr>
                    <m:e>
                      <w:ins w:id="282" w:author="Alexander Golitschek" w:date="2022-02-20T18:58:00Z">
                        <m:r>
                          <w:rPr>
                            <w:rFonts w:ascii="Cambria Math" w:hAnsi="Cambria Math" w:eastAsia="Times New Roman"/>
                            <w:szCs w:val="20"/>
                            <w:lang w:eastAsia="en-GB"/>
                          </w:rPr>
                          <m:t>Y</m:t>
                        </m:r>
                      </w:ins>
                      <m:ctrlPr>
                        <w:ins w:id="283" w:author="Alexander Golitschek" w:date="2022-02-20T18:58:00Z">
                          <w:rPr>
                            <w:rFonts w:ascii="Cambria Math" w:hAnsi="Cambria Math" w:eastAsia="Times New Roman"/>
                            <w:szCs w:val="20"/>
                            <w:lang w:eastAsia="en-GB"/>
                          </w:rPr>
                        </w:ins>
                      </m:ctrlPr>
                    </m:e>
                    <m:sub>
                      <w:ins w:id="284" w:author="Alexander Golitschek" w:date="2022-02-20T18:58:00Z">
                        <m:r>
                          <w:rPr>
                            <w:rFonts w:ascii="Cambria Math" w:hAnsi="Cambria Math" w:eastAsia="Times New Roman"/>
                            <w:szCs w:val="20"/>
                            <w:lang w:eastAsia="en-GB"/>
                          </w:rPr>
                          <m:t>s</m:t>
                        </m:r>
                      </w:ins>
                      <m:ctrlPr>
                        <w:ins w:id="285" w:author="Alexander Golitschek" w:date="2022-02-20T18:58:00Z">
                          <w:rPr>
                            <w:rFonts w:ascii="Cambria Math" w:hAnsi="Cambria Math" w:eastAsia="Times New Roman"/>
                            <w:szCs w:val="20"/>
                            <w:lang w:eastAsia="en-GB"/>
                          </w:rPr>
                        </w:ins>
                      </m:ctrlPr>
                    </m:sub>
                  </m:sSub>
                  <m:ctrlPr>
                    <w:ins w:id="286" w:author="Alexander Golitschek" w:date="2022-02-20T18:58:00Z">
                      <w:rPr>
                        <w:rFonts w:ascii="Cambria Math" w:hAnsi="Cambria Math" w:eastAsia="Times New Roman"/>
                        <w:szCs w:val="20"/>
                        <w:lang w:eastAsia="en-GB"/>
                      </w:rPr>
                    </w:ins>
                  </m:ctrlPr>
                </m:e>
              </m:d>
              <w:ins w:id="287" w:author="Alexander Golitschek" w:date="2022-02-20T18:58:00Z">
                <m:r>
                  <m:rPr>
                    <m:sty m:val="p"/>
                  </m:rPr>
                  <w:rPr>
                    <w:rFonts w:ascii="Cambria Math" w:hAnsi="Cambria Math" w:eastAsia="Times New Roman"/>
                    <w:szCs w:val="20"/>
                    <w:lang w:eastAsia="en-GB"/>
                  </w:rPr>
                  <m:t>=(8,1)</m:t>
                </m:r>
              </w:ins>
            </m:oMath>
            <w:ins w:id="288" w:author="Alexander Golitschek" w:date="2022-02-20T18:58:00Z">
              <w:r>
                <w:rPr>
                  <w:rFonts w:eastAsia="Times New Roman"/>
                  <w:szCs w:val="20"/>
                  <w:lang w:eastAsia="en-GB"/>
                </w:rPr>
                <w:t xml:space="preserve"> for μ </w:t>
              </w:r>
            </w:ins>
            <w:ins w:id="289" w:author="Alexander Golitschek" w:date="2022-02-20T19:01:00Z">
              <w:r>
                <w:rPr>
                  <w:rFonts w:eastAsia="Times New Roman"/>
                  <w:szCs w:val="20"/>
                  <w:lang w:eastAsia="en-GB"/>
                </w:rPr>
                <w:t>=</w:t>
              </w:r>
            </w:ins>
            <w:ins w:id="290" w:author="Alexander Golitschek" w:date="2022-02-20T19:02:00Z">
              <w:r>
                <w:rPr>
                  <w:rFonts w:eastAsia="Times New Roman"/>
                  <w:szCs w:val="20"/>
                  <w:lang w:eastAsia="en-GB"/>
                </w:rPr>
                <w:t xml:space="preserve"> </w:t>
              </w:r>
            </w:ins>
            <w:ins w:id="291" w:author="Alexander Golitschek" w:date="2022-02-20T18:58:00Z">
              <w:r>
                <w:rPr>
                  <w:rFonts w:eastAsia="Times New Roman"/>
                  <w:szCs w:val="20"/>
                  <w:lang w:eastAsia="en-GB"/>
                </w:rPr>
                <w:t>6 as in Tables 10.1-2B and 10.1-3B.</w:t>
              </w:r>
            </w:ins>
          </w:p>
        </w:tc>
      </w:tr>
    </w:tbl>
    <w:p>
      <w:pPr>
        <w:autoSpaceDE/>
        <w:autoSpaceDN/>
        <w:adjustRightInd/>
        <w:snapToGrid/>
        <w:spacing w:after="0" w:line="240" w:lineRule="auto"/>
        <w:rPr>
          <w:lang w:eastAsia="zh-CN"/>
        </w:rPr>
      </w:pPr>
    </w:p>
    <w:p>
      <w:pPr>
        <w:tabs>
          <w:tab w:val="left" w:pos="1300"/>
        </w:tabs>
        <w:spacing w:after="0"/>
        <w:jc w:val="both"/>
        <w:rPr>
          <w:b/>
          <w:sz w:val="20"/>
          <w:szCs w:val="20"/>
        </w:rPr>
      </w:pPr>
      <w:r>
        <w:rPr>
          <w:b/>
          <w:sz w:val="20"/>
          <w:szCs w:val="20"/>
          <w:highlight w:val="yellow"/>
          <w:u w:val="single"/>
        </w:rPr>
        <w:t>Proposal A1-4.3a</w:t>
      </w:r>
      <w:r>
        <w:rPr>
          <w:b/>
          <w:sz w:val="20"/>
          <w:szCs w:val="20"/>
        </w:rPr>
        <w:t xml:space="preserve"> (coloured text is just for highlighting changes):</w:t>
      </w:r>
    </w:p>
    <w:p>
      <w:pPr>
        <w:pStyle w:val="212"/>
        <w:numPr>
          <w:ilvl w:val="0"/>
          <w:numId w:val="0"/>
        </w:numPr>
        <w:tabs>
          <w:tab w:val="left" w:pos="0"/>
          <w:tab w:val="clear" w:pos="1304"/>
          <w:tab w:val="clear" w:pos="2722"/>
        </w:tabs>
        <w:spacing w:after="120"/>
        <w:rPr>
          <w:rFonts w:ascii="Times New Roman" w:hAnsi="Times New Roman" w:cs="Times New Roman"/>
          <w:b w:val="0"/>
          <w:bCs w:val="0"/>
        </w:rPr>
      </w:pPr>
      <w:r>
        <w:rPr>
          <w:rFonts w:ascii="Times New Roman" w:hAnsi="Times New Roman" w:cs="Times New Roman" w:eastAsiaTheme="minorEastAsia"/>
          <w:b w:val="0"/>
          <w:bCs w:val="0"/>
          <w:lang w:eastAsia="ja-JP"/>
        </w:rPr>
        <w:t xml:space="preserve">Capture the following in </w:t>
      </w:r>
      <w:r>
        <w:rPr>
          <w:rFonts w:ascii="Times New Roman" w:hAnsi="Times New Roman" w:cs="Times New Roman"/>
          <w:b w:val="0"/>
          <w:bCs w:val="0"/>
        </w:rPr>
        <w:t>the RRC parameter spreadsheet to RAN2:</w:t>
      </w:r>
    </w:p>
    <w:p>
      <w:pPr>
        <w:pStyle w:val="88"/>
        <w:ind w:left="1304"/>
        <w:rPr>
          <w:b/>
          <w:bCs/>
          <w:i/>
          <w:iCs/>
        </w:rPr>
      </w:pPr>
      <w:r>
        <w:rPr>
          <w:b/>
          <w:bCs/>
          <w:i/>
          <w:iCs/>
        </w:rPr>
        <w:t>monitoringCapabilityConfig</w:t>
      </w:r>
    </w:p>
    <w:p>
      <w:pPr>
        <w:pStyle w:val="88"/>
        <w:ind w:left="1304"/>
        <w:rPr>
          <w:b/>
          <w:bCs/>
          <w:i/>
          <w:iCs/>
        </w:rPr>
      </w:pPr>
      <w:r>
        <w:rPr>
          <w:lang w:eastAsia="sv-SE"/>
        </w:rPr>
        <w:t xml:space="preserve">Configures either Rel-15 PDCCH monitoring capability or Rel-16 PDCCH monitoring capability </w:t>
      </w:r>
      <w:r>
        <w:rPr>
          <w:rFonts w:hint="eastAsia"/>
          <w:color w:val="0000FF"/>
          <w:lang w:eastAsia="zh-CN"/>
        </w:rPr>
        <w:t>or Rel-17 PDCCH monitoring capability</w:t>
      </w:r>
      <w:r>
        <w:rPr>
          <w:lang w:eastAsia="sv-SE"/>
        </w:rPr>
        <w:t xml:space="preserve"> for PDCCH monitoring on a serving cell </w:t>
      </w:r>
      <w:r>
        <w:rPr>
          <w:color w:val="00B050"/>
          <w:lang w:eastAsia="sv-SE"/>
        </w:rPr>
        <w:t>(see TS 38.213 [13], clause 10.1)</w:t>
      </w:r>
      <w:r>
        <w:rPr>
          <w:lang w:eastAsia="sv-SE"/>
        </w:rPr>
        <w:t xml:space="preserve">.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w:t>
      </w:r>
      <w:r>
        <w:rPr>
          <w:lang w:eastAsia="sv-SE"/>
        </w:rPr>
        <w:t xml:space="preserve">. </w:t>
      </w:r>
      <w:r>
        <w:rPr>
          <w:color w:val="00B050"/>
          <w:lang w:eastAsia="sv-SE"/>
        </w:rPr>
        <w:t xml:space="preserve">For a BWP with SCS configured as 480 or 960 kHz, </w:t>
      </w:r>
      <w:r>
        <w:rPr>
          <w:color w:val="FF0000"/>
          <w:lang w:eastAsia="sv-SE"/>
        </w:rPr>
        <w:t xml:space="preserve">the UE expects to be configured with </w:t>
      </w:r>
      <w:r>
        <w:rPr>
          <w:i/>
          <w:color w:val="FF0000"/>
          <w:lang w:eastAsia="sv-SE"/>
        </w:rPr>
        <w:t>r17monitoringcapablity</w:t>
      </w:r>
      <w:r>
        <w:rPr>
          <w:color w:val="FF0000"/>
          <w:lang w:eastAsia="sv-SE"/>
        </w:rPr>
        <w:t>.</w:t>
      </w:r>
    </w:p>
    <w:p>
      <w:pPr>
        <w:autoSpaceDE/>
        <w:autoSpaceDN/>
        <w:adjustRightInd/>
        <w:snapToGrid/>
        <w:spacing w:after="0" w:line="240" w:lineRule="auto"/>
        <w:rPr>
          <w:lang w:eastAsia="zh-CN"/>
        </w:rPr>
      </w:pPr>
    </w:p>
    <w:p>
      <w:pPr>
        <w:pStyle w:val="5"/>
      </w:pPr>
      <w:r>
        <w:t>Second round discussion</w:t>
      </w:r>
    </w:p>
    <w:p>
      <w:pPr>
        <w:rPr>
          <w:bCs/>
          <w:lang w:val="en-GB" w:eastAsia="zh-CN"/>
        </w:rPr>
      </w:pPr>
      <w:r>
        <w:rPr>
          <w:bCs/>
          <w:lang w:val="en-GB" w:eastAsia="zh-CN"/>
        </w:rPr>
        <w:t>In view of the first round discussion and online discussion, please continue discussion on the following items.</w:t>
      </w:r>
    </w:p>
    <w:p>
      <w:pPr>
        <w:rPr>
          <w:bCs/>
          <w:lang w:val="en-GB" w:eastAsia="zh-CN"/>
        </w:rPr>
      </w:pPr>
      <w:r>
        <w:rPr>
          <w:bCs/>
          <w:lang w:val="en-GB" w:eastAsia="zh-CN"/>
        </w:rPr>
        <w:t xml:space="preserve">TP A1-4.2a includes monitoring behaviour for µ={5,6} without </w:t>
      </w:r>
      <w:r>
        <w:rPr>
          <w:rFonts w:eastAsia="Times New Roman"/>
          <w:i/>
          <w:iCs/>
          <w:szCs w:val="20"/>
          <w:lang w:eastAsia="en-GB"/>
        </w:rPr>
        <w:t>monitoringCapabilityConfig</w:t>
      </w:r>
      <w:r>
        <w:rPr>
          <w:bCs/>
          <w:lang w:val="en-GB" w:eastAsia="zh-CN"/>
        </w:rPr>
        <w:t xml:space="preserve">, while TP A1-4.2b includes monitoring behaviour only for µ=5 without </w:t>
      </w:r>
      <w:r>
        <w:rPr>
          <w:rFonts w:eastAsia="Times New Roman"/>
          <w:i/>
          <w:iCs/>
          <w:szCs w:val="20"/>
          <w:lang w:eastAsia="en-GB"/>
        </w:rPr>
        <w:t>monitoringCapabilityConfig</w:t>
      </w:r>
      <w:r>
        <w:rPr>
          <w:bCs/>
          <w:lang w:val="en-GB" w:eastAsia="zh-CN"/>
        </w:rPr>
        <w:t>.</w:t>
      </w:r>
    </w:p>
    <w:p>
      <w:pPr>
        <w:tabs>
          <w:tab w:val="left" w:pos="1300"/>
        </w:tabs>
        <w:spacing w:after="0"/>
        <w:jc w:val="both"/>
        <w:rPr>
          <w:b/>
          <w:sz w:val="20"/>
          <w:szCs w:val="20"/>
        </w:rPr>
      </w:pPr>
      <w:r>
        <w:rPr>
          <w:b/>
          <w:sz w:val="20"/>
          <w:szCs w:val="20"/>
          <w:highlight w:val="yellow"/>
          <w:u w:val="single"/>
        </w:rPr>
        <w:t>Text Proposal A1-4.2a</w:t>
      </w:r>
      <w:r>
        <w:rPr>
          <w:b/>
          <w:sz w:val="20"/>
          <w:szCs w:val="20"/>
        </w:rPr>
        <w:t xml:space="preserve">: Change </w:t>
      </w:r>
      <w:r>
        <w:rPr>
          <w:b/>
          <w:bCs/>
          <w:sz w:val="20"/>
          <w:szCs w:val="20"/>
        </w:rPr>
        <w:t>TS 38.213 Clause 10 as follows:</w:t>
      </w:r>
    </w:p>
    <w:tbl>
      <w:tblPr>
        <w:tblStyle w:val="55"/>
        <w:tblW w:w="139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9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44" w:type="dxa"/>
            <w:vAlign w:val="center"/>
          </w:tcPr>
          <w:p>
            <w:pPr>
              <w:widowControl w:val="0"/>
              <w:rPr>
                <w:rFonts w:eastAsia="宋体"/>
                <w:szCs w:val="20"/>
              </w:rPr>
            </w:pPr>
            <w:r>
              <w:rPr>
                <w:rFonts w:eastAsia="宋体"/>
                <w:szCs w:val="20"/>
              </w:rPr>
              <w:t xml:space="preserve">If a UE is provided </w:t>
            </w:r>
            <w:r>
              <w:rPr>
                <w:rFonts w:eastAsia="宋体"/>
                <w:i/>
                <w:szCs w:val="20"/>
              </w:rPr>
              <w:t>monitoringCapabilityConfig</w:t>
            </w:r>
            <w:r>
              <w:rPr>
                <w:rFonts w:eastAsia="宋体"/>
                <w:szCs w:val="20"/>
              </w:rPr>
              <w:t xml:space="preserve"> for a</w:t>
            </w:r>
            <w:ins w:id="292" w:author="Alexander Golitschek" w:date="2022-02-20T19:09:00Z">
              <w:r>
                <w:rPr>
                  <w:rFonts w:eastAsia="宋体"/>
                  <w:szCs w:val="20"/>
                </w:rPr>
                <w:t>n active DL BWP of a</w:t>
              </w:r>
            </w:ins>
            <w:r>
              <w:rPr>
                <w:rFonts w:eastAsia="宋体"/>
                <w:szCs w:val="20"/>
              </w:rPr>
              <w:t xml:space="preserve"> serving cell, the UE obtains an indication to monitor PDCCH on </w:t>
            </w:r>
            <w:ins w:id="293" w:author="Alexander Golitschek" w:date="2022-02-20T19:12:00Z">
              <w:r>
                <w:rPr>
                  <w:rFonts w:eastAsia="宋体"/>
                  <w:szCs w:val="20"/>
                </w:rPr>
                <w:t xml:space="preserve">the active DL BWP of </w:t>
              </w:r>
            </w:ins>
            <w:r>
              <w:rPr>
                <w:rFonts w:eastAsia="宋体"/>
                <w:szCs w:val="20"/>
              </w:rPr>
              <w:t xml:space="preserve">the serving cell for a maximum number of PDCCH candidates and non-overlapping CCEs </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slot, as in Tables 10.1-2 and 10.1-3,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r15monitoringcapability</w:t>
            </w:r>
            <w:r>
              <w:rPr>
                <w:rFonts w:eastAsia="宋体"/>
              </w:rPr>
              <w:t xml:space="preserve">, </w:t>
            </w:r>
            <w:r>
              <w:rPr>
                <w:rFonts w:eastAsia="宋体"/>
                <w:szCs w:val="20"/>
              </w:rPr>
              <w:t xml:space="preserve">or </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span, as in Tables 10.1-2A and 10.1-3A,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r16monitoringcapability</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group </w:t>
            </w:r>
            <w:r>
              <w:rPr>
                <w:rFonts w:eastAsia="宋体"/>
                <w:szCs w:val="20"/>
                <w:lang w:eastAsia="zh-CN"/>
              </w:rPr>
              <w:t xml:space="preserve">of </w:t>
            </w:r>
            <m:oMath>
              <m:sSub>
                <m:sSubPr>
                  <m:ctrlPr>
                    <w:rPr>
                      <w:rFonts w:ascii="Cambria Math" w:hAnsi="Cambria Math" w:eastAsia="宋体"/>
                      <w:i/>
                      <w:szCs w:val="20"/>
                      <w:lang w:val="zh-CN" w:eastAsia="zh-CN"/>
                    </w:rPr>
                  </m:ctrlPr>
                </m:sSubPr>
                <m:e>
                  <m:r>
                    <w:rPr>
                      <w:rFonts w:ascii="Cambria Math" w:hAnsi="Cambria Math" w:eastAsia="宋体"/>
                      <w:szCs w:val="20"/>
                      <w:lang w:val="zh-CN" w:eastAsia="zh-CN"/>
                    </w:rPr>
                    <m:t>X</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oMath>
            <w:r>
              <w:rPr>
                <w:rFonts w:eastAsia="宋体"/>
                <w:szCs w:val="20"/>
                <w:lang w:eastAsia="zh-CN"/>
              </w:rPr>
              <w:t xml:space="preserve"> slots</w:t>
            </w:r>
            <w:r>
              <w:rPr>
                <w:rFonts w:eastAsia="宋体"/>
                <w:szCs w:val="20"/>
              </w:rPr>
              <w:t xml:space="preserve"> </w:t>
            </w:r>
            <w:r>
              <w:rPr>
                <w:rFonts w:eastAsia="宋体"/>
                <w:szCs w:val="20"/>
                <w:lang w:eastAsia="zh-CN"/>
              </w:rPr>
              <w:t xml:space="preserve">according to combination </w:t>
            </w:r>
            <m:oMath>
              <m:d>
                <m:dPr>
                  <m:ctrlPr>
                    <w:rPr>
                      <w:rFonts w:ascii="Cambria Math" w:hAnsi="Cambria Math" w:eastAsia="宋体"/>
                      <w:szCs w:val="20"/>
                      <w:lang w:val="zh-CN" w:eastAsia="zh-CN"/>
                    </w:rPr>
                  </m:ctrlPr>
                </m:dPr>
                <m:e>
                  <m:sSub>
                    <m:sSubPr>
                      <m:ctrlPr>
                        <w:rPr>
                          <w:rFonts w:ascii="Cambria Math" w:hAnsi="Cambria Math" w:eastAsia="宋体"/>
                          <w:i/>
                          <w:szCs w:val="20"/>
                          <w:lang w:val="zh-CN" w:eastAsia="zh-CN"/>
                        </w:rPr>
                      </m:ctrlPr>
                    </m:sSubPr>
                    <m:e>
                      <m:r>
                        <w:rPr>
                          <w:rFonts w:ascii="Cambria Math" w:hAnsi="Cambria Math" w:eastAsia="宋体"/>
                          <w:szCs w:val="20"/>
                          <w:lang w:val="zh-CN" w:eastAsia="zh-CN"/>
                        </w:rPr>
                        <m:t>X</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r>
                    <w:rPr>
                      <w:rFonts w:ascii="Cambria Math" w:hAnsi="Cambria Math" w:eastAsia="宋体"/>
                      <w:szCs w:val="20"/>
                      <w:lang w:eastAsia="zh-CN"/>
                    </w:rPr>
                    <m:t>,</m:t>
                  </m:r>
                  <m:sSub>
                    <m:sSubPr>
                      <m:ctrlPr>
                        <w:rPr>
                          <w:rFonts w:ascii="Cambria Math" w:hAnsi="Cambria Math" w:eastAsia="宋体"/>
                          <w:i/>
                          <w:szCs w:val="20"/>
                          <w:lang w:val="zh-CN" w:eastAsia="zh-CN"/>
                        </w:rPr>
                      </m:ctrlPr>
                    </m:sSubPr>
                    <m:e>
                      <m:r>
                        <w:rPr>
                          <w:rFonts w:ascii="Cambria Math" w:hAnsi="Cambria Math" w:eastAsia="宋体"/>
                          <w:szCs w:val="20"/>
                          <w:lang w:val="zh-CN" w:eastAsia="zh-CN"/>
                        </w:rPr>
                        <m:t>Y</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ctrlPr>
                    <w:rPr>
                      <w:rFonts w:ascii="Cambria Math" w:hAnsi="Cambria Math" w:eastAsia="宋体"/>
                      <w:szCs w:val="20"/>
                      <w:lang w:val="zh-CN" w:eastAsia="zh-CN"/>
                    </w:rPr>
                  </m:ctrlPr>
                </m:e>
              </m:d>
            </m:oMath>
            <w:r>
              <w:rPr>
                <w:rFonts w:eastAsia="宋体"/>
                <w:szCs w:val="20"/>
              </w:rPr>
              <w:t xml:space="preserve">, as in Tables 10.1-2B and 10.1-3B,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r17monitoringcapability</w:t>
            </w:r>
          </w:p>
          <w:p>
            <w:pPr>
              <w:widowControl w:val="0"/>
              <w:spacing w:after="180" w:line="240" w:lineRule="auto"/>
              <w:rPr>
                <w:rFonts w:eastAsia="宋体"/>
                <w:szCs w:val="20"/>
                <w:lang w:eastAsia="zh-CN"/>
              </w:rPr>
            </w:pPr>
            <w:r>
              <w:rPr>
                <w:rFonts w:eastAsia="宋体"/>
                <w:szCs w:val="20"/>
              </w:rPr>
              <w:t xml:space="preserve">If the UE is not provided </w:t>
            </w:r>
            <w:r>
              <w:rPr>
                <w:rFonts w:eastAsia="宋体"/>
                <w:i/>
                <w:szCs w:val="20"/>
              </w:rPr>
              <w:t>monitoringCapabilityConfig</w:t>
            </w:r>
            <w:ins w:id="294" w:author="Alexander Golitschek" w:date="2022-02-20T19:32:00Z">
              <w:r>
                <w:rPr>
                  <w:rFonts w:eastAsia="Times New Roman"/>
                  <w:szCs w:val="20"/>
                  <w:lang w:eastAsia="en-GB"/>
                </w:rPr>
                <w:t xml:space="preserve"> f</w:t>
              </w:r>
            </w:ins>
            <w:ins w:id="295" w:author="Alexander Golitschek" w:date="2022-02-20T19:32:00Z">
              <w:r>
                <w:rPr>
                  <w:rFonts w:eastAsia="Times New Roman"/>
                  <w:szCs w:val="20"/>
                  <w:lang w:val="en-GB" w:eastAsia="en-GB"/>
                </w:rPr>
                <w:t xml:space="preserve">or μ </w:t>
              </w:r>
            </w:ins>
            <w:ins w:id="296" w:author="Alexander Golitschek" w:date="2022-02-20T19:32:00Z">
              <w:r>
                <w:rPr>
                  <w:rFonts w:ascii="Cambria Math" w:hAnsi="Cambria Math" w:eastAsia="Times New Roman" w:cs="Cambria Math"/>
                  <w:szCs w:val="20"/>
                  <w:lang w:val="en-GB" w:eastAsia="en-GB"/>
                </w:rPr>
                <w:t>∈</w:t>
              </w:r>
            </w:ins>
            <w:ins w:id="297" w:author="Alexander Golitschek" w:date="2022-02-20T19:32:00Z">
              <w:r>
                <w:rPr>
                  <w:rFonts w:eastAsia="Times New Roman"/>
                  <w:szCs w:val="20"/>
                  <w:lang w:val="en-GB" w:eastAsia="en-GB"/>
                </w:rPr>
                <w:t xml:space="preserve"> {0,1,2,3}</w:t>
              </w:r>
            </w:ins>
            <w:r>
              <w:rPr>
                <w:rFonts w:eastAsia="宋体"/>
                <w:szCs w:val="20"/>
              </w:rPr>
              <w:t xml:space="preserve">, the UE monitors PDCCH on the </w:t>
            </w:r>
            <w:ins w:id="298" w:author="Alexander Golitschek" w:date="2022-02-20T19:14:00Z">
              <w:r>
                <w:rPr>
                  <w:rFonts w:eastAsia="Times New Roman"/>
                  <w:szCs w:val="20"/>
                  <w:lang w:eastAsia="en-GB"/>
                </w:rPr>
                <w:t>active DL BWP of a</w:t>
              </w:r>
            </w:ins>
            <w:ins w:id="299" w:author="Alexander Golitschek" w:date="2022-02-20T19:14:00Z">
              <w:r>
                <w:rPr>
                  <w:rFonts w:eastAsia="宋体"/>
                  <w:szCs w:val="20"/>
                </w:rPr>
                <w:t xml:space="preserve"> </w:t>
              </w:r>
            </w:ins>
            <w:r>
              <w:rPr>
                <w:rFonts w:eastAsia="宋体"/>
                <w:szCs w:val="20"/>
              </w:rPr>
              <w:t xml:space="preserve">serving cell for a maximum number of PDCCH candidates and non-overlapping CCEs per slot. </w:t>
            </w:r>
          </w:p>
          <w:p>
            <w:pPr>
              <w:widowControl w:val="0"/>
              <w:spacing w:after="180" w:line="240" w:lineRule="auto"/>
              <w:rPr>
                <w:rFonts w:eastAsia="Times New Roman"/>
                <w:szCs w:val="20"/>
                <w:lang w:eastAsia="en-GB"/>
              </w:rPr>
            </w:pPr>
            <w:ins w:id="300" w:author="Alexander Golitschek" w:date="2022-02-20T19:32:00Z">
              <w:r>
                <w:rPr>
                  <w:rFonts w:eastAsia="Times New Roman"/>
                  <w:szCs w:val="20"/>
                  <w:lang w:eastAsia="en-GB"/>
                </w:rPr>
                <w:t>I</w:t>
              </w:r>
            </w:ins>
            <w:ins w:id="301" w:author="Alexander Golitschek" w:date="2022-02-20T18:58:00Z">
              <w:r>
                <w:rPr>
                  <w:rFonts w:eastAsia="Times New Roman"/>
                  <w:szCs w:val="20"/>
                  <w:lang w:eastAsia="en-GB"/>
                </w:rPr>
                <w:t xml:space="preserve">f the UE is not provided </w:t>
              </w:r>
            </w:ins>
            <w:ins w:id="302" w:author="Alexander Golitschek" w:date="2022-02-20T18:58:00Z">
              <w:r>
                <w:rPr>
                  <w:rFonts w:eastAsia="Times New Roman"/>
                  <w:i/>
                  <w:iCs/>
                  <w:szCs w:val="20"/>
                  <w:lang w:eastAsia="en-GB"/>
                </w:rPr>
                <w:t>monitoringCapabilityConfig</w:t>
              </w:r>
            </w:ins>
            <w:ins w:id="303" w:author="Alexander Golitschek" w:date="2022-02-20T19:32:00Z">
              <w:r>
                <w:rPr>
                  <w:rFonts w:eastAsia="Times New Roman"/>
                  <w:szCs w:val="20"/>
                  <w:lang w:eastAsia="en-GB"/>
                </w:rPr>
                <w:t xml:space="preserve"> for μ </w:t>
              </w:r>
            </w:ins>
            <w:ins w:id="304" w:author="Alexander Golitschek" w:date="2022-02-20T19:32:00Z">
              <w:r>
                <w:rPr>
                  <w:rFonts w:ascii="Cambria Math" w:hAnsi="Cambria Math" w:eastAsia="Times New Roman" w:cs="Cambria Math"/>
                  <w:szCs w:val="20"/>
                  <w:lang w:eastAsia="en-GB"/>
                </w:rPr>
                <w:t>∈</w:t>
              </w:r>
            </w:ins>
            <w:ins w:id="305" w:author="Alexander Golitschek" w:date="2022-02-20T19:32:00Z">
              <w:r>
                <w:rPr>
                  <w:rFonts w:eastAsia="Times New Roman"/>
                  <w:szCs w:val="20"/>
                  <w:lang w:eastAsia="en-GB"/>
                </w:rPr>
                <w:t xml:space="preserve"> {5,6}, </w:t>
              </w:r>
            </w:ins>
            <w:ins w:id="306" w:author="Alexander Golitschek" w:date="2022-02-20T18:58:00Z">
              <w:r>
                <w:rPr>
                  <w:rFonts w:eastAsia="Times New Roman"/>
                  <w:szCs w:val="20"/>
                  <w:lang w:eastAsia="en-GB"/>
                </w:rPr>
                <w:t xml:space="preserve">the UE monitors PDCCH on the </w:t>
              </w:r>
            </w:ins>
            <w:ins w:id="307" w:author="Alexander Golitschek" w:date="2022-02-20T19:13:00Z">
              <w:r>
                <w:rPr>
                  <w:rFonts w:eastAsia="Times New Roman"/>
                  <w:szCs w:val="20"/>
                  <w:lang w:eastAsia="en-GB"/>
                </w:rPr>
                <w:t xml:space="preserve">active DL BWP of a </w:t>
              </w:r>
            </w:ins>
            <w:ins w:id="308"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309" w:author="Alexander Golitschek" w:date="2022-02-20T18:58:00Z">
                      <w:rPr>
                        <w:rFonts w:ascii="Cambria Math" w:hAnsi="Cambria Math" w:eastAsia="Times New Roman"/>
                        <w:szCs w:val="20"/>
                        <w:lang w:eastAsia="en-GB"/>
                      </w:rPr>
                    </w:ins>
                  </m:ctrlPr>
                </m:sSubPr>
                <m:e>
                  <w:ins w:id="310" w:author="Alexander Golitschek" w:date="2022-02-20T18:58:00Z">
                    <m:r>
                      <w:rPr>
                        <w:rFonts w:ascii="Cambria Math" w:hAnsi="Cambria Math" w:eastAsia="Times New Roman"/>
                        <w:szCs w:val="20"/>
                        <w:lang w:eastAsia="en-GB"/>
                      </w:rPr>
                      <m:t>X</m:t>
                    </m:r>
                  </w:ins>
                  <m:ctrlPr>
                    <w:ins w:id="311" w:author="Alexander Golitschek" w:date="2022-02-20T18:58:00Z">
                      <w:rPr>
                        <w:rFonts w:ascii="Cambria Math" w:hAnsi="Cambria Math" w:eastAsia="Times New Roman"/>
                        <w:szCs w:val="20"/>
                        <w:lang w:eastAsia="en-GB"/>
                      </w:rPr>
                    </w:ins>
                  </m:ctrlPr>
                </m:e>
                <m:sub>
                  <w:ins w:id="312" w:author="Alexander Golitschek" w:date="2022-02-20T18:58:00Z">
                    <m:r>
                      <w:rPr>
                        <w:rFonts w:ascii="Cambria Math" w:hAnsi="Cambria Math" w:eastAsia="Times New Roman"/>
                        <w:szCs w:val="20"/>
                        <w:lang w:eastAsia="en-GB"/>
                      </w:rPr>
                      <m:t>s</m:t>
                    </m:r>
                  </w:ins>
                  <m:ctrlPr>
                    <w:ins w:id="313" w:author="Alexander Golitschek" w:date="2022-02-20T18:58:00Z">
                      <w:rPr>
                        <w:rFonts w:ascii="Cambria Math" w:hAnsi="Cambria Math" w:eastAsia="Times New Roman"/>
                        <w:szCs w:val="20"/>
                        <w:lang w:eastAsia="en-GB"/>
                      </w:rPr>
                    </w:ins>
                  </m:ctrlPr>
                </m:sub>
              </m:sSub>
            </m:oMath>
            <w:ins w:id="314" w:author="Alexander Golitschek" w:date="2022-02-20T18:58:00Z">
              <w:r>
                <w:rPr>
                  <w:rFonts w:eastAsia="Times New Roman"/>
                  <w:szCs w:val="20"/>
                  <w:lang w:eastAsia="en-GB"/>
                </w:rPr>
                <w:t xml:space="preserve"> slots according to combination </w:t>
              </w:r>
            </w:ins>
            <m:oMath>
              <m:d>
                <m:dPr>
                  <m:ctrlPr>
                    <w:ins w:id="315" w:author="Alexander Golitschek" w:date="2022-02-20T18:58:00Z">
                      <w:rPr>
                        <w:rFonts w:ascii="Cambria Math" w:hAnsi="Cambria Math" w:eastAsia="Times New Roman"/>
                        <w:szCs w:val="20"/>
                        <w:lang w:eastAsia="en-GB"/>
                      </w:rPr>
                    </w:ins>
                  </m:ctrlPr>
                </m:dPr>
                <m:e>
                  <m:sSub>
                    <m:sSubPr>
                      <m:ctrlPr>
                        <w:ins w:id="316" w:author="Alexander Golitschek" w:date="2022-02-20T18:58:00Z">
                          <w:rPr>
                            <w:rFonts w:ascii="Cambria Math" w:hAnsi="Cambria Math" w:eastAsia="Times New Roman"/>
                            <w:szCs w:val="20"/>
                            <w:lang w:eastAsia="en-GB"/>
                          </w:rPr>
                        </w:ins>
                      </m:ctrlPr>
                    </m:sSubPr>
                    <m:e>
                      <w:ins w:id="317" w:author="Alexander Golitschek" w:date="2022-02-20T18:58:00Z">
                        <m:r>
                          <w:rPr>
                            <w:rFonts w:ascii="Cambria Math" w:hAnsi="Cambria Math" w:eastAsia="Times New Roman"/>
                            <w:szCs w:val="20"/>
                            <w:lang w:eastAsia="en-GB"/>
                          </w:rPr>
                          <m:t>X</m:t>
                        </m:r>
                      </w:ins>
                      <m:ctrlPr>
                        <w:ins w:id="318" w:author="Alexander Golitschek" w:date="2022-02-20T18:58:00Z">
                          <w:rPr>
                            <w:rFonts w:ascii="Cambria Math" w:hAnsi="Cambria Math" w:eastAsia="Times New Roman"/>
                            <w:szCs w:val="20"/>
                            <w:lang w:eastAsia="en-GB"/>
                          </w:rPr>
                        </w:ins>
                      </m:ctrlPr>
                    </m:e>
                    <m:sub>
                      <w:ins w:id="319" w:author="Alexander Golitschek" w:date="2022-02-20T18:58:00Z">
                        <m:r>
                          <w:rPr>
                            <w:rFonts w:ascii="Cambria Math" w:hAnsi="Cambria Math" w:eastAsia="Times New Roman"/>
                            <w:szCs w:val="20"/>
                            <w:lang w:eastAsia="en-GB"/>
                          </w:rPr>
                          <m:t>s</m:t>
                        </m:r>
                      </w:ins>
                      <m:ctrlPr>
                        <w:ins w:id="320" w:author="Alexander Golitschek" w:date="2022-02-20T18:58:00Z">
                          <w:rPr>
                            <w:rFonts w:ascii="Cambria Math" w:hAnsi="Cambria Math" w:eastAsia="Times New Roman"/>
                            <w:szCs w:val="20"/>
                            <w:lang w:eastAsia="en-GB"/>
                          </w:rPr>
                        </w:ins>
                      </m:ctrlPr>
                    </m:sub>
                  </m:sSub>
                  <w:ins w:id="321" w:author="Alexander Golitschek" w:date="2022-02-20T18:58:00Z">
                    <m:r>
                      <m:rPr>
                        <m:sty m:val="p"/>
                      </m:rPr>
                      <w:rPr>
                        <w:rFonts w:ascii="Cambria Math" w:hAnsi="Cambria Math" w:eastAsia="Times New Roman"/>
                        <w:szCs w:val="20"/>
                        <w:lang w:eastAsia="en-GB"/>
                      </w:rPr>
                      <m:t>,</m:t>
                    </m:r>
                  </w:ins>
                  <m:sSub>
                    <m:sSubPr>
                      <m:ctrlPr>
                        <w:ins w:id="322" w:author="Alexander Golitschek" w:date="2022-02-20T18:58:00Z">
                          <w:rPr>
                            <w:rFonts w:ascii="Cambria Math" w:hAnsi="Cambria Math" w:eastAsia="Times New Roman"/>
                            <w:szCs w:val="20"/>
                            <w:lang w:eastAsia="en-GB"/>
                          </w:rPr>
                        </w:ins>
                      </m:ctrlPr>
                    </m:sSubPr>
                    <m:e>
                      <w:ins w:id="323" w:author="Alexander Golitschek" w:date="2022-02-20T18:58:00Z">
                        <m:r>
                          <w:rPr>
                            <w:rFonts w:ascii="Cambria Math" w:hAnsi="Cambria Math" w:eastAsia="Times New Roman"/>
                            <w:szCs w:val="20"/>
                            <w:lang w:eastAsia="en-GB"/>
                          </w:rPr>
                          <m:t>Y</m:t>
                        </m:r>
                      </w:ins>
                      <m:ctrlPr>
                        <w:ins w:id="324" w:author="Alexander Golitschek" w:date="2022-02-20T18:58:00Z">
                          <w:rPr>
                            <w:rFonts w:ascii="Cambria Math" w:hAnsi="Cambria Math" w:eastAsia="Times New Roman"/>
                            <w:szCs w:val="20"/>
                            <w:lang w:eastAsia="en-GB"/>
                          </w:rPr>
                        </w:ins>
                      </m:ctrlPr>
                    </m:e>
                    <m:sub>
                      <w:ins w:id="325" w:author="Alexander Golitschek" w:date="2022-02-20T18:58:00Z">
                        <m:r>
                          <w:rPr>
                            <w:rFonts w:ascii="Cambria Math" w:hAnsi="Cambria Math" w:eastAsia="Times New Roman"/>
                            <w:szCs w:val="20"/>
                            <w:lang w:eastAsia="en-GB"/>
                          </w:rPr>
                          <m:t>s</m:t>
                        </m:r>
                      </w:ins>
                      <m:ctrlPr>
                        <w:ins w:id="326" w:author="Alexander Golitschek" w:date="2022-02-20T18:58:00Z">
                          <w:rPr>
                            <w:rFonts w:ascii="Cambria Math" w:hAnsi="Cambria Math" w:eastAsia="Times New Roman"/>
                            <w:szCs w:val="20"/>
                            <w:lang w:eastAsia="en-GB"/>
                          </w:rPr>
                        </w:ins>
                      </m:ctrlPr>
                    </m:sub>
                  </m:sSub>
                  <m:ctrlPr>
                    <w:ins w:id="327" w:author="Alexander Golitschek" w:date="2022-02-20T18:58:00Z">
                      <w:rPr>
                        <w:rFonts w:ascii="Cambria Math" w:hAnsi="Cambria Math" w:eastAsia="Times New Roman"/>
                        <w:szCs w:val="20"/>
                        <w:lang w:eastAsia="en-GB"/>
                      </w:rPr>
                    </w:ins>
                  </m:ctrlPr>
                </m:e>
              </m:d>
              <w:ins w:id="328" w:author="Alexander Golitschek" w:date="2022-02-20T18:58:00Z">
                <m:r>
                  <m:rPr>
                    <m:sty m:val="p"/>
                  </m:rPr>
                  <w:rPr>
                    <w:rFonts w:ascii="Cambria Math" w:hAnsi="Cambria Math" w:eastAsia="Times New Roman"/>
                    <w:szCs w:val="20"/>
                    <w:lang w:eastAsia="en-GB"/>
                  </w:rPr>
                  <m:t>=(4,1)</m:t>
                </m:r>
              </w:ins>
            </m:oMath>
            <w:ins w:id="329" w:author="Alexander Golitschek" w:date="2022-02-20T18:58:00Z">
              <w:r>
                <w:rPr>
                  <w:rFonts w:eastAsia="Times New Roman"/>
                  <w:szCs w:val="20"/>
                  <w:lang w:eastAsia="en-GB"/>
                </w:rPr>
                <w:t xml:space="preserve"> for μ =</w:t>
              </w:r>
            </w:ins>
            <w:ins w:id="330" w:author="Alexander Golitschek" w:date="2022-02-20T19:01:00Z">
              <w:r>
                <w:rPr>
                  <w:rFonts w:eastAsia="Times New Roman"/>
                  <w:szCs w:val="20"/>
                  <w:lang w:eastAsia="en-GB"/>
                </w:rPr>
                <w:t xml:space="preserve"> </w:t>
              </w:r>
            </w:ins>
            <w:ins w:id="331" w:author="Alexander Golitschek" w:date="2022-02-20T18:58:00Z">
              <w:r>
                <w:rPr>
                  <w:rFonts w:eastAsia="Times New Roman"/>
                  <w:szCs w:val="20"/>
                  <w:lang w:eastAsia="en-GB"/>
                </w:rPr>
                <w:t xml:space="preserve">5 and </w:t>
              </w:r>
            </w:ins>
            <m:oMath>
              <m:d>
                <m:dPr>
                  <m:ctrlPr>
                    <w:ins w:id="332" w:author="Alexander Golitschek" w:date="2022-02-20T18:58:00Z">
                      <w:rPr>
                        <w:rFonts w:ascii="Cambria Math" w:hAnsi="Cambria Math" w:eastAsia="Times New Roman"/>
                        <w:szCs w:val="20"/>
                        <w:lang w:eastAsia="en-GB"/>
                      </w:rPr>
                    </w:ins>
                  </m:ctrlPr>
                </m:dPr>
                <m:e>
                  <m:sSub>
                    <m:sSubPr>
                      <m:ctrlPr>
                        <w:ins w:id="333" w:author="Alexander Golitschek" w:date="2022-02-20T18:58:00Z">
                          <w:rPr>
                            <w:rFonts w:ascii="Cambria Math" w:hAnsi="Cambria Math" w:eastAsia="Times New Roman"/>
                            <w:szCs w:val="20"/>
                            <w:lang w:eastAsia="en-GB"/>
                          </w:rPr>
                        </w:ins>
                      </m:ctrlPr>
                    </m:sSubPr>
                    <m:e>
                      <w:ins w:id="334" w:author="Alexander Golitschek" w:date="2022-02-20T18:58:00Z">
                        <m:r>
                          <w:rPr>
                            <w:rFonts w:ascii="Cambria Math" w:hAnsi="Cambria Math" w:eastAsia="Times New Roman"/>
                            <w:szCs w:val="20"/>
                            <w:lang w:eastAsia="en-GB"/>
                          </w:rPr>
                          <m:t>X</m:t>
                        </m:r>
                      </w:ins>
                      <m:ctrlPr>
                        <w:ins w:id="335" w:author="Alexander Golitschek" w:date="2022-02-20T18:58:00Z">
                          <w:rPr>
                            <w:rFonts w:ascii="Cambria Math" w:hAnsi="Cambria Math" w:eastAsia="Times New Roman"/>
                            <w:szCs w:val="20"/>
                            <w:lang w:eastAsia="en-GB"/>
                          </w:rPr>
                        </w:ins>
                      </m:ctrlPr>
                    </m:e>
                    <m:sub>
                      <w:ins w:id="336" w:author="Alexander Golitschek" w:date="2022-02-20T18:58:00Z">
                        <m:r>
                          <w:rPr>
                            <w:rFonts w:ascii="Cambria Math" w:hAnsi="Cambria Math" w:eastAsia="Times New Roman"/>
                            <w:szCs w:val="20"/>
                            <w:lang w:eastAsia="en-GB"/>
                          </w:rPr>
                          <m:t>s</m:t>
                        </m:r>
                      </w:ins>
                      <m:ctrlPr>
                        <w:ins w:id="337" w:author="Alexander Golitschek" w:date="2022-02-20T18:58:00Z">
                          <w:rPr>
                            <w:rFonts w:ascii="Cambria Math" w:hAnsi="Cambria Math" w:eastAsia="Times New Roman"/>
                            <w:szCs w:val="20"/>
                            <w:lang w:eastAsia="en-GB"/>
                          </w:rPr>
                        </w:ins>
                      </m:ctrlPr>
                    </m:sub>
                  </m:sSub>
                  <w:ins w:id="338" w:author="Alexander Golitschek" w:date="2022-02-20T18:58:00Z">
                    <m:r>
                      <m:rPr>
                        <m:sty m:val="p"/>
                      </m:rPr>
                      <w:rPr>
                        <w:rFonts w:ascii="Cambria Math" w:hAnsi="Cambria Math" w:eastAsia="Times New Roman"/>
                        <w:szCs w:val="20"/>
                        <w:lang w:eastAsia="en-GB"/>
                      </w:rPr>
                      <m:t>,</m:t>
                    </m:r>
                  </w:ins>
                  <m:sSub>
                    <m:sSubPr>
                      <m:ctrlPr>
                        <w:ins w:id="339" w:author="Alexander Golitschek" w:date="2022-02-20T18:58:00Z">
                          <w:rPr>
                            <w:rFonts w:ascii="Cambria Math" w:hAnsi="Cambria Math" w:eastAsia="Times New Roman"/>
                            <w:szCs w:val="20"/>
                            <w:lang w:eastAsia="en-GB"/>
                          </w:rPr>
                        </w:ins>
                      </m:ctrlPr>
                    </m:sSubPr>
                    <m:e>
                      <w:ins w:id="340" w:author="Alexander Golitschek" w:date="2022-02-20T18:58:00Z">
                        <m:r>
                          <w:rPr>
                            <w:rFonts w:ascii="Cambria Math" w:hAnsi="Cambria Math" w:eastAsia="Times New Roman"/>
                            <w:szCs w:val="20"/>
                            <w:lang w:eastAsia="en-GB"/>
                          </w:rPr>
                          <m:t>Y</m:t>
                        </m:r>
                      </w:ins>
                      <m:ctrlPr>
                        <w:ins w:id="341" w:author="Alexander Golitschek" w:date="2022-02-20T18:58:00Z">
                          <w:rPr>
                            <w:rFonts w:ascii="Cambria Math" w:hAnsi="Cambria Math" w:eastAsia="Times New Roman"/>
                            <w:szCs w:val="20"/>
                            <w:lang w:eastAsia="en-GB"/>
                          </w:rPr>
                        </w:ins>
                      </m:ctrlPr>
                    </m:e>
                    <m:sub>
                      <w:ins w:id="342" w:author="Alexander Golitschek" w:date="2022-02-20T18:58:00Z">
                        <m:r>
                          <w:rPr>
                            <w:rFonts w:ascii="Cambria Math" w:hAnsi="Cambria Math" w:eastAsia="Times New Roman"/>
                            <w:szCs w:val="20"/>
                            <w:lang w:eastAsia="en-GB"/>
                          </w:rPr>
                          <m:t>s</m:t>
                        </m:r>
                      </w:ins>
                      <m:ctrlPr>
                        <w:ins w:id="343" w:author="Alexander Golitschek" w:date="2022-02-20T18:58:00Z">
                          <w:rPr>
                            <w:rFonts w:ascii="Cambria Math" w:hAnsi="Cambria Math" w:eastAsia="Times New Roman"/>
                            <w:szCs w:val="20"/>
                            <w:lang w:eastAsia="en-GB"/>
                          </w:rPr>
                        </w:ins>
                      </m:ctrlPr>
                    </m:sub>
                  </m:sSub>
                  <m:ctrlPr>
                    <w:ins w:id="344" w:author="Alexander Golitschek" w:date="2022-02-20T18:58:00Z">
                      <w:rPr>
                        <w:rFonts w:ascii="Cambria Math" w:hAnsi="Cambria Math" w:eastAsia="Times New Roman"/>
                        <w:szCs w:val="20"/>
                        <w:lang w:eastAsia="en-GB"/>
                      </w:rPr>
                    </w:ins>
                  </m:ctrlPr>
                </m:e>
              </m:d>
              <w:ins w:id="345" w:author="Alexander Golitschek" w:date="2022-02-20T18:58:00Z">
                <m:r>
                  <m:rPr>
                    <m:sty m:val="p"/>
                  </m:rPr>
                  <w:rPr>
                    <w:rFonts w:ascii="Cambria Math" w:hAnsi="Cambria Math" w:eastAsia="Times New Roman"/>
                    <w:szCs w:val="20"/>
                    <w:lang w:eastAsia="en-GB"/>
                  </w:rPr>
                  <m:t>=(8,1)</m:t>
                </m:r>
              </w:ins>
            </m:oMath>
            <w:ins w:id="346" w:author="Alexander Golitschek" w:date="2022-02-20T18:58:00Z">
              <w:r>
                <w:rPr>
                  <w:rFonts w:eastAsia="Times New Roman"/>
                  <w:szCs w:val="20"/>
                  <w:lang w:eastAsia="en-GB"/>
                </w:rPr>
                <w:t xml:space="preserve"> for μ </w:t>
              </w:r>
            </w:ins>
            <w:ins w:id="347" w:author="Alexander Golitschek" w:date="2022-02-20T19:01:00Z">
              <w:r>
                <w:rPr>
                  <w:rFonts w:eastAsia="Times New Roman"/>
                  <w:szCs w:val="20"/>
                  <w:lang w:eastAsia="en-GB"/>
                </w:rPr>
                <w:t>=</w:t>
              </w:r>
            </w:ins>
            <w:ins w:id="348" w:author="Alexander Golitschek" w:date="2022-02-20T19:02:00Z">
              <w:r>
                <w:rPr>
                  <w:rFonts w:eastAsia="Times New Roman"/>
                  <w:szCs w:val="20"/>
                  <w:lang w:eastAsia="en-GB"/>
                </w:rPr>
                <w:t xml:space="preserve"> </w:t>
              </w:r>
            </w:ins>
            <w:ins w:id="349" w:author="Alexander Golitschek" w:date="2022-02-20T18:58:00Z">
              <w:r>
                <w:rPr>
                  <w:rFonts w:eastAsia="Times New Roman"/>
                  <w:szCs w:val="20"/>
                  <w:lang w:eastAsia="en-GB"/>
                </w:rPr>
                <w:t>6 as in Tables 10.1-2B and 10.1-3B.</w:t>
              </w:r>
            </w:ins>
          </w:p>
        </w:tc>
      </w:tr>
    </w:tbl>
    <w:p>
      <w:pPr>
        <w:tabs>
          <w:tab w:val="left" w:pos="1300"/>
        </w:tabs>
        <w:spacing w:after="0"/>
        <w:jc w:val="both"/>
        <w:rPr>
          <w:b/>
          <w:sz w:val="20"/>
          <w:szCs w:val="20"/>
        </w:rPr>
      </w:pPr>
      <w:r>
        <w:rPr>
          <w:b/>
          <w:sz w:val="20"/>
          <w:szCs w:val="20"/>
          <w:highlight w:val="yellow"/>
          <w:u w:val="single"/>
        </w:rPr>
        <w:t>Text Proposal A1-4.2b</w:t>
      </w:r>
      <w:r>
        <w:rPr>
          <w:b/>
          <w:sz w:val="20"/>
          <w:szCs w:val="20"/>
        </w:rPr>
        <w:t xml:space="preserve">: Change </w:t>
      </w:r>
      <w:r>
        <w:rPr>
          <w:b/>
          <w:bCs/>
          <w:sz w:val="20"/>
          <w:szCs w:val="20"/>
        </w:rPr>
        <w:t>TS 38.213 Clause 10 as follows:</w:t>
      </w:r>
    </w:p>
    <w:tbl>
      <w:tblPr>
        <w:tblStyle w:val="55"/>
        <w:tblW w:w="139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9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3944" w:type="dxa"/>
            <w:vAlign w:val="center"/>
          </w:tcPr>
          <w:p>
            <w:pPr>
              <w:widowControl w:val="0"/>
              <w:rPr>
                <w:rFonts w:eastAsia="宋体"/>
                <w:szCs w:val="20"/>
              </w:rPr>
            </w:pPr>
            <w:r>
              <w:rPr>
                <w:rFonts w:eastAsia="宋体"/>
                <w:szCs w:val="20"/>
              </w:rPr>
              <w:t xml:space="preserve">If a UE is provided </w:t>
            </w:r>
            <w:r>
              <w:rPr>
                <w:rFonts w:eastAsia="宋体"/>
                <w:i/>
                <w:szCs w:val="20"/>
              </w:rPr>
              <w:t>monitoringCapabilityConfig</w:t>
            </w:r>
            <w:r>
              <w:rPr>
                <w:rFonts w:eastAsia="宋体"/>
                <w:szCs w:val="20"/>
              </w:rPr>
              <w:t xml:space="preserve"> for a</w:t>
            </w:r>
            <w:ins w:id="350" w:author="Alexander Golitschek" w:date="2022-02-20T19:09:00Z">
              <w:r>
                <w:rPr>
                  <w:rFonts w:eastAsia="宋体"/>
                  <w:szCs w:val="20"/>
                </w:rPr>
                <w:t>n active DL BWP of a</w:t>
              </w:r>
            </w:ins>
            <w:r>
              <w:rPr>
                <w:rFonts w:eastAsia="宋体"/>
                <w:szCs w:val="20"/>
              </w:rPr>
              <w:t xml:space="preserve"> serving cell, the UE obtains an indication to monitor PDCCH on </w:t>
            </w:r>
            <w:ins w:id="351" w:author="Alexander Golitschek" w:date="2022-02-20T19:12:00Z">
              <w:r>
                <w:rPr>
                  <w:rFonts w:eastAsia="宋体"/>
                  <w:szCs w:val="20"/>
                </w:rPr>
                <w:t xml:space="preserve">the active DL BWP of </w:t>
              </w:r>
            </w:ins>
            <w:r>
              <w:rPr>
                <w:rFonts w:eastAsia="宋体"/>
                <w:szCs w:val="20"/>
              </w:rPr>
              <w:t xml:space="preserve">the serving cell for a maximum number of PDCCH candidates and non-overlapping CCEs </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slot, as in Tables 10.1-2 and 10.1-3,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r15monitoringcapability</w:t>
            </w:r>
            <w:r>
              <w:rPr>
                <w:rFonts w:eastAsia="宋体"/>
              </w:rPr>
              <w:t xml:space="preserve">, </w:t>
            </w:r>
            <w:r>
              <w:rPr>
                <w:rFonts w:eastAsia="宋体"/>
                <w:szCs w:val="20"/>
              </w:rPr>
              <w:t xml:space="preserve">or </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span, as in Tables 10.1-2A and 10.1-3A,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r16monitoringcapability</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group </w:t>
            </w:r>
            <w:r>
              <w:rPr>
                <w:rFonts w:eastAsia="宋体"/>
                <w:szCs w:val="20"/>
                <w:lang w:eastAsia="zh-CN"/>
              </w:rPr>
              <w:t xml:space="preserve">of </w:t>
            </w:r>
            <m:oMath>
              <m:sSub>
                <m:sSubPr>
                  <m:ctrlPr>
                    <w:rPr>
                      <w:rFonts w:ascii="Cambria Math" w:hAnsi="Cambria Math" w:eastAsia="宋体"/>
                      <w:i/>
                      <w:szCs w:val="20"/>
                      <w:lang w:val="zh-CN" w:eastAsia="zh-CN"/>
                    </w:rPr>
                  </m:ctrlPr>
                </m:sSubPr>
                <m:e>
                  <m:r>
                    <w:rPr>
                      <w:rFonts w:ascii="Cambria Math" w:hAnsi="Cambria Math" w:eastAsia="宋体"/>
                      <w:szCs w:val="20"/>
                      <w:lang w:val="zh-CN" w:eastAsia="zh-CN"/>
                    </w:rPr>
                    <m:t>X</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oMath>
            <w:r>
              <w:rPr>
                <w:rFonts w:eastAsia="宋体"/>
                <w:szCs w:val="20"/>
                <w:lang w:eastAsia="zh-CN"/>
              </w:rPr>
              <w:t xml:space="preserve"> slots</w:t>
            </w:r>
            <w:r>
              <w:rPr>
                <w:rFonts w:eastAsia="宋体"/>
                <w:szCs w:val="20"/>
              </w:rPr>
              <w:t xml:space="preserve"> </w:t>
            </w:r>
            <w:r>
              <w:rPr>
                <w:rFonts w:eastAsia="宋体"/>
                <w:szCs w:val="20"/>
                <w:lang w:eastAsia="zh-CN"/>
              </w:rPr>
              <w:t xml:space="preserve">according to combination </w:t>
            </w:r>
            <m:oMath>
              <m:d>
                <m:dPr>
                  <m:ctrlPr>
                    <w:rPr>
                      <w:rFonts w:ascii="Cambria Math" w:hAnsi="Cambria Math" w:eastAsia="宋体"/>
                      <w:szCs w:val="20"/>
                      <w:lang w:val="zh-CN" w:eastAsia="zh-CN"/>
                    </w:rPr>
                  </m:ctrlPr>
                </m:dPr>
                <m:e>
                  <m:sSub>
                    <m:sSubPr>
                      <m:ctrlPr>
                        <w:rPr>
                          <w:rFonts w:ascii="Cambria Math" w:hAnsi="Cambria Math" w:eastAsia="宋体"/>
                          <w:i/>
                          <w:szCs w:val="20"/>
                          <w:lang w:val="zh-CN" w:eastAsia="zh-CN"/>
                        </w:rPr>
                      </m:ctrlPr>
                    </m:sSubPr>
                    <m:e>
                      <m:r>
                        <w:rPr>
                          <w:rFonts w:ascii="Cambria Math" w:hAnsi="Cambria Math" w:eastAsia="宋体"/>
                          <w:szCs w:val="20"/>
                          <w:lang w:val="zh-CN" w:eastAsia="zh-CN"/>
                        </w:rPr>
                        <m:t>X</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r>
                    <w:rPr>
                      <w:rFonts w:ascii="Cambria Math" w:hAnsi="Cambria Math" w:eastAsia="宋体"/>
                      <w:szCs w:val="20"/>
                      <w:lang w:eastAsia="zh-CN"/>
                    </w:rPr>
                    <m:t>,</m:t>
                  </m:r>
                  <m:sSub>
                    <m:sSubPr>
                      <m:ctrlPr>
                        <w:rPr>
                          <w:rFonts w:ascii="Cambria Math" w:hAnsi="Cambria Math" w:eastAsia="宋体"/>
                          <w:i/>
                          <w:szCs w:val="20"/>
                          <w:lang w:val="zh-CN" w:eastAsia="zh-CN"/>
                        </w:rPr>
                      </m:ctrlPr>
                    </m:sSubPr>
                    <m:e>
                      <m:r>
                        <w:rPr>
                          <w:rFonts w:ascii="Cambria Math" w:hAnsi="Cambria Math" w:eastAsia="宋体"/>
                          <w:szCs w:val="20"/>
                          <w:lang w:val="zh-CN" w:eastAsia="zh-CN"/>
                        </w:rPr>
                        <m:t>Y</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ctrlPr>
                    <w:rPr>
                      <w:rFonts w:ascii="Cambria Math" w:hAnsi="Cambria Math" w:eastAsia="宋体"/>
                      <w:szCs w:val="20"/>
                      <w:lang w:val="zh-CN" w:eastAsia="zh-CN"/>
                    </w:rPr>
                  </m:ctrlPr>
                </m:e>
              </m:d>
            </m:oMath>
            <w:r>
              <w:rPr>
                <w:rFonts w:eastAsia="宋体"/>
                <w:szCs w:val="20"/>
              </w:rPr>
              <w:t xml:space="preserve">, as in Tables 10.1-2B and 10.1-3B,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r17monitoringcapability</w:t>
            </w:r>
          </w:p>
          <w:p>
            <w:pPr>
              <w:widowControl w:val="0"/>
              <w:spacing w:after="180" w:line="240" w:lineRule="auto"/>
              <w:rPr>
                <w:rFonts w:eastAsia="宋体"/>
                <w:szCs w:val="20"/>
                <w:lang w:eastAsia="zh-CN"/>
              </w:rPr>
            </w:pPr>
            <w:r>
              <w:rPr>
                <w:rFonts w:eastAsia="宋体"/>
                <w:szCs w:val="20"/>
              </w:rPr>
              <w:t xml:space="preserve">If the UE is not provided </w:t>
            </w:r>
            <w:r>
              <w:rPr>
                <w:rFonts w:eastAsia="宋体"/>
                <w:i/>
                <w:szCs w:val="20"/>
              </w:rPr>
              <w:t>monitoringCapabilityConfig</w:t>
            </w:r>
            <w:ins w:id="352" w:author="Alexander Golitschek" w:date="2022-02-20T19:32:00Z">
              <w:r>
                <w:rPr>
                  <w:rFonts w:eastAsia="Times New Roman"/>
                  <w:szCs w:val="20"/>
                  <w:lang w:eastAsia="en-GB"/>
                </w:rPr>
                <w:t xml:space="preserve"> f</w:t>
              </w:r>
            </w:ins>
            <w:ins w:id="353" w:author="Alexander Golitschek" w:date="2022-02-20T19:32:00Z">
              <w:r>
                <w:rPr>
                  <w:rFonts w:eastAsia="Times New Roman"/>
                  <w:szCs w:val="20"/>
                  <w:lang w:val="en-GB" w:eastAsia="en-GB"/>
                </w:rPr>
                <w:t xml:space="preserve">or μ </w:t>
              </w:r>
            </w:ins>
            <w:ins w:id="354" w:author="Alexander Golitschek" w:date="2022-02-20T19:32:00Z">
              <w:r>
                <w:rPr>
                  <w:rFonts w:ascii="Cambria Math" w:hAnsi="Cambria Math" w:eastAsia="Times New Roman" w:cs="Cambria Math"/>
                  <w:szCs w:val="20"/>
                  <w:lang w:val="en-GB" w:eastAsia="en-GB"/>
                </w:rPr>
                <w:t>∈</w:t>
              </w:r>
            </w:ins>
            <w:ins w:id="355" w:author="Alexander Golitschek" w:date="2022-02-20T19:32:00Z">
              <w:r>
                <w:rPr>
                  <w:rFonts w:eastAsia="Times New Roman"/>
                  <w:szCs w:val="20"/>
                  <w:lang w:val="en-GB" w:eastAsia="en-GB"/>
                </w:rPr>
                <w:t xml:space="preserve"> {0,1,2,3}</w:t>
              </w:r>
            </w:ins>
            <w:r>
              <w:rPr>
                <w:rFonts w:eastAsia="宋体"/>
                <w:szCs w:val="20"/>
              </w:rPr>
              <w:t xml:space="preserve">, the UE monitors PDCCH on the </w:t>
            </w:r>
            <w:ins w:id="356" w:author="Alexander Golitschek" w:date="2022-02-20T19:14:00Z">
              <w:r>
                <w:rPr>
                  <w:rFonts w:eastAsia="Times New Roman"/>
                  <w:szCs w:val="20"/>
                  <w:lang w:eastAsia="en-GB"/>
                </w:rPr>
                <w:t>active DL BWP of a</w:t>
              </w:r>
            </w:ins>
            <w:ins w:id="357" w:author="Alexander Golitschek" w:date="2022-02-20T19:14:00Z">
              <w:r>
                <w:rPr>
                  <w:rFonts w:eastAsia="宋体"/>
                  <w:szCs w:val="20"/>
                </w:rPr>
                <w:t xml:space="preserve"> </w:t>
              </w:r>
            </w:ins>
            <w:r>
              <w:rPr>
                <w:rFonts w:eastAsia="宋体"/>
                <w:szCs w:val="20"/>
              </w:rPr>
              <w:t xml:space="preserve">serving cell for a maximum number of PDCCH candidates and non-overlapping CCEs per slot. </w:t>
            </w:r>
          </w:p>
          <w:p>
            <w:pPr>
              <w:widowControl w:val="0"/>
              <w:spacing w:after="180" w:line="240" w:lineRule="auto"/>
              <w:rPr>
                <w:rFonts w:eastAsia="Times New Roman"/>
                <w:szCs w:val="20"/>
                <w:lang w:eastAsia="en-GB"/>
              </w:rPr>
            </w:pPr>
            <w:ins w:id="358" w:author="Alexander Golitschek" w:date="2022-02-20T19:32:00Z">
              <w:r>
                <w:rPr>
                  <w:rFonts w:eastAsia="Times New Roman"/>
                  <w:szCs w:val="20"/>
                  <w:lang w:eastAsia="en-GB"/>
                </w:rPr>
                <w:t>I</w:t>
              </w:r>
            </w:ins>
            <w:ins w:id="359" w:author="Alexander Golitschek" w:date="2022-02-20T18:58:00Z">
              <w:r>
                <w:rPr>
                  <w:rFonts w:eastAsia="Times New Roman"/>
                  <w:szCs w:val="20"/>
                  <w:lang w:eastAsia="en-GB"/>
                </w:rPr>
                <w:t xml:space="preserve">f the UE is not provided </w:t>
              </w:r>
            </w:ins>
            <w:ins w:id="360" w:author="Alexander Golitschek" w:date="2022-02-20T18:58:00Z">
              <w:r>
                <w:rPr>
                  <w:rFonts w:eastAsia="Times New Roman"/>
                  <w:i/>
                  <w:iCs/>
                  <w:szCs w:val="20"/>
                  <w:lang w:eastAsia="en-GB"/>
                </w:rPr>
                <w:t>monitoringCapabilityConfig</w:t>
              </w:r>
            </w:ins>
            <w:ins w:id="361" w:author="Alexander Golitschek" w:date="2022-02-20T19:32:00Z">
              <w:r>
                <w:rPr>
                  <w:rFonts w:eastAsia="Times New Roman"/>
                  <w:szCs w:val="20"/>
                  <w:lang w:eastAsia="en-GB"/>
                </w:rPr>
                <w:t xml:space="preserve"> for μ </w:t>
              </w:r>
            </w:ins>
            <w:ins w:id="362" w:author="Alexander Golitschek" w:date="2022-02-23T00:48:00Z">
              <w:r>
                <w:rPr>
                  <w:rFonts w:ascii="Cambria Math" w:hAnsi="Cambria Math" w:eastAsia="Times New Roman" w:cs="Cambria Math"/>
                  <w:szCs w:val="20"/>
                  <w:lang w:eastAsia="en-GB"/>
                </w:rPr>
                <w:t xml:space="preserve">= </w:t>
              </w:r>
            </w:ins>
            <w:ins w:id="363" w:author="Alexander Golitschek" w:date="2022-02-20T19:32:00Z">
              <w:r>
                <w:rPr>
                  <w:rFonts w:eastAsia="Times New Roman"/>
                  <w:szCs w:val="20"/>
                  <w:lang w:eastAsia="en-GB"/>
                </w:rPr>
                <w:t xml:space="preserve">5, </w:t>
              </w:r>
            </w:ins>
            <w:ins w:id="364" w:author="Alexander Golitschek" w:date="2022-02-20T18:58:00Z">
              <w:r>
                <w:rPr>
                  <w:rFonts w:eastAsia="Times New Roman"/>
                  <w:szCs w:val="20"/>
                  <w:lang w:eastAsia="en-GB"/>
                </w:rPr>
                <w:t xml:space="preserve">the UE monitors PDCCH on the </w:t>
              </w:r>
            </w:ins>
            <w:ins w:id="365" w:author="Alexander Golitschek" w:date="2022-02-20T19:13:00Z">
              <w:r>
                <w:rPr>
                  <w:rFonts w:eastAsia="Times New Roman"/>
                  <w:szCs w:val="20"/>
                  <w:lang w:eastAsia="en-GB"/>
                </w:rPr>
                <w:t xml:space="preserve">active DL BWP of a </w:t>
              </w:r>
            </w:ins>
            <w:ins w:id="366"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367" w:author="Alexander Golitschek" w:date="2022-02-20T18:58:00Z">
                      <w:rPr>
                        <w:rFonts w:ascii="Cambria Math" w:hAnsi="Cambria Math" w:eastAsia="Times New Roman"/>
                        <w:szCs w:val="20"/>
                        <w:lang w:eastAsia="en-GB"/>
                      </w:rPr>
                    </w:ins>
                  </m:ctrlPr>
                </m:sSubPr>
                <m:e>
                  <w:ins w:id="368" w:author="Alexander Golitschek" w:date="2022-02-20T18:58:00Z">
                    <m:r>
                      <w:rPr>
                        <w:rFonts w:ascii="Cambria Math" w:hAnsi="Cambria Math" w:eastAsia="Times New Roman"/>
                        <w:szCs w:val="20"/>
                        <w:lang w:eastAsia="en-GB"/>
                      </w:rPr>
                      <m:t>X</m:t>
                    </m:r>
                  </w:ins>
                  <m:ctrlPr>
                    <w:ins w:id="369" w:author="Alexander Golitschek" w:date="2022-02-20T18:58:00Z">
                      <w:rPr>
                        <w:rFonts w:ascii="Cambria Math" w:hAnsi="Cambria Math" w:eastAsia="Times New Roman"/>
                        <w:szCs w:val="20"/>
                        <w:lang w:eastAsia="en-GB"/>
                      </w:rPr>
                    </w:ins>
                  </m:ctrlPr>
                </m:e>
                <m:sub>
                  <w:ins w:id="370" w:author="Alexander Golitschek" w:date="2022-02-20T18:58:00Z">
                    <m:r>
                      <w:rPr>
                        <w:rFonts w:ascii="Cambria Math" w:hAnsi="Cambria Math" w:eastAsia="Times New Roman"/>
                        <w:szCs w:val="20"/>
                        <w:lang w:eastAsia="en-GB"/>
                      </w:rPr>
                      <m:t>s</m:t>
                    </m:r>
                  </w:ins>
                  <m:ctrlPr>
                    <w:ins w:id="371" w:author="Alexander Golitschek" w:date="2022-02-20T18:58:00Z">
                      <w:rPr>
                        <w:rFonts w:ascii="Cambria Math" w:hAnsi="Cambria Math" w:eastAsia="Times New Roman"/>
                        <w:szCs w:val="20"/>
                        <w:lang w:eastAsia="en-GB"/>
                      </w:rPr>
                    </w:ins>
                  </m:ctrlPr>
                </m:sub>
              </m:sSub>
            </m:oMath>
            <w:ins w:id="372" w:author="Alexander Golitschek" w:date="2022-02-20T18:58:00Z">
              <w:r>
                <w:rPr>
                  <w:rFonts w:eastAsia="Times New Roman"/>
                  <w:szCs w:val="20"/>
                  <w:lang w:eastAsia="en-GB"/>
                </w:rPr>
                <w:t xml:space="preserve"> slots according to combination </w:t>
              </w:r>
            </w:ins>
            <m:oMath>
              <m:d>
                <m:dPr>
                  <m:ctrlPr>
                    <w:ins w:id="373" w:author="Alexander Golitschek" w:date="2022-02-20T18:58:00Z">
                      <w:rPr>
                        <w:rFonts w:ascii="Cambria Math" w:hAnsi="Cambria Math" w:eastAsia="Times New Roman"/>
                        <w:szCs w:val="20"/>
                        <w:lang w:eastAsia="en-GB"/>
                      </w:rPr>
                    </w:ins>
                  </m:ctrlPr>
                </m:dPr>
                <m:e>
                  <m:sSub>
                    <m:sSubPr>
                      <m:ctrlPr>
                        <w:ins w:id="374" w:author="Alexander Golitschek" w:date="2022-02-20T18:58:00Z">
                          <w:rPr>
                            <w:rFonts w:ascii="Cambria Math" w:hAnsi="Cambria Math" w:eastAsia="Times New Roman"/>
                            <w:szCs w:val="20"/>
                            <w:lang w:eastAsia="en-GB"/>
                          </w:rPr>
                        </w:ins>
                      </m:ctrlPr>
                    </m:sSubPr>
                    <m:e>
                      <w:ins w:id="375" w:author="Alexander Golitschek" w:date="2022-02-20T18:58:00Z">
                        <m:r>
                          <w:rPr>
                            <w:rFonts w:ascii="Cambria Math" w:hAnsi="Cambria Math" w:eastAsia="Times New Roman"/>
                            <w:szCs w:val="20"/>
                            <w:lang w:eastAsia="en-GB"/>
                          </w:rPr>
                          <m:t>X</m:t>
                        </m:r>
                      </w:ins>
                      <m:ctrlPr>
                        <w:ins w:id="376" w:author="Alexander Golitschek" w:date="2022-02-20T18:58:00Z">
                          <w:rPr>
                            <w:rFonts w:ascii="Cambria Math" w:hAnsi="Cambria Math" w:eastAsia="Times New Roman"/>
                            <w:szCs w:val="20"/>
                            <w:lang w:eastAsia="en-GB"/>
                          </w:rPr>
                        </w:ins>
                      </m:ctrlPr>
                    </m:e>
                    <m:sub>
                      <w:ins w:id="377" w:author="Alexander Golitschek" w:date="2022-02-20T18:58:00Z">
                        <m:r>
                          <w:rPr>
                            <w:rFonts w:ascii="Cambria Math" w:hAnsi="Cambria Math" w:eastAsia="Times New Roman"/>
                            <w:szCs w:val="20"/>
                            <w:lang w:eastAsia="en-GB"/>
                          </w:rPr>
                          <m:t>s</m:t>
                        </m:r>
                      </w:ins>
                      <m:ctrlPr>
                        <w:ins w:id="378" w:author="Alexander Golitschek" w:date="2022-02-20T18:58:00Z">
                          <w:rPr>
                            <w:rFonts w:ascii="Cambria Math" w:hAnsi="Cambria Math" w:eastAsia="Times New Roman"/>
                            <w:szCs w:val="20"/>
                            <w:lang w:eastAsia="en-GB"/>
                          </w:rPr>
                        </w:ins>
                      </m:ctrlPr>
                    </m:sub>
                  </m:sSub>
                  <w:ins w:id="379" w:author="Alexander Golitschek" w:date="2022-02-20T18:58:00Z">
                    <m:r>
                      <m:rPr>
                        <m:sty m:val="p"/>
                      </m:rPr>
                      <w:rPr>
                        <w:rFonts w:ascii="Cambria Math" w:hAnsi="Cambria Math" w:eastAsia="Times New Roman"/>
                        <w:szCs w:val="20"/>
                        <w:lang w:eastAsia="en-GB"/>
                      </w:rPr>
                      <m:t>,</m:t>
                    </m:r>
                  </w:ins>
                  <m:sSub>
                    <m:sSubPr>
                      <m:ctrlPr>
                        <w:ins w:id="380" w:author="Alexander Golitschek" w:date="2022-02-20T18:58:00Z">
                          <w:rPr>
                            <w:rFonts w:ascii="Cambria Math" w:hAnsi="Cambria Math" w:eastAsia="Times New Roman"/>
                            <w:szCs w:val="20"/>
                            <w:lang w:eastAsia="en-GB"/>
                          </w:rPr>
                        </w:ins>
                      </m:ctrlPr>
                    </m:sSubPr>
                    <m:e>
                      <w:ins w:id="381" w:author="Alexander Golitschek" w:date="2022-02-20T18:58:00Z">
                        <m:r>
                          <w:rPr>
                            <w:rFonts w:ascii="Cambria Math" w:hAnsi="Cambria Math" w:eastAsia="Times New Roman"/>
                            <w:szCs w:val="20"/>
                            <w:lang w:eastAsia="en-GB"/>
                          </w:rPr>
                          <m:t>Y</m:t>
                        </m:r>
                      </w:ins>
                      <m:ctrlPr>
                        <w:ins w:id="382" w:author="Alexander Golitschek" w:date="2022-02-20T18:58:00Z">
                          <w:rPr>
                            <w:rFonts w:ascii="Cambria Math" w:hAnsi="Cambria Math" w:eastAsia="Times New Roman"/>
                            <w:szCs w:val="20"/>
                            <w:lang w:eastAsia="en-GB"/>
                          </w:rPr>
                        </w:ins>
                      </m:ctrlPr>
                    </m:e>
                    <m:sub>
                      <w:ins w:id="383" w:author="Alexander Golitschek" w:date="2022-02-20T18:58:00Z">
                        <m:r>
                          <w:rPr>
                            <w:rFonts w:ascii="Cambria Math" w:hAnsi="Cambria Math" w:eastAsia="Times New Roman"/>
                            <w:szCs w:val="20"/>
                            <w:lang w:eastAsia="en-GB"/>
                          </w:rPr>
                          <m:t>s</m:t>
                        </m:r>
                      </w:ins>
                      <m:ctrlPr>
                        <w:ins w:id="384" w:author="Alexander Golitschek" w:date="2022-02-20T18:58:00Z">
                          <w:rPr>
                            <w:rFonts w:ascii="Cambria Math" w:hAnsi="Cambria Math" w:eastAsia="Times New Roman"/>
                            <w:szCs w:val="20"/>
                            <w:lang w:eastAsia="en-GB"/>
                          </w:rPr>
                        </w:ins>
                      </m:ctrlPr>
                    </m:sub>
                  </m:sSub>
                  <m:ctrlPr>
                    <w:ins w:id="385" w:author="Alexander Golitschek" w:date="2022-02-20T18:58:00Z">
                      <w:rPr>
                        <w:rFonts w:ascii="Cambria Math" w:hAnsi="Cambria Math" w:eastAsia="Times New Roman"/>
                        <w:szCs w:val="20"/>
                        <w:lang w:eastAsia="en-GB"/>
                      </w:rPr>
                    </w:ins>
                  </m:ctrlPr>
                </m:e>
              </m:d>
              <w:ins w:id="386" w:author="Alexander Golitschek" w:date="2022-02-20T18:58:00Z">
                <m:r>
                  <m:rPr>
                    <m:sty m:val="p"/>
                  </m:rPr>
                  <w:rPr>
                    <w:rFonts w:ascii="Cambria Math" w:hAnsi="Cambria Math" w:eastAsia="Times New Roman"/>
                    <w:szCs w:val="20"/>
                    <w:lang w:eastAsia="en-GB"/>
                  </w:rPr>
                  <m:t>=(4,1)</m:t>
                </m:r>
              </w:ins>
            </m:oMath>
            <w:ins w:id="387" w:author="Alexander Golitschek" w:date="2022-02-20T18:58:00Z">
              <w:r>
                <w:rPr>
                  <w:rFonts w:eastAsia="Times New Roman"/>
                  <w:szCs w:val="20"/>
                  <w:lang w:eastAsia="en-GB"/>
                </w:rPr>
                <w:t xml:space="preserve"> for μ =</w:t>
              </w:r>
            </w:ins>
            <w:ins w:id="388" w:author="Alexander Golitschek" w:date="2022-02-20T19:01:00Z">
              <w:r>
                <w:rPr>
                  <w:rFonts w:eastAsia="Times New Roman"/>
                  <w:szCs w:val="20"/>
                  <w:lang w:eastAsia="en-GB"/>
                </w:rPr>
                <w:t xml:space="preserve"> </w:t>
              </w:r>
            </w:ins>
            <w:ins w:id="389" w:author="Alexander Golitschek" w:date="2022-02-20T18:58:00Z">
              <w:r>
                <w:rPr>
                  <w:rFonts w:eastAsia="Times New Roman"/>
                  <w:szCs w:val="20"/>
                  <w:lang w:eastAsia="en-GB"/>
                </w:rPr>
                <w:t>5 as in Tables 10.1-2B and 10.1-3B.</w:t>
              </w:r>
            </w:ins>
          </w:p>
        </w:tc>
      </w:tr>
    </w:tbl>
    <w:p>
      <w:pPr>
        <w:rPr>
          <w:highlight w:val="yellow"/>
          <w:lang w:eastAsia="zh-CN"/>
        </w:rPr>
      </w:pPr>
    </w:p>
    <w:p>
      <w:pPr>
        <w:rPr>
          <w:highlight w:val="yellow"/>
          <w:lang w:eastAsia="zh-CN"/>
        </w:rPr>
      </w:pPr>
      <w:r>
        <w:rPr>
          <w:highlight w:val="yellow"/>
          <w:lang w:eastAsia="zh-CN"/>
        </w:rPr>
        <w:t>Please state your TP preference or suggestion for 38.213 and "default" behaviour.</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FFFF" w:themeFill="background1"/>
            <w:vAlign w:val="center"/>
          </w:tcPr>
          <w:p>
            <w:pPr>
              <w:widowControl w:val="0"/>
              <w:rPr>
                <w:lang w:eastAsia="zh-CN"/>
              </w:rPr>
            </w:pPr>
            <w:r>
              <w:rPr>
                <w:lang w:eastAsia="zh-CN"/>
              </w:rPr>
              <w:t>Huawei, HiSilicon</w:t>
            </w:r>
          </w:p>
        </w:tc>
        <w:tc>
          <w:tcPr>
            <w:tcW w:w="12176" w:type="dxa"/>
            <w:shd w:val="clear" w:color="auto" w:fill="FFFFFF" w:themeFill="background1"/>
            <w:vAlign w:val="center"/>
          </w:tcPr>
          <w:p>
            <w:pPr>
              <w:widowControl w:val="0"/>
              <w:rPr>
                <w:lang w:eastAsia="zh-CN"/>
              </w:rPr>
            </w:pPr>
            <w:r>
              <w:rPr>
                <w:lang w:eastAsia="zh-CN"/>
              </w:rPr>
              <w:t xml:space="preserve">We think proposal A1-4.2b is in the right direction but, as discussed in the first round, it needs to be clarified that the default behavior monitoring behavior </w:t>
            </w:r>
            <w:r>
              <w:rPr>
                <w:u w:val="single"/>
                <w:lang w:eastAsia="zh-CN"/>
              </w:rPr>
              <w:t>is only</w:t>
            </w:r>
            <w:r>
              <w:rPr>
                <w:lang w:eastAsia="zh-CN"/>
              </w:rPr>
              <w:t xml:space="preserve"> applicable to Initial Access UE or RRC_IDLE UE. That is why the default monitoring behavior in A1-4.2b does not include the case of mu=6.</w:t>
            </w:r>
          </w:p>
          <w:p>
            <w:pPr>
              <w:widowControl w:val="0"/>
              <w:rPr>
                <w:rStyle w:val="67"/>
                <w:sz w:val="20"/>
                <w:szCs w:val="20"/>
              </w:rPr>
            </w:pPr>
            <w:r>
              <w:rPr>
                <w:lang w:eastAsia="zh-CN"/>
              </w:rPr>
              <w:t>In other words, it needs to be clarified that “</w:t>
            </w:r>
            <w:ins w:id="390" w:author="Keyvan2" w:date="2022-02-22T23:38:00Z">
              <w:r>
                <w:rPr>
                  <w:rFonts w:eastAsia="宋体"/>
                  <w:color w:val="FF0000"/>
                </w:rPr>
                <w:t xml:space="preserve">For </w:t>
              </w:r>
            </w:ins>
            <m:oMath>
              <w:ins w:id="391" w:author="Keyvan2" w:date="2022-02-22T23:38:00Z">
                <m:r>
                  <w:rPr>
                    <w:rFonts w:ascii="Cambria Math" w:hAnsi="Cambria Math" w:eastAsia="宋体"/>
                    <w:color w:val="FF0000"/>
                  </w:rPr>
                  <m:t>μ</m:t>
                </m:r>
              </w:ins>
              <w:ins w:id="392" w:author="Keyvan2" w:date="2022-02-22T23:38:00Z">
                <m:r>
                  <m:rPr>
                    <m:sty m:val="p"/>
                  </m:rPr>
                  <w:rPr>
                    <w:rFonts w:ascii="Cambria Math" w:hAnsi="Cambria Math" w:eastAsia="宋体"/>
                    <w:color w:val="FF0000"/>
                  </w:rPr>
                  <m:t>∈</m:t>
                </m:r>
              </w:ins>
              <m:d>
                <m:dPr>
                  <m:begChr m:val="{"/>
                  <m:endChr m:val="}"/>
                  <m:ctrlPr>
                    <w:ins w:id="393" w:author="Keyvan2" w:date="2022-02-22T23:38:00Z">
                      <w:rPr>
                        <w:rFonts w:ascii="Cambria Math" w:hAnsi="Cambria Math" w:eastAsia="宋体"/>
                        <w:color w:val="FF0000"/>
                      </w:rPr>
                    </w:ins>
                  </m:ctrlPr>
                </m:dPr>
                <m:e>
                  <w:ins w:id="394" w:author="Keyvan2" w:date="2022-02-22T23:38:00Z">
                    <m:r>
                      <m:rPr>
                        <m:sty m:val="p"/>
                      </m:rPr>
                      <w:rPr>
                        <w:rFonts w:ascii="Cambria Math" w:hAnsi="Cambria Math" w:eastAsia="宋体"/>
                        <w:color w:val="FF0000"/>
                      </w:rPr>
                      <m:t>5,6</m:t>
                    </m:r>
                  </w:ins>
                  <m:ctrlPr>
                    <w:ins w:id="395" w:author="Keyvan2" w:date="2022-02-22T23:38:00Z">
                      <w:rPr>
                        <w:rFonts w:ascii="Cambria Math" w:hAnsi="Cambria Math" w:eastAsia="宋体"/>
                        <w:color w:val="FF0000"/>
                      </w:rPr>
                    </w:ins>
                  </m:ctrlPr>
                </m:e>
              </m:d>
              <w:ins w:id="396" w:author="Keyvan2" w:date="2022-02-22T23:38:00Z">
                <m:r>
                  <m:rPr>
                    <m:sty m:val="p"/>
                  </m:rPr>
                  <w:rPr>
                    <w:rFonts w:ascii="Cambria Math" w:hAnsi="Cambria Math" w:eastAsia="宋体"/>
                    <w:color w:val="FF0000"/>
                  </w:rPr>
                  <m:t xml:space="preserve">, </m:t>
                </m:r>
              </w:ins>
            </m:oMath>
            <w:ins w:id="397" w:author="Keyvan2" w:date="2022-02-22T23:38:00Z">
              <w:r>
                <w:rPr>
                  <w:rFonts w:eastAsia="宋体"/>
                  <w:color w:val="FF0000"/>
                </w:rPr>
                <w:t xml:space="preserve">a </w:t>
              </w:r>
            </w:ins>
            <w:ins w:id="398" w:author="Keyvan2" w:date="2022-02-22T23:38:00Z">
              <w:r>
                <w:rPr>
                  <w:rFonts w:eastAsia="宋体"/>
                  <w:color w:val="FF0000"/>
                  <w:szCs w:val="20"/>
                </w:rPr>
                <w:t xml:space="preserve">UE that is provided dedicated higher layer parameters, expects to be configured with </w:t>
              </w:r>
            </w:ins>
            <w:ins w:id="399" w:author="Keyvan2" w:date="2022-02-22T23:38:00Z">
              <w:r>
                <w:rPr>
                  <w:rFonts w:eastAsia="宋体"/>
                  <w:color w:val="FF0000"/>
                </w:rPr>
                <w:t xml:space="preserve">monitoringCapabilityConfig = r17monitoringcapability </w:t>
              </w:r>
            </w:ins>
            <w:ins w:id="400" w:author="Keyvan2" w:date="2022-02-22T23:38:00Z">
              <w:r>
                <w:rPr>
                  <w:rFonts w:eastAsia="宋体"/>
                  <w:color w:val="FF0000"/>
                  <w:szCs w:val="20"/>
                </w:rPr>
                <w:t xml:space="preserve">an active DL BWP of a serving </w:t>
              </w:r>
            </w:ins>
            <w:r>
              <w:rPr>
                <w:rFonts w:eastAsia="宋体"/>
                <w:color w:val="FF0000"/>
                <w:szCs w:val="20"/>
              </w:rPr>
              <w:t>cell</w:t>
            </w:r>
            <w:r>
              <w:rPr>
                <w:rFonts w:eastAsia="宋体"/>
              </w:rPr>
              <w:t>”</w:t>
            </w:r>
            <w:r>
              <w:rPr>
                <w:rStyle w:val="67"/>
                <w:color w:val="FF0000"/>
                <w:sz w:val="20"/>
                <w:szCs w:val="20"/>
              </w:rPr>
              <w:t xml:space="preserve">. </w:t>
            </w:r>
            <w:r>
              <w:rPr>
                <w:rStyle w:val="67"/>
                <w:sz w:val="20"/>
                <w:szCs w:val="20"/>
              </w:rPr>
              <w:t xml:space="preserve">Otherwise, </w:t>
            </w:r>
            <w:r>
              <w:rPr>
                <w:lang w:eastAsia="zh-CN"/>
              </w:rPr>
              <w:t xml:space="preserve">proposal A1-4.2b would be incomplete because, in current proposal A1-4.2b, a RRC_CONNECTED UE may be not provided with </w:t>
            </w:r>
            <w:r>
              <w:rPr>
                <w:rStyle w:val="67"/>
                <w:i/>
                <w:sz w:val="20"/>
                <w:szCs w:val="20"/>
              </w:rPr>
              <w:t xml:space="preserve">monitoringCapabilityConfig  </w:t>
            </w:r>
            <w:r>
              <w:rPr>
                <w:rStyle w:val="67"/>
                <w:sz w:val="20"/>
                <w:szCs w:val="20"/>
              </w:rPr>
              <w:t>and, as such, should follow the default behavior but such  a default behavior, although applicable ot a RRC_CFONNECTED UE, is not defined for mu=6. We suggest the following modification:</w:t>
            </w:r>
          </w:p>
          <w:p>
            <w:pPr>
              <w:widowControl w:val="0"/>
              <w:tabs>
                <w:tab w:val="left" w:pos="1300"/>
              </w:tabs>
              <w:spacing w:after="0"/>
              <w:jc w:val="both"/>
              <w:rPr>
                <w:b/>
                <w:sz w:val="20"/>
                <w:szCs w:val="20"/>
              </w:rPr>
            </w:pPr>
            <w:r>
              <w:rPr>
                <w:b/>
                <w:sz w:val="20"/>
                <w:szCs w:val="20"/>
                <w:highlight w:val="yellow"/>
                <w:u w:val="single"/>
              </w:rPr>
              <w:t>Text Proposal A1-4.</w:t>
            </w:r>
            <w:r>
              <w:rPr>
                <w:b/>
                <w:sz w:val="20"/>
                <w:szCs w:val="20"/>
                <w:highlight w:val="yellow"/>
                <w:u w:val="single"/>
                <w:shd w:val="clear" w:color="auto" w:fill="00B0F0"/>
              </w:rPr>
              <w:t>2b</w:t>
            </w:r>
            <w:r>
              <w:rPr>
                <w:b/>
                <w:sz w:val="20"/>
                <w:szCs w:val="20"/>
                <w:u w:val="single"/>
                <w:shd w:val="clear" w:color="auto" w:fill="00B0F0"/>
              </w:rPr>
              <w:t xml:space="preserve"> (modified)</w:t>
            </w:r>
            <w:r>
              <w:rPr>
                <w:b/>
                <w:sz w:val="20"/>
                <w:szCs w:val="20"/>
                <w:shd w:val="clear" w:color="auto" w:fill="00B0F0"/>
              </w:rPr>
              <w:t>:</w:t>
            </w:r>
            <w:r>
              <w:rPr>
                <w:b/>
                <w:sz w:val="20"/>
                <w:szCs w:val="20"/>
              </w:rPr>
              <w:t xml:space="preserve"> Change </w:t>
            </w:r>
            <w:r>
              <w:rPr>
                <w:b/>
                <w:bCs/>
                <w:sz w:val="20"/>
                <w:szCs w:val="20"/>
              </w:rPr>
              <w:t>TS 38.213 Clause 10 as follows:</w:t>
            </w:r>
          </w:p>
          <w:tbl>
            <w:tblPr>
              <w:tblStyle w:val="55"/>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9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000" w:type="pct"/>
                  <w:vAlign w:val="center"/>
                </w:tcPr>
                <w:p>
                  <w:pPr>
                    <w:widowControl w:val="0"/>
                    <w:rPr>
                      <w:rFonts w:eastAsia="宋体"/>
                      <w:szCs w:val="20"/>
                    </w:rPr>
                  </w:pPr>
                  <w:r>
                    <w:rPr>
                      <w:rFonts w:eastAsia="宋体"/>
                      <w:szCs w:val="20"/>
                    </w:rPr>
                    <w:t xml:space="preserve">If a UE is provided </w:t>
                  </w:r>
                  <w:r>
                    <w:rPr>
                      <w:rFonts w:eastAsia="宋体"/>
                      <w:i/>
                      <w:szCs w:val="20"/>
                    </w:rPr>
                    <w:t>monitoringCapabilityConfig</w:t>
                  </w:r>
                  <w:r>
                    <w:rPr>
                      <w:rFonts w:eastAsia="宋体"/>
                      <w:szCs w:val="20"/>
                    </w:rPr>
                    <w:t xml:space="preserve"> for a</w:t>
                  </w:r>
                  <w:ins w:id="401" w:author="Alexander Golitschek" w:date="2022-02-20T19:09:00Z">
                    <w:r>
                      <w:rPr>
                        <w:rFonts w:eastAsia="宋体"/>
                        <w:szCs w:val="20"/>
                      </w:rPr>
                      <w:t>n active DL BWP of a</w:t>
                    </w:r>
                  </w:ins>
                  <w:r>
                    <w:rPr>
                      <w:rFonts w:eastAsia="宋体"/>
                      <w:szCs w:val="20"/>
                    </w:rPr>
                    <w:t xml:space="preserve"> serving cell, the UE obtains an indication to monitor PDCCH on </w:t>
                  </w:r>
                  <w:ins w:id="402" w:author="Alexander Golitschek" w:date="2022-02-20T19:12:00Z">
                    <w:r>
                      <w:rPr>
                        <w:rFonts w:eastAsia="宋体"/>
                        <w:szCs w:val="20"/>
                      </w:rPr>
                      <w:t xml:space="preserve">the active DL BWP of </w:t>
                    </w:r>
                  </w:ins>
                  <w:r>
                    <w:rPr>
                      <w:rFonts w:eastAsia="宋体"/>
                      <w:szCs w:val="20"/>
                    </w:rPr>
                    <w:t xml:space="preserve">the serving cell for a maximum number of PDCCH candidates and non-overlapping CCEs </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slot, as in Tables 10.1-2 and 10.1-3,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r15monitoringcapability</w:t>
                  </w:r>
                  <w:r>
                    <w:rPr>
                      <w:rFonts w:eastAsia="宋体"/>
                    </w:rPr>
                    <w:t xml:space="preserve">, </w:t>
                  </w:r>
                  <w:r>
                    <w:rPr>
                      <w:rFonts w:eastAsia="宋体"/>
                      <w:szCs w:val="20"/>
                    </w:rPr>
                    <w:t xml:space="preserve">or </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span, as in Tables 10.1-2A and 10.1-3A,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r16monitoringcapability</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group </w:t>
                  </w:r>
                  <w:r>
                    <w:rPr>
                      <w:rFonts w:eastAsia="宋体"/>
                      <w:szCs w:val="20"/>
                      <w:lang w:eastAsia="zh-CN"/>
                    </w:rPr>
                    <w:t xml:space="preserve">of </w:t>
                  </w:r>
                  <m:oMath>
                    <m:sSub>
                      <m:sSubPr>
                        <m:ctrlPr>
                          <w:rPr>
                            <w:rFonts w:ascii="Cambria Math" w:hAnsi="Cambria Math" w:eastAsia="宋体"/>
                            <w:i/>
                            <w:szCs w:val="20"/>
                            <w:lang w:val="zh-CN" w:eastAsia="zh-CN"/>
                          </w:rPr>
                        </m:ctrlPr>
                      </m:sSubPr>
                      <m:e>
                        <m:r>
                          <w:rPr>
                            <w:rFonts w:ascii="Cambria Math" w:hAnsi="Cambria Math" w:eastAsia="宋体"/>
                            <w:szCs w:val="20"/>
                            <w:lang w:val="zh-CN" w:eastAsia="zh-CN"/>
                          </w:rPr>
                          <m:t>X</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oMath>
                  <w:r>
                    <w:rPr>
                      <w:rFonts w:eastAsia="宋体"/>
                      <w:szCs w:val="20"/>
                      <w:lang w:eastAsia="zh-CN"/>
                    </w:rPr>
                    <w:t xml:space="preserve"> slots</w:t>
                  </w:r>
                  <w:r>
                    <w:rPr>
                      <w:rFonts w:eastAsia="宋体"/>
                      <w:szCs w:val="20"/>
                    </w:rPr>
                    <w:t xml:space="preserve"> </w:t>
                  </w:r>
                  <w:r>
                    <w:rPr>
                      <w:rFonts w:eastAsia="宋体"/>
                      <w:szCs w:val="20"/>
                      <w:lang w:eastAsia="zh-CN"/>
                    </w:rPr>
                    <w:t xml:space="preserve">according to combination </w:t>
                  </w:r>
                  <m:oMath>
                    <m:d>
                      <m:dPr>
                        <m:ctrlPr>
                          <w:rPr>
                            <w:rFonts w:ascii="Cambria Math" w:hAnsi="Cambria Math" w:eastAsia="宋体"/>
                            <w:szCs w:val="20"/>
                            <w:lang w:val="zh-CN" w:eastAsia="zh-CN"/>
                          </w:rPr>
                        </m:ctrlPr>
                      </m:dPr>
                      <m:e>
                        <m:sSub>
                          <m:sSubPr>
                            <m:ctrlPr>
                              <w:rPr>
                                <w:rFonts w:ascii="Cambria Math" w:hAnsi="Cambria Math" w:eastAsia="宋体"/>
                                <w:i/>
                                <w:szCs w:val="20"/>
                                <w:lang w:val="zh-CN" w:eastAsia="zh-CN"/>
                              </w:rPr>
                            </m:ctrlPr>
                          </m:sSubPr>
                          <m:e>
                            <m:r>
                              <w:rPr>
                                <w:rFonts w:ascii="Cambria Math" w:hAnsi="Cambria Math" w:eastAsia="宋体"/>
                                <w:szCs w:val="20"/>
                                <w:lang w:val="zh-CN" w:eastAsia="zh-CN"/>
                              </w:rPr>
                              <m:t>X</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r>
                          <w:rPr>
                            <w:rFonts w:ascii="Cambria Math" w:hAnsi="Cambria Math" w:eastAsia="宋体"/>
                            <w:szCs w:val="20"/>
                            <w:lang w:eastAsia="zh-CN"/>
                          </w:rPr>
                          <m:t>,</m:t>
                        </m:r>
                        <m:sSub>
                          <m:sSubPr>
                            <m:ctrlPr>
                              <w:rPr>
                                <w:rFonts w:ascii="Cambria Math" w:hAnsi="Cambria Math" w:eastAsia="宋体"/>
                                <w:i/>
                                <w:szCs w:val="20"/>
                                <w:lang w:val="zh-CN" w:eastAsia="zh-CN"/>
                              </w:rPr>
                            </m:ctrlPr>
                          </m:sSubPr>
                          <m:e>
                            <m:r>
                              <w:rPr>
                                <w:rFonts w:ascii="Cambria Math" w:hAnsi="Cambria Math" w:eastAsia="宋体"/>
                                <w:szCs w:val="20"/>
                                <w:lang w:val="zh-CN" w:eastAsia="zh-CN"/>
                              </w:rPr>
                              <m:t>Y</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ctrlPr>
                          <w:rPr>
                            <w:rFonts w:ascii="Cambria Math" w:hAnsi="Cambria Math" w:eastAsia="宋体"/>
                            <w:szCs w:val="20"/>
                            <w:lang w:val="zh-CN" w:eastAsia="zh-CN"/>
                          </w:rPr>
                        </m:ctrlPr>
                      </m:e>
                    </m:d>
                  </m:oMath>
                  <w:r>
                    <w:rPr>
                      <w:rFonts w:eastAsia="宋体"/>
                      <w:szCs w:val="20"/>
                    </w:rPr>
                    <w:t xml:space="preserve">, as in Tables 10.1-2B and 10.1-3B,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r17monitoringcapability</w:t>
                  </w:r>
                </w:p>
                <w:p>
                  <w:pPr>
                    <w:widowControl w:val="0"/>
                    <w:spacing w:after="180" w:line="240" w:lineRule="auto"/>
                    <w:rPr>
                      <w:rFonts w:eastAsia="宋体"/>
                      <w:szCs w:val="20"/>
                      <w:lang w:eastAsia="zh-CN"/>
                    </w:rPr>
                  </w:pPr>
                  <w:r>
                    <w:rPr>
                      <w:rFonts w:eastAsia="宋体"/>
                      <w:szCs w:val="20"/>
                    </w:rPr>
                    <w:t xml:space="preserve">If the UE is not provided </w:t>
                  </w:r>
                  <w:r>
                    <w:rPr>
                      <w:rFonts w:eastAsia="宋体"/>
                      <w:i/>
                      <w:szCs w:val="20"/>
                    </w:rPr>
                    <w:t>monitoringCapabilityConfig</w:t>
                  </w:r>
                  <w:ins w:id="403" w:author="Alexander Golitschek" w:date="2022-02-20T19:32:00Z">
                    <w:r>
                      <w:rPr>
                        <w:rFonts w:eastAsia="Times New Roman"/>
                        <w:szCs w:val="20"/>
                        <w:lang w:eastAsia="en-GB"/>
                      </w:rPr>
                      <w:t xml:space="preserve"> f</w:t>
                    </w:r>
                  </w:ins>
                  <w:ins w:id="404" w:author="Alexander Golitschek" w:date="2022-02-20T19:32:00Z">
                    <w:r>
                      <w:rPr>
                        <w:rFonts w:eastAsia="Times New Roman"/>
                        <w:szCs w:val="20"/>
                        <w:lang w:val="en-GB" w:eastAsia="en-GB"/>
                      </w:rPr>
                      <w:t xml:space="preserve">or μ </w:t>
                    </w:r>
                  </w:ins>
                  <w:ins w:id="405" w:author="Alexander Golitschek" w:date="2022-02-20T19:32:00Z">
                    <w:r>
                      <w:rPr>
                        <w:rFonts w:ascii="Cambria Math" w:hAnsi="Cambria Math" w:eastAsia="Times New Roman" w:cs="Cambria Math"/>
                        <w:szCs w:val="20"/>
                        <w:lang w:val="en-GB" w:eastAsia="en-GB"/>
                      </w:rPr>
                      <w:t>∈</w:t>
                    </w:r>
                  </w:ins>
                  <w:ins w:id="406" w:author="Alexander Golitschek" w:date="2022-02-20T19:32:00Z">
                    <w:r>
                      <w:rPr>
                        <w:rFonts w:eastAsia="Times New Roman"/>
                        <w:szCs w:val="20"/>
                        <w:lang w:val="en-GB" w:eastAsia="en-GB"/>
                      </w:rPr>
                      <w:t xml:space="preserve"> {0,1,2,3}</w:t>
                    </w:r>
                  </w:ins>
                  <w:r>
                    <w:rPr>
                      <w:rFonts w:eastAsia="宋体"/>
                      <w:szCs w:val="20"/>
                    </w:rPr>
                    <w:t xml:space="preserve">, the UE monitors PDCCH on the </w:t>
                  </w:r>
                  <w:ins w:id="407" w:author="Alexander Golitschek" w:date="2022-02-20T19:14:00Z">
                    <w:r>
                      <w:rPr>
                        <w:rFonts w:eastAsia="Times New Roman"/>
                        <w:szCs w:val="20"/>
                        <w:lang w:eastAsia="en-GB"/>
                      </w:rPr>
                      <w:t>active DL BWP of a</w:t>
                    </w:r>
                  </w:ins>
                  <w:ins w:id="408" w:author="Alexander Golitschek" w:date="2022-02-20T19:14:00Z">
                    <w:r>
                      <w:rPr>
                        <w:rFonts w:eastAsia="宋体"/>
                        <w:szCs w:val="20"/>
                      </w:rPr>
                      <w:t xml:space="preserve"> </w:t>
                    </w:r>
                  </w:ins>
                  <w:r>
                    <w:rPr>
                      <w:rFonts w:eastAsia="宋体"/>
                      <w:szCs w:val="20"/>
                    </w:rPr>
                    <w:t xml:space="preserve">serving cell for a maximum number of PDCCH candidates and non-overlapping CCEs per slot. </w:t>
                  </w:r>
                </w:p>
                <w:p>
                  <w:pPr>
                    <w:widowControl w:val="0"/>
                    <w:spacing w:after="180" w:line="240" w:lineRule="auto"/>
                    <w:rPr>
                      <w:rFonts w:eastAsia="Times New Roman"/>
                      <w:szCs w:val="20"/>
                      <w:lang w:eastAsia="en-GB"/>
                    </w:rPr>
                  </w:pPr>
                  <w:ins w:id="409" w:author="Keyvan2" w:date="2022-02-22T23:38:00Z">
                    <w:r>
                      <w:rPr>
                        <w:rFonts w:eastAsia="宋体"/>
                        <w:color w:val="FF0000"/>
                        <w:shd w:val="clear" w:color="auto" w:fill="00B0F0"/>
                      </w:rPr>
                      <w:t xml:space="preserve">For </w:t>
                    </w:r>
                  </w:ins>
                  <m:oMath>
                    <w:ins w:id="410" w:author="Keyvan2" w:date="2022-02-22T23:38:00Z">
                      <m:r>
                        <w:rPr>
                          <w:rFonts w:ascii="Cambria Math" w:hAnsi="Cambria Math" w:eastAsia="宋体"/>
                          <w:color w:val="FF0000"/>
                          <w:shd w:val="clear" w:color="auto" w:fill="00B0F0"/>
                        </w:rPr>
                        <m:t>μ</m:t>
                      </m:r>
                    </w:ins>
                    <w:ins w:id="411" w:author="Keyvan2" w:date="2022-02-22T23:38:00Z">
                      <m:r>
                        <m:rPr>
                          <m:sty m:val="p"/>
                        </m:rPr>
                        <w:rPr>
                          <w:rFonts w:ascii="Cambria Math" w:hAnsi="Cambria Math" w:eastAsia="宋体"/>
                          <w:color w:val="FF0000"/>
                          <w:shd w:val="clear" w:color="auto" w:fill="00B0F0"/>
                        </w:rPr>
                        <m:t>∈</m:t>
                      </m:r>
                    </w:ins>
                    <m:d>
                      <m:dPr>
                        <m:begChr m:val="{"/>
                        <m:endChr m:val="}"/>
                        <m:ctrlPr>
                          <w:ins w:id="412" w:author="Keyvan2" w:date="2022-02-22T23:38:00Z">
                            <w:rPr>
                              <w:rFonts w:ascii="Cambria Math" w:hAnsi="Cambria Math" w:eastAsia="宋体"/>
                              <w:color w:val="FF0000"/>
                              <w:shd w:val="clear" w:color="auto" w:fill="00B0F0"/>
                            </w:rPr>
                          </w:ins>
                        </m:ctrlPr>
                      </m:dPr>
                      <m:e>
                        <w:ins w:id="413" w:author="Keyvan2" w:date="2022-02-22T23:38:00Z">
                          <m:r>
                            <m:rPr>
                              <m:sty m:val="p"/>
                            </m:rPr>
                            <w:rPr>
                              <w:rFonts w:ascii="Cambria Math" w:hAnsi="Cambria Math" w:eastAsia="宋体"/>
                              <w:color w:val="FF0000"/>
                              <w:shd w:val="clear" w:color="auto" w:fill="00B0F0"/>
                            </w:rPr>
                            <m:t>5,6</m:t>
                          </m:r>
                        </w:ins>
                        <m:ctrlPr>
                          <w:ins w:id="414" w:author="Keyvan2" w:date="2022-02-22T23:38:00Z">
                            <w:rPr>
                              <w:rFonts w:ascii="Cambria Math" w:hAnsi="Cambria Math" w:eastAsia="宋体"/>
                              <w:color w:val="FF0000"/>
                              <w:shd w:val="clear" w:color="auto" w:fill="00B0F0"/>
                            </w:rPr>
                          </w:ins>
                        </m:ctrlPr>
                      </m:e>
                    </m:d>
                    <w:ins w:id="415" w:author="Keyvan2" w:date="2022-02-22T23:38:00Z">
                      <m:r>
                        <m:rPr>
                          <m:sty m:val="p"/>
                        </m:rPr>
                        <w:rPr>
                          <w:rFonts w:ascii="Cambria Math" w:hAnsi="Cambria Math" w:eastAsia="宋体"/>
                          <w:color w:val="FF0000"/>
                          <w:shd w:val="clear" w:color="auto" w:fill="00B0F0"/>
                        </w:rPr>
                        <m:t xml:space="preserve">, </m:t>
                      </m:r>
                    </w:ins>
                  </m:oMath>
                  <w:ins w:id="416" w:author="Keyvan2" w:date="2022-02-22T23:38:00Z">
                    <w:r>
                      <w:rPr>
                        <w:rFonts w:eastAsia="宋体"/>
                        <w:color w:val="FF0000"/>
                        <w:shd w:val="clear" w:color="auto" w:fill="00B0F0"/>
                      </w:rPr>
                      <w:t xml:space="preserve">a </w:t>
                    </w:r>
                  </w:ins>
                  <w:ins w:id="417" w:author="Keyvan2" w:date="2022-02-22T23:38:00Z">
                    <w:r>
                      <w:rPr>
                        <w:rFonts w:eastAsia="宋体"/>
                        <w:color w:val="FF0000"/>
                        <w:szCs w:val="20"/>
                        <w:shd w:val="clear" w:color="auto" w:fill="00B0F0"/>
                      </w:rPr>
                      <w:t xml:space="preserve">UE that is provided dedicated higher layer parameters, expects to be configured with </w:t>
                    </w:r>
                  </w:ins>
                  <w:ins w:id="418" w:author="Keyvan2" w:date="2022-02-22T23:38:00Z">
                    <w:r>
                      <w:rPr>
                        <w:rFonts w:eastAsia="宋体"/>
                        <w:color w:val="FF0000"/>
                        <w:shd w:val="clear" w:color="auto" w:fill="00B0F0"/>
                      </w:rPr>
                      <w:t xml:space="preserve">monitoringCapabilityConfig = r17monitoringcapability </w:t>
                    </w:r>
                  </w:ins>
                  <w:ins w:id="419" w:author="Keyvan2" w:date="2022-02-22T23:38:00Z">
                    <w:r>
                      <w:rPr>
                        <w:rFonts w:eastAsia="宋体"/>
                        <w:color w:val="FF0000"/>
                        <w:szCs w:val="20"/>
                        <w:shd w:val="clear" w:color="auto" w:fill="00B0F0"/>
                      </w:rPr>
                      <w:t>an active DL BWP of a serving cell</w:t>
                    </w:r>
                  </w:ins>
                  <w:r>
                    <w:rPr>
                      <w:rStyle w:val="67"/>
                      <w:color w:val="FF0000"/>
                      <w:sz w:val="20"/>
                      <w:szCs w:val="20"/>
                      <w:shd w:val="clear" w:color="auto" w:fill="00B0F0"/>
                    </w:rPr>
                    <w:t>.</w:t>
                  </w:r>
                  <w:r>
                    <w:rPr>
                      <w:rStyle w:val="67"/>
                      <w:color w:val="FF0000"/>
                      <w:sz w:val="20"/>
                      <w:szCs w:val="20"/>
                    </w:rPr>
                    <w:t xml:space="preserve"> </w:t>
                  </w:r>
                  <w:ins w:id="420" w:author="Alexander Golitschek" w:date="2022-02-20T19:32:00Z">
                    <w:r>
                      <w:rPr>
                        <w:rFonts w:eastAsia="Times New Roman"/>
                        <w:szCs w:val="20"/>
                        <w:lang w:eastAsia="en-GB"/>
                      </w:rPr>
                      <w:t>I</w:t>
                    </w:r>
                  </w:ins>
                  <w:ins w:id="421" w:author="Alexander Golitschek" w:date="2022-02-20T18:58:00Z">
                    <w:r>
                      <w:rPr>
                        <w:rFonts w:eastAsia="Times New Roman"/>
                        <w:szCs w:val="20"/>
                        <w:lang w:eastAsia="en-GB"/>
                      </w:rPr>
                      <w:t xml:space="preserve">f the UE is not provided </w:t>
                    </w:r>
                  </w:ins>
                  <w:ins w:id="422" w:author="Alexander Golitschek" w:date="2022-02-20T18:58:00Z">
                    <w:r>
                      <w:rPr>
                        <w:rFonts w:eastAsia="Times New Roman"/>
                        <w:i/>
                        <w:iCs/>
                        <w:szCs w:val="20"/>
                        <w:lang w:eastAsia="en-GB"/>
                      </w:rPr>
                      <w:t>monitoringCapabilityConfig</w:t>
                    </w:r>
                  </w:ins>
                  <w:ins w:id="423" w:author="Alexander Golitschek" w:date="2022-02-20T19:32:00Z">
                    <w:r>
                      <w:rPr>
                        <w:rFonts w:eastAsia="Times New Roman"/>
                        <w:szCs w:val="20"/>
                        <w:lang w:eastAsia="en-GB"/>
                      </w:rPr>
                      <w:t xml:space="preserve"> for μ </w:t>
                    </w:r>
                  </w:ins>
                  <w:ins w:id="424" w:author="Alexander Golitschek" w:date="2022-02-23T00:48:00Z">
                    <w:r>
                      <w:rPr>
                        <w:rFonts w:ascii="Cambria Math" w:hAnsi="Cambria Math" w:eastAsia="Times New Roman" w:cs="Cambria Math"/>
                        <w:szCs w:val="20"/>
                        <w:lang w:eastAsia="en-GB"/>
                      </w:rPr>
                      <w:t xml:space="preserve">= </w:t>
                    </w:r>
                  </w:ins>
                  <w:ins w:id="425" w:author="Alexander Golitschek" w:date="2022-02-20T19:32:00Z">
                    <w:r>
                      <w:rPr>
                        <w:rFonts w:eastAsia="Times New Roman"/>
                        <w:szCs w:val="20"/>
                        <w:lang w:eastAsia="en-GB"/>
                      </w:rPr>
                      <w:t xml:space="preserve">5, </w:t>
                    </w:r>
                  </w:ins>
                  <w:ins w:id="426" w:author="Alexander Golitschek" w:date="2022-02-20T18:58:00Z">
                    <w:r>
                      <w:rPr>
                        <w:rFonts w:eastAsia="Times New Roman"/>
                        <w:szCs w:val="20"/>
                        <w:lang w:eastAsia="en-GB"/>
                      </w:rPr>
                      <w:t xml:space="preserve">the UE monitors PDCCH on the </w:t>
                    </w:r>
                  </w:ins>
                  <w:ins w:id="427" w:author="Alexander Golitschek" w:date="2022-02-20T19:13:00Z">
                    <w:r>
                      <w:rPr>
                        <w:rFonts w:eastAsia="Times New Roman"/>
                        <w:szCs w:val="20"/>
                        <w:lang w:eastAsia="en-GB"/>
                      </w:rPr>
                      <w:t xml:space="preserve">active DL BWP of a </w:t>
                    </w:r>
                  </w:ins>
                  <w:ins w:id="428"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429" w:author="Alexander Golitschek" w:date="2022-02-20T18:58:00Z">
                            <w:rPr>
                              <w:rFonts w:ascii="Cambria Math" w:hAnsi="Cambria Math" w:eastAsia="Times New Roman"/>
                              <w:szCs w:val="20"/>
                              <w:lang w:eastAsia="en-GB"/>
                            </w:rPr>
                          </w:ins>
                        </m:ctrlPr>
                      </m:sSubPr>
                      <m:e>
                        <w:ins w:id="430" w:author="Alexander Golitschek" w:date="2022-02-20T18:58:00Z">
                          <m:r>
                            <w:rPr>
                              <w:rFonts w:ascii="Cambria Math" w:hAnsi="Cambria Math" w:eastAsia="Times New Roman"/>
                              <w:szCs w:val="20"/>
                              <w:lang w:eastAsia="en-GB"/>
                            </w:rPr>
                            <m:t>X</m:t>
                          </m:r>
                        </w:ins>
                        <m:ctrlPr>
                          <w:ins w:id="431" w:author="Alexander Golitschek" w:date="2022-02-20T18:58:00Z">
                            <w:rPr>
                              <w:rFonts w:ascii="Cambria Math" w:hAnsi="Cambria Math" w:eastAsia="Times New Roman"/>
                              <w:szCs w:val="20"/>
                              <w:lang w:eastAsia="en-GB"/>
                            </w:rPr>
                          </w:ins>
                        </m:ctrlPr>
                      </m:e>
                      <m:sub>
                        <w:ins w:id="432" w:author="Alexander Golitschek" w:date="2022-02-20T18:58:00Z">
                          <m:r>
                            <w:rPr>
                              <w:rFonts w:ascii="Cambria Math" w:hAnsi="Cambria Math" w:eastAsia="Times New Roman"/>
                              <w:szCs w:val="20"/>
                              <w:lang w:eastAsia="en-GB"/>
                            </w:rPr>
                            <m:t>s</m:t>
                          </m:r>
                        </w:ins>
                        <m:ctrlPr>
                          <w:ins w:id="433" w:author="Alexander Golitschek" w:date="2022-02-20T18:58:00Z">
                            <w:rPr>
                              <w:rFonts w:ascii="Cambria Math" w:hAnsi="Cambria Math" w:eastAsia="Times New Roman"/>
                              <w:szCs w:val="20"/>
                              <w:lang w:eastAsia="en-GB"/>
                            </w:rPr>
                          </w:ins>
                        </m:ctrlPr>
                      </m:sub>
                    </m:sSub>
                  </m:oMath>
                  <w:ins w:id="434" w:author="Alexander Golitschek" w:date="2022-02-20T18:58:00Z">
                    <w:r>
                      <w:rPr>
                        <w:rFonts w:eastAsia="Times New Roman"/>
                        <w:szCs w:val="20"/>
                        <w:lang w:eastAsia="en-GB"/>
                      </w:rPr>
                      <w:t xml:space="preserve"> slots according to combination </w:t>
                    </w:r>
                  </w:ins>
                  <m:oMath>
                    <m:d>
                      <m:dPr>
                        <m:ctrlPr>
                          <w:ins w:id="435" w:author="Alexander Golitschek" w:date="2022-02-20T18:58:00Z">
                            <w:rPr>
                              <w:rFonts w:ascii="Cambria Math" w:hAnsi="Cambria Math" w:eastAsia="Times New Roman"/>
                              <w:szCs w:val="20"/>
                              <w:lang w:eastAsia="en-GB"/>
                            </w:rPr>
                          </w:ins>
                        </m:ctrlPr>
                      </m:dPr>
                      <m:e>
                        <m:sSub>
                          <m:sSubPr>
                            <m:ctrlPr>
                              <w:ins w:id="436" w:author="Alexander Golitschek" w:date="2022-02-20T18:58:00Z">
                                <w:rPr>
                                  <w:rFonts w:ascii="Cambria Math" w:hAnsi="Cambria Math" w:eastAsia="Times New Roman"/>
                                  <w:szCs w:val="20"/>
                                  <w:lang w:eastAsia="en-GB"/>
                                </w:rPr>
                              </w:ins>
                            </m:ctrlPr>
                          </m:sSubPr>
                          <m:e>
                            <w:ins w:id="437" w:author="Alexander Golitschek" w:date="2022-02-20T18:58:00Z">
                              <m:r>
                                <w:rPr>
                                  <w:rFonts w:ascii="Cambria Math" w:hAnsi="Cambria Math" w:eastAsia="Times New Roman"/>
                                  <w:szCs w:val="20"/>
                                  <w:lang w:eastAsia="en-GB"/>
                                </w:rPr>
                                <m:t>X</m:t>
                              </m:r>
                            </w:ins>
                            <m:ctrlPr>
                              <w:ins w:id="438" w:author="Alexander Golitschek" w:date="2022-02-20T18:58:00Z">
                                <w:rPr>
                                  <w:rFonts w:ascii="Cambria Math" w:hAnsi="Cambria Math" w:eastAsia="Times New Roman"/>
                                  <w:szCs w:val="20"/>
                                  <w:lang w:eastAsia="en-GB"/>
                                </w:rPr>
                              </w:ins>
                            </m:ctrlPr>
                          </m:e>
                          <m:sub>
                            <w:ins w:id="439" w:author="Alexander Golitschek" w:date="2022-02-20T18:58:00Z">
                              <m:r>
                                <w:rPr>
                                  <w:rFonts w:ascii="Cambria Math" w:hAnsi="Cambria Math" w:eastAsia="Times New Roman"/>
                                  <w:szCs w:val="20"/>
                                  <w:lang w:eastAsia="en-GB"/>
                                </w:rPr>
                                <m:t>s</m:t>
                              </m:r>
                            </w:ins>
                            <m:ctrlPr>
                              <w:ins w:id="440" w:author="Alexander Golitschek" w:date="2022-02-20T18:58:00Z">
                                <w:rPr>
                                  <w:rFonts w:ascii="Cambria Math" w:hAnsi="Cambria Math" w:eastAsia="Times New Roman"/>
                                  <w:szCs w:val="20"/>
                                  <w:lang w:eastAsia="en-GB"/>
                                </w:rPr>
                              </w:ins>
                            </m:ctrlPr>
                          </m:sub>
                        </m:sSub>
                        <w:ins w:id="441" w:author="Alexander Golitschek" w:date="2022-02-20T18:58:00Z">
                          <m:r>
                            <m:rPr>
                              <m:sty m:val="p"/>
                            </m:rPr>
                            <w:rPr>
                              <w:rFonts w:ascii="Cambria Math" w:hAnsi="Cambria Math" w:eastAsia="Times New Roman"/>
                              <w:szCs w:val="20"/>
                              <w:lang w:eastAsia="en-GB"/>
                            </w:rPr>
                            <m:t>,</m:t>
                          </m:r>
                        </w:ins>
                        <m:sSub>
                          <m:sSubPr>
                            <m:ctrlPr>
                              <w:ins w:id="442" w:author="Alexander Golitschek" w:date="2022-02-20T18:58:00Z">
                                <w:rPr>
                                  <w:rFonts w:ascii="Cambria Math" w:hAnsi="Cambria Math" w:eastAsia="Times New Roman"/>
                                  <w:szCs w:val="20"/>
                                  <w:lang w:eastAsia="en-GB"/>
                                </w:rPr>
                              </w:ins>
                            </m:ctrlPr>
                          </m:sSubPr>
                          <m:e>
                            <w:ins w:id="443" w:author="Alexander Golitschek" w:date="2022-02-20T18:58:00Z">
                              <m:r>
                                <w:rPr>
                                  <w:rFonts w:ascii="Cambria Math" w:hAnsi="Cambria Math" w:eastAsia="Times New Roman"/>
                                  <w:szCs w:val="20"/>
                                  <w:lang w:eastAsia="en-GB"/>
                                </w:rPr>
                                <m:t>Y</m:t>
                              </m:r>
                            </w:ins>
                            <m:ctrlPr>
                              <w:ins w:id="444" w:author="Alexander Golitschek" w:date="2022-02-20T18:58:00Z">
                                <w:rPr>
                                  <w:rFonts w:ascii="Cambria Math" w:hAnsi="Cambria Math" w:eastAsia="Times New Roman"/>
                                  <w:szCs w:val="20"/>
                                  <w:lang w:eastAsia="en-GB"/>
                                </w:rPr>
                              </w:ins>
                            </m:ctrlPr>
                          </m:e>
                          <m:sub>
                            <w:ins w:id="445" w:author="Alexander Golitschek" w:date="2022-02-20T18:58:00Z">
                              <m:r>
                                <w:rPr>
                                  <w:rFonts w:ascii="Cambria Math" w:hAnsi="Cambria Math" w:eastAsia="Times New Roman"/>
                                  <w:szCs w:val="20"/>
                                  <w:lang w:eastAsia="en-GB"/>
                                </w:rPr>
                                <m:t>s</m:t>
                              </m:r>
                            </w:ins>
                            <m:ctrlPr>
                              <w:ins w:id="446" w:author="Alexander Golitschek" w:date="2022-02-20T18:58:00Z">
                                <w:rPr>
                                  <w:rFonts w:ascii="Cambria Math" w:hAnsi="Cambria Math" w:eastAsia="Times New Roman"/>
                                  <w:szCs w:val="20"/>
                                  <w:lang w:eastAsia="en-GB"/>
                                </w:rPr>
                              </w:ins>
                            </m:ctrlPr>
                          </m:sub>
                        </m:sSub>
                        <m:ctrlPr>
                          <w:ins w:id="447" w:author="Alexander Golitschek" w:date="2022-02-20T18:58:00Z">
                            <w:rPr>
                              <w:rFonts w:ascii="Cambria Math" w:hAnsi="Cambria Math" w:eastAsia="Times New Roman"/>
                              <w:szCs w:val="20"/>
                              <w:lang w:eastAsia="en-GB"/>
                            </w:rPr>
                          </w:ins>
                        </m:ctrlPr>
                      </m:e>
                    </m:d>
                    <w:ins w:id="448" w:author="Alexander Golitschek" w:date="2022-02-20T18:58:00Z">
                      <m:r>
                        <m:rPr>
                          <m:sty m:val="p"/>
                        </m:rPr>
                        <w:rPr>
                          <w:rFonts w:ascii="Cambria Math" w:hAnsi="Cambria Math" w:eastAsia="Times New Roman"/>
                          <w:szCs w:val="20"/>
                          <w:lang w:eastAsia="en-GB"/>
                        </w:rPr>
                        <m:t>=(4,1)</m:t>
                      </m:r>
                    </w:ins>
                  </m:oMath>
                  <w:ins w:id="449" w:author="Alexander Golitschek" w:date="2022-02-20T18:58:00Z">
                    <w:r>
                      <w:rPr>
                        <w:rFonts w:eastAsia="Times New Roman"/>
                        <w:szCs w:val="20"/>
                        <w:lang w:eastAsia="en-GB"/>
                      </w:rPr>
                      <w:t xml:space="preserve"> for μ =</w:t>
                    </w:r>
                  </w:ins>
                  <w:ins w:id="450" w:author="Alexander Golitschek" w:date="2022-02-20T19:01:00Z">
                    <w:r>
                      <w:rPr>
                        <w:rFonts w:eastAsia="Times New Roman"/>
                        <w:szCs w:val="20"/>
                        <w:lang w:eastAsia="en-GB"/>
                      </w:rPr>
                      <w:t xml:space="preserve"> </w:t>
                    </w:r>
                  </w:ins>
                  <w:ins w:id="451" w:author="Alexander Golitschek" w:date="2022-02-20T18:58:00Z">
                    <w:r>
                      <w:rPr>
                        <w:rFonts w:eastAsia="Times New Roman"/>
                        <w:szCs w:val="20"/>
                        <w:lang w:eastAsia="en-GB"/>
                      </w:rPr>
                      <w:t>5 as in Tables 10.1-2B and 10.1-3B.</w:t>
                    </w:r>
                  </w:ins>
                </w:p>
              </w:tc>
            </w:tr>
          </w:tbl>
          <w:p>
            <w:pPr>
              <w:widowControl w:val="0"/>
              <w:rPr>
                <w:rStyle w:val="67"/>
                <w:sz w:val="20"/>
                <w:szCs w:val="20"/>
              </w:rPr>
            </w:pPr>
          </w:p>
          <w:p>
            <w:pPr>
              <w:widowControl w:val="0"/>
              <w:rPr>
                <w:lang w:eastAsia="zh-CN"/>
              </w:rPr>
            </w:pPr>
            <w:r>
              <w:rPr>
                <w:rFonts w:eastAsia="宋体"/>
                <w:highlight w:val="cyan"/>
                <w:lang w:eastAsia="zh-CN"/>
              </w:rPr>
              <w:t xml:space="preserve">Moderator: My intention was to achieve your suggested clarification by indicating </w:t>
            </w:r>
            <w:r>
              <w:rPr>
                <w:i/>
                <w:iCs/>
                <w:highlight w:val="cyan"/>
              </w:rPr>
              <w:t>monitoringCapabilityConfig</w:t>
            </w:r>
            <w:r>
              <w:rPr>
                <w:highlight w:val="cyan"/>
              </w:rPr>
              <w:t xml:space="preserve"> as a mandatory field in the RRC sheet (See Proposal A1-4.3b, or-4.3c even more explicitly), will that be sufficient to resolve your concern (i.e. without your modification to 38.213)?</w:t>
            </w:r>
            <w:r>
              <w:rPr>
                <w:rStyle w:val="67"/>
                <w:sz w:val="20"/>
                <w:szCs w:val="20"/>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lang w:eastAsia="zh-CN"/>
              </w:rPr>
              <w:t xml:space="preserve">We prefer Text Proposal A1-4.2a, </w:t>
            </w:r>
            <w:r>
              <w:rPr>
                <w:rFonts w:hint="eastAsia" w:eastAsia="宋体"/>
                <w:szCs w:val="20"/>
                <w:lang w:eastAsia="zh-CN"/>
              </w:rPr>
              <w:t xml:space="preserve">we still need to clarify </w:t>
            </w:r>
            <m:oMath>
              <m:d>
                <m:dPr>
                  <m:ctrlPr>
                    <w:rPr>
                      <w:rFonts w:ascii="Cambria Math" w:hAnsi="Cambria Math" w:eastAsia="Times New Roman"/>
                      <w:szCs w:val="20"/>
                      <w:lang w:eastAsia="en-GB"/>
                    </w:rPr>
                  </m:ctrlPr>
                </m:dPr>
                <m:e>
                  <m:sSub>
                    <m:sSubPr>
                      <m:ctrlPr>
                        <w:rPr>
                          <w:rFonts w:ascii="Cambria Math" w:hAnsi="Cambria Math" w:eastAsia="Times New Roman"/>
                          <w:szCs w:val="20"/>
                          <w:lang w:eastAsia="en-GB"/>
                        </w:rPr>
                      </m:ctrlPr>
                    </m:sSubPr>
                    <m:e>
                      <m:r>
                        <w:rPr>
                          <w:rFonts w:ascii="Cambria Math" w:hAnsi="Cambria Math" w:eastAsia="Times New Roman"/>
                          <w:szCs w:val="20"/>
                          <w:lang w:eastAsia="en-GB"/>
                        </w:rPr>
                        <m:t>X</m:t>
                      </m:r>
                      <m:ctrlPr>
                        <w:rPr>
                          <w:rFonts w:ascii="Cambria Math" w:hAnsi="Cambria Math" w:eastAsia="Times New Roman"/>
                          <w:szCs w:val="20"/>
                          <w:lang w:eastAsia="en-GB"/>
                        </w:rPr>
                      </m:ctrlPr>
                    </m:e>
                    <m:sub>
                      <m:r>
                        <w:rPr>
                          <w:rFonts w:ascii="Cambria Math" w:hAnsi="Cambria Math" w:eastAsia="Times New Roman"/>
                          <w:szCs w:val="20"/>
                          <w:lang w:eastAsia="en-GB"/>
                        </w:rPr>
                        <m:t>s</m:t>
                      </m:r>
                      <m:ctrlPr>
                        <w:rPr>
                          <w:rFonts w:ascii="Cambria Math" w:hAnsi="Cambria Math" w:eastAsia="Times New Roman"/>
                          <w:szCs w:val="20"/>
                          <w:lang w:eastAsia="en-GB"/>
                        </w:rPr>
                      </m:ctrlPr>
                    </m:sub>
                  </m:sSub>
                  <m:r>
                    <m:rPr>
                      <m:sty m:val="p"/>
                    </m:rPr>
                    <w:rPr>
                      <w:rFonts w:ascii="Cambria Math" w:hAnsi="Cambria Math" w:eastAsia="Times New Roman"/>
                      <w:szCs w:val="20"/>
                      <w:lang w:eastAsia="en-GB"/>
                    </w:rPr>
                    <m:t>,</m:t>
                  </m:r>
                  <m:sSub>
                    <m:sSubPr>
                      <m:ctrlPr>
                        <w:rPr>
                          <w:rFonts w:ascii="Cambria Math" w:hAnsi="Cambria Math" w:eastAsia="Times New Roman"/>
                          <w:szCs w:val="20"/>
                          <w:lang w:eastAsia="en-GB"/>
                        </w:rPr>
                      </m:ctrlPr>
                    </m:sSubPr>
                    <m:e>
                      <m:r>
                        <w:rPr>
                          <w:rFonts w:ascii="Cambria Math" w:hAnsi="Cambria Math" w:eastAsia="Times New Roman"/>
                          <w:szCs w:val="20"/>
                          <w:lang w:eastAsia="en-GB"/>
                        </w:rPr>
                        <m:t>Y</m:t>
                      </m:r>
                      <m:ctrlPr>
                        <w:rPr>
                          <w:rFonts w:ascii="Cambria Math" w:hAnsi="Cambria Math" w:eastAsia="Times New Roman"/>
                          <w:szCs w:val="20"/>
                          <w:lang w:eastAsia="en-GB"/>
                        </w:rPr>
                      </m:ctrlPr>
                    </m:e>
                    <m:sub>
                      <m:r>
                        <w:rPr>
                          <w:rFonts w:ascii="Cambria Math" w:hAnsi="Cambria Math" w:eastAsia="Times New Roman"/>
                          <w:szCs w:val="20"/>
                          <w:lang w:eastAsia="en-GB"/>
                        </w:rPr>
                        <m:t>s</m:t>
                      </m:r>
                      <m:ctrlPr>
                        <w:rPr>
                          <w:rFonts w:ascii="Cambria Math" w:hAnsi="Cambria Math" w:eastAsia="Times New Roman"/>
                          <w:szCs w:val="20"/>
                          <w:lang w:eastAsia="en-GB"/>
                        </w:rPr>
                      </m:ctrlPr>
                    </m:sub>
                  </m:sSub>
                  <m:ctrlPr>
                    <w:rPr>
                      <w:rFonts w:ascii="Cambria Math" w:hAnsi="Cambria Math" w:eastAsia="Times New Roman"/>
                      <w:szCs w:val="20"/>
                      <w:lang w:eastAsia="en-GB"/>
                    </w:rPr>
                  </m:ctrlPr>
                </m:e>
              </m:d>
              <m:r>
                <m:rPr>
                  <m:sty m:val="p"/>
                </m:rPr>
                <w:rPr>
                  <w:rFonts w:ascii="Cambria Math" w:hAnsi="Cambria Math" w:eastAsia="Times New Roman"/>
                  <w:szCs w:val="20"/>
                  <w:lang w:eastAsia="en-GB"/>
                </w:rPr>
                <m:t>=(8,1)</m:t>
              </m:r>
            </m:oMath>
            <w:r>
              <w:rPr>
                <w:rFonts w:eastAsia="Times New Roman"/>
                <w:szCs w:val="20"/>
                <w:lang w:eastAsia="en-GB"/>
              </w:rPr>
              <w:t xml:space="preserve"> for μ = 6</w:t>
            </w:r>
            <w:r>
              <w:rPr>
                <w:rFonts w:hint="eastAsia" w:eastAsia="宋体"/>
                <w:szCs w:val="20"/>
                <w:lang w:eastAsia="zh-CN"/>
              </w:rPr>
              <w:t xml:space="preserve"> if the UE is not provided </w:t>
            </w:r>
            <w:r>
              <w:rPr>
                <w:rFonts w:eastAsia="宋体"/>
                <w:i/>
                <w:szCs w:val="20"/>
              </w:rPr>
              <w:t>monitoringCapabilityConfig</w:t>
            </w:r>
            <w:r>
              <w:rPr>
                <w:rFonts w:hint="eastAsia" w:eastAsia="宋体"/>
                <w:szCs w:val="20"/>
                <w:lang w:eastAsia="zh-CN"/>
              </w:rPr>
              <w:t>.</w:t>
            </w:r>
            <w:r>
              <w:rPr>
                <w:rFonts w:hint="eastAsia"/>
                <w:lang w:eastAsia="zh-CN"/>
              </w:rPr>
              <w:t xml:space="preserve"> If Text Proposal A1-4.2b is supported, we need further clarify that in CONNECTED mode the UE will always be configured with </w:t>
            </w:r>
            <w:r>
              <w:rPr>
                <w:rFonts w:hint="eastAsia"/>
                <w:i/>
                <w:iCs/>
                <w:lang w:eastAsia="zh-CN"/>
              </w:rPr>
              <w:t>monitoringCapabilityConfig = r17monitoringcapability</w:t>
            </w:r>
            <w:r>
              <w:rPr>
                <w:rFonts w:hint="eastAsia"/>
                <w:lang w:eastAsia="zh-CN"/>
              </w:rPr>
              <w:t xml:space="preserve"> for 480/960 kHz.</w:t>
            </w:r>
          </w:p>
          <w:p>
            <w:pPr>
              <w:widowControl w:val="0"/>
              <w:rPr>
                <w:rFonts w:eastAsia="宋体"/>
                <w:lang w:eastAsia="zh-CN"/>
              </w:rPr>
            </w:pPr>
            <w:r>
              <w:rPr>
                <w:rFonts w:eastAsia="宋体"/>
                <w:highlight w:val="cyan"/>
                <w:lang w:eastAsia="zh-CN"/>
              </w:rPr>
              <w:t xml:space="preserve">Moderator: My intention was to achieve that clarification by indicating </w:t>
            </w:r>
            <w:r>
              <w:rPr>
                <w:i/>
                <w:iCs/>
                <w:highlight w:val="cyan"/>
              </w:rPr>
              <w:t>monitoringCapabilityConfig</w:t>
            </w:r>
            <w:r>
              <w:rPr>
                <w:highlight w:val="cyan"/>
              </w:rPr>
              <w:t xml:space="preserve"> as a mandatory field in the RRC sheet (See Proposal A1-4.3b, or -4.3c even more explicitly), will that be sufficient to resolve your concern?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 xml:space="preserve">After the agreement of A1-4.3b, our understanding is that proposal A1-4.2a or b only targets the operation before RRC connection. In such case, it would be fine only set a default combination for SCS 480kHz. therefore, A1-4.2b is preferred.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With moderator’s response to Huawei, we are ok with TP A1-4.2b (better to approve this with the mandatory field in RRC together to get a full solution).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LG Electronics</w:t>
            </w:r>
          </w:p>
        </w:tc>
        <w:tc>
          <w:tcPr>
            <w:tcW w:w="12176" w:type="dxa"/>
            <w:vAlign w:val="center"/>
          </w:tcPr>
          <w:p>
            <w:pPr>
              <w:widowControl w:val="0"/>
              <w:rPr>
                <w:lang w:eastAsia="zh-CN"/>
              </w:rPr>
            </w:pPr>
            <w:r>
              <w:rPr>
                <w:lang w:eastAsia="zh-CN"/>
              </w:rPr>
              <w:t xml:space="preserve">We support A1-4.2a. We share the view with ZTE that it is needed to </w:t>
            </w:r>
            <w:r>
              <w:rPr>
                <w:rFonts w:hint="eastAsia" w:eastAsia="宋体"/>
                <w:szCs w:val="20"/>
                <w:lang w:eastAsia="zh-CN"/>
              </w:rPr>
              <w:t xml:space="preserve">clarify </w:t>
            </w:r>
            <m:oMath>
              <m:d>
                <m:dPr>
                  <m:ctrlPr>
                    <w:rPr>
                      <w:rFonts w:ascii="Cambria Math" w:hAnsi="Cambria Math" w:eastAsia="Times New Roman"/>
                      <w:szCs w:val="20"/>
                      <w:lang w:eastAsia="en-GB"/>
                    </w:rPr>
                  </m:ctrlPr>
                </m:dPr>
                <m:e>
                  <m:sSub>
                    <m:sSubPr>
                      <m:ctrlPr>
                        <w:rPr>
                          <w:rFonts w:ascii="Cambria Math" w:hAnsi="Cambria Math" w:eastAsia="Times New Roman"/>
                          <w:szCs w:val="20"/>
                          <w:lang w:eastAsia="en-GB"/>
                        </w:rPr>
                      </m:ctrlPr>
                    </m:sSubPr>
                    <m:e>
                      <m:r>
                        <w:rPr>
                          <w:rFonts w:ascii="Cambria Math" w:hAnsi="Cambria Math" w:eastAsia="Times New Roman"/>
                          <w:szCs w:val="20"/>
                          <w:lang w:eastAsia="en-GB"/>
                        </w:rPr>
                        <m:t>X</m:t>
                      </m:r>
                      <m:ctrlPr>
                        <w:rPr>
                          <w:rFonts w:ascii="Cambria Math" w:hAnsi="Cambria Math" w:eastAsia="Times New Roman"/>
                          <w:szCs w:val="20"/>
                          <w:lang w:eastAsia="en-GB"/>
                        </w:rPr>
                      </m:ctrlPr>
                    </m:e>
                    <m:sub>
                      <m:r>
                        <w:rPr>
                          <w:rFonts w:ascii="Cambria Math" w:hAnsi="Cambria Math" w:eastAsia="Times New Roman"/>
                          <w:szCs w:val="20"/>
                          <w:lang w:eastAsia="en-GB"/>
                        </w:rPr>
                        <m:t>s</m:t>
                      </m:r>
                      <m:ctrlPr>
                        <w:rPr>
                          <w:rFonts w:ascii="Cambria Math" w:hAnsi="Cambria Math" w:eastAsia="Times New Roman"/>
                          <w:szCs w:val="20"/>
                          <w:lang w:eastAsia="en-GB"/>
                        </w:rPr>
                      </m:ctrlPr>
                    </m:sub>
                  </m:sSub>
                  <m:r>
                    <m:rPr>
                      <m:sty m:val="p"/>
                    </m:rPr>
                    <w:rPr>
                      <w:rFonts w:ascii="Cambria Math" w:hAnsi="Cambria Math" w:eastAsia="Times New Roman"/>
                      <w:szCs w:val="20"/>
                      <w:lang w:eastAsia="en-GB"/>
                    </w:rPr>
                    <m:t>,</m:t>
                  </m:r>
                  <m:sSub>
                    <m:sSubPr>
                      <m:ctrlPr>
                        <w:rPr>
                          <w:rFonts w:ascii="Cambria Math" w:hAnsi="Cambria Math" w:eastAsia="Times New Roman"/>
                          <w:szCs w:val="20"/>
                          <w:lang w:eastAsia="en-GB"/>
                        </w:rPr>
                      </m:ctrlPr>
                    </m:sSubPr>
                    <m:e>
                      <m:r>
                        <w:rPr>
                          <w:rFonts w:ascii="Cambria Math" w:hAnsi="Cambria Math" w:eastAsia="Times New Roman"/>
                          <w:szCs w:val="20"/>
                          <w:lang w:eastAsia="en-GB"/>
                        </w:rPr>
                        <m:t>Y</m:t>
                      </m:r>
                      <m:ctrlPr>
                        <w:rPr>
                          <w:rFonts w:ascii="Cambria Math" w:hAnsi="Cambria Math" w:eastAsia="Times New Roman"/>
                          <w:szCs w:val="20"/>
                          <w:lang w:eastAsia="en-GB"/>
                        </w:rPr>
                      </m:ctrlPr>
                    </m:e>
                    <m:sub>
                      <m:r>
                        <w:rPr>
                          <w:rFonts w:ascii="Cambria Math" w:hAnsi="Cambria Math" w:eastAsia="Times New Roman"/>
                          <w:szCs w:val="20"/>
                          <w:lang w:eastAsia="en-GB"/>
                        </w:rPr>
                        <m:t>s</m:t>
                      </m:r>
                      <m:ctrlPr>
                        <w:rPr>
                          <w:rFonts w:ascii="Cambria Math" w:hAnsi="Cambria Math" w:eastAsia="Times New Roman"/>
                          <w:szCs w:val="20"/>
                          <w:lang w:eastAsia="en-GB"/>
                        </w:rPr>
                      </m:ctrlPr>
                    </m:sub>
                  </m:sSub>
                  <m:ctrlPr>
                    <w:rPr>
                      <w:rFonts w:ascii="Cambria Math" w:hAnsi="Cambria Math" w:eastAsia="Times New Roman"/>
                      <w:szCs w:val="20"/>
                      <w:lang w:eastAsia="en-GB"/>
                    </w:rPr>
                  </m:ctrlPr>
                </m:e>
              </m:d>
              <m:r>
                <m:rPr>
                  <m:sty m:val="p"/>
                </m:rPr>
                <w:rPr>
                  <w:rFonts w:ascii="Cambria Math" w:hAnsi="Cambria Math" w:eastAsia="Times New Roman"/>
                  <w:szCs w:val="20"/>
                  <w:lang w:eastAsia="en-GB"/>
                </w:rPr>
                <m:t>=(8,1)</m:t>
              </m:r>
            </m:oMath>
            <w:r>
              <w:rPr>
                <w:rFonts w:eastAsia="Times New Roman"/>
                <w:szCs w:val="20"/>
                <w:lang w:eastAsia="en-GB"/>
              </w:rPr>
              <w:t xml:space="preserve"> for μ = 6</w:t>
            </w:r>
            <w:r>
              <w:rPr>
                <w:rFonts w:hint="eastAsia" w:eastAsia="宋体"/>
                <w:szCs w:val="20"/>
                <w:lang w:eastAsia="zh-CN"/>
              </w:rPr>
              <w:t xml:space="preserve"> if the UE is not provided </w:t>
            </w:r>
            <w:r>
              <w:rPr>
                <w:rFonts w:eastAsia="宋体"/>
                <w:i/>
                <w:szCs w:val="20"/>
              </w:rPr>
              <w:t>monitoringCapabilityConfig</w:t>
            </w:r>
            <w:r>
              <w:rPr>
                <w:rFonts w:hint="eastAsia" w:eastAsia="宋体"/>
                <w:szCs w:val="20"/>
                <w:lang w:eastAsia="zh-CN"/>
              </w:rPr>
              <w:t>.</w:t>
            </w:r>
            <w:r>
              <w:rPr>
                <w:rFonts w:hint="eastAsia"/>
                <w:lang w:eastAsia="zh-CN"/>
              </w:rPr>
              <w:t xml:space="preserve"> </w:t>
            </w:r>
          </w:p>
          <w:p>
            <w:pPr>
              <w:widowControl w:val="0"/>
              <w:rPr>
                <w:lang w:eastAsia="zh-CN"/>
              </w:rPr>
            </w:pPr>
            <w:r>
              <w:rPr>
                <w:lang w:eastAsia="zh-CN"/>
              </w:rPr>
              <w:t xml:space="preserve">Regarding vivo’s question in the first round discussion, we think that </w:t>
            </w:r>
            <w:r>
              <w:rPr>
                <w:rFonts w:eastAsia="宋体"/>
                <w:i/>
                <w:szCs w:val="20"/>
              </w:rPr>
              <w:t>monitoringCapabilityConfig</w:t>
            </w:r>
            <w:r>
              <w:rPr>
                <w:lang w:eastAsia="zh-CN"/>
              </w:rPr>
              <w:t xml:space="preserve"> can be optionally present if the default behavior is defined. In addition, we are not sure why the </w:t>
            </w:r>
            <w:r>
              <w:rPr>
                <w:i/>
                <w:lang w:eastAsia="zh-CN"/>
              </w:rPr>
              <w:t>monitoringCapabilityConfig</w:t>
            </w:r>
            <w:r>
              <w:rPr>
                <w:lang w:eastAsia="zh-CN"/>
              </w:rPr>
              <w:t xml:space="preserve"> needs to be written in 331 spec so that it is indicated as mandatory only for 480kHz and 960kHz. For SCSs other than 480/960kHz, this parameter is not specified to be indicated mandatorily by the network. Also, in our understanding, </w:t>
            </w:r>
            <w:r>
              <w:rPr>
                <w:i/>
                <w:lang w:eastAsia="zh-CN"/>
              </w:rPr>
              <w:t>r17monitoringcapability</w:t>
            </w:r>
            <w:r>
              <w:rPr>
                <w:lang w:eastAsia="zh-CN"/>
              </w:rPr>
              <w:t xml:space="preserve"> was introduced for the convenience of writing the specification, and there should be no additional impact from this in terms of multi-slot monitoring behavior.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lang w:eastAsia="zh-CN"/>
              </w:rPr>
            </w:pPr>
            <w:r>
              <w:rPr>
                <w:lang w:eastAsia="zh-CN"/>
              </w:rPr>
              <w:t>Moderator</w:t>
            </w:r>
          </w:p>
        </w:tc>
        <w:tc>
          <w:tcPr>
            <w:tcW w:w="12176" w:type="dxa"/>
            <w:shd w:val="clear" w:color="auto" w:fill="FFC000"/>
            <w:vAlign w:val="center"/>
          </w:tcPr>
          <w:p>
            <w:pPr>
              <w:widowControl w:val="0"/>
              <w:rPr>
                <w:lang w:eastAsia="zh-CN"/>
              </w:rPr>
            </w:pPr>
            <w:r>
              <w:rPr>
                <w:lang w:eastAsia="zh-CN"/>
              </w:rPr>
              <w:t>It seems there are still some diverging views whether it is necessary to cover µ=6 in the TP or not. I am closing this discussion and continue a new second round discussion merging the TP and RRC sheet discussion in sectin 2.1.4.4; please continue the discussion there.</w:t>
            </w:r>
          </w:p>
        </w:tc>
      </w:tr>
    </w:tbl>
    <w:p>
      <w:pPr>
        <w:rPr>
          <w:highlight w:val="yellow"/>
          <w:lang w:eastAsia="zh-CN"/>
        </w:rPr>
      </w:pPr>
    </w:p>
    <w:p>
      <w:pPr>
        <w:rPr>
          <w:lang w:eastAsia="zh-CN"/>
        </w:rPr>
      </w:pPr>
      <w:r>
        <w:rPr>
          <w:highlight w:val="yellow"/>
          <w:lang w:eastAsia="zh-CN"/>
        </w:rPr>
        <w:t>Also please comment on Proposal A1-4.3a (see above) or slightly modified Proposal A1-4.3b:</w:t>
      </w:r>
    </w:p>
    <w:p>
      <w:pPr>
        <w:tabs>
          <w:tab w:val="left" w:pos="1300"/>
        </w:tabs>
        <w:spacing w:after="0"/>
        <w:jc w:val="both"/>
        <w:rPr>
          <w:b/>
          <w:sz w:val="20"/>
          <w:szCs w:val="20"/>
        </w:rPr>
      </w:pPr>
      <w:r>
        <w:rPr>
          <w:b/>
          <w:sz w:val="20"/>
          <w:szCs w:val="20"/>
          <w:highlight w:val="yellow"/>
          <w:u w:val="single"/>
        </w:rPr>
        <w:t>Proposal A1-4.3b</w:t>
      </w:r>
      <w:r>
        <w:rPr>
          <w:b/>
          <w:sz w:val="20"/>
          <w:szCs w:val="20"/>
          <w:highlight w:val="yellow"/>
        </w:rPr>
        <w:t>:</w:t>
      </w:r>
    </w:p>
    <w:p>
      <w:pPr>
        <w:pStyle w:val="212"/>
        <w:numPr>
          <w:ilvl w:val="0"/>
          <w:numId w:val="0"/>
        </w:numPr>
        <w:tabs>
          <w:tab w:val="left" w:pos="0"/>
          <w:tab w:val="clear" w:pos="1304"/>
          <w:tab w:val="clear" w:pos="2722"/>
        </w:tabs>
        <w:spacing w:after="120"/>
        <w:rPr>
          <w:rFonts w:ascii="Times New Roman" w:hAnsi="Times New Roman" w:cs="Times New Roman"/>
          <w:b w:val="0"/>
          <w:bCs w:val="0"/>
        </w:rPr>
      </w:pPr>
      <w:r>
        <w:rPr>
          <w:rFonts w:ascii="Times New Roman" w:hAnsi="Times New Roman" w:cs="Times New Roman" w:eastAsiaTheme="minorEastAsia"/>
          <w:b w:val="0"/>
          <w:bCs w:val="0"/>
          <w:lang w:eastAsia="ja-JP"/>
        </w:rPr>
        <w:t xml:space="preserve">Capture the following </w:t>
      </w:r>
      <w:r>
        <w:rPr>
          <w:rFonts w:ascii="Times New Roman" w:hAnsi="Times New Roman" w:cs="Times New Roman" w:eastAsiaTheme="minorEastAsia"/>
          <w:b w:val="0"/>
          <w:bCs w:val="0"/>
          <w:color w:val="FF0000"/>
          <w:lang w:eastAsia="ja-JP"/>
        </w:rPr>
        <w:t xml:space="preserve">description </w:t>
      </w:r>
      <w:r>
        <w:rPr>
          <w:rFonts w:ascii="Times New Roman" w:hAnsi="Times New Roman" w:cs="Times New Roman" w:eastAsiaTheme="minorEastAsia"/>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r>
        <w:rPr>
          <w:b w:val="0"/>
          <w:bCs w:val="0"/>
          <w:i/>
          <w:iCs/>
          <w:color w:val="FF0000"/>
        </w:rPr>
        <w:t>monitoringCapabilityConfig</w:t>
      </w:r>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pPr>
        <w:pStyle w:val="88"/>
        <w:ind w:left="1304"/>
        <w:rPr>
          <w:b/>
          <w:bCs/>
          <w:i/>
          <w:iCs/>
        </w:rPr>
      </w:pPr>
      <w:r>
        <w:rPr>
          <w:b/>
          <w:bCs/>
          <w:i/>
          <w:iCs/>
        </w:rPr>
        <w:t>monitoringCapabilityConfig</w:t>
      </w:r>
    </w:p>
    <w:p>
      <w:pPr>
        <w:pStyle w:val="88"/>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the UE expects to be configured with </w:t>
      </w:r>
      <w:r>
        <w:rPr>
          <w:i/>
          <w:lang w:eastAsia="sv-SE"/>
        </w:rPr>
        <w:t>r17monitoringcapablity</w:t>
      </w:r>
      <w:r>
        <w:rPr>
          <w:lang w:eastAsia="sv-SE"/>
        </w:rPr>
        <w:t>.</w:t>
      </w:r>
    </w:p>
    <w:p>
      <w:pPr>
        <w:tabs>
          <w:tab w:val="left" w:pos="1300"/>
        </w:tabs>
        <w:spacing w:after="0"/>
        <w:jc w:val="both"/>
        <w:rPr>
          <w:b/>
          <w:sz w:val="20"/>
          <w:szCs w:val="20"/>
          <w:highlight w:val="yellow"/>
          <w:u w:val="single"/>
        </w:rPr>
      </w:pPr>
    </w:p>
    <w:p>
      <w:pPr>
        <w:tabs>
          <w:tab w:val="left" w:pos="1300"/>
        </w:tabs>
        <w:spacing w:after="0"/>
        <w:jc w:val="both"/>
        <w:rPr>
          <w:b/>
          <w:sz w:val="20"/>
          <w:szCs w:val="20"/>
        </w:rPr>
      </w:pPr>
      <w:r>
        <w:rPr>
          <w:b/>
          <w:sz w:val="20"/>
          <w:szCs w:val="20"/>
          <w:highlight w:val="yellow"/>
          <w:u w:val="single"/>
        </w:rPr>
        <w:t>Proposal A1-4.3c (new)</w:t>
      </w:r>
      <w:r>
        <w:rPr>
          <w:b/>
          <w:sz w:val="20"/>
          <w:szCs w:val="20"/>
          <w:highlight w:val="yellow"/>
        </w:rPr>
        <w:t>:</w:t>
      </w:r>
    </w:p>
    <w:p>
      <w:pPr>
        <w:pStyle w:val="212"/>
        <w:numPr>
          <w:ilvl w:val="0"/>
          <w:numId w:val="0"/>
        </w:numPr>
        <w:tabs>
          <w:tab w:val="left" w:pos="0"/>
          <w:tab w:val="clear" w:pos="1304"/>
          <w:tab w:val="clear" w:pos="2722"/>
        </w:tabs>
        <w:spacing w:after="120"/>
        <w:rPr>
          <w:rFonts w:ascii="Times New Roman" w:hAnsi="Times New Roman" w:cs="Times New Roman"/>
          <w:b w:val="0"/>
          <w:bCs w:val="0"/>
        </w:rPr>
      </w:pPr>
      <w:r>
        <w:rPr>
          <w:rFonts w:ascii="Times New Roman" w:hAnsi="Times New Roman" w:cs="Times New Roman" w:eastAsiaTheme="minorEastAsia"/>
          <w:b w:val="0"/>
          <w:bCs w:val="0"/>
          <w:lang w:eastAsia="ja-JP"/>
        </w:rPr>
        <w:t xml:space="preserve">Capture the following </w:t>
      </w:r>
      <w:r>
        <w:rPr>
          <w:rFonts w:ascii="Times New Roman" w:hAnsi="Times New Roman" w:cs="Times New Roman" w:eastAsiaTheme="minorEastAsia"/>
          <w:b w:val="0"/>
          <w:bCs w:val="0"/>
          <w:color w:val="FF0000"/>
          <w:lang w:eastAsia="ja-JP"/>
        </w:rPr>
        <w:t xml:space="preserve">description </w:t>
      </w:r>
      <w:r>
        <w:rPr>
          <w:rFonts w:ascii="Times New Roman" w:hAnsi="Times New Roman" w:cs="Times New Roman" w:eastAsiaTheme="minorEastAsia"/>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r>
        <w:rPr>
          <w:b w:val="0"/>
          <w:bCs w:val="0"/>
          <w:i/>
          <w:iCs/>
          <w:color w:val="FF0000"/>
        </w:rPr>
        <w:t>monitoringCapabilityConfig</w:t>
      </w:r>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pPr>
        <w:pStyle w:val="88"/>
        <w:ind w:left="1304"/>
        <w:rPr>
          <w:b/>
          <w:bCs/>
          <w:i/>
          <w:iCs/>
        </w:rPr>
      </w:pPr>
      <w:r>
        <w:rPr>
          <w:b/>
          <w:bCs/>
          <w:i/>
          <w:iCs/>
        </w:rPr>
        <w:t>monitoringCapabilityConfig</w:t>
      </w:r>
    </w:p>
    <w:p>
      <w:pPr>
        <w:pStyle w:val="88"/>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w:t>
      </w:r>
      <w:r>
        <w:rPr>
          <w:color w:val="FF0000"/>
          <w:lang w:eastAsia="sv-SE"/>
        </w:rPr>
        <w:t xml:space="preserve">network configures this field </w:t>
      </w:r>
      <w:r>
        <w:rPr>
          <w:lang w:eastAsia="sv-SE"/>
        </w:rPr>
        <w:t xml:space="preserve">with </w:t>
      </w:r>
      <w:r>
        <w:rPr>
          <w:i/>
          <w:lang w:eastAsia="sv-SE"/>
        </w:rPr>
        <w:t>r17monitoringcapablity</w:t>
      </w:r>
      <w:r>
        <w:rPr>
          <w:lang w:eastAsia="sv-SE"/>
        </w:rPr>
        <w:t>.</w:t>
      </w:r>
    </w:p>
    <w:p>
      <w:pPr>
        <w:autoSpaceDE/>
        <w:autoSpaceDN/>
        <w:adjustRightInd/>
        <w:snapToGrid/>
        <w:spacing w:after="0" w:line="240" w:lineRule="auto"/>
        <w:rPr>
          <w:bCs/>
          <w:lang w:eastAsia="zh-CN"/>
        </w:rPr>
      </w:pP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FFFF" w:themeFill="background1"/>
            <w:vAlign w:val="center"/>
          </w:tcPr>
          <w:p>
            <w:pPr>
              <w:widowControl w:val="0"/>
              <w:rPr>
                <w:lang w:eastAsia="zh-CN"/>
              </w:rPr>
            </w:pPr>
            <w:r>
              <w:rPr>
                <w:lang w:eastAsia="zh-CN"/>
              </w:rPr>
              <w:t>Huawei, HiSilicon</w:t>
            </w:r>
            <w:ins w:id="452" w:author="Keyvan2" w:date="2022-02-22T23:39:00Z">
              <w:r>
                <w:rPr>
                  <w:lang w:eastAsia="zh-CN"/>
                </w:rPr>
                <w:t xml:space="preserve"> </w:t>
              </w:r>
            </w:ins>
          </w:p>
        </w:tc>
        <w:tc>
          <w:tcPr>
            <w:tcW w:w="12176" w:type="dxa"/>
            <w:shd w:val="clear" w:color="auto" w:fill="FFFFFF" w:themeFill="background1"/>
            <w:vAlign w:val="center"/>
          </w:tcPr>
          <w:p>
            <w:pPr>
              <w:widowControl w:val="0"/>
              <w:rPr>
                <w:lang w:eastAsia="zh-CN"/>
              </w:rPr>
            </w:pPr>
            <w:r>
              <w:rPr>
                <w:lang w:eastAsia="zh-CN"/>
              </w:rPr>
              <w:t>Generally OK but “UE expects to be configured” is a RAN1 language and is never used in RRC parameters field description. RAN2 uses “Network configures”. We suggest the following:</w:t>
            </w:r>
          </w:p>
          <w:p>
            <w:pPr>
              <w:widowControl w:val="0"/>
              <w:tabs>
                <w:tab w:val="left" w:pos="1300"/>
              </w:tabs>
              <w:spacing w:after="0"/>
              <w:jc w:val="both"/>
              <w:rPr>
                <w:b/>
                <w:sz w:val="20"/>
                <w:szCs w:val="20"/>
              </w:rPr>
            </w:pPr>
            <w:r>
              <w:rPr>
                <w:b/>
                <w:sz w:val="20"/>
                <w:szCs w:val="20"/>
                <w:highlight w:val="yellow"/>
                <w:u w:val="single"/>
              </w:rPr>
              <w:t>Proposal A1-4.3b</w:t>
            </w:r>
            <w:r>
              <w:rPr>
                <w:b/>
                <w:sz w:val="20"/>
                <w:szCs w:val="20"/>
                <w:highlight w:val="yellow"/>
              </w:rPr>
              <w:t>:</w:t>
            </w:r>
            <w:r>
              <w:rPr>
                <w:b/>
                <w:sz w:val="20"/>
                <w:szCs w:val="20"/>
              </w:rPr>
              <w:t xml:space="preserve"> </w:t>
            </w:r>
            <w:r>
              <w:rPr>
                <w:b/>
                <w:sz w:val="20"/>
                <w:szCs w:val="20"/>
                <w:shd w:val="clear" w:color="auto" w:fill="00B0F0"/>
              </w:rPr>
              <w:t>(modified)</w:t>
            </w:r>
          </w:p>
          <w:p>
            <w:pPr>
              <w:pStyle w:val="212"/>
              <w:widowControl w:val="0"/>
              <w:numPr>
                <w:ilvl w:val="0"/>
                <w:numId w:val="0"/>
              </w:numPr>
              <w:tabs>
                <w:tab w:val="left" w:pos="0"/>
                <w:tab w:val="clear" w:pos="1304"/>
                <w:tab w:val="clear" w:pos="2722"/>
              </w:tabs>
              <w:spacing w:after="120"/>
              <w:rPr>
                <w:rFonts w:ascii="Times New Roman" w:hAnsi="Times New Roman" w:cs="Times New Roman"/>
                <w:b w:val="0"/>
                <w:bCs w:val="0"/>
              </w:rPr>
            </w:pPr>
            <w:r>
              <w:rPr>
                <w:rFonts w:ascii="Times New Roman" w:hAnsi="Times New Roman" w:cs="Times New Roman" w:eastAsiaTheme="minorEastAsia"/>
                <w:b w:val="0"/>
                <w:bCs w:val="0"/>
                <w:lang w:eastAsia="ja-JP"/>
              </w:rPr>
              <w:t xml:space="preserve">Capture the following </w:t>
            </w:r>
            <w:r>
              <w:rPr>
                <w:rFonts w:ascii="Times New Roman" w:hAnsi="Times New Roman" w:cs="Times New Roman" w:eastAsiaTheme="minorEastAsia"/>
                <w:b w:val="0"/>
                <w:bCs w:val="0"/>
                <w:color w:val="FF0000"/>
                <w:lang w:eastAsia="ja-JP"/>
              </w:rPr>
              <w:t xml:space="preserve">description </w:t>
            </w:r>
            <w:r>
              <w:rPr>
                <w:rFonts w:ascii="Times New Roman" w:hAnsi="Times New Roman" w:cs="Times New Roman" w:eastAsiaTheme="minorEastAsia"/>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r>
              <w:rPr>
                <w:b w:val="0"/>
                <w:bCs w:val="0"/>
                <w:i/>
                <w:iCs/>
                <w:color w:val="FF0000"/>
              </w:rPr>
              <w:t>monitoringCapabilityConfig</w:t>
            </w:r>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pPr>
              <w:pStyle w:val="88"/>
              <w:widowControl w:val="0"/>
              <w:ind w:left="1304"/>
              <w:rPr>
                <w:b/>
                <w:bCs/>
                <w:i/>
                <w:iCs/>
              </w:rPr>
            </w:pPr>
            <w:r>
              <w:rPr>
                <w:b/>
                <w:bCs/>
                <w:i/>
                <w:iCs/>
              </w:rPr>
              <w:t>monitoringCapabilityConfig</w:t>
            </w:r>
          </w:p>
          <w:p>
            <w:pPr>
              <w:pStyle w:val="88"/>
              <w:widowControl w:val="0"/>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w:t>
            </w:r>
            <w:r>
              <w:rPr>
                <w:strike/>
                <w:shd w:val="clear" w:color="auto" w:fill="00B0F0"/>
                <w:lang w:eastAsia="sv-SE"/>
              </w:rPr>
              <w:t>the UE expects to be configured</w:t>
            </w:r>
            <w:r>
              <w:rPr>
                <w:shd w:val="clear" w:color="auto" w:fill="00B0F0"/>
                <w:lang w:eastAsia="sv-SE"/>
              </w:rPr>
              <w:t xml:space="preserve"> network configures this field</w:t>
            </w:r>
            <w:r>
              <w:rPr>
                <w:lang w:eastAsia="sv-SE"/>
              </w:rPr>
              <w:t xml:space="preserve"> with </w:t>
            </w:r>
            <w:r>
              <w:rPr>
                <w:i/>
                <w:lang w:eastAsia="sv-SE"/>
              </w:rPr>
              <w:t>r17monitoringcapablity</w:t>
            </w:r>
            <w:r>
              <w:rPr>
                <w:lang w:eastAsia="sv-SE"/>
              </w:rPr>
              <w:t>.</w:t>
            </w:r>
          </w:p>
          <w:p>
            <w:pPr>
              <w:widowControl w:val="0"/>
              <w:rPr>
                <w:lang w:eastAsia="zh-CN"/>
              </w:rPr>
            </w:pPr>
          </w:p>
          <w:p>
            <w:pPr>
              <w:widowControl w:val="0"/>
              <w:rPr>
                <w:lang w:eastAsia="zh-CN"/>
              </w:rPr>
            </w:pPr>
            <w:r>
              <w:rPr>
                <w:rFonts w:eastAsia="宋体"/>
                <w:highlight w:val="cyan"/>
                <w:lang w:eastAsia="zh-CN"/>
              </w:rPr>
              <w:t xml:space="preserve">Moderator: I added your suggestion as </w:t>
            </w:r>
            <w:r>
              <w:rPr>
                <w:highlight w:val="cyan"/>
              </w:rPr>
              <w:t>Proposal A1-4.3c above.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lang w:eastAsia="zh-CN"/>
              </w:rPr>
              <w:t xml:space="preserve">Proposal A1-4.3b is related to Text Proposal A1-4.2a and Text Proposal A1-4.2b. </w:t>
            </w:r>
          </w:p>
          <w:p>
            <w:pPr>
              <w:widowControl w:val="0"/>
              <w:rPr>
                <w:lang w:eastAsia="zh-CN"/>
              </w:rPr>
            </w:pPr>
            <w:r>
              <w:rPr>
                <w:rFonts w:hint="eastAsia"/>
                <w:lang w:eastAsia="zh-CN"/>
              </w:rPr>
              <w:t>If Text Proposal A1-4.2a is approved, we prefer the Lenovo</w:t>
            </w:r>
            <w:r>
              <w:rPr>
                <w:lang w:eastAsia="zh-CN"/>
              </w:rPr>
              <w:t>’</w:t>
            </w:r>
            <w:r>
              <w:rPr>
                <w:rFonts w:hint="eastAsia"/>
                <w:lang w:eastAsia="zh-CN"/>
              </w:rPr>
              <w:t>s comment in the first round discussion:</w:t>
            </w:r>
          </w:p>
          <w:p>
            <w:pPr>
              <w:pStyle w:val="88"/>
              <w:widowControl w:val="0"/>
              <w:ind w:left="1304"/>
              <w:rPr>
                <w:b/>
                <w:bCs/>
                <w:i/>
                <w:iCs/>
              </w:rPr>
            </w:pPr>
            <w:r>
              <w:rPr>
                <w:b/>
                <w:bCs/>
                <w:i/>
                <w:iCs/>
              </w:rPr>
              <w:t>monitoringCapabilityConfig</w:t>
            </w:r>
          </w:p>
          <w:p>
            <w:pPr>
              <w:pStyle w:val="88"/>
              <w:widowControl w:val="0"/>
              <w:ind w:left="1304"/>
              <w:rPr>
                <w:b/>
                <w:bCs/>
                <w:i/>
                <w:iCs/>
                <w:color w:val="FF0000"/>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t>
            </w:r>
            <w:r>
              <w:rPr>
                <w:rFonts w:hint="eastAsia"/>
                <w:color w:val="FF0000"/>
                <w:lang w:eastAsia="sv-SE"/>
              </w:rPr>
              <w:t>When present, a UE configured with 480 kHz or 960 kHz SCS expects to be configured with r17monitoringcapablity.</w:t>
            </w:r>
            <w:r>
              <w:rPr>
                <w:strike/>
                <w:color w:val="FF0000"/>
                <w:lang w:eastAsia="sv-SE"/>
              </w:rPr>
              <w:t xml:space="preserve">For a BWP with SCS configured as 480 or 960 kHz, the UE expects to be configured with </w:t>
            </w:r>
            <w:r>
              <w:rPr>
                <w:i/>
                <w:strike/>
                <w:color w:val="FF0000"/>
                <w:lang w:eastAsia="sv-SE"/>
              </w:rPr>
              <w:t>r17monitoringcapablity</w:t>
            </w:r>
            <w:r>
              <w:rPr>
                <w:strike/>
                <w:color w:val="FF0000"/>
                <w:lang w:eastAsia="sv-SE"/>
              </w:rPr>
              <w:t>.</w:t>
            </w:r>
          </w:p>
          <w:p>
            <w:pPr>
              <w:widowControl w:val="0"/>
              <w:rPr>
                <w:lang w:eastAsia="zh-CN"/>
              </w:rPr>
            </w:pPr>
            <w:r>
              <w:rPr>
                <w:rFonts w:hint="eastAsia"/>
                <w:lang w:eastAsia="zh-CN"/>
              </w:rPr>
              <w:t>If Text Proposal A1-4.2b is approved, we do think Proposal A1-4.3b or Proposal A1-4.3b modified by Huawei should be supported.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We are fine with A1-4.3c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LG Electronics</w:t>
            </w:r>
          </w:p>
        </w:tc>
        <w:tc>
          <w:tcPr>
            <w:tcW w:w="12176" w:type="dxa"/>
            <w:vAlign w:val="center"/>
          </w:tcPr>
          <w:p>
            <w:pPr>
              <w:widowControl w:val="0"/>
              <w:rPr>
                <w:lang w:eastAsia="zh-CN"/>
              </w:rPr>
            </w:pPr>
            <w:r>
              <w:rPr>
                <w:lang w:eastAsia="zh-CN"/>
              </w:rPr>
              <w:t>We prefer A1-4.3a or Lenovo's comments in the first round discussion, as captured by ZTE above.</w:t>
            </w:r>
          </w:p>
          <w:p>
            <w:pPr>
              <w:widowControl w:val="0"/>
              <w:rPr>
                <w:lang w:eastAsia="zh-CN"/>
              </w:rPr>
            </w:pPr>
            <w:r>
              <w:rPr>
                <w:lang w:eastAsia="zh-CN"/>
              </w:rPr>
              <w:t xml:space="preserve">We cannot accept A1-4.3c since we do not understand why </w:t>
            </w:r>
            <w:r>
              <w:rPr>
                <w:i/>
                <w:lang w:eastAsia="zh-CN"/>
              </w:rPr>
              <w:t>monitoringCapabilityConfig</w:t>
            </w:r>
            <w:r>
              <w:rPr>
                <w:lang w:eastAsia="zh-CN"/>
              </w:rPr>
              <w:t xml:space="preserve"> needs to be written in 331 spec so that it is indicated as mandatory ONLY for 480kHz and 960kHz. For SCSs other than 480/960kHz, this parameter is not specified to be indicated mandatorily by the network. We think that </w:t>
            </w:r>
            <w:r>
              <w:rPr>
                <w:rFonts w:eastAsia="宋体"/>
                <w:i/>
                <w:szCs w:val="20"/>
              </w:rPr>
              <w:t>monitoringCapabilityConfig</w:t>
            </w:r>
            <w:r>
              <w:rPr>
                <w:lang w:eastAsia="zh-CN"/>
              </w:rPr>
              <w:t xml:space="preserve"> can be optionally present if the default behavior is defined.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lang w:eastAsia="zh-CN"/>
              </w:rPr>
            </w:pPr>
            <w:r>
              <w:rPr>
                <w:lang w:eastAsia="zh-CN"/>
              </w:rPr>
              <w:t>Moderator</w:t>
            </w:r>
          </w:p>
        </w:tc>
        <w:tc>
          <w:tcPr>
            <w:tcW w:w="12176" w:type="dxa"/>
            <w:shd w:val="clear" w:color="auto" w:fill="FFC000"/>
            <w:vAlign w:val="center"/>
          </w:tcPr>
          <w:p>
            <w:pPr>
              <w:widowControl w:val="0"/>
              <w:rPr>
                <w:lang w:eastAsia="zh-CN"/>
              </w:rPr>
            </w:pPr>
            <w:r>
              <w:rPr>
                <w:lang w:eastAsia="zh-CN"/>
              </w:rPr>
              <w:t>It seems there are still some diverging views whether it is necessary to cover µ=6 in the TP or not. I am closing this discussion and continue a new second round discussion merging the TP and RRC sheet discussion in sectin 2.1.4.4; please continue the discussion there.</w:t>
            </w:r>
          </w:p>
        </w:tc>
      </w:tr>
    </w:tbl>
    <w:p>
      <w:pPr>
        <w:autoSpaceDE/>
        <w:autoSpaceDN/>
        <w:adjustRightInd/>
        <w:snapToGrid/>
        <w:spacing w:after="0" w:line="240" w:lineRule="auto"/>
        <w:rPr>
          <w:lang w:eastAsia="zh-CN"/>
        </w:rPr>
      </w:pPr>
    </w:p>
    <w:p>
      <w:pPr>
        <w:pStyle w:val="5"/>
        <w:rPr>
          <w:highlight w:val="yellow"/>
        </w:rPr>
      </w:pPr>
      <w:r>
        <w:rPr>
          <w:highlight w:val="yellow"/>
        </w:rPr>
        <w:t xml:space="preserve">NEW Second round discussion  </w:t>
      </w:r>
    </w:p>
    <w:p>
      <w:pPr>
        <w:rPr>
          <w:bCs/>
          <w:lang w:val="en-GB" w:eastAsia="zh-CN"/>
        </w:rPr>
      </w:pPr>
      <w:r>
        <w:rPr>
          <w:bCs/>
          <w:lang w:val="en-GB" w:eastAsia="zh-CN"/>
        </w:rPr>
        <w:t>This discussion merges the TP and RRC sheet discussion from 2.1.4.3.</w:t>
      </w:r>
    </w:p>
    <w:p>
      <w:pPr>
        <w:rPr>
          <w:bCs/>
          <w:lang w:val="en-GB" w:eastAsia="zh-CN"/>
        </w:rPr>
      </w:pPr>
    </w:p>
    <w:p>
      <w:pPr>
        <w:rPr>
          <w:bCs/>
          <w:sz w:val="20"/>
          <w:szCs w:val="20"/>
        </w:rPr>
      </w:pPr>
      <w:r>
        <w:rPr>
          <w:b/>
          <w:sz w:val="20"/>
          <w:szCs w:val="20"/>
          <w:highlight w:val="yellow"/>
          <w:u w:val="single"/>
        </w:rPr>
        <w:t>Proposal A1-4.4a</w:t>
      </w:r>
      <w:r>
        <w:rPr>
          <w:b/>
          <w:sz w:val="20"/>
          <w:szCs w:val="20"/>
        </w:rPr>
        <w:t xml:space="preserve"> </w:t>
      </w:r>
      <w:r>
        <w:rPr>
          <w:bCs/>
          <w:sz w:val="20"/>
          <w:szCs w:val="20"/>
        </w:rPr>
        <w:t>(combining Text Proposal A1-4.2b and a mash-up of Proposal A1-4.3a/-4.3c)</w:t>
      </w:r>
    </w:p>
    <w:p>
      <w:pPr>
        <w:pStyle w:val="82"/>
        <w:numPr>
          <w:ilvl w:val="0"/>
          <w:numId w:val="26"/>
        </w:numPr>
        <w:rPr>
          <w:bCs/>
        </w:rPr>
      </w:pPr>
      <w:r>
        <w:rPr>
          <w:bCs/>
        </w:rPr>
        <w:t>Change TS 38.213 Clause 10 as follows:</w:t>
      </w:r>
    </w:p>
    <w:tbl>
      <w:tblPr>
        <w:tblStyle w:val="55"/>
        <w:tblW w:w="13944" w:type="dxa"/>
        <w:tblInd w:w="73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9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44" w:type="dxa"/>
            <w:vAlign w:val="center"/>
          </w:tcPr>
          <w:p>
            <w:pPr>
              <w:widowControl w:val="0"/>
              <w:rPr>
                <w:rFonts w:eastAsia="宋体"/>
                <w:szCs w:val="20"/>
              </w:rPr>
            </w:pPr>
            <w:r>
              <w:rPr>
                <w:rFonts w:eastAsia="宋体"/>
                <w:szCs w:val="20"/>
              </w:rPr>
              <w:t xml:space="preserve">If a UE is provided </w:t>
            </w:r>
            <w:r>
              <w:rPr>
                <w:rFonts w:eastAsia="宋体"/>
                <w:i/>
                <w:szCs w:val="20"/>
              </w:rPr>
              <w:t>monitoringCapabilityConfig</w:t>
            </w:r>
            <w:r>
              <w:rPr>
                <w:rFonts w:eastAsia="宋体"/>
                <w:szCs w:val="20"/>
              </w:rPr>
              <w:t xml:space="preserve"> for a</w:t>
            </w:r>
            <w:ins w:id="453" w:author="Alexander Golitschek" w:date="2022-02-20T19:09:00Z">
              <w:r>
                <w:rPr>
                  <w:rFonts w:eastAsia="宋体"/>
                  <w:szCs w:val="20"/>
                </w:rPr>
                <w:t>n active DL BWP of a</w:t>
              </w:r>
            </w:ins>
            <w:r>
              <w:rPr>
                <w:rFonts w:eastAsia="宋体"/>
                <w:szCs w:val="20"/>
              </w:rPr>
              <w:t xml:space="preserve"> serving cell, the UE obtains an indication to monitor PDCCH on </w:t>
            </w:r>
            <w:ins w:id="454" w:author="Alexander Golitschek" w:date="2022-02-20T19:12:00Z">
              <w:r>
                <w:rPr>
                  <w:rFonts w:eastAsia="宋体"/>
                  <w:szCs w:val="20"/>
                </w:rPr>
                <w:t xml:space="preserve">the active DL BWP of </w:t>
              </w:r>
            </w:ins>
            <w:r>
              <w:rPr>
                <w:rFonts w:eastAsia="宋体"/>
                <w:szCs w:val="20"/>
              </w:rPr>
              <w:t xml:space="preserve">the serving cell for a maximum number of PDCCH candidates and non-overlapping CCEs </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slot, as in Tables 10.1-2 and 10.1-3,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r15monitoringcapability</w:t>
            </w:r>
            <w:r>
              <w:rPr>
                <w:rFonts w:eastAsia="宋体"/>
              </w:rPr>
              <w:t xml:space="preserve">, </w:t>
            </w:r>
            <w:r>
              <w:rPr>
                <w:rFonts w:eastAsia="宋体"/>
                <w:szCs w:val="20"/>
              </w:rPr>
              <w:t xml:space="preserve">or </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span, as in Tables 10.1-2A and 10.1-3A,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r16monitoringcapability</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group </w:t>
            </w:r>
            <w:r>
              <w:rPr>
                <w:rFonts w:eastAsia="宋体"/>
                <w:szCs w:val="20"/>
                <w:lang w:eastAsia="zh-CN"/>
              </w:rPr>
              <w:t xml:space="preserve">of </w:t>
            </w:r>
            <m:oMath>
              <m:sSub>
                <m:sSubPr>
                  <m:ctrlPr>
                    <w:rPr>
                      <w:rFonts w:ascii="Cambria Math" w:hAnsi="Cambria Math" w:eastAsia="宋体"/>
                      <w:i/>
                      <w:szCs w:val="20"/>
                      <w:lang w:val="zh-CN" w:eastAsia="zh-CN"/>
                    </w:rPr>
                  </m:ctrlPr>
                </m:sSubPr>
                <m:e>
                  <m:r>
                    <w:rPr>
                      <w:rFonts w:ascii="Cambria Math" w:hAnsi="Cambria Math" w:eastAsia="宋体"/>
                      <w:szCs w:val="20"/>
                      <w:lang w:val="zh-CN" w:eastAsia="zh-CN"/>
                    </w:rPr>
                    <m:t>X</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oMath>
            <w:r>
              <w:rPr>
                <w:rFonts w:eastAsia="宋体"/>
                <w:szCs w:val="20"/>
                <w:lang w:eastAsia="zh-CN"/>
              </w:rPr>
              <w:t xml:space="preserve"> slots</w:t>
            </w:r>
            <w:r>
              <w:rPr>
                <w:rFonts w:eastAsia="宋体"/>
                <w:szCs w:val="20"/>
              </w:rPr>
              <w:t xml:space="preserve"> </w:t>
            </w:r>
            <w:r>
              <w:rPr>
                <w:rFonts w:eastAsia="宋体"/>
                <w:szCs w:val="20"/>
                <w:lang w:eastAsia="zh-CN"/>
              </w:rPr>
              <w:t xml:space="preserve">according to combination </w:t>
            </w:r>
            <m:oMath>
              <m:d>
                <m:dPr>
                  <m:ctrlPr>
                    <w:rPr>
                      <w:rFonts w:ascii="Cambria Math" w:hAnsi="Cambria Math" w:eastAsia="宋体"/>
                      <w:szCs w:val="20"/>
                      <w:lang w:val="zh-CN" w:eastAsia="zh-CN"/>
                    </w:rPr>
                  </m:ctrlPr>
                </m:dPr>
                <m:e>
                  <m:sSub>
                    <m:sSubPr>
                      <m:ctrlPr>
                        <w:rPr>
                          <w:rFonts w:ascii="Cambria Math" w:hAnsi="Cambria Math" w:eastAsia="宋体"/>
                          <w:i/>
                          <w:szCs w:val="20"/>
                          <w:lang w:val="zh-CN" w:eastAsia="zh-CN"/>
                        </w:rPr>
                      </m:ctrlPr>
                    </m:sSubPr>
                    <m:e>
                      <m:r>
                        <w:rPr>
                          <w:rFonts w:ascii="Cambria Math" w:hAnsi="Cambria Math" w:eastAsia="宋体"/>
                          <w:szCs w:val="20"/>
                          <w:lang w:val="zh-CN" w:eastAsia="zh-CN"/>
                        </w:rPr>
                        <m:t>X</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r>
                    <w:rPr>
                      <w:rFonts w:ascii="Cambria Math" w:hAnsi="Cambria Math" w:eastAsia="宋体"/>
                      <w:szCs w:val="20"/>
                      <w:lang w:eastAsia="zh-CN"/>
                    </w:rPr>
                    <m:t>,</m:t>
                  </m:r>
                  <m:sSub>
                    <m:sSubPr>
                      <m:ctrlPr>
                        <w:rPr>
                          <w:rFonts w:ascii="Cambria Math" w:hAnsi="Cambria Math" w:eastAsia="宋体"/>
                          <w:i/>
                          <w:szCs w:val="20"/>
                          <w:lang w:val="zh-CN" w:eastAsia="zh-CN"/>
                        </w:rPr>
                      </m:ctrlPr>
                    </m:sSubPr>
                    <m:e>
                      <m:r>
                        <w:rPr>
                          <w:rFonts w:ascii="Cambria Math" w:hAnsi="Cambria Math" w:eastAsia="宋体"/>
                          <w:szCs w:val="20"/>
                          <w:lang w:val="zh-CN" w:eastAsia="zh-CN"/>
                        </w:rPr>
                        <m:t>Y</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ctrlPr>
                    <w:rPr>
                      <w:rFonts w:ascii="Cambria Math" w:hAnsi="Cambria Math" w:eastAsia="宋体"/>
                      <w:szCs w:val="20"/>
                      <w:lang w:val="zh-CN" w:eastAsia="zh-CN"/>
                    </w:rPr>
                  </m:ctrlPr>
                </m:e>
              </m:d>
            </m:oMath>
            <w:r>
              <w:rPr>
                <w:rFonts w:eastAsia="宋体"/>
                <w:szCs w:val="20"/>
              </w:rPr>
              <w:t xml:space="preserve">, as in Tables 10.1-2B and 10.1-3B,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r17monitoringcapability</w:t>
            </w:r>
          </w:p>
          <w:p>
            <w:pPr>
              <w:widowControl w:val="0"/>
              <w:spacing w:after="180" w:line="240" w:lineRule="auto"/>
              <w:rPr>
                <w:rFonts w:eastAsia="宋体"/>
                <w:szCs w:val="20"/>
                <w:lang w:eastAsia="zh-CN"/>
              </w:rPr>
            </w:pPr>
            <w:r>
              <w:rPr>
                <w:rFonts w:eastAsia="宋体"/>
                <w:szCs w:val="20"/>
              </w:rPr>
              <w:t xml:space="preserve">If the UE is not provided </w:t>
            </w:r>
            <w:r>
              <w:rPr>
                <w:rFonts w:eastAsia="宋体"/>
                <w:i/>
                <w:szCs w:val="20"/>
              </w:rPr>
              <w:t>monitoringCapabilityConfig</w:t>
            </w:r>
            <w:ins w:id="455" w:author="Alexander Golitschek" w:date="2022-02-20T19:32:00Z">
              <w:r>
                <w:rPr>
                  <w:rFonts w:eastAsia="Times New Roman"/>
                  <w:szCs w:val="20"/>
                  <w:lang w:eastAsia="en-GB"/>
                </w:rPr>
                <w:t xml:space="preserve"> f</w:t>
              </w:r>
            </w:ins>
            <w:ins w:id="456" w:author="Alexander Golitschek" w:date="2022-02-20T19:32:00Z">
              <w:r>
                <w:rPr>
                  <w:rFonts w:eastAsia="Times New Roman"/>
                  <w:szCs w:val="20"/>
                  <w:lang w:val="en-GB" w:eastAsia="en-GB"/>
                </w:rPr>
                <w:t xml:space="preserve">or μ </w:t>
              </w:r>
            </w:ins>
            <w:ins w:id="457" w:author="Alexander Golitschek" w:date="2022-02-20T19:32:00Z">
              <w:r>
                <w:rPr>
                  <w:rFonts w:ascii="Cambria Math" w:hAnsi="Cambria Math" w:eastAsia="Times New Roman" w:cs="Cambria Math"/>
                  <w:szCs w:val="20"/>
                  <w:lang w:val="en-GB" w:eastAsia="en-GB"/>
                </w:rPr>
                <w:t>∈</w:t>
              </w:r>
            </w:ins>
            <w:ins w:id="458" w:author="Alexander Golitschek" w:date="2022-02-20T19:32:00Z">
              <w:r>
                <w:rPr>
                  <w:rFonts w:eastAsia="Times New Roman"/>
                  <w:szCs w:val="20"/>
                  <w:lang w:val="en-GB" w:eastAsia="en-GB"/>
                </w:rPr>
                <w:t xml:space="preserve"> {0,1,2,3}</w:t>
              </w:r>
            </w:ins>
            <w:r>
              <w:rPr>
                <w:rFonts w:eastAsia="宋体"/>
                <w:szCs w:val="20"/>
              </w:rPr>
              <w:t xml:space="preserve">, the UE monitors PDCCH on the </w:t>
            </w:r>
            <w:ins w:id="459" w:author="Alexander Golitschek" w:date="2022-02-20T19:14:00Z">
              <w:r>
                <w:rPr>
                  <w:rFonts w:eastAsia="Times New Roman"/>
                  <w:szCs w:val="20"/>
                  <w:lang w:eastAsia="en-GB"/>
                </w:rPr>
                <w:t>active DL BWP of a</w:t>
              </w:r>
            </w:ins>
            <w:ins w:id="460" w:author="Alexander Golitschek" w:date="2022-02-20T19:14:00Z">
              <w:r>
                <w:rPr>
                  <w:rFonts w:eastAsia="宋体"/>
                  <w:szCs w:val="20"/>
                </w:rPr>
                <w:t xml:space="preserve"> </w:t>
              </w:r>
            </w:ins>
            <w:r>
              <w:rPr>
                <w:rFonts w:eastAsia="宋体"/>
                <w:szCs w:val="20"/>
              </w:rPr>
              <w:t xml:space="preserve">serving cell for a maximum number of PDCCH candidates and non-overlapping CCEs per slot. </w:t>
            </w:r>
          </w:p>
          <w:p>
            <w:pPr>
              <w:widowControl w:val="0"/>
              <w:spacing w:after="180" w:line="240" w:lineRule="auto"/>
              <w:rPr>
                <w:rFonts w:eastAsia="Times New Roman"/>
                <w:szCs w:val="20"/>
                <w:lang w:eastAsia="en-GB"/>
              </w:rPr>
            </w:pPr>
            <w:ins w:id="461" w:author="Alexander Golitschek" w:date="2022-02-20T19:32:00Z">
              <w:r>
                <w:rPr>
                  <w:rFonts w:eastAsia="Times New Roman"/>
                  <w:szCs w:val="20"/>
                  <w:lang w:eastAsia="en-GB"/>
                </w:rPr>
                <w:t>I</w:t>
              </w:r>
            </w:ins>
            <w:ins w:id="462" w:author="Alexander Golitschek" w:date="2022-02-20T18:58:00Z">
              <w:r>
                <w:rPr>
                  <w:rFonts w:eastAsia="Times New Roman"/>
                  <w:szCs w:val="20"/>
                  <w:lang w:eastAsia="en-GB"/>
                </w:rPr>
                <w:t xml:space="preserve">f the UE is not provided </w:t>
              </w:r>
            </w:ins>
            <w:ins w:id="463" w:author="Alexander Golitschek" w:date="2022-02-20T18:58:00Z">
              <w:r>
                <w:rPr>
                  <w:rFonts w:eastAsia="Times New Roman"/>
                  <w:i/>
                  <w:iCs/>
                  <w:szCs w:val="20"/>
                  <w:lang w:eastAsia="en-GB"/>
                </w:rPr>
                <w:t>monitoringCapabilityConfig</w:t>
              </w:r>
            </w:ins>
            <w:ins w:id="464" w:author="Alexander Golitschek" w:date="2022-02-20T19:32:00Z">
              <w:r>
                <w:rPr>
                  <w:rFonts w:eastAsia="Times New Roman"/>
                  <w:szCs w:val="20"/>
                  <w:lang w:eastAsia="en-GB"/>
                </w:rPr>
                <w:t xml:space="preserve"> for μ </w:t>
              </w:r>
            </w:ins>
            <w:ins w:id="465" w:author="Alexander Golitschek" w:date="2022-02-23T00:48:00Z">
              <w:r>
                <w:rPr>
                  <w:rFonts w:ascii="Cambria Math" w:hAnsi="Cambria Math" w:eastAsia="Times New Roman" w:cs="Cambria Math"/>
                  <w:szCs w:val="20"/>
                  <w:lang w:eastAsia="en-GB"/>
                </w:rPr>
                <w:t xml:space="preserve">= </w:t>
              </w:r>
            </w:ins>
            <w:ins w:id="466" w:author="Alexander Golitschek" w:date="2022-02-20T19:32:00Z">
              <w:r>
                <w:rPr>
                  <w:rFonts w:eastAsia="Times New Roman"/>
                  <w:szCs w:val="20"/>
                  <w:lang w:eastAsia="en-GB"/>
                </w:rPr>
                <w:t xml:space="preserve">5, </w:t>
              </w:r>
            </w:ins>
            <w:ins w:id="467" w:author="Alexander Golitschek" w:date="2022-02-20T18:58:00Z">
              <w:r>
                <w:rPr>
                  <w:rFonts w:eastAsia="Times New Roman"/>
                  <w:szCs w:val="20"/>
                  <w:lang w:eastAsia="en-GB"/>
                </w:rPr>
                <w:t xml:space="preserve">the UE monitors PDCCH on the </w:t>
              </w:r>
            </w:ins>
            <w:ins w:id="468" w:author="Alexander Golitschek" w:date="2022-02-20T19:13:00Z">
              <w:r>
                <w:rPr>
                  <w:rFonts w:eastAsia="Times New Roman"/>
                  <w:szCs w:val="20"/>
                  <w:lang w:eastAsia="en-GB"/>
                </w:rPr>
                <w:t xml:space="preserve">active DL BWP of a </w:t>
              </w:r>
            </w:ins>
            <w:ins w:id="469"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470" w:author="Alexander Golitschek" w:date="2022-02-20T18:58:00Z">
                      <w:rPr>
                        <w:rFonts w:ascii="Cambria Math" w:hAnsi="Cambria Math" w:eastAsia="Times New Roman"/>
                        <w:szCs w:val="20"/>
                        <w:lang w:eastAsia="en-GB"/>
                      </w:rPr>
                    </w:ins>
                  </m:ctrlPr>
                </m:sSubPr>
                <m:e>
                  <w:ins w:id="471" w:author="Alexander Golitschek" w:date="2022-02-20T18:58:00Z">
                    <m:r>
                      <w:rPr>
                        <w:rFonts w:ascii="Cambria Math" w:hAnsi="Cambria Math" w:eastAsia="Times New Roman"/>
                        <w:szCs w:val="20"/>
                        <w:lang w:eastAsia="en-GB"/>
                      </w:rPr>
                      <m:t>X</m:t>
                    </m:r>
                  </w:ins>
                  <m:ctrlPr>
                    <w:ins w:id="472" w:author="Alexander Golitschek" w:date="2022-02-20T18:58:00Z">
                      <w:rPr>
                        <w:rFonts w:ascii="Cambria Math" w:hAnsi="Cambria Math" w:eastAsia="Times New Roman"/>
                        <w:szCs w:val="20"/>
                        <w:lang w:eastAsia="en-GB"/>
                      </w:rPr>
                    </w:ins>
                  </m:ctrlPr>
                </m:e>
                <m:sub>
                  <w:ins w:id="473" w:author="Alexander Golitschek" w:date="2022-02-20T18:58:00Z">
                    <m:r>
                      <w:rPr>
                        <w:rFonts w:ascii="Cambria Math" w:hAnsi="Cambria Math" w:eastAsia="Times New Roman"/>
                        <w:szCs w:val="20"/>
                        <w:lang w:eastAsia="en-GB"/>
                      </w:rPr>
                      <m:t>s</m:t>
                    </m:r>
                  </w:ins>
                  <m:ctrlPr>
                    <w:ins w:id="474" w:author="Alexander Golitschek" w:date="2022-02-20T18:58:00Z">
                      <w:rPr>
                        <w:rFonts w:ascii="Cambria Math" w:hAnsi="Cambria Math" w:eastAsia="Times New Roman"/>
                        <w:szCs w:val="20"/>
                        <w:lang w:eastAsia="en-GB"/>
                      </w:rPr>
                    </w:ins>
                  </m:ctrlPr>
                </m:sub>
              </m:sSub>
            </m:oMath>
            <w:ins w:id="475" w:author="Alexander Golitschek" w:date="2022-02-20T18:58:00Z">
              <w:r>
                <w:rPr>
                  <w:rFonts w:eastAsia="Times New Roman"/>
                  <w:szCs w:val="20"/>
                  <w:lang w:eastAsia="en-GB"/>
                </w:rPr>
                <w:t xml:space="preserve"> slots according to combination </w:t>
              </w:r>
            </w:ins>
            <m:oMath>
              <m:d>
                <m:dPr>
                  <m:ctrlPr>
                    <w:ins w:id="476" w:author="Alexander Golitschek" w:date="2022-02-20T18:58:00Z">
                      <w:rPr>
                        <w:rFonts w:ascii="Cambria Math" w:hAnsi="Cambria Math" w:eastAsia="Times New Roman"/>
                        <w:szCs w:val="20"/>
                        <w:lang w:eastAsia="en-GB"/>
                      </w:rPr>
                    </w:ins>
                  </m:ctrlPr>
                </m:dPr>
                <m:e>
                  <m:sSub>
                    <m:sSubPr>
                      <m:ctrlPr>
                        <w:ins w:id="477" w:author="Alexander Golitschek" w:date="2022-02-20T18:58:00Z">
                          <w:rPr>
                            <w:rFonts w:ascii="Cambria Math" w:hAnsi="Cambria Math" w:eastAsia="Times New Roman"/>
                            <w:szCs w:val="20"/>
                            <w:lang w:eastAsia="en-GB"/>
                          </w:rPr>
                        </w:ins>
                      </m:ctrlPr>
                    </m:sSubPr>
                    <m:e>
                      <w:ins w:id="478" w:author="Alexander Golitschek" w:date="2022-02-20T18:58:00Z">
                        <m:r>
                          <w:rPr>
                            <w:rFonts w:ascii="Cambria Math" w:hAnsi="Cambria Math" w:eastAsia="Times New Roman"/>
                            <w:szCs w:val="20"/>
                            <w:lang w:eastAsia="en-GB"/>
                          </w:rPr>
                          <m:t>X</m:t>
                        </m:r>
                      </w:ins>
                      <m:ctrlPr>
                        <w:ins w:id="479" w:author="Alexander Golitschek" w:date="2022-02-20T18:58:00Z">
                          <w:rPr>
                            <w:rFonts w:ascii="Cambria Math" w:hAnsi="Cambria Math" w:eastAsia="Times New Roman"/>
                            <w:szCs w:val="20"/>
                            <w:lang w:eastAsia="en-GB"/>
                          </w:rPr>
                        </w:ins>
                      </m:ctrlPr>
                    </m:e>
                    <m:sub>
                      <w:ins w:id="480" w:author="Alexander Golitschek" w:date="2022-02-20T18:58:00Z">
                        <m:r>
                          <w:rPr>
                            <w:rFonts w:ascii="Cambria Math" w:hAnsi="Cambria Math" w:eastAsia="Times New Roman"/>
                            <w:szCs w:val="20"/>
                            <w:lang w:eastAsia="en-GB"/>
                          </w:rPr>
                          <m:t>s</m:t>
                        </m:r>
                      </w:ins>
                      <m:ctrlPr>
                        <w:ins w:id="481" w:author="Alexander Golitschek" w:date="2022-02-20T18:58:00Z">
                          <w:rPr>
                            <w:rFonts w:ascii="Cambria Math" w:hAnsi="Cambria Math" w:eastAsia="Times New Roman"/>
                            <w:szCs w:val="20"/>
                            <w:lang w:eastAsia="en-GB"/>
                          </w:rPr>
                        </w:ins>
                      </m:ctrlPr>
                    </m:sub>
                  </m:sSub>
                  <w:ins w:id="482" w:author="Alexander Golitschek" w:date="2022-02-20T18:58:00Z">
                    <m:r>
                      <m:rPr>
                        <m:sty m:val="p"/>
                      </m:rPr>
                      <w:rPr>
                        <w:rFonts w:ascii="Cambria Math" w:hAnsi="Cambria Math" w:eastAsia="Times New Roman"/>
                        <w:szCs w:val="20"/>
                        <w:lang w:eastAsia="en-GB"/>
                      </w:rPr>
                      <m:t>,</m:t>
                    </m:r>
                  </w:ins>
                  <m:sSub>
                    <m:sSubPr>
                      <m:ctrlPr>
                        <w:ins w:id="483" w:author="Alexander Golitschek" w:date="2022-02-20T18:58:00Z">
                          <w:rPr>
                            <w:rFonts w:ascii="Cambria Math" w:hAnsi="Cambria Math" w:eastAsia="Times New Roman"/>
                            <w:szCs w:val="20"/>
                            <w:lang w:eastAsia="en-GB"/>
                          </w:rPr>
                        </w:ins>
                      </m:ctrlPr>
                    </m:sSubPr>
                    <m:e>
                      <w:ins w:id="484" w:author="Alexander Golitschek" w:date="2022-02-20T18:58:00Z">
                        <m:r>
                          <w:rPr>
                            <w:rFonts w:ascii="Cambria Math" w:hAnsi="Cambria Math" w:eastAsia="Times New Roman"/>
                            <w:szCs w:val="20"/>
                            <w:lang w:eastAsia="en-GB"/>
                          </w:rPr>
                          <m:t>Y</m:t>
                        </m:r>
                      </w:ins>
                      <m:ctrlPr>
                        <w:ins w:id="485" w:author="Alexander Golitschek" w:date="2022-02-20T18:58:00Z">
                          <w:rPr>
                            <w:rFonts w:ascii="Cambria Math" w:hAnsi="Cambria Math" w:eastAsia="Times New Roman"/>
                            <w:szCs w:val="20"/>
                            <w:lang w:eastAsia="en-GB"/>
                          </w:rPr>
                        </w:ins>
                      </m:ctrlPr>
                    </m:e>
                    <m:sub>
                      <w:ins w:id="486" w:author="Alexander Golitschek" w:date="2022-02-20T18:58:00Z">
                        <m:r>
                          <w:rPr>
                            <w:rFonts w:ascii="Cambria Math" w:hAnsi="Cambria Math" w:eastAsia="Times New Roman"/>
                            <w:szCs w:val="20"/>
                            <w:lang w:eastAsia="en-GB"/>
                          </w:rPr>
                          <m:t>s</m:t>
                        </m:r>
                      </w:ins>
                      <m:ctrlPr>
                        <w:ins w:id="487" w:author="Alexander Golitschek" w:date="2022-02-20T18:58:00Z">
                          <w:rPr>
                            <w:rFonts w:ascii="Cambria Math" w:hAnsi="Cambria Math" w:eastAsia="Times New Roman"/>
                            <w:szCs w:val="20"/>
                            <w:lang w:eastAsia="en-GB"/>
                          </w:rPr>
                        </w:ins>
                      </m:ctrlPr>
                    </m:sub>
                  </m:sSub>
                  <m:ctrlPr>
                    <w:ins w:id="488" w:author="Alexander Golitschek" w:date="2022-02-20T18:58:00Z">
                      <w:rPr>
                        <w:rFonts w:ascii="Cambria Math" w:hAnsi="Cambria Math" w:eastAsia="Times New Roman"/>
                        <w:szCs w:val="20"/>
                        <w:lang w:eastAsia="en-GB"/>
                      </w:rPr>
                    </w:ins>
                  </m:ctrlPr>
                </m:e>
              </m:d>
              <w:ins w:id="489" w:author="Alexander Golitschek" w:date="2022-02-20T18:58:00Z">
                <m:r>
                  <m:rPr>
                    <m:sty m:val="p"/>
                  </m:rPr>
                  <w:rPr>
                    <w:rFonts w:ascii="Cambria Math" w:hAnsi="Cambria Math" w:eastAsia="Times New Roman"/>
                    <w:szCs w:val="20"/>
                    <w:lang w:eastAsia="en-GB"/>
                  </w:rPr>
                  <m:t>=(4,1)</m:t>
                </m:r>
              </w:ins>
            </m:oMath>
            <w:ins w:id="490" w:author="Alexander Golitschek" w:date="2022-02-20T18:58:00Z">
              <w:r>
                <w:rPr>
                  <w:rFonts w:eastAsia="Times New Roman"/>
                  <w:szCs w:val="20"/>
                  <w:lang w:eastAsia="en-GB"/>
                </w:rPr>
                <w:t xml:space="preserve"> for μ =</w:t>
              </w:r>
            </w:ins>
            <w:ins w:id="491" w:author="Alexander Golitschek" w:date="2022-02-20T19:01:00Z">
              <w:r>
                <w:rPr>
                  <w:rFonts w:eastAsia="Times New Roman"/>
                  <w:szCs w:val="20"/>
                  <w:lang w:eastAsia="en-GB"/>
                </w:rPr>
                <w:t xml:space="preserve"> </w:t>
              </w:r>
            </w:ins>
            <w:ins w:id="492" w:author="Alexander Golitschek" w:date="2022-02-20T18:58:00Z">
              <w:r>
                <w:rPr>
                  <w:rFonts w:eastAsia="Times New Roman"/>
                  <w:szCs w:val="20"/>
                  <w:lang w:eastAsia="en-GB"/>
                </w:rPr>
                <w:t>5 as in Tables 10.1-2B and 10.1-3B.</w:t>
              </w:r>
            </w:ins>
          </w:p>
        </w:tc>
      </w:tr>
    </w:tbl>
    <w:p>
      <w:pPr>
        <w:pStyle w:val="212"/>
        <w:numPr>
          <w:ilvl w:val="0"/>
          <w:numId w:val="26"/>
        </w:numPr>
        <w:tabs>
          <w:tab w:val="left" w:pos="0"/>
          <w:tab w:val="clear" w:pos="1304"/>
          <w:tab w:val="clear" w:pos="2722"/>
        </w:tabs>
        <w:spacing w:after="120"/>
        <w:rPr>
          <w:rFonts w:ascii="Times New Roman" w:hAnsi="Times New Roman" w:cs="Times New Roman"/>
          <w:b w:val="0"/>
          <w:bCs w:val="0"/>
        </w:rPr>
      </w:pPr>
      <w:r>
        <w:rPr>
          <w:rFonts w:ascii="Times New Roman" w:hAnsi="Times New Roman" w:cs="Times New Roman" w:eastAsiaTheme="minorEastAsia"/>
          <w:b w:val="0"/>
          <w:bCs w:val="0"/>
          <w:lang w:eastAsia="ja-JP"/>
        </w:rPr>
        <w:t xml:space="preserve">Capture the following description in </w:t>
      </w:r>
      <w:r>
        <w:rPr>
          <w:rFonts w:ascii="Times New Roman" w:hAnsi="Times New Roman" w:cs="Times New Roman"/>
          <w:b w:val="0"/>
          <w:bCs w:val="0"/>
        </w:rPr>
        <w:t>the RRC parameter spreadsheet to RAN2:</w:t>
      </w:r>
    </w:p>
    <w:p>
      <w:pPr>
        <w:pStyle w:val="88"/>
        <w:numPr>
          <w:ilvl w:val="1"/>
          <w:numId w:val="26"/>
        </w:numPr>
        <w:rPr>
          <w:b/>
          <w:bCs/>
          <w:i/>
          <w:iCs/>
        </w:rPr>
      </w:pPr>
      <w:r>
        <w:rPr>
          <w:b/>
          <w:bCs/>
          <w:i/>
          <w:iCs/>
        </w:rPr>
        <w:t>monitoringCapabilityConfig</w:t>
      </w:r>
    </w:p>
    <w:p>
      <w:pPr>
        <w:pStyle w:val="88"/>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the network configures this field with </w:t>
      </w:r>
      <w:r>
        <w:rPr>
          <w:i/>
          <w:lang w:eastAsia="sv-SE"/>
        </w:rPr>
        <w:t>r17monitoringcapablity</w:t>
      </w:r>
      <w:r>
        <w:rPr>
          <w:lang w:eastAsia="sv-SE"/>
        </w:rPr>
        <w:t>.</w:t>
      </w:r>
    </w:p>
    <w:p>
      <w:r>
        <w:rPr>
          <w:bCs/>
          <w:highlight w:val="cyan"/>
          <w:lang w:val="en-GB" w:eastAsia="zh-CN"/>
        </w:rPr>
        <w:t xml:space="preserve">FL Note (not part of the proposal): Since the RRC description indicates that "the network configures this field with </w:t>
      </w:r>
      <w:r>
        <w:rPr>
          <w:i/>
          <w:highlight w:val="cyan"/>
          <w:lang w:eastAsia="sv-SE"/>
        </w:rPr>
        <w:t>r17monitoringcapablity</w:t>
      </w:r>
      <w:r>
        <w:rPr>
          <w:iCs/>
          <w:highlight w:val="cyan"/>
          <w:lang w:eastAsia="sv-SE"/>
        </w:rPr>
        <w:t xml:space="preserve">" (addressing Huawei's preference), it is not required to designate </w:t>
      </w:r>
      <w:r>
        <w:rPr>
          <w:i/>
          <w:iCs/>
          <w:highlight w:val="cyan"/>
        </w:rPr>
        <w:t>monitoringCapabilityConfig</w:t>
      </w:r>
      <w:r>
        <w:rPr>
          <w:highlight w:val="cyan"/>
        </w:rPr>
        <w:t xml:space="preserve"> as a mandatory field (addressing LG's preference).</w:t>
      </w:r>
    </w:p>
    <w:p/>
    <w:p>
      <w:pPr>
        <w:rPr>
          <w:bCs/>
          <w:sz w:val="20"/>
          <w:szCs w:val="20"/>
        </w:rPr>
      </w:pPr>
      <w:r>
        <w:rPr>
          <w:b/>
          <w:sz w:val="20"/>
          <w:szCs w:val="20"/>
          <w:highlight w:val="yellow"/>
          <w:u w:val="single"/>
        </w:rPr>
        <w:t>Proposal A1-4.4</w:t>
      </w:r>
      <w:r>
        <w:rPr>
          <w:b/>
          <w:color w:val="FF0000"/>
          <w:sz w:val="20"/>
          <w:szCs w:val="20"/>
          <w:highlight w:val="yellow"/>
          <w:u w:val="single"/>
        </w:rPr>
        <w:t>b</w:t>
      </w:r>
      <w:r>
        <w:rPr>
          <w:b/>
          <w:sz w:val="20"/>
          <w:szCs w:val="20"/>
        </w:rPr>
        <w:t xml:space="preserve"> </w:t>
      </w:r>
      <w:r>
        <w:rPr>
          <w:bCs/>
          <w:sz w:val="20"/>
          <w:szCs w:val="20"/>
        </w:rPr>
        <w:t>(combining Text Proposal A1-4.2</w:t>
      </w:r>
      <w:r>
        <w:rPr>
          <w:bCs/>
          <w:color w:val="FF0000"/>
          <w:sz w:val="20"/>
          <w:szCs w:val="20"/>
        </w:rPr>
        <w:t>a</w:t>
      </w:r>
      <w:r>
        <w:rPr>
          <w:bCs/>
          <w:sz w:val="20"/>
          <w:szCs w:val="20"/>
        </w:rPr>
        <w:t xml:space="preserve"> and </w:t>
      </w:r>
      <w:r>
        <w:rPr>
          <w:bCs/>
          <w:color w:val="FF0000"/>
          <w:sz w:val="20"/>
          <w:szCs w:val="20"/>
        </w:rPr>
        <w:t xml:space="preserve">revised </w:t>
      </w:r>
      <w:r>
        <w:rPr>
          <w:bCs/>
          <w:sz w:val="20"/>
          <w:szCs w:val="20"/>
        </w:rPr>
        <w:t>mash-up of Proposal A1-4.3a/-4.3c)</w:t>
      </w:r>
    </w:p>
    <w:p>
      <w:pPr>
        <w:pStyle w:val="82"/>
        <w:numPr>
          <w:ilvl w:val="0"/>
          <w:numId w:val="26"/>
        </w:numPr>
        <w:rPr>
          <w:bCs/>
        </w:rPr>
      </w:pPr>
      <w:r>
        <w:rPr>
          <w:bCs/>
        </w:rPr>
        <w:t>Change TS 38.213 Clause 10 as follows:</w:t>
      </w:r>
    </w:p>
    <w:tbl>
      <w:tblPr>
        <w:tblStyle w:val="55"/>
        <w:tblW w:w="13944" w:type="dxa"/>
        <w:tblInd w:w="73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9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44" w:type="dxa"/>
            <w:vAlign w:val="center"/>
          </w:tcPr>
          <w:p>
            <w:pPr>
              <w:widowControl w:val="0"/>
              <w:rPr>
                <w:rFonts w:eastAsia="宋体"/>
                <w:szCs w:val="20"/>
              </w:rPr>
            </w:pPr>
            <w:r>
              <w:rPr>
                <w:rFonts w:eastAsia="宋体"/>
                <w:szCs w:val="20"/>
              </w:rPr>
              <w:t xml:space="preserve">If a UE is provided </w:t>
            </w:r>
            <w:r>
              <w:rPr>
                <w:rFonts w:eastAsia="宋体"/>
                <w:i/>
                <w:szCs w:val="20"/>
              </w:rPr>
              <w:t>monitoringCapabilityConfig</w:t>
            </w:r>
            <w:r>
              <w:rPr>
                <w:rFonts w:eastAsia="宋体"/>
                <w:szCs w:val="20"/>
              </w:rPr>
              <w:t xml:space="preserve"> for a</w:t>
            </w:r>
            <w:ins w:id="493" w:author="Alexander Golitschek" w:date="2022-02-20T19:09:00Z">
              <w:r>
                <w:rPr>
                  <w:rFonts w:eastAsia="宋体"/>
                  <w:szCs w:val="20"/>
                </w:rPr>
                <w:t>n active DL BWP of a</w:t>
              </w:r>
            </w:ins>
            <w:r>
              <w:rPr>
                <w:rFonts w:eastAsia="宋体"/>
                <w:szCs w:val="20"/>
              </w:rPr>
              <w:t xml:space="preserve"> serving cell, the UE obtains an indication to monitor PDCCH on </w:t>
            </w:r>
            <w:ins w:id="494" w:author="Alexander Golitschek" w:date="2022-02-20T19:12:00Z">
              <w:r>
                <w:rPr>
                  <w:rFonts w:eastAsia="宋体"/>
                  <w:szCs w:val="20"/>
                </w:rPr>
                <w:t xml:space="preserve">the active DL BWP of </w:t>
              </w:r>
            </w:ins>
            <w:r>
              <w:rPr>
                <w:rFonts w:eastAsia="宋体"/>
                <w:szCs w:val="20"/>
              </w:rPr>
              <w:t xml:space="preserve">the serving cell for a maximum number of PDCCH candidates and non-overlapping CCEs </w:t>
            </w:r>
          </w:p>
          <w:p>
            <w:pPr>
              <w:widowControl w:val="0"/>
              <w:rPr>
                <w:rFonts w:eastAsia="宋体"/>
                <w:szCs w:val="20"/>
              </w:rPr>
            </w:pPr>
            <w:r>
              <w:rPr>
                <w:rFonts w:eastAsia="宋体"/>
                <w:szCs w:val="20"/>
              </w:rPr>
              <w:t>-</w:t>
            </w:r>
            <w:r>
              <w:rPr>
                <w:rFonts w:eastAsia="宋体"/>
                <w:szCs w:val="20"/>
              </w:rPr>
              <w:tab/>
            </w:r>
            <w:r>
              <w:rPr>
                <w:rFonts w:eastAsia="宋体"/>
                <w:szCs w:val="20"/>
              </w:rPr>
              <w:t xml:space="preserve">per slot, as in Tables 10.1-2 and 10.1-3, if </w:t>
            </w:r>
            <w:r>
              <w:rPr>
                <w:rFonts w:eastAsia="宋体"/>
                <w:i/>
                <w:szCs w:val="20"/>
              </w:rPr>
              <w:t>monitoringCapabilityConfig</w:t>
            </w:r>
            <w:r>
              <w:rPr>
                <w:rFonts w:eastAsia="宋体"/>
                <w:szCs w:val="20"/>
              </w:rPr>
              <w:t xml:space="preserve"> = </w:t>
            </w:r>
            <w:r>
              <w:rPr>
                <w:rFonts w:eastAsia="宋体"/>
                <w:i/>
                <w:szCs w:val="20"/>
              </w:rPr>
              <w:t>r15monitoringcapability</w:t>
            </w:r>
            <w:r>
              <w:rPr>
                <w:rFonts w:eastAsia="宋体"/>
                <w:szCs w:val="20"/>
              </w:rPr>
              <w:t xml:space="preserve">, or </w:t>
            </w:r>
          </w:p>
          <w:p>
            <w:pPr>
              <w:widowControl w:val="0"/>
              <w:rPr>
                <w:rFonts w:eastAsia="宋体"/>
                <w:szCs w:val="20"/>
              </w:rPr>
            </w:pPr>
            <w:r>
              <w:rPr>
                <w:rFonts w:eastAsia="宋体"/>
                <w:szCs w:val="20"/>
              </w:rPr>
              <w:t>-</w:t>
            </w:r>
            <w:r>
              <w:rPr>
                <w:rFonts w:eastAsia="宋体"/>
                <w:szCs w:val="20"/>
              </w:rPr>
              <w:tab/>
            </w:r>
            <w:r>
              <w:rPr>
                <w:rFonts w:eastAsia="宋体"/>
                <w:szCs w:val="20"/>
              </w:rPr>
              <w:t xml:space="preserve">per span, as in Tables 10.1-2A and 10.1-3A, if </w:t>
            </w:r>
            <w:r>
              <w:rPr>
                <w:rFonts w:eastAsia="宋体"/>
                <w:i/>
                <w:szCs w:val="20"/>
              </w:rPr>
              <w:t>monitoringCapabilityConfig</w:t>
            </w:r>
            <w:r>
              <w:rPr>
                <w:rFonts w:eastAsia="宋体"/>
                <w:szCs w:val="20"/>
              </w:rPr>
              <w:t xml:space="preserve"> = </w:t>
            </w:r>
            <w:r>
              <w:rPr>
                <w:rFonts w:eastAsia="宋体"/>
                <w:i/>
                <w:szCs w:val="20"/>
              </w:rPr>
              <w:t>r16monitoringcapability</w:t>
            </w:r>
          </w:p>
          <w:p>
            <w:pPr>
              <w:widowControl w:val="0"/>
              <w:rPr>
                <w:rFonts w:eastAsia="宋体"/>
                <w:szCs w:val="20"/>
              </w:rPr>
            </w:pPr>
            <w:r>
              <w:rPr>
                <w:rFonts w:eastAsia="宋体"/>
                <w:szCs w:val="20"/>
              </w:rPr>
              <w:t>-</w:t>
            </w:r>
            <w:r>
              <w:rPr>
                <w:rFonts w:eastAsia="宋体"/>
                <w:szCs w:val="20"/>
              </w:rPr>
              <w:tab/>
            </w:r>
            <w:r>
              <w:rPr>
                <w:rFonts w:eastAsia="宋体"/>
                <w:szCs w:val="20"/>
              </w:rPr>
              <w:t xml:space="preserve">per group of </w:t>
            </w:r>
            <m:oMath>
              <m:sSub>
                <m:sSubPr>
                  <m:ctrlPr>
                    <w:rPr>
                      <w:rFonts w:ascii="Cambria Math" w:hAnsi="Cambria Math" w:eastAsia="宋体"/>
                      <w:i/>
                      <w:szCs w:val="20"/>
                      <w:lang w:val="zh-CN"/>
                    </w:rPr>
                  </m:ctrlPr>
                </m:sSubPr>
                <m:e>
                  <m:r>
                    <w:rPr>
                      <w:rFonts w:ascii="Cambria Math" w:hAnsi="Cambria Math" w:eastAsia="宋体"/>
                      <w:szCs w:val="20"/>
                      <w:lang w:val="zh-CN"/>
                    </w:rPr>
                    <m:t>X</m:t>
                  </m:r>
                  <m:ctrlPr>
                    <w:rPr>
                      <w:rFonts w:ascii="Cambria Math" w:hAnsi="Cambria Math" w:eastAsia="宋体"/>
                      <w:i/>
                      <w:szCs w:val="20"/>
                      <w:lang w:val="zh-CN"/>
                    </w:rPr>
                  </m:ctrlPr>
                </m:e>
                <m:sub>
                  <m:r>
                    <w:rPr>
                      <w:rFonts w:ascii="Cambria Math" w:hAnsi="Cambria Math" w:eastAsia="宋体"/>
                      <w:szCs w:val="20"/>
                      <w:lang w:val="zh-CN"/>
                    </w:rPr>
                    <m:t>s</m:t>
                  </m:r>
                  <m:ctrlPr>
                    <w:rPr>
                      <w:rFonts w:ascii="Cambria Math" w:hAnsi="Cambria Math" w:eastAsia="宋体"/>
                      <w:i/>
                      <w:szCs w:val="20"/>
                      <w:lang w:val="zh-CN"/>
                    </w:rPr>
                  </m:ctrlPr>
                </m:sub>
              </m:sSub>
            </m:oMath>
            <w:r>
              <w:rPr>
                <w:rFonts w:eastAsia="宋体"/>
                <w:szCs w:val="20"/>
              </w:rPr>
              <w:t xml:space="preserve"> slots according to combination </w:t>
            </w:r>
            <m:oMath>
              <m:d>
                <m:dPr>
                  <m:ctrlPr>
                    <w:rPr>
                      <w:rFonts w:ascii="Cambria Math" w:hAnsi="Cambria Math" w:eastAsia="宋体"/>
                      <w:szCs w:val="20"/>
                      <w:lang w:val="zh-CN"/>
                    </w:rPr>
                  </m:ctrlPr>
                </m:dPr>
                <m:e>
                  <m:sSub>
                    <m:sSubPr>
                      <m:ctrlPr>
                        <w:rPr>
                          <w:rFonts w:ascii="Cambria Math" w:hAnsi="Cambria Math" w:eastAsia="宋体"/>
                          <w:i/>
                          <w:szCs w:val="20"/>
                          <w:lang w:val="zh-CN"/>
                        </w:rPr>
                      </m:ctrlPr>
                    </m:sSubPr>
                    <m:e>
                      <m:r>
                        <w:rPr>
                          <w:rFonts w:ascii="Cambria Math" w:hAnsi="Cambria Math" w:eastAsia="宋体"/>
                          <w:szCs w:val="20"/>
                          <w:lang w:val="zh-CN"/>
                        </w:rPr>
                        <m:t>X</m:t>
                      </m:r>
                      <m:ctrlPr>
                        <w:rPr>
                          <w:rFonts w:ascii="Cambria Math" w:hAnsi="Cambria Math" w:eastAsia="宋体"/>
                          <w:i/>
                          <w:szCs w:val="20"/>
                          <w:lang w:val="zh-CN"/>
                        </w:rPr>
                      </m:ctrlPr>
                    </m:e>
                    <m:sub>
                      <m:r>
                        <w:rPr>
                          <w:rFonts w:ascii="Cambria Math" w:hAnsi="Cambria Math" w:eastAsia="宋体"/>
                          <w:szCs w:val="20"/>
                          <w:lang w:val="zh-CN"/>
                        </w:rPr>
                        <m:t>s</m:t>
                      </m:r>
                      <m:ctrlPr>
                        <w:rPr>
                          <w:rFonts w:ascii="Cambria Math" w:hAnsi="Cambria Math" w:eastAsia="宋体"/>
                          <w:i/>
                          <w:szCs w:val="20"/>
                          <w:lang w:val="zh-CN"/>
                        </w:rPr>
                      </m:ctrlPr>
                    </m:sub>
                  </m:sSub>
                  <m:r>
                    <w:rPr>
                      <w:rFonts w:ascii="Cambria Math" w:hAnsi="Cambria Math" w:eastAsia="宋体"/>
                      <w:szCs w:val="20"/>
                    </w:rPr>
                    <m:t>,</m:t>
                  </m:r>
                  <m:sSub>
                    <m:sSubPr>
                      <m:ctrlPr>
                        <w:rPr>
                          <w:rFonts w:ascii="Cambria Math" w:hAnsi="Cambria Math" w:eastAsia="宋体"/>
                          <w:i/>
                          <w:szCs w:val="20"/>
                          <w:lang w:val="zh-CN"/>
                        </w:rPr>
                      </m:ctrlPr>
                    </m:sSubPr>
                    <m:e>
                      <m:r>
                        <w:rPr>
                          <w:rFonts w:ascii="Cambria Math" w:hAnsi="Cambria Math" w:eastAsia="宋体"/>
                          <w:szCs w:val="20"/>
                          <w:lang w:val="zh-CN"/>
                        </w:rPr>
                        <m:t>Y</m:t>
                      </m:r>
                      <m:ctrlPr>
                        <w:rPr>
                          <w:rFonts w:ascii="Cambria Math" w:hAnsi="Cambria Math" w:eastAsia="宋体"/>
                          <w:i/>
                          <w:szCs w:val="20"/>
                          <w:lang w:val="zh-CN"/>
                        </w:rPr>
                      </m:ctrlPr>
                    </m:e>
                    <m:sub>
                      <m:r>
                        <w:rPr>
                          <w:rFonts w:ascii="Cambria Math" w:hAnsi="Cambria Math" w:eastAsia="宋体"/>
                          <w:szCs w:val="20"/>
                          <w:lang w:val="zh-CN"/>
                        </w:rPr>
                        <m:t>s</m:t>
                      </m:r>
                      <m:ctrlPr>
                        <w:rPr>
                          <w:rFonts w:ascii="Cambria Math" w:hAnsi="Cambria Math" w:eastAsia="宋体"/>
                          <w:i/>
                          <w:szCs w:val="20"/>
                          <w:lang w:val="zh-CN"/>
                        </w:rPr>
                      </m:ctrlPr>
                    </m:sub>
                  </m:sSub>
                  <m:ctrlPr>
                    <w:rPr>
                      <w:rFonts w:ascii="Cambria Math" w:hAnsi="Cambria Math" w:eastAsia="宋体"/>
                      <w:szCs w:val="20"/>
                      <w:lang w:val="zh-CN"/>
                    </w:rPr>
                  </m:ctrlPr>
                </m:e>
              </m:d>
            </m:oMath>
            <w:r>
              <w:rPr>
                <w:rFonts w:eastAsia="宋体"/>
                <w:szCs w:val="20"/>
              </w:rPr>
              <w:t xml:space="preserve">, as in Tables 10.1-2B and 10.1-3B, if </w:t>
            </w:r>
            <w:r>
              <w:rPr>
                <w:rFonts w:eastAsia="宋体"/>
                <w:i/>
                <w:szCs w:val="20"/>
              </w:rPr>
              <w:t>monitoringCapabilityConfig</w:t>
            </w:r>
            <w:r>
              <w:rPr>
                <w:rFonts w:eastAsia="宋体"/>
                <w:szCs w:val="20"/>
              </w:rPr>
              <w:t xml:space="preserve"> = </w:t>
            </w:r>
            <w:r>
              <w:rPr>
                <w:rFonts w:eastAsia="宋体"/>
                <w:i/>
                <w:szCs w:val="20"/>
              </w:rPr>
              <w:t>r17monitoringcapability</w:t>
            </w:r>
          </w:p>
          <w:p>
            <w:pPr>
              <w:widowControl w:val="0"/>
              <w:rPr>
                <w:rFonts w:eastAsia="宋体"/>
                <w:szCs w:val="20"/>
              </w:rPr>
            </w:pPr>
            <w:r>
              <w:rPr>
                <w:rFonts w:eastAsia="宋体"/>
                <w:szCs w:val="20"/>
              </w:rPr>
              <w:t xml:space="preserve">If the UE is not provided </w:t>
            </w:r>
            <w:r>
              <w:rPr>
                <w:rFonts w:eastAsia="宋体"/>
                <w:i/>
                <w:szCs w:val="20"/>
              </w:rPr>
              <w:t>monitoringCapabilityConfig</w:t>
            </w:r>
            <w:ins w:id="495" w:author="Alexander Golitschek" w:date="2022-02-20T19:32:00Z">
              <w:r>
                <w:rPr>
                  <w:rFonts w:eastAsia="宋体"/>
                  <w:szCs w:val="20"/>
                </w:rPr>
                <w:t xml:space="preserve"> f</w:t>
              </w:r>
            </w:ins>
            <w:ins w:id="496" w:author="Alexander Golitschek" w:date="2022-02-20T19:32:00Z">
              <w:r>
                <w:rPr>
                  <w:rFonts w:eastAsia="宋体"/>
                  <w:szCs w:val="20"/>
                  <w:lang w:val="en-GB"/>
                </w:rPr>
                <w:t xml:space="preserve">or μ </w:t>
              </w:r>
            </w:ins>
            <w:ins w:id="497" w:author="Alexander Golitschek" w:date="2022-02-20T19:32:00Z">
              <w:r>
                <w:rPr>
                  <w:rFonts w:ascii="Cambria Math" w:hAnsi="Cambria Math" w:eastAsia="宋体" w:cs="Cambria Math"/>
                  <w:szCs w:val="20"/>
                  <w:lang w:val="en-GB"/>
                </w:rPr>
                <w:t>∈</w:t>
              </w:r>
            </w:ins>
            <w:ins w:id="498" w:author="Alexander Golitschek" w:date="2022-02-20T19:32:00Z">
              <w:r>
                <w:rPr>
                  <w:rFonts w:eastAsia="宋体"/>
                  <w:szCs w:val="20"/>
                  <w:lang w:val="en-GB"/>
                </w:rPr>
                <w:t xml:space="preserve"> {0,1,2,3}</w:t>
              </w:r>
            </w:ins>
            <w:r>
              <w:rPr>
                <w:rFonts w:eastAsia="宋体"/>
                <w:szCs w:val="20"/>
              </w:rPr>
              <w:t xml:space="preserve">, the UE monitors PDCCH on the </w:t>
            </w:r>
            <w:ins w:id="499" w:author="Alexander Golitschek" w:date="2022-02-20T19:14:00Z">
              <w:r>
                <w:rPr>
                  <w:rFonts w:eastAsia="宋体"/>
                  <w:szCs w:val="20"/>
                </w:rPr>
                <w:t xml:space="preserve">active DL BWP of a </w:t>
              </w:r>
            </w:ins>
            <w:r>
              <w:rPr>
                <w:rFonts w:eastAsia="宋体"/>
                <w:szCs w:val="20"/>
              </w:rPr>
              <w:t xml:space="preserve">serving cell for a maximum number of PDCCH candidates and non-overlapping CCEs per slot. </w:t>
            </w:r>
          </w:p>
          <w:p>
            <w:pPr>
              <w:widowControl w:val="0"/>
              <w:spacing w:after="180" w:line="240" w:lineRule="auto"/>
              <w:rPr>
                <w:rFonts w:eastAsia="Times New Roman"/>
                <w:szCs w:val="20"/>
                <w:lang w:eastAsia="en-GB"/>
              </w:rPr>
            </w:pPr>
            <w:ins w:id="500" w:author="Alexander Golitschek" w:date="2022-02-20T19:32:00Z">
              <w:r>
                <w:rPr>
                  <w:rFonts w:eastAsia="宋体"/>
                  <w:szCs w:val="20"/>
                </w:rPr>
                <w:t>I</w:t>
              </w:r>
            </w:ins>
            <w:ins w:id="501" w:author="Alexander Golitschek" w:date="2022-02-20T18:58:00Z">
              <w:r>
                <w:rPr>
                  <w:rFonts w:eastAsia="宋体"/>
                  <w:szCs w:val="20"/>
                </w:rPr>
                <w:t xml:space="preserve">f the UE is not provided </w:t>
              </w:r>
            </w:ins>
            <w:ins w:id="502" w:author="Alexander Golitschek" w:date="2022-02-20T18:58:00Z">
              <w:r>
                <w:rPr>
                  <w:rFonts w:eastAsia="宋体"/>
                  <w:i/>
                  <w:iCs/>
                  <w:szCs w:val="20"/>
                </w:rPr>
                <w:t>monitoringCapabilityConfig</w:t>
              </w:r>
            </w:ins>
            <w:ins w:id="503" w:author="Alexander Golitschek" w:date="2022-02-20T19:32:00Z">
              <w:r>
                <w:rPr>
                  <w:rFonts w:eastAsia="宋体"/>
                  <w:szCs w:val="20"/>
                </w:rPr>
                <w:t xml:space="preserve"> for μ </w:t>
              </w:r>
            </w:ins>
            <w:ins w:id="504" w:author="Alexander Golitschek" w:date="2022-02-20T19:32:00Z">
              <w:r>
                <w:rPr>
                  <w:rFonts w:ascii="Cambria Math" w:hAnsi="Cambria Math" w:eastAsia="宋体" w:cs="Cambria Math"/>
                  <w:szCs w:val="20"/>
                </w:rPr>
                <w:t>∈</w:t>
              </w:r>
            </w:ins>
            <w:ins w:id="505" w:author="Alexander Golitschek" w:date="2022-02-20T19:32:00Z">
              <w:r>
                <w:rPr>
                  <w:rFonts w:eastAsia="宋体"/>
                  <w:szCs w:val="20"/>
                </w:rPr>
                <w:t xml:space="preserve"> {5,6}, </w:t>
              </w:r>
            </w:ins>
            <w:ins w:id="506" w:author="Alexander Golitschek" w:date="2022-02-20T18:58:00Z">
              <w:r>
                <w:rPr>
                  <w:rFonts w:eastAsia="宋体"/>
                  <w:szCs w:val="20"/>
                </w:rPr>
                <w:t xml:space="preserve">the UE monitors PDCCH on the </w:t>
              </w:r>
            </w:ins>
            <w:ins w:id="507" w:author="Alexander Golitschek" w:date="2022-02-20T19:13:00Z">
              <w:r>
                <w:rPr>
                  <w:rFonts w:eastAsia="宋体"/>
                  <w:szCs w:val="20"/>
                </w:rPr>
                <w:t xml:space="preserve">active DL BWP of a </w:t>
              </w:r>
            </w:ins>
            <w:ins w:id="508" w:author="Alexander Golitschek" w:date="2022-02-20T18:58:00Z">
              <w:r>
                <w:rPr>
                  <w:rFonts w:eastAsia="宋体"/>
                  <w:szCs w:val="20"/>
                </w:rPr>
                <w:t xml:space="preserve">serving cell for a maximum number of PDCCH candidates and non-overlapping CCEs per group of </w:t>
              </w:r>
            </w:ins>
            <m:oMath>
              <m:sSub>
                <m:sSubPr>
                  <m:ctrlPr>
                    <w:ins w:id="509" w:author="Alexander Golitschek" w:date="2022-02-20T18:58:00Z">
                      <w:rPr>
                        <w:rFonts w:ascii="Cambria Math" w:hAnsi="Cambria Math" w:eastAsia="宋体"/>
                        <w:szCs w:val="20"/>
                      </w:rPr>
                    </w:ins>
                  </m:ctrlPr>
                </m:sSubPr>
                <m:e>
                  <w:ins w:id="510" w:author="Alexander Golitschek" w:date="2022-02-20T18:58:00Z">
                    <m:r>
                      <w:rPr>
                        <w:rFonts w:ascii="Cambria Math" w:hAnsi="Cambria Math" w:eastAsia="宋体"/>
                        <w:szCs w:val="20"/>
                      </w:rPr>
                      <m:t>X</m:t>
                    </m:r>
                  </w:ins>
                  <m:ctrlPr>
                    <w:ins w:id="511" w:author="Alexander Golitschek" w:date="2022-02-20T18:58:00Z">
                      <w:rPr>
                        <w:rFonts w:ascii="Cambria Math" w:hAnsi="Cambria Math" w:eastAsia="宋体"/>
                        <w:szCs w:val="20"/>
                      </w:rPr>
                    </w:ins>
                  </m:ctrlPr>
                </m:e>
                <m:sub>
                  <w:ins w:id="512" w:author="Alexander Golitschek" w:date="2022-02-20T18:58:00Z">
                    <m:r>
                      <w:rPr>
                        <w:rFonts w:ascii="Cambria Math" w:hAnsi="Cambria Math" w:eastAsia="宋体"/>
                        <w:szCs w:val="20"/>
                      </w:rPr>
                      <m:t>s</m:t>
                    </m:r>
                  </w:ins>
                  <m:ctrlPr>
                    <w:ins w:id="513" w:author="Alexander Golitschek" w:date="2022-02-20T18:58:00Z">
                      <w:rPr>
                        <w:rFonts w:ascii="Cambria Math" w:hAnsi="Cambria Math" w:eastAsia="宋体"/>
                        <w:szCs w:val="20"/>
                      </w:rPr>
                    </w:ins>
                  </m:ctrlPr>
                </m:sub>
              </m:sSub>
            </m:oMath>
            <w:ins w:id="514" w:author="Alexander Golitschek" w:date="2022-02-20T18:58:00Z">
              <w:r>
                <w:rPr>
                  <w:rFonts w:eastAsia="宋体"/>
                  <w:szCs w:val="20"/>
                </w:rPr>
                <w:t xml:space="preserve"> slots according to combination </w:t>
              </w:r>
            </w:ins>
            <m:oMath>
              <m:d>
                <m:dPr>
                  <m:ctrlPr>
                    <w:ins w:id="515" w:author="Alexander Golitschek" w:date="2022-02-20T18:58:00Z">
                      <w:rPr>
                        <w:rFonts w:ascii="Cambria Math" w:hAnsi="Cambria Math" w:eastAsia="宋体"/>
                        <w:szCs w:val="20"/>
                      </w:rPr>
                    </w:ins>
                  </m:ctrlPr>
                </m:dPr>
                <m:e>
                  <m:sSub>
                    <m:sSubPr>
                      <m:ctrlPr>
                        <w:ins w:id="516" w:author="Alexander Golitschek" w:date="2022-02-20T18:58:00Z">
                          <w:rPr>
                            <w:rFonts w:ascii="Cambria Math" w:hAnsi="Cambria Math" w:eastAsia="宋体"/>
                            <w:szCs w:val="20"/>
                          </w:rPr>
                        </w:ins>
                      </m:ctrlPr>
                    </m:sSubPr>
                    <m:e>
                      <w:ins w:id="517" w:author="Alexander Golitschek" w:date="2022-02-20T18:58:00Z">
                        <m:r>
                          <w:rPr>
                            <w:rFonts w:ascii="Cambria Math" w:hAnsi="Cambria Math" w:eastAsia="宋体"/>
                            <w:szCs w:val="20"/>
                          </w:rPr>
                          <m:t>X</m:t>
                        </m:r>
                      </w:ins>
                      <m:ctrlPr>
                        <w:ins w:id="518" w:author="Alexander Golitschek" w:date="2022-02-20T18:58:00Z">
                          <w:rPr>
                            <w:rFonts w:ascii="Cambria Math" w:hAnsi="Cambria Math" w:eastAsia="宋体"/>
                            <w:szCs w:val="20"/>
                          </w:rPr>
                        </w:ins>
                      </m:ctrlPr>
                    </m:e>
                    <m:sub>
                      <w:ins w:id="519" w:author="Alexander Golitschek" w:date="2022-02-20T18:58:00Z">
                        <m:r>
                          <w:rPr>
                            <w:rFonts w:ascii="Cambria Math" w:hAnsi="Cambria Math" w:eastAsia="宋体"/>
                            <w:szCs w:val="20"/>
                          </w:rPr>
                          <m:t>s</m:t>
                        </m:r>
                      </w:ins>
                      <m:ctrlPr>
                        <w:ins w:id="520" w:author="Alexander Golitschek" w:date="2022-02-20T18:58:00Z">
                          <w:rPr>
                            <w:rFonts w:ascii="Cambria Math" w:hAnsi="Cambria Math" w:eastAsia="宋体"/>
                            <w:szCs w:val="20"/>
                          </w:rPr>
                        </w:ins>
                      </m:ctrlPr>
                    </m:sub>
                  </m:sSub>
                  <w:ins w:id="521" w:author="Alexander Golitschek" w:date="2022-02-20T18:58:00Z">
                    <m:r>
                      <m:rPr>
                        <m:sty m:val="p"/>
                      </m:rPr>
                      <w:rPr>
                        <w:rFonts w:ascii="Cambria Math" w:hAnsi="Cambria Math" w:eastAsia="宋体"/>
                        <w:szCs w:val="20"/>
                      </w:rPr>
                      <m:t>,</m:t>
                    </m:r>
                  </w:ins>
                  <m:sSub>
                    <m:sSubPr>
                      <m:ctrlPr>
                        <w:ins w:id="522" w:author="Alexander Golitschek" w:date="2022-02-20T18:58:00Z">
                          <w:rPr>
                            <w:rFonts w:ascii="Cambria Math" w:hAnsi="Cambria Math" w:eastAsia="宋体"/>
                            <w:szCs w:val="20"/>
                          </w:rPr>
                        </w:ins>
                      </m:ctrlPr>
                    </m:sSubPr>
                    <m:e>
                      <w:ins w:id="523" w:author="Alexander Golitschek" w:date="2022-02-20T18:58:00Z">
                        <m:r>
                          <w:rPr>
                            <w:rFonts w:ascii="Cambria Math" w:hAnsi="Cambria Math" w:eastAsia="宋体"/>
                            <w:szCs w:val="20"/>
                          </w:rPr>
                          <m:t>Y</m:t>
                        </m:r>
                      </w:ins>
                      <m:ctrlPr>
                        <w:ins w:id="524" w:author="Alexander Golitschek" w:date="2022-02-20T18:58:00Z">
                          <w:rPr>
                            <w:rFonts w:ascii="Cambria Math" w:hAnsi="Cambria Math" w:eastAsia="宋体"/>
                            <w:szCs w:val="20"/>
                          </w:rPr>
                        </w:ins>
                      </m:ctrlPr>
                    </m:e>
                    <m:sub>
                      <w:ins w:id="525" w:author="Alexander Golitschek" w:date="2022-02-20T18:58:00Z">
                        <m:r>
                          <w:rPr>
                            <w:rFonts w:ascii="Cambria Math" w:hAnsi="Cambria Math" w:eastAsia="宋体"/>
                            <w:szCs w:val="20"/>
                          </w:rPr>
                          <m:t>s</m:t>
                        </m:r>
                      </w:ins>
                      <m:ctrlPr>
                        <w:ins w:id="526" w:author="Alexander Golitschek" w:date="2022-02-20T18:58:00Z">
                          <w:rPr>
                            <w:rFonts w:ascii="Cambria Math" w:hAnsi="Cambria Math" w:eastAsia="宋体"/>
                            <w:szCs w:val="20"/>
                          </w:rPr>
                        </w:ins>
                      </m:ctrlPr>
                    </m:sub>
                  </m:sSub>
                  <m:ctrlPr>
                    <w:ins w:id="527" w:author="Alexander Golitschek" w:date="2022-02-20T18:58:00Z">
                      <w:rPr>
                        <w:rFonts w:ascii="Cambria Math" w:hAnsi="Cambria Math" w:eastAsia="宋体"/>
                        <w:szCs w:val="20"/>
                      </w:rPr>
                    </w:ins>
                  </m:ctrlPr>
                </m:e>
              </m:d>
              <w:ins w:id="528" w:author="Alexander Golitschek" w:date="2022-02-20T18:58:00Z">
                <m:r>
                  <m:rPr>
                    <m:sty m:val="p"/>
                  </m:rPr>
                  <w:rPr>
                    <w:rFonts w:ascii="Cambria Math" w:hAnsi="Cambria Math" w:eastAsia="宋体"/>
                    <w:szCs w:val="20"/>
                  </w:rPr>
                  <m:t>=(4,1)</m:t>
                </m:r>
              </w:ins>
            </m:oMath>
            <w:ins w:id="529" w:author="Alexander Golitschek" w:date="2022-02-20T18:58:00Z">
              <w:r>
                <w:rPr>
                  <w:rFonts w:eastAsia="宋体"/>
                  <w:szCs w:val="20"/>
                </w:rPr>
                <w:t xml:space="preserve"> for μ =</w:t>
              </w:r>
            </w:ins>
            <w:ins w:id="530" w:author="Alexander Golitschek" w:date="2022-02-20T19:01:00Z">
              <w:r>
                <w:rPr>
                  <w:rFonts w:eastAsia="宋体"/>
                  <w:szCs w:val="20"/>
                </w:rPr>
                <w:t xml:space="preserve"> </w:t>
              </w:r>
            </w:ins>
            <w:ins w:id="531" w:author="Alexander Golitschek" w:date="2022-02-20T18:58:00Z">
              <w:r>
                <w:rPr>
                  <w:rFonts w:eastAsia="宋体"/>
                  <w:szCs w:val="20"/>
                </w:rPr>
                <w:t xml:space="preserve">5 and </w:t>
              </w:r>
            </w:ins>
            <m:oMath>
              <m:d>
                <m:dPr>
                  <m:ctrlPr>
                    <w:ins w:id="532" w:author="Alexander Golitschek" w:date="2022-02-20T18:58:00Z">
                      <w:rPr>
                        <w:rFonts w:ascii="Cambria Math" w:hAnsi="Cambria Math" w:eastAsia="宋体"/>
                        <w:szCs w:val="20"/>
                      </w:rPr>
                    </w:ins>
                  </m:ctrlPr>
                </m:dPr>
                <m:e>
                  <m:sSub>
                    <m:sSubPr>
                      <m:ctrlPr>
                        <w:ins w:id="533" w:author="Alexander Golitschek" w:date="2022-02-20T18:58:00Z">
                          <w:rPr>
                            <w:rFonts w:ascii="Cambria Math" w:hAnsi="Cambria Math" w:eastAsia="宋体"/>
                            <w:szCs w:val="20"/>
                          </w:rPr>
                        </w:ins>
                      </m:ctrlPr>
                    </m:sSubPr>
                    <m:e>
                      <w:ins w:id="534" w:author="Alexander Golitschek" w:date="2022-02-20T18:58:00Z">
                        <m:r>
                          <w:rPr>
                            <w:rFonts w:ascii="Cambria Math" w:hAnsi="Cambria Math" w:eastAsia="宋体"/>
                            <w:szCs w:val="20"/>
                          </w:rPr>
                          <m:t>X</m:t>
                        </m:r>
                      </w:ins>
                      <m:ctrlPr>
                        <w:ins w:id="535" w:author="Alexander Golitschek" w:date="2022-02-20T18:58:00Z">
                          <w:rPr>
                            <w:rFonts w:ascii="Cambria Math" w:hAnsi="Cambria Math" w:eastAsia="宋体"/>
                            <w:szCs w:val="20"/>
                          </w:rPr>
                        </w:ins>
                      </m:ctrlPr>
                    </m:e>
                    <m:sub>
                      <w:ins w:id="536" w:author="Alexander Golitschek" w:date="2022-02-20T18:58:00Z">
                        <m:r>
                          <w:rPr>
                            <w:rFonts w:ascii="Cambria Math" w:hAnsi="Cambria Math" w:eastAsia="宋体"/>
                            <w:szCs w:val="20"/>
                          </w:rPr>
                          <m:t>s</m:t>
                        </m:r>
                      </w:ins>
                      <m:ctrlPr>
                        <w:ins w:id="537" w:author="Alexander Golitschek" w:date="2022-02-20T18:58:00Z">
                          <w:rPr>
                            <w:rFonts w:ascii="Cambria Math" w:hAnsi="Cambria Math" w:eastAsia="宋体"/>
                            <w:szCs w:val="20"/>
                          </w:rPr>
                        </w:ins>
                      </m:ctrlPr>
                    </m:sub>
                  </m:sSub>
                  <w:ins w:id="538" w:author="Alexander Golitschek" w:date="2022-02-20T18:58:00Z">
                    <m:r>
                      <m:rPr>
                        <m:sty m:val="p"/>
                      </m:rPr>
                      <w:rPr>
                        <w:rFonts w:ascii="Cambria Math" w:hAnsi="Cambria Math" w:eastAsia="宋体"/>
                        <w:szCs w:val="20"/>
                      </w:rPr>
                      <m:t>,</m:t>
                    </m:r>
                  </w:ins>
                  <m:sSub>
                    <m:sSubPr>
                      <m:ctrlPr>
                        <w:ins w:id="539" w:author="Alexander Golitschek" w:date="2022-02-20T18:58:00Z">
                          <w:rPr>
                            <w:rFonts w:ascii="Cambria Math" w:hAnsi="Cambria Math" w:eastAsia="宋体"/>
                            <w:szCs w:val="20"/>
                          </w:rPr>
                        </w:ins>
                      </m:ctrlPr>
                    </m:sSubPr>
                    <m:e>
                      <w:ins w:id="540" w:author="Alexander Golitschek" w:date="2022-02-20T18:58:00Z">
                        <m:r>
                          <w:rPr>
                            <w:rFonts w:ascii="Cambria Math" w:hAnsi="Cambria Math" w:eastAsia="宋体"/>
                            <w:szCs w:val="20"/>
                          </w:rPr>
                          <m:t>Y</m:t>
                        </m:r>
                      </w:ins>
                      <m:ctrlPr>
                        <w:ins w:id="541" w:author="Alexander Golitschek" w:date="2022-02-20T18:58:00Z">
                          <w:rPr>
                            <w:rFonts w:ascii="Cambria Math" w:hAnsi="Cambria Math" w:eastAsia="宋体"/>
                            <w:szCs w:val="20"/>
                          </w:rPr>
                        </w:ins>
                      </m:ctrlPr>
                    </m:e>
                    <m:sub>
                      <w:ins w:id="542" w:author="Alexander Golitschek" w:date="2022-02-20T18:58:00Z">
                        <m:r>
                          <w:rPr>
                            <w:rFonts w:ascii="Cambria Math" w:hAnsi="Cambria Math" w:eastAsia="宋体"/>
                            <w:szCs w:val="20"/>
                          </w:rPr>
                          <m:t>s</m:t>
                        </m:r>
                      </w:ins>
                      <m:ctrlPr>
                        <w:ins w:id="543" w:author="Alexander Golitschek" w:date="2022-02-20T18:58:00Z">
                          <w:rPr>
                            <w:rFonts w:ascii="Cambria Math" w:hAnsi="Cambria Math" w:eastAsia="宋体"/>
                            <w:szCs w:val="20"/>
                          </w:rPr>
                        </w:ins>
                      </m:ctrlPr>
                    </m:sub>
                  </m:sSub>
                  <m:ctrlPr>
                    <w:ins w:id="544" w:author="Alexander Golitschek" w:date="2022-02-20T18:58:00Z">
                      <w:rPr>
                        <w:rFonts w:ascii="Cambria Math" w:hAnsi="Cambria Math" w:eastAsia="宋体"/>
                        <w:szCs w:val="20"/>
                      </w:rPr>
                    </w:ins>
                  </m:ctrlPr>
                </m:e>
              </m:d>
              <w:ins w:id="545" w:author="Alexander Golitschek" w:date="2022-02-20T18:58:00Z">
                <m:r>
                  <m:rPr>
                    <m:sty m:val="p"/>
                  </m:rPr>
                  <w:rPr>
                    <w:rFonts w:ascii="Cambria Math" w:hAnsi="Cambria Math" w:eastAsia="宋体"/>
                    <w:szCs w:val="20"/>
                  </w:rPr>
                  <m:t>=(8,1)</m:t>
                </m:r>
              </w:ins>
            </m:oMath>
            <w:ins w:id="546" w:author="Alexander Golitschek" w:date="2022-02-20T18:58:00Z">
              <w:r>
                <w:rPr>
                  <w:rFonts w:eastAsia="宋体"/>
                  <w:szCs w:val="20"/>
                </w:rPr>
                <w:t xml:space="preserve"> for μ </w:t>
              </w:r>
            </w:ins>
            <w:ins w:id="547" w:author="Alexander Golitschek" w:date="2022-02-20T19:01:00Z">
              <w:r>
                <w:rPr>
                  <w:rFonts w:eastAsia="宋体"/>
                  <w:szCs w:val="20"/>
                </w:rPr>
                <w:t>=</w:t>
              </w:r>
            </w:ins>
            <w:ins w:id="548" w:author="Alexander Golitschek" w:date="2022-02-20T19:02:00Z">
              <w:r>
                <w:rPr>
                  <w:rFonts w:eastAsia="宋体"/>
                  <w:szCs w:val="20"/>
                </w:rPr>
                <w:t xml:space="preserve"> </w:t>
              </w:r>
            </w:ins>
            <w:ins w:id="549" w:author="Alexander Golitschek" w:date="2022-02-20T18:58:00Z">
              <w:r>
                <w:rPr>
                  <w:rFonts w:eastAsia="宋体"/>
                  <w:szCs w:val="20"/>
                </w:rPr>
                <w:t>6 as in Tables 10.1-2B and 10.1-3B.</w:t>
              </w:r>
            </w:ins>
          </w:p>
        </w:tc>
      </w:tr>
    </w:tbl>
    <w:p>
      <w:pPr>
        <w:pStyle w:val="212"/>
        <w:numPr>
          <w:ilvl w:val="0"/>
          <w:numId w:val="26"/>
        </w:numPr>
        <w:tabs>
          <w:tab w:val="left" w:pos="0"/>
          <w:tab w:val="clear" w:pos="1304"/>
          <w:tab w:val="clear" w:pos="2722"/>
        </w:tabs>
        <w:spacing w:after="120"/>
        <w:rPr>
          <w:rFonts w:ascii="Times New Roman" w:hAnsi="Times New Roman" w:cs="Times New Roman"/>
          <w:b w:val="0"/>
          <w:bCs w:val="0"/>
        </w:rPr>
      </w:pPr>
      <w:r>
        <w:rPr>
          <w:rFonts w:ascii="Times New Roman" w:hAnsi="Times New Roman" w:cs="Times New Roman" w:eastAsiaTheme="minorEastAsia"/>
          <w:b w:val="0"/>
          <w:bCs w:val="0"/>
          <w:lang w:eastAsia="ja-JP"/>
        </w:rPr>
        <w:t xml:space="preserve">Capture the following description in </w:t>
      </w:r>
      <w:r>
        <w:rPr>
          <w:rFonts w:ascii="Times New Roman" w:hAnsi="Times New Roman" w:cs="Times New Roman"/>
          <w:b w:val="0"/>
          <w:bCs w:val="0"/>
        </w:rPr>
        <w:t>the RRC parameter spreadsheet to RAN2:</w:t>
      </w:r>
    </w:p>
    <w:p>
      <w:pPr>
        <w:pStyle w:val="88"/>
        <w:numPr>
          <w:ilvl w:val="1"/>
          <w:numId w:val="26"/>
        </w:numPr>
        <w:rPr>
          <w:b/>
          <w:bCs/>
          <w:i/>
          <w:iCs/>
        </w:rPr>
      </w:pPr>
      <w:r>
        <w:rPr>
          <w:b/>
          <w:bCs/>
          <w:i/>
          <w:iCs/>
        </w:rPr>
        <w:t>monitoringCapabilityConfig</w:t>
      </w:r>
    </w:p>
    <w:p>
      <w:pPr>
        <w:pStyle w:val="88"/>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t>
      </w:r>
      <w:r>
        <w:rPr>
          <w:color w:val="FF0000"/>
          <w:lang w:eastAsia="sv-SE"/>
        </w:rPr>
        <w:t xml:space="preserve">When present, </w:t>
      </w:r>
      <w:r>
        <w:rPr>
          <w:strike/>
          <w:lang w:eastAsia="sv-SE"/>
        </w:rPr>
        <w:t>For a BWP with SCS configured as 480 or 960 kHz,</w:t>
      </w:r>
      <w:r>
        <w:rPr>
          <w:lang w:eastAsia="sv-SE"/>
        </w:rPr>
        <w:t xml:space="preserve"> the network configures this field with </w:t>
      </w:r>
      <w:r>
        <w:rPr>
          <w:i/>
          <w:lang w:eastAsia="sv-SE"/>
        </w:rPr>
        <w:t xml:space="preserve">r17monitoringcapablity </w:t>
      </w:r>
      <w:r>
        <w:rPr>
          <w:iCs/>
          <w:color w:val="FF0000"/>
          <w:lang w:eastAsia="sv-SE"/>
        </w:rPr>
        <w:t>for a BWP with SCS configured as 480 or 960 kHz SCS</w:t>
      </w:r>
      <w:r>
        <w:rPr>
          <w:lang w:eastAsia="sv-SE"/>
        </w:rPr>
        <w:t>.</w:t>
      </w:r>
    </w:p>
    <w:p>
      <w:pPr>
        <w:rPr>
          <w:lang w:val="en-GB" w:eastAsia="zh-CN"/>
        </w:rPr>
      </w:pP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FFFF" w:themeFill="background1"/>
            <w:vAlign w:val="center"/>
          </w:tcPr>
          <w:p>
            <w:pPr>
              <w:widowControl w:val="0"/>
              <w:rPr>
                <w:lang w:eastAsia="zh-CN"/>
              </w:rPr>
            </w:pPr>
            <w:r>
              <w:rPr>
                <w:lang w:eastAsia="zh-CN"/>
              </w:rPr>
              <w:t>Qualcomm</w:t>
            </w:r>
          </w:p>
        </w:tc>
        <w:tc>
          <w:tcPr>
            <w:tcW w:w="12176" w:type="dxa"/>
            <w:shd w:val="clear" w:color="auto" w:fill="FFFFFF" w:themeFill="background1"/>
            <w:vAlign w:val="center"/>
          </w:tcPr>
          <w:p>
            <w:pPr>
              <w:widowControl w:val="0"/>
              <w:rPr>
                <w:lang w:eastAsia="zh-CN"/>
              </w:rPr>
            </w:pPr>
            <w:r>
              <w:rPr>
                <w:lang w:eastAsia="zh-CN"/>
              </w:rPr>
              <w:t>For the TP, we support A1-4.2a. We share the same view as LGE’s second round comment.</w:t>
            </w:r>
          </w:p>
          <w:p>
            <w:pPr>
              <w:widowControl w:val="0"/>
              <w:rPr>
                <w:lang w:eastAsia="zh-CN"/>
              </w:rPr>
            </w:pPr>
            <w:r>
              <w:rPr>
                <w:lang w:eastAsia="zh-CN"/>
              </w:rPr>
              <w:t xml:space="preserve">For the RRC sheet description, we are fine with the proposal. As LGE commented, we don’t see any reason to make the parameter </w:t>
            </w:r>
            <w:r>
              <w:rPr>
                <w:i/>
                <w:lang w:eastAsia="zh-CN"/>
              </w:rPr>
              <w:t xml:space="preserve">monitoringCapabilityConfig </w:t>
            </w:r>
            <w:r>
              <w:rPr>
                <w:iCs/>
                <w:lang w:eastAsia="zh-CN"/>
              </w:rPr>
              <w:t>mandatory only for 480 kHz and 960 kHz, while the parameter is already optional for other SCSs. Thus, with vivo’s suggested clarification in the first round, our understanding is ‘Understanding 2: For BWP with 480/960KHz SCS, monitoringCapabilityConfig is optionally present. When present, r17monitoringcapablity should be the mandotary 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FFFF" w:themeFill="background1"/>
            <w:vAlign w:val="center"/>
          </w:tcPr>
          <w:p>
            <w:pPr>
              <w:widowControl w:val="0"/>
              <w:rPr>
                <w:sz w:val="20"/>
                <w:lang w:eastAsia="zh-CN"/>
              </w:rPr>
            </w:pPr>
            <w:r>
              <w:rPr>
                <w:sz w:val="20"/>
                <w:lang w:eastAsia="zh-CN"/>
              </w:rPr>
              <w:t>Ericsson</w:t>
            </w:r>
          </w:p>
        </w:tc>
        <w:tc>
          <w:tcPr>
            <w:tcW w:w="12176" w:type="dxa"/>
            <w:shd w:val="clear" w:color="auto" w:fill="FFFFFF" w:themeFill="background1"/>
            <w:vAlign w:val="center"/>
          </w:tcPr>
          <w:p>
            <w:pPr>
              <w:widowControl w:val="0"/>
              <w:rPr>
                <w:sz w:val="20"/>
                <w:lang w:eastAsia="zh-CN"/>
              </w:rPr>
            </w:pPr>
            <w:r>
              <w:rPr>
                <w:sz w:val="20"/>
                <w:lang w:eastAsia="zh-CN"/>
              </w:rPr>
              <w:t>We support that the TP for 38.213 and the field description for 38.331 need to be agreed together as a package.</w:t>
            </w:r>
          </w:p>
          <w:p>
            <w:pPr>
              <w:widowControl w:val="0"/>
              <w:rPr>
                <w:bCs/>
                <w:sz w:val="20"/>
                <w:szCs w:val="20"/>
              </w:rPr>
            </w:pPr>
            <w:r>
              <w:rPr>
                <w:sz w:val="20"/>
                <w:lang w:eastAsia="zh-CN"/>
              </w:rPr>
              <w:t xml:space="preserve">However, we do not support Proposal A1-4.4a since it is based on </w:t>
            </w:r>
            <w:r>
              <w:rPr>
                <w:bCs/>
                <w:sz w:val="20"/>
                <w:szCs w:val="20"/>
              </w:rPr>
              <w:t xml:space="preserve">A1-4.2b. Instead it should be based on A1-4.2a since that TP establishes a default for both 480 and 960 kHz SCS in case </w:t>
            </w:r>
            <w:r>
              <w:rPr>
                <w:bCs/>
                <w:i/>
                <w:iCs/>
                <w:sz w:val="20"/>
                <w:szCs w:val="20"/>
              </w:rPr>
              <w:t>monitoringCapabilityConfig</w:t>
            </w:r>
            <w:r>
              <w:rPr>
                <w:bCs/>
                <w:sz w:val="20"/>
                <w:szCs w:val="20"/>
              </w:rPr>
              <w:t xml:space="preserve"> is not present. Furthermore, the field description for 38.331 should contain "When present …". With these changes, it seems that the concerns from LGE, ZTE, and Lenovo would be addressed.</w:t>
            </w:r>
          </w:p>
          <w:p>
            <w:pPr>
              <w:widowControl w:val="0"/>
              <w:rPr>
                <w:sz w:val="20"/>
                <w:lang w:eastAsia="zh-CN"/>
              </w:rPr>
            </w:pPr>
            <w:r>
              <w:rPr>
                <w:bCs/>
                <w:sz w:val="20"/>
                <w:szCs w:val="20"/>
              </w:rPr>
              <w:t xml:space="preserve">Please see new </w:t>
            </w:r>
            <w:r>
              <w:rPr>
                <w:b/>
                <w:sz w:val="20"/>
                <w:szCs w:val="20"/>
                <w:highlight w:val="yellow"/>
                <w:u w:val="single"/>
              </w:rPr>
              <w:t>Proposal A1-4.4</w:t>
            </w:r>
            <w:r>
              <w:rPr>
                <w:b/>
                <w:color w:val="FF0000"/>
                <w:sz w:val="20"/>
                <w:szCs w:val="20"/>
                <w:highlight w:val="yellow"/>
                <w:u w:val="single"/>
              </w:rPr>
              <w:t>b</w:t>
            </w:r>
            <w:r>
              <w:rPr>
                <w:bCs/>
                <w:sz w:val="20"/>
                <w:szCs w:val="20"/>
              </w:rPr>
              <w:t xml:space="preserve"> </w:t>
            </w:r>
            <w:r>
              <w:rPr>
                <w:sz w:val="20"/>
                <w:lang w:eastAsia="zh-CN"/>
              </w:rPr>
              <w:t>above.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lang w:eastAsia="zh-CN"/>
              </w:rPr>
              <w:t xml:space="preserve">We share the same view with LGE. </w:t>
            </w:r>
            <w:r>
              <w:rPr>
                <w:rFonts w:eastAsia="宋体"/>
                <w:i/>
                <w:szCs w:val="20"/>
              </w:rPr>
              <w:t>monitoringCapabilityConfig</w:t>
            </w:r>
            <w:r>
              <w:rPr>
                <w:lang w:eastAsia="zh-CN"/>
              </w:rPr>
              <w:t xml:space="preserve"> </w:t>
            </w:r>
            <w:r>
              <w:rPr>
                <w:rFonts w:hint="eastAsia"/>
                <w:lang w:eastAsia="zh-CN"/>
              </w:rPr>
              <w:t>is an</w:t>
            </w:r>
            <w:r>
              <w:rPr>
                <w:lang w:eastAsia="zh-CN"/>
              </w:rPr>
              <w:t xml:space="preserve"> optional</w:t>
            </w:r>
            <w:r>
              <w:rPr>
                <w:rFonts w:hint="eastAsia"/>
                <w:lang w:eastAsia="zh-CN"/>
              </w:rPr>
              <w:t xml:space="preserve"> configuration and we do not necessarily need to make it mandatory for 480/960kHz in TS 38.331. In CONNECTED mode, It is possible that the UE is not configured with </w:t>
            </w:r>
            <w:r>
              <w:rPr>
                <w:rFonts w:hint="eastAsia"/>
                <w:i/>
                <w:iCs/>
                <w:lang w:eastAsia="zh-CN"/>
              </w:rPr>
              <w:t xml:space="preserve">monitoringCapabilityConfig </w:t>
            </w:r>
            <w:r>
              <w:rPr>
                <w:rFonts w:eastAsia="Times New Roman"/>
                <w:szCs w:val="20"/>
                <w:lang w:eastAsia="en-GB"/>
              </w:rPr>
              <w:t>for μ = 6</w:t>
            </w:r>
            <w:r>
              <w:rPr>
                <w:rFonts w:hint="eastAsia" w:eastAsia="宋体"/>
                <w:szCs w:val="20"/>
                <w:lang w:eastAsia="zh-CN"/>
              </w:rPr>
              <w:t xml:space="preserve"> </w:t>
            </w:r>
            <w:r>
              <w:rPr>
                <w:rFonts w:hint="eastAsia"/>
                <w:lang w:eastAsia="zh-CN"/>
              </w:rPr>
              <w:t xml:space="preserve">. Approving Proposal A1-4.4a will not only have TP impact but also RRC parameter impact. </w:t>
            </w:r>
          </w:p>
          <w:p>
            <w:pPr>
              <w:widowControl w:val="0"/>
              <w:rPr>
                <w:lang w:eastAsia="zh-CN"/>
              </w:rPr>
            </w:pPr>
            <w:r>
              <w:rPr>
                <w:rFonts w:hint="eastAsia"/>
                <w:lang w:eastAsia="zh-CN"/>
              </w:rPr>
              <w:t xml:space="preserve">We support the new Proposal A1-4.4b that Ericsson made, as long as we </w:t>
            </w:r>
            <w:r>
              <w:rPr>
                <w:rFonts w:hint="eastAsia" w:eastAsia="宋体"/>
                <w:szCs w:val="20"/>
                <w:lang w:eastAsia="zh-CN"/>
              </w:rPr>
              <w:t xml:space="preserve">clarify </w:t>
            </w:r>
            <m:oMath>
              <m:d>
                <m:dPr>
                  <m:ctrlPr>
                    <w:rPr>
                      <w:rFonts w:ascii="Cambria Math" w:hAnsi="Cambria Math" w:eastAsia="Times New Roman"/>
                      <w:szCs w:val="20"/>
                      <w:lang w:eastAsia="en-GB"/>
                    </w:rPr>
                  </m:ctrlPr>
                </m:dPr>
                <m:e>
                  <m:sSub>
                    <m:sSubPr>
                      <m:ctrlPr>
                        <w:rPr>
                          <w:rFonts w:ascii="Cambria Math" w:hAnsi="Cambria Math" w:eastAsia="Times New Roman"/>
                          <w:szCs w:val="20"/>
                          <w:lang w:eastAsia="en-GB"/>
                        </w:rPr>
                      </m:ctrlPr>
                    </m:sSubPr>
                    <m:e>
                      <m:r>
                        <w:rPr>
                          <w:rFonts w:ascii="Cambria Math" w:hAnsi="Cambria Math" w:eastAsia="Times New Roman"/>
                          <w:szCs w:val="20"/>
                          <w:lang w:eastAsia="en-GB"/>
                        </w:rPr>
                        <m:t>X</m:t>
                      </m:r>
                      <m:ctrlPr>
                        <w:rPr>
                          <w:rFonts w:ascii="Cambria Math" w:hAnsi="Cambria Math" w:eastAsia="Times New Roman"/>
                          <w:szCs w:val="20"/>
                          <w:lang w:eastAsia="en-GB"/>
                        </w:rPr>
                      </m:ctrlPr>
                    </m:e>
                    <m:sub>
                      <m:r>
                        <w:rPr>
                          <w:rFonts w:ascii="Cambria Math" w:hAnsi="Cambria Math" w:eastAsia="Times New Roman"/>
                          <w:szCs w:val="20"/>
                          <w:lang w:eastAsia="en-GB"/>
                        </w:rPr>
                        <m:t>s</m:t>
                      </m:r>
                      <m:ctrlPr>
                        <w:rPr>
                          <w:rFonts w:ascii="Cambria Math" w:hAnsi="Cambria Math" w:eastAsia="Times New Roman"/>
                          <w:szCs w:val="20"/>
                          <w:lang w:eastAsia="en-GB"/>
                        </w:rPr>
                      </m:ctrlPr>
                    </m:sub>
                  </m:sSub>
                  <m:r>
                    <m:rPr>
                      <m:sty m:val="p"/>
                    </m:rPr>
                    <w:rPr>
                      <w:rFonts w:ascii="Cambria Math" w:hAnsi="Cambria Math" w:eastAsia="Times New Roman"/>
                      <w:szCs w:val="20"/>
                      <w:lang w:eastAsia="en-GB"/>
                    </w:rPr>
                    <m:t>,</m:t>
                  </m:r>
                  <m:sSub>
                    <m:sSubPr>
                      <m:ctrlPr>
                        <w:rPr>
                          <w:rFonts w:ascii="Cambria Math" w:hAnsi="Cambria Math" w:eastAsia="Times New Roman"/>
                          <w:szCs w:val="20"/>
                          <w:lang w:eastAsia="en-GB"/>
                        </w:rPr>
                      </m:ctrlPr>
                    </m:sSubPr>
                    <m:e>
                      <m:r>
                        <w:rPr>
                          <w:rFonts w:ascii="Cambria Math" w:hAnsi="Cambria Math" w:eastAsia="Times New Roman"/>
                          <w:szCs w:val="20"/>
                          <w:lang w:eastAsia="en-GB"/>
                        </w:rPr>
                        <m:t>Y</m:t>
                      </m:r>
                      <m:ctrlPr>
                        <w:rPr>
                          <w:rFonts w:ascii="Cambria Math" w:hAnsi="Cambria Math" w:eastAsia="Times New Roman"/>
                          <w:szCs w:val="20"/>
                          <w:lang w:eastAsia="en-GB"/>
                        </w:rPr>
                      </m:ctrlPr>
                    </m:e>
                    <m:sub>
                      <m:r>
                        <w:rPr>
                          <w:rFonts w:ascii="Cambria Math" w:hAnsi="Cambria Math" w:eastAsia="Times New Roman"/>
                          <w:szCs w:val="20"/>
                          <w:lang w:eastAsia="en-GB"/>
                        </w:rPr>
                        <m:t>s</m:t>
                      </m:r>
                      <m:ctrlPr>
                        <w:rPr>
                          <w:rFonts w:ascii="Cambria Math" w:hAnsi="Cambria Math" w:eastAsia="Times New Roman"/>
                          <w:szCs w:val="20"/>
                          <w:lang w:eastAsia="en-GB"/>
                        </w:rPr>
                      </m:ctrlPr>
                    </m:sub>
                  </m:sSub>
                  <m:ctrlPr>
                    <w:rPr>
                      <w:rFonts w:ascii="Cambria Math" w:hAnsi="Cambria Math" w:eastAsia="Times New Roman"/>
                      <w:szCs w:val="20"/>
                      <w:lang w:eastAsia="en-GB"/>
                    </w:rPr>
                  </m:ctrlPr>
                </m:e>
              </m:d>
              <m:r>
                <m:rPr>
                  <m:sty m:val="p"/>
                </m:rPr>
                <w:rPr>
                  <w:rFonts w:ascii="Cambria Math" w:hAnsi="Cambria Math" w:eastAsia="Times New Roman"/>
                  <w:szCs w:val="20"/>
                  <w:lang w:eastAsia="en-GB"/>
                </w:rPr>
                <m:t>=(8,1)</m:t>
              </m:r>
            </m:oMath>
            <w:r>
              <w:rPr>
                <w:rFonts w:eastAsia="Times New Roman"/>
                <w:szCs w:val="20"/>
                <w:lang w:eastAsia="en-GB"/>
              </w:rPr>
              <w:t xml:space="preserve"> for μ = 6</w:t>
            </w:r>
            <w:r>
              <w:rPr>
                <w:rFonts w:hint="eastAsia" w:eastAsia="宋体"/>
                <w:szCs w:val="20"/>
                <w:lang w:eastAsia="zh-CN"/>
              </w:rPr>
              <w:t xml:space="preserve"> if the UE is not provided </w:t>
            </w:r>
            <w:r>
              <w:rPr>
                <w:rFonts w:eastAsia="宋体"/>
                <w:i/>
                <w:szCs w:val="20"/>
              </w:rPr>
              <w:t>monitoringCapabilityConfig</w:t>
            </w:r>
            <w:r>
              <w:rPr>
                <w:rFonts w:hint="eastAsia"/>
                <w:lang w:eastAsia="zh-CN"/>
              </w:rPr>
              <w:t xml:space="preserve">, </w:t>
            </w:r>
            <w:r>
              <w:rPr>
                <w:lang w:eastAsia="zh-CN"/>
              </w:rPr>
              <w:t xml:space="preserve">there </w:t>
            </w:r>
            <w:r>
              <w:rPr>
                <w:rFonts w:hint="eastAsia"/>
                <w:lang w:eastAsia="zh-CN"/>
              </w:rPr>
              <w:t>will</w:t>
            </w:r>
            <w:r>
              <w:rPr>
                <w:lang w:eastAsia="zh-CN"/>
              </w:rPr>
              <w:t xml:space="preserve"> be no additional impact</w:t>
            </w:r>
            <w:r>
              <w:rPr>
                <w:rFonts w:hint="eastAsia"/>
                <w:lang w:eastAsia="zh-CN"/>
              </w:rPr>
              <w:t>s on the RRC parameter.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LG Electronics</w:t>
            </w:r>
          </w:p>
        </w:tc>
        <w:tc>
          <w:tcPr>
            <w:tcW w:w="12176" w:type="dxa"/>
            <w:vAlign w:val="center"/>
          </w:tcPr>
          <w:p>
            <w:pPr>
              <w:widowControl w:val="0"/>
              <w:rPr>
                <w:lang w:eastAsia="zh-CN"/>
              </w:rPr>
            </w:pPr>
            <w:r>
              <w:rPr>
                <w:lang w:eastAsia="zh-CN"/>
              </w:rPr>
              <w:t>We are OK with Proposal A1-4.4b proposed by Ericsson above.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lang w:eastAsia="zh-CN"/>
              </w:rPr>
              <w:t>Generally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lang w:eastAsia="zh-CN"/>
              </w:rPr>
            </w:pPr>
            <w:r>
              <w:rPr>
                <w:rFonts w:hint="eastAsia"/>
                <w:lang w:eastAsia="zh-CN"/>
              </w:rPr>
              <w:t>W</w:t>
            </w:r>
            <w:r>
              <w:rPr>
                <w:lang w:eastAsia="zh-CN"/>
              </w:rPr>
              <w:t>e support Proposal A1-4.4b if it is the following understanding.</w:t>
            </w:r>
          </w:p>
          <w:p>
            <w:pPr>
              <w:widowControl w:val="0"/>
              <w:rPr>
                <w:lang w:eastAsia="zh-CN"/>
              </w:rPr>
            </w:pPr>
            <w:r>
              <w:rPr>
                <w:rFonts w:hint="eastAsia"/>
                <w:sz w:val="20"/>
                <w:lang w:eastAsia="zh-CN"/>
              </w:rPr>
              <w:t>U</w:t>
            </w:r>
            <w:r>
              <w:rPr>
                <w:sz w:val="20"/>
                <w:lang w:eastAsia="zh-CN"/>
              </w:rPr>
              <w:t xml:space="preserve">nderstanding 2: For BWP with 480/960KHz SCS, </w:t>
            </w:r>
            <w:r>
              <w:rPr>
                <w:b/>
                <w:bCs/>
                <w:i/>
                <w:iCs/>
              </w:rPr>
              <w:t>monitoringCapabilityConfig</w:t>
            </w:r>
            <w:r>
              <w:rPr>
                <w:b/>
                <w:bCs/>
              </w:rPr>
              <w:t xml:space="preserve"> </w:t>
            </w:r>
            <w:r>
              <w:rPr>
                <w:sz w:val="20"/>
                <w:lang w:eastAsia="zh-CN"/>
              </w:rPr>
              <w:t xml:space="preserve">is optionally present. When present, </w:t>
            </w:r>
            <w:r>
              <w:rPr>
                <w:i/>
                <w:color w:val="FF0000"/>
                <w:lang w:eastAsia="sv-SE"/>
              </w:rPr>
              <w:t>r17monitoringcapablity</w:t>
            </w:r>
            <w:r>
              <w:rPr>
                <w:iCs/>
                <w:color w:val="FF0000"/>
                <w:lang w:eastAsia="sv-SE"/>
              </w:rPr>
              <w:t xml:space="preserve"> </w:t>
            </w:r>
            <w:r>
              <w:rPr>
                <w:sz w:val="20"/>
                <w:lang w:eastAsia="zh-CN"/>
              </w:rPr>
              <w:t>should be the mandotary 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lang w:eastAsia="zh-CN"/>
              </w:rPr>
            </w:pPr>
            <w:r>
              <w:rPr>
                <w:rFonts w:eastAsia="MS Mincho"/>
                <w:lang w:eastAsia="ja-JP"/>
              </w:rPr>
              <w:t>We support Proposal A1-4.4b by Ericsson, if  vivo’s suggested clarification “</w:t>
            </w:r>
            <w:r>
              <w:rPr>
                <w:iCs/>
                <w:lang w:eastAsia="zh-CN"/>
              </w:rPr>
              <w:t>Understanding 2: For BWP with 480/960KHz SCS, monitoringCapabilityConfig is optionally present. When present, r17monitoringcapablity should be the mandotary value.</w:t>
            </w:r>
            <w:r>
              <w:rPr>
                <w:rFonts w:eastAsia="MS Mincho"/>
                <w:lang w:eastAsia="ja-JP"/>
              </w:rPr>
              <w:t>” is the common understanding.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Apple</w:t>
            </w:r>
          </w:p>
        </w:tc>
        <w:tc>
          <w:tcPr>
            <w:tcW w:w="12176" w:type="dxa"/>
            <w:vAlign w:val="center"/>
          </w:tcPr>
          <w:p>
            <w:pPr>
              <w:widowControl w:val="0"/>
              <w:rPr>
                <w:rFonts w:eastAsia="MS Mincho"/>
                <w:lang w:eastAsia="ja-JP"/>
              </w:rPr>
            </w:pPr>
            <w:r>
              <w:rPr>
                <w:rFonts w:eastAsia="MS Mincho"/>
                <w:lang w:eastAsia="ja-JP"/>
              </w:rPr>
              <w:t>We are fine the Proposal A1-4.4b with the condition highlighted by Vivo.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Intel</w:t>
            </w:r>
          </w:p>
        </w:tc>
        <w:tc>
          <w:tcPr>
            <w:tcW w:w="12176" w:type="dxa"/>
            <w:vAlign w:val="center"/>
          </w:tcPr>
          <w:p>
            <w:pPr>
              <w:widowControl w:val="0"/>
              <w:rPr>
                <w:rFonts w:eastAsia="MS Mincho"/>
                <w:lang w:eastAsia="zh-CN"/>
              </w:rPr>
            </w:pPr>
            <w:r>
              <w:rPr>
                <w:rFonts w:eastAsia="MS Mincho"/>
                <w:lang w:eastAsia="ja-JP"/>
              </w:rPr>
              <w:t xml:space="preserve">With Proposal A1-4.4b, does it mean gNB may not configure </w:t>
            </w:r>
            <w:r>
              <w:rPr>
                <w:i/>
                <w:iCs/>
              </w:rPr>
              <w:t xml:space="preserve">monitoringCapabilityConfig </w:t>
            </w:r>
            <w:r>
              <w:t xml:space="preserve">for a </w:t>
            </w:r>
            <w:r>
              <w:rPr>
                <w:sz w:val="20"/>
                <w:lang w:eastAsia="zh-CN"/>
              </w:rPr>
              <w:t xml:space="preserve">BWP with 480/960KHz SCS after RRC connection? Then, for CA operation, the specification needs to define behavior for both cases that </w:t>
            </w:r>
            <w:r>
              <w:rPr>
                <w:i/>
                <w:iCs/>
              </w:rPr>
              <w:t xml:space="preserve">monitoringCapabilityConfig </w:t>
            </w:r>
            <w:r>
              <w:rPr>
                <w:sz w:val="20"/>
                <w:lang w:eastAsia="zh-CN"/>
              </w:rPr>
              <w:t>is configured or not configured.</w:t>
            </w:r>
            <w:r>
              <w:t xml:space="preserve"> If the understanding is correct, it seems complicate the specification. In this sense,</w:t>
            </w:r>
            <w:r>
              <w:rPr>
                <w:rFonts w:hint="eastAsia"/>
                <w:lang w:eastAsia="zh-CN"/>
              </w:rPr>
              <w:t xml:space="preserve"> </w:t>
            </w:r>
            <w:r>
              <w:rPr>
                <w:lang w:eastAsia="zh-CN"/>
              </w:rPr>
              <w:t xml:space="preserve">Proposal A1-4.4a is preferred since it limitation no configuraton of </w:t>
            </w:r>
            <w:r>
              <w:rPr>
                <w:i/>
                <w:iCs/>
              </w:rPr>
              <w:t xml:space="preserve">monitoringCapabilityConfig </w:t>
            </w:r>
            <w:r>
              <w:t xml:space="preserve">to before RRC connection only. It is just single cell operation before RRC connection, which avoids additional specification impact.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Samsung</w:t>
            </w:r>
          </w:p>
        </w:tc>
        <w:tc>
          <w:tcPr>
            <w:tcW w:w="12176" w:type="dxa"/>
            <w:vAlign w:val="center"/>
          </w:tcPr>
          <w:p>
            <w:pPr>
              <w:widowControl w:val="0"/>
              <w:rPr>
                <w:rFonts w:eastAsia="MS Mincho"/>
                <w:lang w:eastAsia="ja-JP"/>
              </w:rPr>
            </w:pPr>
            <w:r>
              <w:rPr>
                <w:rFonts w:eastAsia="MS Mincho"/>
                <w:lang w:eastAsia="ja-JP"/>
              </w:rPr>
              <w:t xml:space="preserve">We agree to consider these two proposals as a package. We are ok with A1-4.4b with the understanding same as vivo.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Futurewei</w:t>
            </w:r>
          </w:p>
        </w:tc>
        <w:tc>
          <w:tcPr>
            <w:tcW w:w="12176" w:type="dxa"/>
            <w:vAlign w:val="center"/>
          </w:tcPr>
          <w:p>
            <w:pPr>
              <w:widowControl w:val="0"/>
              <w:rPr>
                <w:rFonts w:eastAsia="MS Mincho"/>
                <w:lang w:eastAsia="ja-JP"/>
              </w:rPr>
            </w:pPr>
            <w:r>
              <w:rPr>
                <w:rFonts w:eastAsia="MS Mincho"/>
                <w:lang w:eastAsia="ja-JP"/>
              </w:rPr>
              <w:t>We are OK with the Proposal A1-4.4b with vivo clarification.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FFFF" w:themeFill="background1"/>
            <w:vAlign w:val="center"/>
          </w:tcPr>
          <w:p>
            <w:pPr>
              <w:widowControl w:val="0"/>
              <w:rPr>
                <w:rFonts w:eastAsia="MS Mincho"/>
                <w:lang w:eastAsia="ja-JP"/>
              </w:rPr>
            </w:pPr>
            <w:r>
              <w:rPr>
                <w:rFonts w:eastAsia="MS Mincho"/>
                <w:lang w:eastAsia="ja-JP"/>
              </w:rPr>
              <w:t>Huawei, HiSilicon</w:t>
            </w:r>
          </w:p>
        </w:tc>
        <w:tc>
          <w:tcPr>
            <w:tcW w:w="12176" w:type="dxa"/>
            <w:shd w:val="clear" w:color="auto" w:fill="FFFFFF" w:themeFill="background1"/>
            <w:vAlign w:val="center"/>
          </w:tcPr>
          <w:p>
            <w:pPr>
              <w:widowControl w:val="0"/>
              <w:rPr>
                <w:rFonts w:eastAsia="MS Mincho"/>
                <w:szCs w:val="20"/>
              </w:rPr>
            </w:pPr>
            <w:r>
              <w:rPr>
                <w:rFonts w:eastAsia="MS Mincho"/>
                <w:lang w:eastAsia="ja-JP"/>
              </w:rPr>
              <w:t>We cannot agree with proposal Proposal A1-4.4b/</w:t>
            </w:r>
            <w:r>
              <w:rPr>
                <w:lang w:eastAsia="zh-CN"/>
              </w:rPr>
              <w:t xml:space="preserve">A1-4.4c as it is. </w:t>
            </w:r>
            <w:r>
              <w:rPr>
                <w:rFonts w:eastAsia="MS Mincho"/>
                <w:lang w:eastAsia="ja-JP"/>
              </w:rPr>
              <w:t xml:space="preserve">Proposal A1-4.4c extends the default monitoring behavior which concerns the initial access UE and RRC_IDLE to mu=6. It is understandable for us if companies want to extend the default behavior to the RRC_CONNECTED case and not to support </w:t>
            </w:r>
            <w:ins w:id="550" w:author="Alexander Golitschek" w:date="2022-02-20T18:58:00Z">
              <w:r>
                <w:rPr>
                  <w:rFonts w:eastAsia="MS Mincho"/>
                  <w:lang w:eastAsia="ja-JP"/>
                </w:rPr>
                <w:t>monitoringCapabilityConfig</w:t>
              </w:r>
            </w:ins>
            <w:r>
              <w:rPr>
                <w:rFonts w:eastAsia="MS Mincho"/>
                <w:lang w:eastAsia="ja-JP"/>
              </w:rPr>
              <w:t xml:space="preserve"> as a mandatory field, however this should not come at the cost of having a RRC_IDLE UE or initial access UE to monitor PDCCH according to </w:t>
            </w:r>
            <m:oMath>
              <m:d>
                <m:dPr>
                  <m:ctrlPr>
                    <w:ins w:id="551" w:author="Alexander Golitschek" w:date="2022-02-20T18:58:00Z">
                      <w:rPr>
                        <w:rFonts w:ascii="Cambria Math" w:hAnsi="Cambria Math" w:eastAsia="宋体"/>
                        <w:szCs w:val="20"/>
                      </w:rPr>
                    </w:ins>
                  </m:ctrlPr>
                </m:dPr>
                <m:e>
                  <m:sSub>
                    <m:sSubPr>
                      <m:ctrlPr>
                        <w:ins w:id="552" w:author="Alexander Golitschek" w:date="2022-02-20T18:58:00Z">
                          <w:rPr>
                            <w:rFonts w:ascii="Cambria Math" w:hAnsi="Cambria Math" w:eastAsia="宋体"/>
                            <w:szCs w:val="20"/>
                          </w:rPr>
                        </w:ins>
                      </m:ctrlPr>
                    </m:sSubPr>
                    <m:e>
                      <w:ins w:id="553" w:author="Alexander Golitschek" w:date="2022-02-20T18:58:00Z">
                        <m:r>
                          <w:rPr>
                            <w:rFonts w:ascii="Cambria Math" w:hAnsi="Cambria Math" w:eastAsia="宋体"/>
                            <w:szCs w:val="20"/>
                          </w:rPr>
                          <m:t>X</m:t>
                        </m:r>
                      </w:ins>
                      <m:ctrlPr>
                        <w:ins w:id="554" w:author="Alexander Golitschek" w:date="2022-02-20T18:58:00Z">
                          <w:rPr>
                            <w:rFonts w:ascii="Cambria Math" w:hAnsi="Cambria Math" w:eastAsia="宋体"/>
                            <w:szCs w:val="20"/>
                          </w:rPr>
                        </w:ins>
                      </m:ctrlPr>
                    </m:e>
                    <m:sub>
                      <w:ins w:id="555" w:author="Alexander Golitschek" w:date="2022-02-20T18:58:00Z">
                        <m:r>
                          <w:rPr>
                            <w:rFonts w:ascii="Cambria Math" w:hAnsi="Cambria Math" w:eastAsia="宋体"/>
                            <w:szCs w:val="20"/>
                          </w:rPr>
                          <m:t>s</m:t>
                        </m:r>
                      </w:ins>
                      <m:ctrlPr>
                        <w:ins w:id="556" w:author="Alexander Golitschek" w:date="2022-02-20T18:58:00Z">
                          <w:rPr>
                            <w:rFonts w:ascii="Cambria Math" w:hAnsi="Cambria Math" w:eastAsia="宋体"/>
                            <w:szCs w:val="20"/>
                          </w:rPr>
                        </w:ins>
                      </m:ctrlPr>
                    </m:sub>
                  </m:sSub>
                  <w:ins w:id="557" w:author="Alexander Golitschek" w:date="2022-02-20T18:58:00Z">
                    <m:r>
                      <m:rPr>
                        <m:sty m:val="p"/>
                      </m:rPr>
                      <w:rPr>
                        <w:rFonts w:ascii="Cambria Math" w:hAnsi="Cambria Math" w:eastAsia="宋体"/>
                        <w:szCs w:val="20"/>
                      </w:rPr>
                      <m:t>,</m:t>
                    </m:r>
                  </w:ins>
                  <m:sSub>
                    <m:sSubPr>
                      <m:ctrlPr>
                        <w:ins w:id="558" w:author="Alexander Golitschek" w:date="2022-02-20T18:58:00Z">
                          <w:rPr>
                            <w:rFonts w:ascii="Cambria Math" w:hAnsi="Cambria Math" w:eastAsia="宋体"/>
                            <w:szCs w:val="20"/>
                          </w:rPr>
                        </w:ins>
                      </m:ctrlPr>
                    </m:sSubPr>
                    <m:e>
                      <w:ins w:id="559" w:author="Alexander Golitschek" w:date="2022-02-20T18:58:00Z">
                        <m:r>
                          <w:rPr>
                            <w:rFonts w:ascii="Cambria Math" w:hAnsi="Cambria Math" w:eastAsia="宋体"/>
                            <w:szCs w:val="20"/>
                          </w:rPr>
                          <m:t>Y</m:t>
                        </m:r>
                      </w:ins>
                      <m:ctrlPr>
                        <w:ins w:id="560" w:author="Alexander Golitschek" w:date="2022-02-20T18:58:00Z">
                          <w:rPr>
                            <w:rFonts w:ascii="Cambria Math" w:hAnsi="Cambria Math" w:eastAsia="宋体"/>
                            <w:szCs w:val="20"/>
                          </w:rPr>
                        </w:ins>
                      </m:ctrlPr>
                    </m:e>
                    <m:sub>
                      <w:ins w:id="561" w:author="Alexander Golitschek" w:date="2022-02-20T18:58:00Z">
                        <m:r>
                          <w:rPr>
                            <w:rFonts w:ascii="Cambria Math" w:hAnsi="Cambria Math" w:eastAsia="宋体"/>
                            <w:szCs w:val="20"/>
                          </w:rPr>
                          <m:t>s</m:t>
                        </m:r>
                      </w:ins>
                      <m:ctrlPr>
                        <w:ins w:id="562" w:author="Alexander Golitschek" w:date="2022-02-20T18:58:00Z">
                          <w:rPr>
                            <w:rFonts w:ascii="Cambria Math" w:hAnsi="Cambria Math" w:eastAsia="宋体"/>
                            <w:szCs w:val="20"/>
                          </w:rPr>
                        </w:ins>
                      </m:ctrlPr>
                    </m:sub>
                  </m:sSub>
                  <m:ctrlPr>
                    <w:ins w:id="563" w:author="Alexander Golitschek" w:date="2022-02-20T18:58:00Z">
                      <w:rPr>
                        <w:rFonts w:ascii="Cambria Math" w:hAnsi="Cambria Math" w:eastAsia="宋体"/>
                        <w:szCs w:val="20"/>
                      </w:rPr>
                    </w:ins>
                  </m:ctrlPr>
                </m:e>
              </m:d>
              <w:ins w:id="564" w:author="Alexander Golitschek" w:date="2022-02-20T18:58:00Z">
                <m:r>
                  <m:rPr>
                    <m:sty m:val="p"/>
                  </m:rPr>
                  <w:rPr>
                    <w:rFonts w:ascii="Cambria Math" w:hAnsi="Cambria Math" w:eastAsia="宋体"/>
                    <w:szCs w:val="20"/>
                  </w:rPr>
                  <m:t>=(8,1)</m:t>
                </m:r>
              </w:ins>
            </m:oMath>
            <w:r>
              <w:rPr>
                <w:rFonts w:eastAsia="MS Mincho"/>
                <w:szCs w:val="20"/>
              </w:rPr>
              <w:t xml:space="preserve"> for mu=6. </w:t>
            </w:r>
          </w:p>
          <w:p>
            <w:pPr>
              <w:widowControl w:val="0"/>
              <w:rPr>
                <w:rFonts w:eastAsia="MS Mincho"/>
                <w:szCs w:val="20"/>
              </w:rPr>
            </w:pPr>
            <w:r>
              <w:rPr>
                <w:rFonts w:eastAsia="MS Mincho"/>
                <w:szCs w:val="20"/>
              </w:rPr>
              <w:t xml:space="preserve">We cannot agree with any text that opens the door for an Idle UE or </w:t>
            </w:r>
            <w:r>
              <w:rPr>
                <w:rFonts w:eastAsia="MS Mincho"/>
                <w:lang w:eastAsia="ja-JP"/>
              </w:rPr>
              <w:t xml:space="preserve">initial access UE to monitor PDCCH </w:t>
            </w:r>
            <w:r>
              <w:rPr>
                <w:rFonts w:eastAsia="MS Mincho"/>
                <w:szCs w:val="20"/>
              </w:rPr>
              <w:t>for mu=6.</w:t>
            </w:r>
          </w:p>
          <w:p>
            <w:pPr>
              <w:widowControl w:val="0"/>
              <w:rPr>
                <w:rFonts w:eastAsia="MS Mincho"/>
                <w:szCs w:val="20"/>
              </w:rPr>
            </w:pPr>
          </w:p>
          <w:p>
            <w:pPr>
              <w:widowControl w:val="0"/>
              <w:rPr>
                <w:rFonts w:eastAsia="MS Mincho"/>
                <w:szCs w:val="20"/>
              </w:rPr>
            </w:pPr>
            <w:r>
              <w:rPr>
                <w:rFonts w:eastAsia="MS Mincho"/>
                <w:szCs w:val="20"/>
              </w:rPr>
              <w:t>As a compromise, we can suggest the following:</w:t>
            </w:r>
          </w:p>
          <w:p>
            <w:pPr>
              <w:widowControl w:val="0"/>
              <w:rPr>
                <w:bCs/>
                <w:sz w:val="20"/>
                <w:szCs w:val="20"/>
              </w:rPr>
            </w:pPr>
            <w:r>
              <w:rPr>
                <w:b/>
                <w:sz w:val="20"/>
                <w:szCs w:val="20"/>
                <w:highlight w:val="yellow"/>
                <w:u w:val="single"/>
              </w:rPr>
              <w:t>Proposal A1-4.4c</w:t>
            </w:r>
            <w:ins w:id="565" w:author="Keyvan2" w:date="2022-02-24T23:40:00Z">
              <w:r>
                <w:rPr>
                  <w:b/>
                  <w:sz w:val="20"/>
                  <w:szCs w:val="20"/>
                  <w:u w:val="single"/>
                </w:rPr>
                <w:t xml:space="preserve"> (modified)</w:t>
              </w:r>
            </w:ins>
          </w:p>
          <w:p>
            <w:pPr>
              <w:pStyle w:val="82"/>
              <w:widowControl w:val="0"/>
              <w:numPr>
                <w:ilvl w:val="0"/>
                <w:numId w:val="26"/>
              </w:numPr>
              <w:rPr>
                <w:bCs/>
              </w:rPr>
            </w:pPr>
            <w:r>
              <w:rPr>
                <w:bCs/>
              </w:rPr>
              <w:t>Change TS 38.213 Clause 10 as follows:</w:t>
            </w:r>
          </w:p>
          <w:tbl>
            <w:tblPr>
              <w:tblStyle w:val="55"/>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9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vAlign w:val="center"/>
                </w:tcPr>
                <w:p>
                  <w:pPr>
                    <w:widowControl w:val="0"/>
                    <w:rPr>
                      <w:rFonts w:eastAsia="宋体"/>
                      <w:szCs w:val="20"/>
                    </w:rPr>
                  </w:pPr>
                  <w:r>
                    <w:rPr>
                      <w:rFonts w:eastAsia="宋体"/>
                      <w:szCs w:val="20"/>
                    </w:rPr>
                    <w:t xml:space="preserve">If a UE is provided </w:t>
                  </w:r>
                  <w:r>
                    <w:rPr>
                      <w:rFonts w:eastAsia="宋体"/>
                      <w:i/>
                      <w:szCs w:val="20"/>
                    </w:rPr>
                    <w:t>monitoringCapabilityConfig</w:t>
                  </w:r>
                  <w:r>
                    <w:rPr>
                      <w:rFonts w:eastAsia="宋体"/>
                      <w:szCs w:val="20"/>
                    </w:rPr>
                    <w:t xml:space="preserve"> for a</w:t>
                  </w:r>
                  <w:ins w:id="566" w:author="Alexander Golitschek" w:date="2022-02-20T19:09:00Z">
                    <w:r>
                      <w:rPr>
                        <w:rFonts w:eastAsia="宋体"/>
                        <w:szCs w:val="20"/>
                      </w:rPr>
                      <w:t>n active DL BWP of a</w:t>
                    </w:r>
                  </w:ins>
                  <w:r>
                    <w:rPr>
                      <w:rFonts w:eastAsia="宋体"/>
                      <w:szCs w:val="20"/>
                    </w:rPr>
                    <w:t xml:space="preserve"> serving cell, the UE obtains an indication to monitor PDCCH on </w:t>
                  </w:r>
                  <w:ins w:id="567" w:author="Alexander Golitschek" w:date="2022-02-20T19:12:00Z">
                    <w:r>
                      <w:rPr>
                        <w:rFonts w:eastAsia="宋体"/>
                        <w:szCs w:val="20"/>
                      </w:rPr>
                      <w:t xml:space="preserve">the active DL BWP of </w:t>
                    </w:r>
                  </w:ins>
                  <w:r>
                    <w:rPr>
                      <w:rFonts w:eastAsia="宋体"/>
                      <w:szCs w:val="20"/>
                    </w:rPr>
                    <w:t xml:space="preserve">the serving cell for a maximum number of PDCCH candidates and non-overlapping CCEs </w:t>
                  </w:r>
                </w:p>
                <w:p>
                  <w:pPr>
                    <w:widowControl w:val="0"/>
                    <w:rPr>
                      <w:rFonts w:eastAsia="宋体"/>
                      <w:szCs w:val="20"/>
                    </w:rPr>
                  </w:pPr>
                  <w:r>
                    <w:rPr>
                      <w:rFonts w:eastAsia="宋体"/>
                      <w:szCs w:val="20"/>
                    </w:rPr>
                    <w:t>-</w:t>
                  </w:r>
                  <w:r>
                    <w:rPr>
                      <w:rFonts w:eastAsia="宋体"/>
                      <w:szCs w:val="20"/>
                    </w:rPr>
                    <w:tab/>
                  </w:r>
                  <w:r>
                    <w:rPr>
                      <w:rFonts w:eastAsia="宋体"/>
                      <w:szCs w:val="20"/>
                    </w:rPr>
                    <w:t xml:space="preserve">per slot, as in Tables 10.1-2 and 10.1-3, if </w:t>
                  </w:r>
                  <w:r>
                    <w:rPr>
                      <w:rFonts w:eastAsia="宋体"/>
                      <w:i/>
                      <w:szCs w:val="20"/>
                    </w:rPr>
                    <w:t>monitoringCapabilityConfig</w:t>
                  </w:r>
                  <w:r>
                    <w:rPr>
                      <w:rFonts w:eastAsia="宋体"/>
                      <w:szCs w:val="20"/>
                    </w:rPr>
                    <w:t xml:space="preserve"> = </w:t>
                  </w:r>
                  <w:r>
                    <w:rPr>
                      <w:rFonts w:eastAsia="宋体"/>
                      <w:i/>
                      <w:szCs w:val="20"/>
                    </w:rPr>
                    <w:t>r15monitoringcapability</w:t>
                  </w:r>
                  <w:r>
                    <w:rPr>
                      <w:rFonts w:eastAsia="宋体"/>
                      <w:szCs w:val="20"/>
                    </w:rPr>
                    <w:t xml:space="preserve">, or </w:t>
                  </w:r>
                </w:p>
                <w:p>
                  <w:pPr>
                    <w:widowControl w:val="0"/>
                    <w:rPr>
                      <w:rFonts w:eastAsia="宋体"/>
                      <w:szCs w:val="20"/>
                    </w:rPr>
                  </w:pPr>
                  <w:r>
                    <w:rPr>
                      <w:rFonts w:eastAsia="宋体"/>
                      <w:szCs w:val="20"/>
                    </w:rPr>
                    <w:t>-</w:t>
                  </w:r>
                  <w:r>
                    <w:rPr>
                      <w:rFonts w:eastAsia="宋体"/>
                      <w:szCs w:val="20"/>
                    </w:rPr>
                    <w:tab/>
                  </w:r>
                  <w:r>
                    <w:rPr>
                      <w:rFonts w:eastAsia="宋体"/>
                      <w:szCs w:val="20"/>
                    </w:rPr>
                    <w:t xml:space="preserve">per span, as in Tables 10.1-2A and 10.1-3A, if </w:t>
                  </w:r>
                  <w:r>
                    <w:rPr>
                      <w:rFonts w:eastAsia="宋体"/>
                      <w:i/>
                      <w:szCs w:val="20"/>
                    </w:rPr>
                    <w:t>monitoringCapabilityConfig</w:t>
                  </w:r>
                  <w:r>
                    <w:rPr>
                      <w:rFonts w:eastAsia="宋体"/>
                      <w:szCs w:val="20"/>
                    </w:rPr>
                    <w:t xml:space="preserve"> = </w:t>
                  </w:r>
                  <w:r>
                    <w:rPr>
                      <w:rFonts w:eastAsia="宋体"/>
                      <w:i/>
                      <w:szCs w:val="20"/>
                    </w:rPr>
                    <w:t>r16monitoringcapability</w:t>
                  </w:r>
                </w:p>
                <w:p>
                  <w:pPr>
                    <w:widowControl w:val="0"/>
                    <w:rPr>
                      <w:rFonts w:eastAsia="宋体"/>
                      <w:szCs w:val="20"/>
                    </w:rPr>
                  </w:pPr>
                  <w:r>
                    <w:rPr>
                      <w:rFonts w:eastAsia="宋体"/>
                      <w:szCs w:val="20"/>
                    </w:rPr>
                    <w:t>-</w:t>
                  </w:r>
                  <w:r>
                    <w:rPr>
                      <w:rFonts w:eastAsia="宋体"/>
                      <w:szCs w:val="20"/>
                    </w:rPr>
                    <w:tab/>
                  </w:r>
                  <w:r>
                    <w:rPr>
                      <w:rFonts w:eastAsia="宋体"/>
                      <w:szCs w:val="20"/>
                    </w:rPr>
                    <w:t xml:space="preserve">per group of </w:t>
                  </w:r>
                  <m:oMath>
                    <m:sSub>
                      <m:sSubPr>
                        <m:ctrlPr>
                          <w:rPr>
                            <w:rFonts w:ascii="Cambria Math" w:hAnsi="Cambria Math" w:eastAsia="宋体"/>
                            <w:i/>
                            <w:szCs w:val="20"/>
                            <w:lang w:val="zh-CN"/>
                          </w:rPr>
                        </m:ctrlPr>
                      </m:sSubPr>
                      <m:e>
                        <m:r>
                          <w:rPr>
                            <w:rFonts w:ascii="Cambria Math" w:hAnsi="Cambria Math" w:eastAsia="宋体"/>
                            <w:szCs w:val="20"/>
                            <w:lang w:val="zh-CN"/>
                          </w:rPr>
                          <m:t>X</m:t>
                        </m:r>
                        <m:ctrlPr>
                          <w:rPr>
                            <w:rFonts w:ascii="Cambria Math" w:hAnsi="Cambria Math" w:eastAsia="宋体"/>
                            <w:i/>
                            <w:szCs w:val="20"/>
                            <w:lang w:val="zh-CN"/>
                          </w:rPr>
                        </m:ctrlPr>
                      </m:e>
                      <m:sub>
                        <m:r>
                          <w:rPr>
                            <w:rFonts w:ascii="Cambria Math" w:hAnsi="Cambria Math" w:eastAsia="宋体"/>
                            <w:szCs w:val="20"/>
                            <w:lang w:val="zh-CN"/>
                          </w:rPr>
                          <m:t>s</m:t>
                        </m:r>
                        <m:ctrlPr>
                          <w:rPr>
                            <w:rFonts w:ascii="Cambria Math" w:hAnsi="Cambria Math" w:eastAsia="宋体"/>
                            <w:i/>
                            <w:szCs w:val="20"/>
                            <w:lang w:val="zh-CN"/>
                          </w:rPr>
                        </m:ctrlPr>
                      </m:sub>
                    </m:sSub>
                  </m:oMath>
                  <w:r>
                    <w:rPr>
                      <w:rFonts w:eastAsia="宋体"/>
                      <w:szCs w:val="20"/>
                    </w:rPr>
                    <w:t xml:space="preserve"> slots according to combination </w:t>
                  </w:r>
                  <m:oMath>
                    <m:d>
                      <m:dPr>
                        <m:ctrlPr>
                          <w:rPr>
                            <w:rFonts w:ascii="Cambria Math" w:hAnsi="Cambria Math" w:eastAsia="宋体"/>
                            <w:szCs w:val="20"/>
                            <w:lang w:val="zh-CN"/>
                          </w:rPr>
                        </m:ctrlPr>
                      </m:dPr>
                      <m:e>
                        <m:sSub>
                          <m:sSubPr>
                            <m:ctrlPr>
                              <w:rPr>
                                <w:rFonts w:ascii="Cambria Math" w:hAnsi="Cambria Math" w:eastAsia="宋体"/>
                                <w:i/>
                                <w:szCs w:val="20"/>
                                <w:lang w:val="zh-CN"/>
                              </w:rPr>
                            </m:ctrlPr>
                          </m:sSubPr>
                          <m:e>
                            <m:r>
                              <w:rPr>
                                <w:rFonts w:ascii="Cambria Math" w:hAnsi="Cambria Math" w:eastAsia="宋体"/>
                                <w:szCs w:val="20"/>
                                <w:lang w:val="zh-CN"/>
                              </w:rPr>
                              <m:t>X</m:t>
                            </m:r>
                            <m:ctrlPr>
                              <w:rPr>
                                <w:rFonts w:ascii="Cambria Math" w:hAnsi="Cambria Math" w:eastAsia="宋体"/>
                                <w:i/>
                                <w:szCs w:val="20"/>
                                <w:lang w:val="zh-CN"/>
                              </w:rPr>
                            </m:ctrlPr>
                          </m:e>
                          <m:sub>
                            <m:r>
                              <w:rPr>
                                <w:rFonts w:ascii="Cambria Math" w:hAnsi="Cambria Math" w:eastAsia="宋体"/>
                                <w:szCs w:val="20"/>
                                <w:lang w:val="zh-CN"/>
                              </w:rPr>
                              <m:t>s</m:t>
                            </m:r>
                            <m:ctrlPr>
                              <w:rPr>
                                <w:rFonts w:ascii="Cambria Math" w:hAnsi="Cambria Math" w:eastAsia="宋体"/>
                                <w:i/>
                                <w:szCs w:val="20"/>
                                <w:lang w:val="zh-CN"/>
                              </w:rPr>
                            </m:ctrlPr>
                          </m:sub>
                        </m:sSub>
                        <m:r>
                          <w:rPr>
                            <w:rFonts w:ascii="Cambria Math" w:hAnsi="Cambria Math" w:eastAsia="宋体"/>
                            <w:szCs w:val="20"/>
                          </w:rPr>
                          <m:t>,</m:t>
                        </m:r>
                        <m:sSub>
                          <m:sSubPr>
                            <m:ctrlPr>
                              <w:rPr>
                                <w:rFonts w:ascii="Cambria Math" w:hAnsi="Cambria Math" w:eastAsia="宋体"/>
                                <w:i/>
                                <w:szCs w:val="20"/>
                                <w:lang w:val="zh-CN"/>
                              </w:rPr>
                            </m:ctrlPr>
                          </m:sSubPr>
                          <m:e>
                            <m:r>
                              <w:rPr>
                                <w:rFonts w:ascii="Cambria Math" w:hAnsi="Cambria Math" w:eastAsia="宋体"/>
                                <w:szCs w:val="20"/>
                                <w:lang w:val="zh-CN"/>
                              </w:rPr>
                              <m:t>Y</m:t>
                            </m:r>
                            <m:ctrlPr>
                              <w:rPr>
                                <w:rFonts w:ascii="Cambria Math" w:hAnsi="Cambria Math" w:eastAsia="宋体"/>
                                <w:i/>
                                <w:szCs w:val="20"/>
                                <w:lang w:val="zh-CN"/>
                              </w:rPr>
                            </m:ctrlPr>
                          </m:e>
                          <m:sub>
                            <m:r>
                              <w:rPr>
                                <w:rFonts w:ascii="Cambria Math" w:hAnsi="Cambria Math" w:eastAsia="宋体"/>
                                <w:szCs w:val="20"/>
                                <w:lang w:val="zh-CN"/>
                              </w:rPr>
                              <m:t>s</m:t>
                            </m:r>
                            <m:ctrlPr>
                              <w:rPr>
                                <w:rFonts w:ascii="Cambria Math" w:hAnsi="Cambria Math" w:eastAsia="宋体"/>
                                <w:i/>
                                <w:szCs w:val="20"/>
                                <w:lang w:val="zh-CN"/>
                              </w:rPr>
                            </m:ctrlPr>
                          </m:sub>
                        </m:sSub>
                        <m:ctrlPr>
                          <w:rPr>
                            <w:rFonts w:ascii="Cambria Math" w:hAnsi="Cambria Math" w:eastAsia="宋体"/>
                            <w:szCs w:val="20"/>
                            <w:lang w:val="zh-CN"/>
                          </w:rPr>
                        </m:ctrlPr>
                      </m:e>
                    </m:d>
                  </m:oMath>
                  <w:r>
                    <w:rPr>
                      <w:rFonts w:eastAsia="宋体"/>
                      <w:szCs w:val="20"/>
                    </w:rPr>
                    <w:t xml:space="preserve">, as in Tables 10.1-2B and 10.1-3B, if </w:t>
                  </w:r>
                  <w:r>
                    <w:rPr>
                      <w:rFonts w:eastAsia="宋体"/>
                      <w:i/>
                      <w:szCs w:val="20"/>
                    </w:rPr>
                    <w:t>monitoringCapabilityConfig</w:t>
                  </w:r>
                  <w:r>
                    <w:rPr>
                      <w:rFonts w:eastAsia="宋体"/>
                      <w:szCs w:val="20"/>
                    </w:rPr>
                    <w:t xml:space="preserve"> = </w:t>
                  </w:r>
                  <w:r>
                    <w:rPr>
                      <w:rFonts w:eastAsia="宋体"/>
                      <w:i/>
                      <w:szCs w:val="20"/>
                    </w:rPr>
                    <w:t>r17monitoringcapability</w:t>
                  </w:r>
                </w:p>
                <w:p>
                  <w:pPr>
                    <w:widowControl w:val="0"/>
                    <w:rPr>
                      <w:rFonts w:eastAsia="宋体"/>
                      <w:szCs w:val="20"/>
                    </w:rPr>
                  </w:pPr>
                  <w:r>
                    <w:rPr>
                      <w:rFonts w:eastAsia="宋体"/>
                      <w:szCs w:val="20"/>
                    </w:rPr>
                    <w:t xml:space="preserve">If the UE is not provided </w:t>
                  </w:r>
                  <w:r>
                    <w:rPr>
                      <w:rFonts w:eastAsia="宋体"/>
                      <w:i/>
                      <w:szCs w:val="20"/>
                    </w:rPr>
                    <w:t>monitoringCapabilityConfig</w:t>
                  </w:r>
                  <w:ins w:id="568" w:author="Alexander Golitschek" w:date="2022-02-20T19:32:00Z">
                    <w:r>
                      <w:rPr>
                        <w:rFonts w:eastAsia="宋体"/>
                        <w:szCs w:val="20"/>
                      </w:rPr>
                      <w:t xml:space="preserve"> f</w:t>
                    </w:r>
                  </w:ins>
                  <w:ins w:id="569" w:author="Alexander Golitschek" w:date="2022-02-20T19:32:00Z">
                    <w:r>
                      <w:rPr>
                        <w:rFonts w:eastAsia="宋体"/>
                        <w:szCs w:val="20"/>
                        <w:lang w:val="en-GB"/>
                      </w:rPr>
                      <w:t xml:space="preserve">or μ </w:t>
                    </w:r>
                  </w:ins>
                  <w:ins w:id="570" w:author="Alexander Golitschek" w:date="2022-02-20T19:32:00Z">
                    <w:r>
                      <w:rPr>
                        <w:rFonts w:ascii="Cambria Math" w:hAnsi="Cambria Math" w:eastAsia="宋体" w:cs="Cambria Math"/>
                        <w:szCs w:val="20"/>
                        <w:lang w:val="en-GB"/>
                      </w:rPr>
                      <w:t>∈</w:t>
                    </w:r>
                  </w:ins>
                  <w:ins w:id="571" w:author="Alexander Golitschek" w:date="2022-02-20T19:32:00Z">
                    <w:r>
                      <w:rPr>
                        <w:rFonts w:eastAsia="宋体"/>
                        <w:szCs w:val="20"/>
                        <w:lang w:val="en-GB"/>
                      </w:rPr>
                      <w:t xml:space="preserve"> {0,1,2,3}</w:t>
                    </w:r>
                  </w:ins>
                  <w:r>
                    <w:rPr>
                      <w:rFonts w:eastAsia="宋体"/>
                      <w:szCs w:val="20"/>
                    </w:rPr>
                    <w:t xml:space="preserve">, the UE monitors PDCCH on the </w:t>
                  </w:r>
                  <w:ins w:id="572" w:author="Alexander Golitschek" w:date="2022-02-20T19:14:00Z">
                    <w:r>
                      <w:rPr>
                        <w:rFonts w:eastAsia="宋体"/>
                        <w:szCs w:val="20"/>
                      </w:rPr>
                      <w:t xml:space="preserve">active DL BWP of a </w:t>
                    </w:r>
                  </w:ins>
                  <w:r>
                    <w:rPr>
                      <w:rFonts w:eastAsia="宋体"/>
                      <w:szCs w:val="20"/>
                    </w:rPr>
                    <w:t xml:space="preserve">serving cell for a maximum number of PDCCH candidates and non-overlapping CCEs per slot. </w:t>
                  </w:r>
                </w:p>
                <w:p>
                  <w:pPr>
                    <w:widowControl w:val="0"/>
                    <w:spacing w:after="180" w:line="240" w:lineRule="auto"/>
                    <w:rPr>
                      <w:rFonts w:eastAsia="宋体"/>
                      <w:szCs w:val="20"/>
                    </w:rPr>
                  </w:pPr>
                  <w:ins w:id="573" w:author="Alexander Golitschek" w:date="2022-02-20T19:32:00Z">
                    <w:r>
                      <w:rPr>
                        <w:rFonts w:eastAsia="宋体"/>
                        <w:szCs w:val="20"/>
                      </w:rPr>
                      <w:t>I</w:t>
                    </w:r>
                  </w:ins>
                  <w:ins w:id="574" w:author="Alexander Golitschek" w:date="2022-02-20T18:58:00Z">
                    <w:r>
                      <w:rPr>
                        <w:rFonts w:eastAsia="宋体"/>
                        <w:szCs w:val="20"/>
                      </w:rPr>
                      <w:t xml:space="preserve">f the UE is not provided </w:t>
                    </w:r>
                  </w:ins>
                  <w:ins w:id="575" w:author="Alexander Golitschek" w:date="2022-02-20T18:58:00Z">
                    <w:r>
                      <w:rPr>
                        <w:rFonts w:eastAsia="宋体"/>
                        <w:i/>
                        <w:iCs/>
                        <w:szCs w:val="20"/>
                      </w:rPr>
                      <w:t>monitoringCapabilityConfig</w:t>
                    </w:r>
                  </w:ins>
                  <w:ins w:id="576" w:author="Alexander Golitschek" w:date="2022-02-20T19:32:00Z">
                    <w:r>
                      <w:rPr>
                        <w:rFonts w:eastAsia="宋体"/>
                        <w:szCs w:val="20"/>
                      </w:rPr>
                      <w:t xml:space="preserve"> for μ</w:t>
                    </w:r>
                  </w:ins>
                  <w:ins w:id="577" w:author="Keyvan2" w:date="2022-02-24T23:40:00Z">
                    <w:r>
                      <w:rPr>
                        <w:rFonts w:eastAsia="宋体"/>
                        <w:szCs w:val="20"/>
                      </w:rPr>
                      <w:t xml:space="preserve">=5 </w:t>
                    </w:r>
                  </w:ins>
                  <w:ins w:id="578" w:author="Alexander Golitschek" w:date="2022-02-20T19:32:00Z">
                    <w:r>
                      <w:rPr>
                        <w:rFonts w:ascii="Cambria Math" w:hAnsi="Cambria Math" w:eastAsia="宋体" w:cs="Cambria Math"/>
                        <w:strike/>
                        <w:szCs w:val="20"/>
                      </w:rPr>
                      <w:t>∈</w:t>
                    </w:r>
                  </w:ins>
                  <w:ins w:id="579" w:author="Alexander Golitschek" w:date="2022-02-20T19:32:00Z">
                    <w:r>
                      <w:rPr>
                        <w:rFonts w:eastAsia="宋体"/>
                        <w:strike/>
                        <w:szCs w:val="20"/>
                      </w:rPr>
                      <w:t xml:space="preserve"> {5,6}</w:t>
                    </w:r>
                  </w:ins>
                  <w:ins w:id="580" w:author="Alexander Golitschek" w:date="2022-02-20T19:32:00Z">
                    <w:r>
                      <w:rPr>
                        <w:rFonts w:eastAsia="宋体"/>
                        <w:szCs w:val="20"/>
                      </w:rPr>
                      <w:t xml:space="preserve">, </w:t>
                    </w:r>
                  </w:ins>
                  <w:ins w:id="581" w:author="Alexander Golitschek" w:date="2022-02-20T18:58:00Z">
                    <w:r>
                      <w:rPr>
                        <w:rFonts w:eastAsia="宋体"/>
                        <w:szCs w:val="20"/>
                      </w:rPr>
                      <w:t xml:space="preserve">the UE monitors PDCCH on the </w:t>
                    </w:r>
                  </w:ins>
                  <w:ins w:id="582" w:author="Alexander Golitschek" w:date="2022-02-20T19:13:00Z">
                    <w:r>
                      <w:rPr>
                        <w:rFonts w:eastAsia="宋体"/>
                        <w:szCs w:val="20"/>
                      </w:rPr>
                      <w:t xml:space="preserve">active DL BWP of a </w:t>
                    </w:r>
                  </w:ins>
                  <w:ins w:id="583" w:author="Alexander Golitschek" w:date="2022-02-20T18:58:00Z">
                    <w:r>
                      <w:rPr>
                        <w:rFonts w:eastAsia="宋体"/>
                        <w:szCs w:val="20"/>
                      </w:rPr>
                      <w:t xml:space="preserve">serving cell for a maximum number of PDCCH candidates and non-overlapping CCEs per group of </w:t>
                    </w:r>
                  </w:ins>
                  <m:oMath>
                    <m:sSub>
                      <m:sSubPr>
                        <m:ctrlPr>
                          <w:ins w:id="584" w:author="Alexander Golitschek" w:date="2022-02-20T18:58:00Z">
                            <w:rPr>
                              <w:rFonts w:ascii="Cambria Math" w:hAnsi="Cambria Math" w:eastAsia="宋体"/>
                              <w:szCs w:val="20"/>
                            </w:rPr>
                          </w:ins>
                        </m:ctrlPr>
                      </m:sSubPr>
                      <m:e>
                        <w:ins w:id="585" w:author="Alexander Golitschek" w:date="2022-02-20T18:58:00Z">
                          <m:r>
                            <w:rPr>
                              <w:rFonts w:ascii="Cambria Math" w:hAnsi="Cambria Math" w:eastAsia="宋体"/>
                              <w:szCs w:val="20"/>
                            </w:rPr>
                            <m:t>X</m:t>
                          </m:r>
                        </w:ins>
                        <m:ctrlPr>
                          <w:ins w:id="586" w:author="Alexander Golitschek" w:date="2022-02-20T18:58:00Z">
                            <w:rPr>
                              <w:rFonts w:ascii="Cambria Math" w:hAnsi="Cambria Math" w:eastAsia="宋体"/>
                              <w:szCs w:val="20"/>
                            </w:rPr>
                          </w:ins>
                        </m:ctrlPr>
                      </m:e>
                      <m:sub>
                        <w:ins w:id="587" w:author="Alexander Golitschek" w:date="2022-02-20T18:58:00Z">
                          <m:r>
                            <w:rPr>
                              <w:rFonts w:ascii="Cambria Math" w:hAnsi="Cambria Math" w:eastAsia="宋体"/>
                              <w:szCs w:val="20"/>
                            </w:rPr>
                            <m:t>s</m:t>
                          </m:r>
                        </w:ins>
                        <m:ctrlPr>
                          <w:ins w:id="588" w:author="Alexander Golitschek" w:date="2022-02-20T18:58:00Z">
                            <w:rPr>
                              <w:rFonts w:ascii="Cambria Math" w:hAnsi="Cambria Math" w:eastAsia="宋体"/>
                              <w:szCs w:val="20"/>
                            </w:rPr>
                          </w:ins>
                        </m:ctrlPr>
                      </m:sub>
                    </m:sSub>
                  </m:oMath>
                  <w:ins w:id="589" w:author="Alexander Golitschek" w:date="2022-02-20T18:58:00Z">
                    <w:r>
                      <w:rPr>
                        <w:rFonts w:eastAsia="宋体"/>
                        <w:szCs w:val="20"/>
                      </w:rPr>
                      <w:t xml:space="preserve"> slots according to combination </w:t>
                    </w:r>
                  </w:ins>
                  <m:oMath>
                    <m:d>
                      <m:dPr>
                        <m:ctrlPr>
                          <w:ins w:id="590" w:author="Alexander Golitschek" w:date="2022-02-20T18:58:00Z">
                            <w:rPr>
                              <w:rFonts w:ascii="Cambria Math" w:hAnsi="Cambria Math" w:eastAsia="宋体"/>
                              <w:szCs w:val="20"/>
                            </w:rPr>
                          </w:ins>
                        </m:ctrlPr>
                      </m:dPr>
                      <m:e>
                        <m:sSub>
                          <m:sSubPr>
                            <m:ctrlPr>
                              <w:ins w:id="591" w:author="Alexander Golitschek" w:date="2022-02-20T18:58:00Z">
                                <w:rPr>
                                  <w:rFonts w:ascii="Cambria Math" w:hAnsi="Cambria Math" w:eastAsia="宋体"/>
                                  <w:szCs w:val="20"/>
                                </w:rPr>
                              </w:ins>
                            </m:ctrlPr>
                          </m:sSubPr>
                          <m:e>
                            <w:ins w:id="592" w:author="Alexander Golitschek" w:date="2022-02-20T18:58:00Z">
                              <m:r>
                                <w:rPr>
                                  <w:rFonts w:ascii="Cambria Math" w:hAnsi="Cambria Math" w:eastAsia="宋体"/>
                                  <w:szCs w:val="20"/>
                                </w:rPr>
                                <m:t>X</m:t>
                              </m:r>
                            </w:ins>
                            <m:ctrlPr>
                              <w:ins w:id="593" w:author="Alexander Golitschek" w:date="2022-02-20T18:58:00Z">
                                <w:rPr>
                                  <w:rFonts w:ascii="Cambria Math" w:hAnsi="Cambria Math" w:eastAsia="宋体"/>
                                  <w:szCs w:val="20"/>
                                </w:rPr>
                              </w:ins>
                            </m:ctrlPr>
                          </m:e>
                          <m:sub>
                            <w:ins w:id="594" w:author="Alexander Golitschek" w:date="2022-02-20T18:58:00Z">
                              <m:r>
                                <w:rPr>
                                  <w:rFonts w:ascii="Cambria Math" w:hAnsi="Cambria Math" w:eastAsia="宋体"/>
                                  <w:szCs w:val="20"/>
                                </w:rPr>
                                <m:t>s</m:t>
                              </m:r>
                            </w:ins>
                            <m:ctrlPr>
                              <w:ins w:id="595" w:author="Alexander Golitschek" w:date="2022-02-20T18:58:00Z">
                                <w:rPr>
                                  <w:rFonts w:ascii="Cambria Math" w:hAnsi="Cambria Math" w:eastAsia="宋体"/>
                                  <w:szCs w:val="20"/>
                                </w:rPr>
                              </w:ins>
                            </m:ctrlPr>
                          </m:sub>
                        </m:sSub>
                        <w:ins w:id="596" w:author="Alexander Golitschek" w:date="2022-02-20T18:58:00Z">
                          <m:r>
                            <m:rPr>
                              <m:sty m:val="p"/>
                            </m:rPr>
                            <w:rPr>
                              <w:rFonts w:ascii="Cambria Math" w:hAnsi="Cambria Math" w:eastAsia="宋体"/>
                              <w:szCs w:val="20"/>
                            </w:rPr>
                            <m:t>,</m:t>
                          </m:r>
                        </w:ins>
                        <m:sSub>
                          <m:sSubPr>
                            <m:ctrlPr>
                              <w:ins w:id="597" w:author="Alexander Golitschek" w:date="2022-02-20T18:58:00Z">
                                <w:rPr>
                                  <w:rFonts w:ascii="Cambria Math" w:hAnsi="Cambria Math" w:eastAsia="宋体"/>
                                  <w:szCs w:val="20"/>
                                </w:rPr>
                              </w:ins>
                            </m:ctrlPr>
                          </m:sSubPr>
                          <m:e>
                            <w:ins w:id="598" w:author="Alexander Golitschek" w:date="2022-02-20T18:58:00Z">
                              <m:r>
                                <w:rPr>
                                  <w:rFonts w:ascii="Cambria Math" w:hAnsi="Cambria Math" w:eastAsia="宋体"/>
                                  <w:szCs w:val="20"/>
                                </w:rPr>
                                <m:t>Y</m:t>
                              </m:r>
                            </w:ins>
                            <m:ctrlPr>
                              <w:ins w:id="599" w:author="Alexander Golitschek" w:date="2022-02-20T18:58:00Z">
                                <w:rPr>
                                  <w:rFonts w:ascii="Cambria Math" w:hAnsi="Cambria Math" w:eastAsia="宋体"/>
                                  <w:szCs w:val="20"/>
                                </w:rPr>
                              </w:ins>
                            </m:ctrlPr>
                          </m:e>
                          <m:sub>
                            <w:ins w:id="600" w:author="Alexander Golitschek" w:date="2022-02-20T18:58:00Z">
                              <m:r>
                                <w:rPr>
                                  <w:rFonts w:ascii="Cambria Math" w:hAnsi="Cambria Math" w:eastAsia="宋体"/>
                                  <w:szCs w:val="20"/>
                                </w:rPr>
                                <m:t>s</m:t>
                              </m:r>
                            </w:ins>
                            <m:ctrlPr>
                              <w:ins w:id="601" w:author="Alexander Golitschek" w:date="2022-02-20T18:58:00Z">
                                <w:rPr>
                                  <w:rFonts w:ascii="Cambria Math" w:hAnsi="Cambria Math" w:eastAsia="宋体"/>
                                  <w:szCs w:val="20"/>
                                </w:rPr>
                              </w:ins>
                            </m:ctrlPr>
                          </m:sub>
                        </m:sSub>
                        <m:ctrlPr>
                          <w:ins w:id="602" w:author="Alexander Golitschek" w:date="2022-02-20T18:58:00Z">
                            <w:rPr>
                              <w:rFonts w:ascii="Cambria Math" w:hAnsi="Cambria Math" w:eastAsia="宋体"/>
                              <w:szCs w:val="20"/>
                            </w:rPr>
                          </w:ins>
                        </m:ctrlPr>
                      </m:e>
                    </m:d>
                    <w:ins w:id="603" w:author="Alexander Golitschek" w:date="2022-02-20T18:58:00Z">
                      <m:r>
                        <m:rPr>
                          <m:sty m:val="p"/>
                        </m:rPr>
                        <w:rPr>
                          <w:rFonts w:ascii="Cambria Math" w:hAnsi="Cambria Math" w:eastAsia="宋体"/>
                          <w:szCs w:val="20"/>
                        </w:rPr>
                        <m:t>=(4,1)</m:t>
                      </m:r>
                    </w:ins>
                  </m:oMath>
                  <w:ins w:id="604" w:author="Alexander Golitschek" w:date="2022-02-20T18:58:00Z">
                    <w:r>
                      <w:rPr>
                        <w:rFonts w:eastAsia="宋体"/>
                        <w:szCs w:val="20"/>
                      </w:rPr>
                      <w:t xml:space="preserve"> </w:t>
                    </w:r>
                  </w:ins>
                  <w:ins w:id="605" w:author="Alexander Golitschek" w:date="2022-02-20T18:58:00Z">
                    <w:r>
                      <w:rPr>
                        <w:rFonts w:eastAsia="宋体"/>
                        <w:strike/>
                        <w:szCs w:val="20"/>
                      </w:rPr>
                      <w:t>for μ =</w:t>
                    </w:r>
                  </w:ins>
                  <w:ins w:id="606" w:author="Alexander Golitschek" w:date="2022-02-20T19:01:00Z">
                    <w:r>
                      <w:rPr>
                        <w:rFonts w:eastAsia="宋体"/>
                        <w:strike/>
                        <w:szCs w:val="20"/>
                      </w:rPr>
                      <w:t xml:space="preserve"> </w:t>
                    </w:r>
                  </w:ins>
                  <w:ins w:id="607" w:author="Alexander Golitschek" w:date="2022-02-20T18:58:00Z">
                    <w:r>
                      <w:rPr>
                        <w:rFonts w:eastAsia="宋体"/>
                        <w:strike/>
                        <w:szCs w:val="20"/>
                      </w:rPr>
                      <w:t xml:space="preserve">5 and </w:t>
                    </w:r>
                  </w:ins>
                  <m:oMath>
                    <m:d>
                      <m:dPr>
                        <m:ctrlPr>
                          <w:ins w:id="608" w:author="Alexander Golitschek" w:date="2022-02-20T18:58:00Z">
                            <w:rPr>
                              <w:rFonts w:ascii="Cambria Math" w:hAnsi="Cambria Math" w:eastAsia="宋体"/>
                              <w:strike/>
                              <w:szCs w:val="20"/>
                            </w:rPr>
                          </w:ins>
                        </m:ctrlPr>
                      </m:dPr>
                      <m:e>
                        <m:sSub>
                          <m:sSubPr>
                            <m:ctrlPr>
                              <w:ins w:id="609" w:author="Alexander Golitschek" w:date="2022-02-20T18:58:00Z">
                                <w:rPr>
                                  <w:rFonts w:ascii="Cambria Math" w:hAnsi="Cambria Math" w:eastAsia="宋体"/>
                                  <w:strike/>
                                  <w:szCs w:val="20"/>
                                </w:rPr>
                              </w:ins>
                            </m:ctrlPr>
                          </m:sSubPr>
                          <m:e>
                            <w:ins w:id="610" w:author="Alexander Golitschek" w:date="2022-02-20T18:58:00Z">
                              <m:r>
                                <w:rPr>
                                  <w:rFonts w:ascii="Cambria Math" w:hAnsi="Cambria Math" w:eastAsia="宋体"/>
                                  <w:strike/>
                                  <w:szCs w:val="20"/>
                                </w:rPr>
                                <m:t>X</m:t>
                              </m:r>
                            </w:ins>
                            <m:ctrlPr>
                              <w:ins w:id="611" w:author="Alexander Golitschek" w:date="2022-02-20T18:58:00Z">
                                <w:rPr>
                                  <w:rFonts w:ascii="Cambria Math" w:hAnsi="Cambria Math" w:eastAsia="宋体"/>
                                  <w:strike/>
                                  <w:szCs w:val="20"/>
                                </w:rPr>
                              </w:ins>
                            </m:ctrlPr>
                          </m:e>
                          <m:sub>
                            <w:ins w:id="612" w:author="Alexander Golitschek" w:date="2022-02-20T18:58:00Z">
                              <m:r>
                                <w:rPr>
                                  <w:rFonts w:ascii="Cambria Math" w:hAnsi="Cambria Math" w:eastAsia="宋体"/>
                                  <w:strike/>
                                  <w:szCs w:val="20"/>
                                </w:rPr>
                                <m:t>s</m:t>
                              </m:r>
                            </w:ins>
                            <m:ctrlPr>
                              <w:ins w:id="613" w:author="Alexander Golitschek" w:date="2022-02-20T18:58:00Z">
                                <w:rPr>
                                  <w:rFonts w:ascii="Cambria Math" w:hAnsi="Cambria Math" w:eastAsia="宋体"/>
                                  <w:strike/>
                                  <w:szCs w:val="20"/>
                                </w:rPr>
                              </w:ins>
                            </m:ctrlPr>
                          </m:sub>
                        </m:sSub>
                        <w:ins w:id="614" w:author="Alexander Golitschek" w:date="2022-02-20T18:58:00Z">
                          <m:r>
                            <m:rPr>
                              <m:sty m:val="p"/>
                            </m:rPr>
                            <w:rPr>
                              <w:rFonts w:ascii="Cambria Math" w:hAnsi="Cambria Math" w:eastAsia="宋体"/>
                              <w:strike/>
                              <w:szCs w:val="20"/>
                            </w:rPr>
                            <m:t>,</m:t>
                          </m:r>
                        </w:ins>
                        <m:sSub>
                          <m:sSubPr>
                            <m:ctrlPr>
                              <w:ins w:id="615" w:author="Alexander Golitschek" w:date="2022-02-20T18:58:00Z">
                                <w:rPr>
                                  <w:rFonts w:ascii="Cambria Math" w:hAnsi="Cambria Math" w:eastAsia="宋体"/>
                                  <w:strike/>
                                  <w:szCs w:val="20"/>
                                </w:rPr>
                              </w:ins>
                            </m:ctrlPr>
                          </m:sSubPr>
                          <m:e>
                            <w:ins w:id="616" w:author="Alexander Golitschek" w:date="2022-02-20T18:58:00Z">
                              <m:r>
                                <w:rPr>
                                  <w:rFonts w:ascii="Cambria Math" w:hAnsi="Cambria Math" w:eastAsia="宋体"/>
                                  <w:strike/>
                                  <w:szCs w:val="20"/>
                                </w:rPr>
                                <m:t>Y</m:t>
                              </m:r>
                            </w:ins>
                            <m:ctrlPr>
                              <w:ins w:id="617" w:author="Alexander Golitschek" w:date="2022-02-20T18:58:00Z">
                                <w:rPr>
                                  <w:rFonts w:ascii="Cambria Math" w:hAnsi="Cambria Math" w:eastAsia="宋体"/>
                                  <w:strike/>
                                  <w:szCs w:val="20"/>
                                </w:rPr>
                              </w:ins>
                            </m:ctrlPr>
                          </m:e>
                          <m:sub>
                            <w:ins w:id="618" w:author="Alexander Golitschek" w:date="2022-02-20T18:58:00Z">
                              <m:r>
                                <w:rPr>
                                  <w:rFonts w:ascii="Cambria Math" w:hAnsi="Cambria Math" w:eastAsia="宋体"/>
                                  <w:strike/>
                                  <w:szCs w:val="20"/>
                                </w:rPr>
                                <m:t>s</m:t>
                              </m:r>
                            </w:ins>
                            <m:ctrlPr>
                              <w:ins w:id="619" w:author="Alexander Golitschek" w:date="2022-02-20T18:58:00Z">
                                <w:rPr>
                                  <w:rFonts w:ascii="Cambria Math" w:hAnsi="Cambria Math" w:eastAsia="宋体"/>
                                  <w:strike/>
                                  <w:szCs w:val="20"/>
                                </w:rPr>
                              </w:ins>
                            </m:ctrlPr>
                          </m:sub>
                        </m:sSub>
                        <m:ctrlPr>
                          <w:ins w:id="620" w:author="Alexander Golitschek" w:date="2022-02-20T18:58:00Z">
                            <w:rPr>
                              <w:rFonts w:ascii="Cambria Math" w:hAnsi="Cambria Math" w:eastAsia="宋体"/>
                              <w:strike/>
                              <w:szCs w:val="20"/>
                            </w:rPr>
                          </w:ins>
                        </m:ctrlPr>
                      </m:e>
                    </m:d>
                    <w:ins w:id="621" w:author="Alexander Golitschek" w:date="2022-02-20T18:58:00Z">
                      <m:r>
                        <m:rPr>
                          <m:sty m:val="p"/>
                        </m:rPr>
                        <w:rPr>
                          <w:rFonts w:ascii="Cambria Math" w:hAnsi="Cambria Math" w:eastAsia="宋体"/>
                          <w:strike/>
                          <w:szCs w:val="20"/>
                        </w:rPr>
                        <m:t>=(8,1)</m:t>
                      </m:r>
                    </w:ins>
                  </m:oMath>
                  <w:ins w:id="622" w:author="Alexander Golitschek" w:date="2022-02-20T18:58:00Z">
                    <w:r>
                      <w:rPr>
                        <w:rFonts w:eastAsia="宋体"/>
                        <w:strike/>
                        <w:szCs w:val="20"/>
                      </w:rPr>
                      <w:t xml:space="preserve"> for μ </w:t>
                    </w:r>
                  </w:ins>
                  <w:ins w:id="623" w:author="Alexander Golitschek" w:date="2022-02-20T19:01:00Z">
                    <w:r>
                      <w:rPr>
                        <w:rFonts w:eastAsia="宋体"/>
                        <w:strike/>
                        <w:szCs w:val="20"/>
                      </w:rPr>
                      <w:t>=</w:t>
                    </w:r>
                  </w:ins>
                  <w:ins w:id="624" w:author="Alexander Golitschek" w:date="2022-02-20T19:02:00Z">
                    <w:r>
                      <w:rPr>
                        <w:rFonts w:eastAsia="宋体"/>
                        <w:strike/>
                        <w:szCs w:val="20"/>
                      </w:rPr>
                      <w:t xml:space="preserve"> </w:t>
                    </w:r>
                  </w:ins>
                  <w:ins w:id="625" w:author="Alexander Golitschek" w:date="2022-02-20T18:58:00Z">
                    <w:r>
                      <w:rPr>
                        <w:rFonts w:eastAsia="宋体"/>
                        <w:strike/>
                        <w:szCs w:val="20"/>
                      </w:rPr>
                      <w:t xml:space="preserve">6 </w:t>
                    </w:r>
                  </w:ins>
                  <w:ins w:id="626" w:author="Alexander Golitschek" w:date="2022-02-20T18:58:00Z">
                    <w:r>
                      <w:rPr>
                        <w:rFonts w:eastAsia="宋体"/>
                        <w:szCs w:val="20"/>
                      </w:rPr>
                      <w:t>as in Tables 10.1-2B and 10.1-3B.</w:t>
                    </w:r>
                  </w:ins>
                </w:p>
                <w:p>
                  <w:pPr>
                    <w:widowControl w:val="0"/>
                    <w:spacing w:after="180" w:line="240" w:lineRule="auto"/>
                    <w:rPr>
                      <w:rFonts w:eastAsia="Times New Roman"/>
                      <w:szCs w:val="20"/>
                      <w:lang w:eastAsia="en-GB"/>
                    </w:rPr>
                  </w:pPr>
                  <w:ins w:id="627" w:author="Alexander Golitschek" w:date="2022-02-20T19:32:00Z">
                    <w:r>
                      <w:rPr>
                        <w:rFonts w:eastAsia="宋体"/>
                        <w:szCs w:val="20"/>
                      </w:rPr>
                      <w:t>I</w:t>
                    </w:r>
                  </w:ins>
                  <w:ins w:id="628" w:author="Alexander Golitschek" w:date="2022-02-20T18:58:00Z">
                    <w:r>
                      <w:rPr>
                        <w:rFonts w:eastAsia="宋体"/>
                        <w:szCs w:val="20"/>
                      </w:rPr>
                      <w:t xml:space="preserve">f the UE is not provided </w:t>
                    </w:r>
                  </w:ins>
                  <w:ins w:id="629" w:author="Alexander Golitschek" w:date="2022-02-20T18:58:00Z">
                    <w:r>
                      <w:rPr>
                        <w:rFonts w:eastAsia="宋体"/>
                        <w:i/>
                        <w:iCs/>
                        <w:szCs w:val="20"/>
                      </w:rPr>
                      <w:t>monitoringCapabilityConfig</w:t>
                    </w:r>
                  </w:ins>
                  <w:ins w:id="630" w:author="Alexander Golitschek" w:date="2022-02-20T19:32:00Z">
                    <w:r>
                      <w:rPr>
                        <w:rFonts w:eastAsia="宋体"/>
                        <w:szCs w:val="20"/>
                      </w:rPr>
                      <w:t xml:space="preserve"> for μ</w:t>
                    </w:r>
                  </w:ins>
                  <w:ins w:id="631" w:author="Keyvan2" w:date="2022-02-24T23:39:00Z">
                    <w:r>
                      <w:rPr>
                        <w:rFonts w:eastAsia="宋体"/>
                        <w:szCs w:val="20"/>
                      </w:rPr>
                      <w:t xml:space="preserve">=6 </w:t>
                    </w:r>
                  </w:ins>
                  <w:ins w:id="632" w:author="Alexander Golitschek" w:date="2022-02-20T19:32:00Z">
                    <w:r>
                      <w:rPr>
                        <w:rFonts w:ascii="Cambria Math" w:hAnsi="Cambria Math" w:eastAsia="宋体" w:cs="Cambria Math"/>
                        <w:strike/>
                        <w:szCs w:val="20"/>
                      </w:rPr>
                      <w:t>∈</w:t>
                    </w:r>
                  </w:ins>
                  <w:ins w:id="633" w:author="Alexander Golitschek" w:date="2022-02-20T19:32:00Z">
                    <w:r>
                      <w:rPr>
                        <w:rFonts w:eastAsia="宋体"/>
                        <w:strike/>
                        <w:szCs w:val="20"/>
                      </w:rPr>
                      <w:t xml:space="preserve"> {5,6}</w:t>
                    </w:r>
                  </w:ins>
                  <w:r>
                    <w:rPr>
                      <w:rFonts w:eastAsia="宋体"/>
                      <w:strike/>
                      <w:szCs w:val="20"/>
                    </w:rPr>
                    <w:t xml:space="preserve"> </w:t>
                  </w:r>
                  <w:ins w:id="634" w:author="Keyvan2" w:date="2022-02-24T23:39:00Z">
                    <w:r>
                      <w:rPr>
                        <w:rFonts w:eastAsia="宋体"/>
                        <w:szCs w:val="20"/>
                      </w:rPr>
                      <w:t>and</w:t>
                    </w:r>
                  </w:ins>
                  <w:r>
                    <w:rPr>
                      <w:rFonts w:eastAsia="宋体"/>
                      <w:szCs w:val="20"/>
                    </w:rPr>
                    <w:t xml:space="preserve"> </w:t>
                  </w:r>
                  <w:ins w:id="635" w:author="Keyvan2" w:date="2022-02-22T23:38:00Z">
                    <w:r>
                      <w:rPr>
                        <w:rFonts w:eastAsia="宋体"/>
                        <w:color w:val="FF0000"/>
                        <w:szCs w:val="20"/>
                        <w:shd w:val="clear" w:color="auto" w:fill="00B0F0"/>
                      </w:rPr>
                      <w:t>UE that is provided dedicated higher layer parameters</w:t>
                    </w:r>
                  </w:ins>
                  <w:ins w:id="636" w:author="Alexander Golitschek" w:date="2022-02-20T19:32:00Z">
                    <w:r>
                      <w:rPr>
                        <w:rFonts w:eastAsia="宋体"/>
                        <w:szCs w:val="20"/>
                      </w:rPr>
                      <w:t xml:space="preserve">, </w:t>
                    </w:r>
                  </w:ins>
                  <w:ins w:id="637" w:author="Alexander Golitschek" w:date="2022-02-20T18:58:00Z">
                    <w:r>
                      <w:rPr>
                        <w:rFonts w:eastAsia="宋体"/>
                        <w:szCs w:val="20"/>
                      </w:rPr>
                      <w:t xml:space="preserve">the UE monitors PDCCH on the </w:t>
                    </w:r>
                  </w:ins>
                  <w:ins w:id="638" w:author="Alexander Golitschek" w:date="2022-02-20T19:13:00Z">
                    <w:r>
                      <w:rPr>
                        <w:rFonts w:eastAsia="宋体"/>
                        <w:szCs w:val="20"/>
                      </w:rPr>
                      <w:t xml:space="preserve">active DL BWP of a </w:t>
                    </w:r>
                  </w:ins>
                  <w:ins w:id="639" w:author="Alexander Golitschek" w:date="2022-02-20T18:58:00Z">
                    <w:r>
                      <w:rPr>
                        <w:rFonts w:eastAsia="宋体"/>
                        <w:szCs w:val="20"/>
                      </w:rPr>
                      <w:t xml:space="preserve">serving cell for a maximum number of PDCCH candidates and non-overlapping CCEs per group of </w:t>
                    </w:r>
                  </w:ins>
                  <m:oMath>
                    <m:sSub>
                      <m:sSubPr>
                        <m:ctrlPr>
                          <w:ins w:id="640" w:author="Alexander Golitschek" w:date="2022-02-20T18:58:00Z">
                            <w:rPr>
                              <w:rFonts w:ascii="Cambria Math" w:hAnsi="Cambria Math" w:eastAsia="宋体"/>
                              <w:szCs w:val="20"/>
                            </w:rPr>
                          </w:ins>
                        </m:ctrlPr>
                      </m:sSubPr>
                      <m:e>
                        <w:ins w:id="641" w:author="Alexander Golitschek" w:date="2022-02-20T18:58:00Z">
                          <m:r>
                            <w:rPr>
                              <w:rFonts w:ascii="Cambria Math" w:hAnsi="Cambria Math" w:eastAsia="宋体"/>
                              <w:szCs w:val="20"/>
                            </w:rPr>
                            <m:t>X</m:t>
                          </m:r>
                        </w:ins>
                        <m:ctrlPr>
                          <w:ins w:id="642" w:author="Alexander Golitschek" w:date="2022-02-20T18:58:00Z">
                            <w:rPr>
                              <w:rFonts w:ascii="Cambria Math" w:hAnsi="Cambria Math" w:eastAsia="宋体"/>
                              <w:szCs w:val="20"/>
                            </w:rPr>
                          </w:ins>
                        </m:ctrlPr>
                      </m:e>
                      <m:sub>
                        <w:ins w:id="643" w:author="Alexander Golitschek" w:date="2022-02-20T18:58:00Z">
                          <m:r>
                            <w:rPr>
                              <w:rFonts w:ascii="Cambria Math" w:hAnsi="Cambria Math" w:eastAsia="宋体"/>
                              <w:szCs w:val="20"/>
                            </w:rPr>
                            <m:t>s</m:t>
                          </m:r>
                        </w:ins>
                        <m:ctrlPr>
                          <w:ins w:id="644" w:author="Alexander Golitschek" w:date="2022-02-20T18:58:00Z">
                            <w:rPr>
                              <w:rFonts w:ascii="Cambria Math" w:hAnsi="Cambria Math" w:eastAsia="宋体"/>
                              <w:szCs w:val="20"/>
                            </w:rPr>
                          </w:ins>
                        </m:ctrlPr>
                      </m:sub>
                    </m:sSub>
                  </m:oMath>
                  <w:ins w:id="645" w:author="Alexander Golitschek" w:date="2022-02-20T18:58:00Z">
                    <w:r>
                      <w:rPr>
                        <w:rFonts w:eastAsia="宋体"/>
                        <w:szCs w:val="20"/>
                      </w:rPr>
                      <w:t xml:space="preserve"> slots according to combination </w:t>
                    </w:r>
                  </w:ins>
                  <m:oMath>
                    <m:d>
                      <m:dPr>
                        <m:ctrlPr>
                          <w:ins w:id="646" w:author="Alexander Golitschek" w:date="2022-02-20T18:58:00Z">
                            <w:rPr>
                              <w:rFonts w:ascii="Cambria Math" w:hAnsi="Cambria Math" w:eastAsia="宋体"/>
                              <w:strike/>
                              <w:szCs w:val="20"/>
                            </w:rPr>
                          </w:ins>
                        </m:ctrlPr>
                      </m:dPr>
                      <m:e>
                        <m:sSub>
                          <m:sSubPr>
                            <m:ctrlPr>
                              <w:ins w:id="647" w:author="Alexander Golitschek" w:date="2022-02-20T18:58:00Z">
                                <w:rPr>
                                  <w:rFonts w:ascii="Cambria Math" w:hAnsi="Cambria Math" w:eastAsia="宋体"/>
                                  <w:strike/>
                                  <w:szCs w:val="20"/>
                                </w:rPr>
                              </w:ins>
                            </m:ctrlPr>
                          </m:sSubPr>
                          <m:e>
                            <w:ins w:id="648" w:author="Alexander Golitschek" w:date="2022-02-20T18:58:00Z">
                              <m:r>
                                <w:rPr>
                                  <w:rFonts w:ascii="Cambria Math" w:hAnsi="Cambria Math" w:eastAsia="宋体"/>
                                  <w:strike/>
                                  <w:szCs w:val="20"/>
                                </w:rPr>
                                <m:t>X</m:t>
                              </m:r>
                            </w:ins>
                            <m:ctrlPr>
                              <w:ins w:id="649" w:author="Alexander Golitschek" w:date="2022-02-20T18:58:00Z">
                                <w:rPr>
                                  <w:rFonts w:ascii="Cambria Math" w:hAnsi="Cambria Math" w:eastAsia="宋体"/>
                                  <w:strike/>
                                  <w:szCs w:val="20"/>
                                </w:rPr>
                              </w:ins>
                            </m:ctrlPr>
                          </m:e>
                          <m:sub>
                            <w:ins w:id="650" w:author="Alexander Golitschek" w:date="2022-02-20T18:58:00Z">
                              <m:r>
                                <w:rPr>
                                  <w:rFonts w:ascii="Cambria Math" w:hAnsi="Cambria Math" w:eastAsia="宋体"/>
                                  <w:strike/>
                                  <w:szCs w:val="20"/>
                                </w:rPr>
                                <m:t>s</m:t>
                              </m:r>
                            </w:ins>
                            <m:ctrlPr>
                              <w:ins w:id="651" w:author="Alexander Golitschek" w:date="2022-02-20T18:58:00Z">
                                <w:rPr>
                                  <w:rFonts w:ascii="Cambria Math" w:hAnsi="Cambria Math" w:eastAsia="宋体"/>
                                  <w:strike/>
                                  <w:szCs w:val="20"/>
                                </w:rPr>
                              </w:ins>
                            </m:ctrlPr>
                          </m:sub>
                        </m:sSub>
                        <w:ins w:id="652" w:author="Alexander Golitschek" w:date="2022-02-20T18:58:00Z">
                          <m:r>
                            <m:rPr>
                              <m:sty m:val="p"/>
                            </m:rPr>
                            <w:rPr>
                              <w:rFonts w:ascii="Cambria Math" w:hAnsi="Cambria Math" w:eastAsia="宋体"/>
                              <w:strike/>
                              <w:szCs w:val="20"/>
                            </w:rPr>
                            <m:t>,</m:t>
                          </m:r>
                        </w:ins>
                        <m:sSub>
                          <m:sSubPr>
                            <m:ctrlPr>
                              <w:ins w:id="653" w:author="Alexander Golitschek" w:date="2022-02-20T18:58:00Z">
                                <w:rPr>
                                  <w:rFonts w:ascii="Cambria Math" w:hAnsi="Cambria Math" w:eastAsia="宋体"/>
                                  <w:strike/>
                                  <w:szCs w:val="20"/>
                                </w:rPr>
                              </w:ins>
                            </m:ctrlPr>
                          </m:sSubPr>
                          <m:e>
                            <w:ins w:id="654" w:author="Alexander Golitschek" w:date="2022-02-20T18:58:00Z">
                              <m:r>
                                <w:rPr>
                                  <w:rFonts w:ascii="Cambria Math" w:hAnsi="Cambria Math" w:eastAsia="宋体"/>
                                  <w:strike/>
                                  <w:szCs w:val="20"/>
                                </w:rPr>
                                <m:t>Y</m:t>
                              </m:r>
                            </w:ins>
                            <m:ctrlPr>
                              <w:ins w:id="655" w:author="Alexander Golitschek" w:date="2022-02-20T18:58:00Z">
                                <w:rPr>
                                  <w:rFonts w:ascii="Cambria Math" w:hAnsi="Cambria Math" w:eastAsia="宋体"/>
                                  <w:strike/>
                                  <w:szCs w:val="20"/>
                                </w:rPr>
                              </w:ins>
                            </m:ctrlPr>
                          </m:e>
                          <m:sub>
                            <w:ins w:id="656" w:author="Alexander Golitschek" w:date="2022-02-20T18:58:00Z">
                              <m:r>
                                <w:rPr>
                                  <w:rFonts w:ascii="Cambria Math" w:hAnsi="Cambria Math" w:eastAsia="宋体"/>
                                  <w:strike/>
                                  <w:szCs w:val="20"/>
                                </w:rPr>
                                <m:t>s</m:t>
                              </m:r>
                            </w:ins>
                            <m:ctrlPr>
                              <w:ins w:id="657" w:author="Alexander Golitschek" w:date="2022-02-20T18:58:00Z">
                                <w:rPr>
                                  <w:rFonts w:ascii="Cambria Math" w:hAnsi="Cambria Math" w:eastAsia="宋体"/>
                                  <w:strike/>
                                  <w:szCs w:val="20"/>
                                </w:rPr>
                              </w:ins>
                            </m:ctrlPr>
                          </m:sub>
                        </m:sSub>
                        <m:ctrlPr>
                          <w:ins w:id="658" w:author="Alexander Golitschek" w:date="2022-02-20T18:58:00Z">
                            <w:rPr>
                              <w:rFonts w:ascii="Cambria Math" w:hAnsi="Cambria Math" w:eastAsia="宋体"/>
                              <w:strike/>
                              <w:szCs w:val="20"/>
                            </w:rPr>
                          </w:ins>
                        </m:ctrlPr>
                      </m:e>
                    </m:d>
                    <w:ins w:id="659" w:author="Alexander Golitschek" w:date="2022-02-20T18:58:00Z">
                      <m:r>
                        <m:rPr>
                          <m:sty m:val="p"/>
                        </m:rPr>
                        <w:rPr>
                          <w:rFonts w:ascii="Cambria Math" w:hAnsi="Cambria Math" w:eastAsia="宋体"/>
                          <w:strike/>
                          <w:szCs w:val="20"/>
                        </w:rPr>
                        <m:t>=(4,1)</m:t>
                      </m:r>
                    </w:ins>
                  </m:oMath>
                  <w:ins w:id="660" w:author="Alexander Golitschek" w:date="2022-02-20T18:58:00Z">
                    <w:r>
                      <w:rPr>
                        <w:rFonts w:eastAsia="宋体"/>
                        <w:strike/>
                        <w:szCs w:val="20"/>
                      </w:rPr>
                      <w:t xml:space="preserve"> for μ =</w:t>
                    </w:r>
                  </w:ins>
                  <w:ins w:id="661" w:author="Alexander Golitschek" w:date="2022-02-20T19:01:00Z">
                    <w:r>
                      <w:rPr>
                        <w:rFonts w:eastAsia="宋体"/>
                        <w:strike/>
                        <w:szCs w:val="20"/>
                      </w:rPr>
                      <w:t xml:space="preserve"> </w:t>
                    </w:r>
                  </w:ins>
                  <w:ins w:id="662" w:author="Alexander Golitschek" w:date="2022-02-20T18:58:00Z">
                    <w:r>
                      <w:rPr>
                        <w:rFonts w:eastAsia="宋体"/>
                        <w:strike/>
                        <w:szCs w:val="20"/>
                      </w:rPr>
                      <w:t>5 and</w:t>
                    </w:r>
                  </w:ins>
                  <w:ins w:id="663" w:author="Alexander Golitschek" w:date="2022-02-20T18:58:00Z">
                    <w:r>
                      <w:rPr>
                        <w:rFonts w:eastAsia="宋体"/>
                        <w:szCs w:val="20"/>
                      </w:rPr>
                      <w:t xml:space="preserve"> </w:t>
                    </w:r>
                  </w:ins>
                  <m:oMath>
                    <m:d>
                      <m:dPr>
                        <m:ctrlPr>
                          <w:ins w:id="664" w:author="Alexander Golitschek" w:date="2022-02-20T18:58:00Z">
                            <w:rPr>
                              <w:rFonts w:ascii="Cambria Math" w:hAnsi="Cambria Math" w:eastAsia="宋体"/>
                              <w:szCs w:val="20"/>
                            </w:rPr>
                          </w:ins>
                        </m:ctrlPr>
                      </m:dPr>
                      <m:e>
                        <m:sSub>
                          <m:sSubPr>
                            <m:ctrlPr>
                              <w:ins w:id="665" w:author="Alexander Golitschek" w:date="2022-02-20T18:58:00Z">
                                <w:rPr>
                                  <w:rFonts w:ascii="Cambria Math" w:hAnsi="Cambria Math" w:eastAsia="宋体"/>
                                  <w:szCs w:val="20"/>
                                </w:rPr>
                              </w:ins>
                            </m:ctrlPr>
                          </m:sSubPr>
                          <m:e>
                            <w:ins w:id="666" w:author="Alexander Golitschek" w:date="2022-02-20T18:58:00Z">
                              <m:r>
                                <w:rPr>
                                  <w:rFonts w:ascii="Cambria Math" w:hAnsi="Cambria Math" w:eastAsia="宋体"/>
                                  <w:szCs w:val="20"/>
                                </w:rPr>
                                <m:t>X</m:t>
                              </m:r>
                            </w:ins>
                            <m:ctrlPr>
                              <w:ins w:id="667" w:author="Alexander Golitschek" w:date="2022-02-20T18:58:00Z">
                                <w:rPr>
                                  <w:rFonts w:ascii="Cambria Math" w:hAnsi="Cambria Math" w:eastAsia="宋体"/>
                                  <w:szCs w:val="20"/>
                                </w:rPr>
                              </w:ins>
                            </m:ctrlPr>
                          </m:e>
                          <m:sub>
                            <w:ins w:id="668" w:author="Alexander Golitschek" w:date="2022-02-20T18:58:00Z">
                              <m:r>
                                <w:rPr>
                                  <w:rFonts w:ascii="Cambria Math" w:hAnsi="Cambria Math" w:eastAsia="宋体"/>
                                  <w:szCs w:val="20"/>
                                </w:rPr>
                                <m:t>s</m:t>
                              </m:r>
                            </w:ins>
                            <m:ctrlPr>
                              <w:ins w:id="669" w:author="Alexander Golitschek" w:date="2022-02-20T18:58:00Z">
                                <w:rPr>
                                  <w:rFonts w:ascii="Cambria Math" w:hAnsi="Cambria Math" w:eastAsia="宋体"/>
                                  <w:szCs w:val="20"/>
                                </w:rPr>
                              </w:ins>
                            </m:ctrlPr>
                          </m:sub>
                        </m:sSub>
                        <w:ins w:id="670" w:author="Alexander Golitschek" w:date="2022-02-20T18:58:00Z">
                          <m:r>
                            <m:rPr>
                              <m:sty m:val="p"/>
                            </m:rPr>
                            <w:rPr>
                              <w:rFonts w:ascii="Cambria Math" w:hAnsi="Cambria Math" w:eastAsia="宋体"/>
                              <w:szCs w:val="20"/>
                            </w:rPr>
                            <m:t>,</m:t>
                          </m:r>
                        </w:ins>
                        <m:sSub>
                          <m:sSubPr>
                            <m:ctrlPr>
                              <w:ins w:id="671" w:author="Alexander Golitschek" w:date="2022-02-20T18:58:00Z">
                                <w:rPr>
                                  <w:rFonts w:ascii="Cambria Math" w:hAnsi="Cambria Math" w:eastAsia="宋体"/>
                                  <w:szCs w:val="20"/>
                                </w:rPr>
                              </w:ins>
                            </m:ctrlPr>
                          </m:sSubPr>
                          <m:e>
                            <w:ins w:id="672" w:author="Alexander Golitschek" w:date="2022-02-20T18:58:00Z">
                              <m:r>
                                <w:rPr>
                                  <w:rFonts w:ascii="Cambria Math" w:hAnsi="Cambria Math" w:eastAsia="宋体"/>
                                  <w:szCs w:val="20"/>
                                </w:rPr>
                                <m:t>Y</m:t>
                              </m:r>
                            </w:ins>
                            <m:ctrlPr>
                              <w:ins w:id="673" w:author="Alexander Golitschek" w:date="2022-02-20T18:58:00Z">
                                <w:rPr>
                                  <w:rFonts w:ascii="Cambria Math" w:hAnsi="Cambria Math" w:eastAsia="宋体"/>
                                  <w:szCs w:val="20"/>
                                </w:rPr>
                              </w:ins>
                            </m:ctrlPr>
                          </m:e>
                          <m:sub>
                            <w:ins w:id="674" w:author="Alexander Golitschek" w:date="2022-02-20T18:58:00Z">
                              <m:r>
                                <w:rPr>
                                  <w:rFonts w:ascii="Cambria Math" w:hAnsi="Cambria Math" w:eastAsia="宋体"/>
                                  <w:szCs w:val="20"/>
                                </w:rPr>
                                <m:t>s</m:t>
                              </m:r>
                            </w:ins>
                            <m:ctrlPr>
                              <w:ins w:id="675" w:author="Alexander Golitschek" w:date="2022-02-20T18:58:00Z">
                                <w:rPr>
                                  <w:rFonts w:ascii="Cambria Math" w:hAnsi="Cambria Math" w:eastAsia="宋体"/>
                                  <w:szCs w:val="20"/>
                                </w:rPr>
                              </w:ins>
                            </m:ctrlPr>
                          </m:sub>
                        </m:sSub>
                        <m:ctrlPr>
                          <w:ins w:id="676" w:author="Alexander Golitschek" w:date="2022-02-20T18:58:00Z">
                            <w:rPr>
                              <w:rFonts w:ascii="Cambria Math" w:hAnsi="Cambria Math" w:eastAsia="宋体"/>
                              <w:szCs w:val="20"/>
                            </w:rPr>
                          </w:ins>
                        </m:ctrlPr>
                      </m:e>
                    </m:d>
                    <w:ins w:id="677" w:author="Alexander Golitschek" w:date="2022-02-20T18:58:00Z">
                      <m:r>
                        <m:rPr>
                          <m:sty m:val="p"/>
                        </m:rPr>
                        <w:rPr>
                          <w:rFonts w:ascii="Cambria Math" w:hAnsi="Cambria Math" w:eastAsia="宋体"/>
                          <w:szCs w:val="20"/>
                        </w:rPr>
                        <m:t>=(8,1)</m:t>
                      </m:r>
                    </w:ins>
                  </m:oMath>
                  <w:ins w:id="678" w:author="Alexander Golitschek" w:date="2022-02-20T18:58:00Z">
                    <w:r>
                      <w:rPr>
                        <w:rFonts w:eastAsia="宋体"/>
                        <w:szCs w:val="20"/>
                      </w:rPr>
                      <w:t xml:space="preserve"> </w:t>
                    </w:r>
                  </w:ins>
                  <w:ins w:id="679" w:author="Alexander Golitschek" w:date="2022-02-20T18:58:00Z">
                    <w:r>
                      <w:rPr>
                        <w:rFonts w:eastAsia="宋体"/>
                        <w:strike/>
                        <w:szCs w:val="20"/>
                      </w:rPr>
                      <w:t xml:space="preserve">for μ </w:t>
                    </w:r>
                  </w:ins>
                  <w:ins w:id="680" w:author="Alexander Golitschek" w:date="2022-02-20T19:01:00Z">
                    <w:r>
                      <w:rPr>
                        <w:rFonts w:eastAsia="宋体"/>
                        <w:strike/>
                        <w:szCs w:val="20"/>
                      </w:rPr>
                      <w:t>=</w:t>
                    </w:r>
                  </w:ins>
                  <w:ins w:id="681" w:author="Alexander Golitschek" w:date="2022-02-20T19:02:00Z">
                    <w:r>
                      <w:rPr>
                        <w:rFonts w:eastAsia="宋体"/>
                        <w:strike/>
                        <w:szCs w:val="20"/>
                      </w:rPr>
                      <w:t xml:space="preserve"> </w:t>
                    </w:r>
                  </w:ins>
                  <w:ins w:id="682" w:author="Alexander Golitschek" w:date="2022-02-20T18:58:00Z">
                    <w:r>
                      <w:rPr>
                        <w:rFonts w:eastAsia="宋体"/>
                        <w:strike/>
                        <w:szCs w:val="20"/>
                      </w:rPr>
                      <w:t xml:space="preserve">6 </w:t>
                    </w:r>
                  </w:ins>
                  <w:ins w:id="683" w:author="Alexander Golitschek" w:date="2022-02-20T18:58:00Z">
                    <w:r>
                      <w:rPr>
                        <w:rFonts w:eastAsia="宋体"/>
                        <w:szCs w:val="20"/>
                      </w:rPr>
                      <w:t>as in Tables 10.1-2B and 10.1-3B.</w:t>
                    </w:r>
                  </w:ins>
                </w:p>
              </w:tc>
            </w:tr>
          </w:tbl>
          <w:p>
            <w:pPr>
              <w:pStyle w:val="212"/>
              <w:widowControl w:val="0"/>
              <w:numPr>
                <w:ilvl w:val="0"/>
                <w:numId w:val="26"/>
              </w:numPr>
              <w:tabs>
                <w:tab w:val="left" w:pos="0"/>
                <w:tab w:val="clear" w:pos="1304"/>
                <w:tab w:val="clear" w:pos="2722"/>
              </w:tabs>
              <w:spacing w:after="120"/>
              <w:rPr>
                <w:rFonts w:ascii="Times New Roman" w:hAnsi="Times New Roman" w:cs="Times New Roman"/>
                <w:b w:val="0"/>
                <w:bCs w:val="0"/>
              </w:rPr>
            </w:pPr>
            <w:r>
              <w:rPr>
                <w:rFonts w:ascii="Times New Roman" w:hAnsi="Times New Roman" w:cs="Times New Roman" w:eastAsiaTheme="minorEastAsia"/>
                <w:b w:val="0"/>
                <w:bCs w:val="0"/>
                <w:lang w:eastAsia="ja-JP"/>
              </w:rPr>
              <w:t xml:space="preserve">Capture the following description in </w:t>
            </w:r>
            <w:r>
              <w:rPr>
                <w:rFonts w:ascii="Times New Roman" w:hAnsi="Times New Roman" w:cs="Times New Roman"/>
                <w:b w:val="0"/>
                <w:bCs w:val="0"/>
              </w:rPr>
              <w:t xml:space="preserve">the RRC parameter spreadsheet to RAN2, with </w:t>
            </w:r>
            <w:r>
              <w:rPr>
                <w:rFonts w:ascii="Times New Roman" w:hAnsi="Times New Roman" w:cs="Times New Roman"/>
                <w:i/>
                <w:iCs/>
              </w:rPr>
              <w:t>monitoringCapabilityConfig</w:t>
            </w:r>
            <w:r>
              <w:rPr>
                <w:rFonts w:ascii="Times New Roman" w:hAnsi="Times New Roman" w:cs="Times New Roman"/>
                <w:b w:val="0"/>
                <w:bCs w:val="0"/>
              </w:rPr>
              <w:t xml:space="preserve"> being an optional field:</w:t>
            </w:r>
          </w:p>
          <w:p>
            <w:pPr>
              <w:pStyle w:val="88"/>
              <w:widowControl w:val="0"/>
              <w:numPr>
                <w:ilvl w:val="1"/>
                <w:numId w:val="26"/>
              </w:numPr>
              <w:rPr>
                <w:b/>
                <w:bCs/>
                <w:i/>
                <w:iCs/>
              </w:rPr>
            </w:pPr>
            <w:r>
              <w:rPr>
                <w:b/>
                <w:bCs/>
                <w:i/>
                <w:iCs/>
              </w:rPr>
              <w:t>monitoringCapabilityConfig</w:t>
            </w:r>
          </w:p>
          <w:p>
            <w:pPr>
              <w:pStyle w:val="88"/>
              <w:widowControl w:val="0"/>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When present, the network configures this field with </w:t>
            </w:r>
            <w:r>
              <w:rPr>
                <w:i/>
                <w:lang w:eastAsia="sv-SE"/>
              </w:rPr>
              <w:t xml:space="preserve">r17monitoringcapablity </w:t>
            </w:r>
            <w:r>
              <w:rPr>
                <w:iCs/>
                <w:lang w:eastAsia="sv-SE"/>
              </w:rPr>
              <w:t>for a BWP with SCS configured as 480 or 960 kHz SCS</w:t>
            </w:r>
            <w:r>
              <w:rPr>
                <w:lang w:eastAsia="sv-SE"/>
              </w:rPr>
              <w:t>.</w:t>
            </w:r>
          </w:p>
          <w:p>
            <w:pPr>
              <w:widowControl w:val="0"/>
              <w:rPr>
                <w:lang w:eastAsia="zh-CN"/>
              </w:rPr>
            </w:pPr>
          </w:p>
          <w:p>
            <w:pPr>
              <w:widowControl w:val="0"/>
              <w:rPr>
                <w:rFonts w:eastAsia="MS Mincho"/>
                <w:szCs w:val="20"/>
              </w:rPr>
            </w:pPr>
          </w:p>
          <w:p>
            <w:pPr>
              <w:widowControl w:val="0"/>
              <w:rPr>
                <w:rFonts w:eastAsia="MS Mincho"/>
                <w:lang w:eastAsia="ja-JP"/>
              </w:rPr>
            </w:pPr>
          </w:p>
        </w:tc>
      </w:tr>
    </w:tbl>
    <w:p>
      <w:pPr>
        <w:autoSpaceDE/>
        <w:autoSpaceDN/>
        <w:adjustRightInd/>
        <w:snapToGrid/>
        <w:spacing w:after="0" w:line="240" w:lineRule="auto"/>
        <w:rPr>
          <w:lang w:eastAsia="zh-CN"/>
        </w:rPr>
      </w:pPr>
    </w:p>
    <w:p>
      <w:pPr>
        <w:pStyle w:val="5"/>
      </w:pPr>
      <w:r>
        <w:t>Second round discussion summary</w:t>
      </w:r>
    </w:p>
    <w:p>
      <w:pPr>
        <w:rPr>
          <w:lang w:eastAsia="zh-CN"/>
        </w:rPr>
      </w:pPr>
      <w:r>
        <w:rPr>
          <w:lang w:eastAsia="zh-CN"/>
        </w:rPr>
        <w:t>It seems proposal A1-4.4b with additional clarification is supported by many companies. The suggested clarification by vivo has been implemented in proposal A1-4.4c below, cleaning up change marks as well.</w:t>
      </w:r>
    </w:p>
    <w:p>
      <w:pPr>
        <w:rPr>
          <w:bCs/>
          <w:sz w:val="20"/>
          <w:szCs w:val="20"/>
        </w:rPr>
      </w:pPr>
      <w:r>
        <w:rPr>
          <w:b/>
          <w:sz w:val="20"/>
          <w:szCs w:val="20"/>
          <w:highlight w:val="yellow"/>
          <w:u w:val="single"/>
        </w:rPr>
        <w:t>Proposal A1-4.4c</w:t>
      </w:r>
    </w:p>
    <w:p>
      <w:pPr>
        <w:pStyle w:val="82"/>
        <w:numPr>
          <w:ilvl w:val="0"/>
          <w:numId w:val="26"/>
        </w:numPr>
        <w:rPr>
          <w:bCs/>
        </w:rPr>
      </w:pPr>
      <w:r>
        <w:rPr>
          <w:bCs/>
        </w:rPr>
        <w:t>Change TS 38.213 Clause 10 as follows:</w:t>
      </w:r>
    </w:p>
    <w:tbl>
      <w:tblPr>
        <w:tblStyle w:val="55"/>
        <w:tblW w:w="13944" w:type="dxa"/>
        <w:tblInd w:w="73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9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44" w:type="dxa"/>
            <w:vAlign w:val="center"/>
          </w:tcPr>
          <w:p>
            <w:pPr>
              <w:widowControl w:val="0"/>
              <w:rPr>
                <w:rFonts w:eastAsia="宋体"/>
                <w:szCs w:val="20"/>
              </w:rPr>
            </w:pPr>
            <w:r>
              <w:rPr>
                <w:rFonts w:eastAsia="宋体"/>
                <w:szCs w:val="20"/>
              </w:rPr>
              <w:t xml:space="preserve">If a UE is provided </w:t>
            </w:r>
            <w:r>
              <w:rPr>
                <w:rFonts w:eastAsia="宋体"/>
                <w:i/>
                <w:szCs w:val="20"/>
              </w:rPr>
              <w:t>monitoringCapabilityConfig</w:t>
            </w:r>
            <w:r>
              <w:rPr>
                <w:rFonts w:eastAsia="宋体"/>
                <w:szCs w:val="20"/>
              </w:rPr>
              <w:t xml:space="preserve"> for a</w:t>
            </w:r>
            <w:ins w:id="684" w:author="Alexander Golitschek" w:date="2022-02-20T19:09:00Z">
              <w:r>
                <w:rPr>
                  <w:rFonts w:eastAsia="宋体"/>
                  <w:szCs w:val="20"/>
                </w:rPr>
                <w:t>n active DL BWP of a</w:t>
              </w:r>
            </w:ins>
            <w:r>
              <w:rPr>
                <w:rFonts w:eastAsia="宋体"/>
                <w:szCs w:val="20"/>
              </w:rPr>
              <w:t xml:space="preserve"> serving cell, the UE obtains an indication to monitor PDCCH on </w:t>
            </w:r>
            <w:ins w:id="685" w:author="Alexander Golitschek" w:date="2022-02-20T19:12:00Z">
              <w:r>
                <w:rPr>
                  <w:rFonts w:eastAsia="宋体"/>
                  <w:szCs w:val="20"/>
                </w:rPr>
                <w:t xml:space="preserve">the active DL BWP of </w:t>
              </w:r>
            </w:ins>
            <w:r>
              <w:rPr>
                <w:rFonts w:eastAsia="宋体"/>
                <w:szCs w:val="20"/>
              </w:rPr>
              <w:t xml:space="preserve">the serving cell for a maximum number of PDCCH candidates and non-overlapping CCEs </w:t>
            </w:r>
          </w:p>
          <w:p>
            <w:pPr>
              <w:widowControl w:val="0"/>
              <w:rPr>
                <w:rFonts w:eastAsia="宋体"/>
                <w:szCs w:val="20"/>
              </w:rPr>
            </w:pPr>
            <w:r>
              <w:rPr>
                <w:rFonts w:eastAsia="宋体"/>
                <w:szCs w:val="20"/>
              </w:rPr>
              <w:t>-</w:t>
            </w:r>
            <w:r>
              <w:rPr>
                <w:rFonts w:eastAsia="宋体"/>
                <w:szCs w:val="20"/>
              </w:rPr>
              <w:tab/>
            </w:r>
            <w:r>
              <w:rPr>
                <w:rFonts w:eastAsia="宋体"/>
                <w:szCs w:val="20"/>
              </w:rPr>
              <w:t xml:space="preserve">per slot, as in Tables 10.1-2 and 10.1-3, if </w:t>
            </w:r>
            <w:r>
              <w:rPr>
                <w:rFonts w:eastAsia="宋体"/>
                <w:i/>
                <w:szCs w:val="20"/>
              </w:rPr>
              <w:t>monitoringCapabilityConfig</w:t>
            </w:r>
            <w:r>
              <w:rPr>
                <w:rFonts w:eastAsia="宋体"/>
                <w:szCs w:val="20"/>
              </w:rPr>
              <w:t xml:space="preserve"> = </w:t>
            </w:r>
            <w:r>
              <w:rPr>
                <w:rFonts w:eastAsia="宋体"/>
                <w:i/>
                <w:szCs w:val="20"/>
              </w:rPr>
              <w:t>r15monitoringcapability</w:t>
            </w:r>
            <w:r>
              <w:rPr>
                <w:rFonts w:eastAsia="宋体"/>
                <w:szCs w:val="20"/>
              </w:rPr>
              <w:t xml:space="preserve">, or </w:t>
            </w:r>
          </w:p>
          <w:p>
            <w:pPr>
              <w:widowControl w:val="0"/>
              <w:rPr>
                <w:rFonts w:eastAsia="宋体"/>
                <w:szCs w:val="20"/>
              </w:rPr>
            </w:pPr>
            <w:r>
              <w:rPr>
                <w:rFonts w:eastAsia="宋体"/>
                <w:szCs w:val="20"/>
              </w:rPr>
              <w:t>-</w:t>
            </w:r>
            <w:r>
              <w:rPr>
                <w:rFonts w:eastAsia="宋体"/>
                <w:szCs w:val="20"/>
              </w:rPr>
              <w:tab/>
            </w:r>
            <w:r>
              <w:rPr>
                <w:rFonts w:eastAsia="宋体"/>
                <w:szCs w:val="20"/>
              </w:rPr>
              <w:t xml:space="preserve">per span, as in Tables 10.1-2A and 10.1-3A, if </w:t>
            </w:r>
            <w:r>
              <w:rPr>
                <w:rFonts w:eastAsia="宋体"/>
                <w:i/>
                <w:szCs w:val="20"/>
              </w:rPr>
              <w:t>monitoringCapabilityConfig</w:t>
            </w:r>
            <w:r>
              <w:rPr>
                <w:rFonts w:eastAsia="宋体"/>
                <w:szCs w:val="20"/>
              </w:rPr>
              <w:t xml:space="preserve"> = </w:t>
            </w:r>
            <w:r>
              <w:rPr>
                <w:rFonts w:eastAsia="宋体"/>
                <w:i/>
                <w:szCs w:val="20"/>
              </w:rPr>
              <w:t>r16monitoringcapability</w:t>
            </w:r>
          </w:p>
          <w:p>
            <w:pPr>
              <w:widowControl w:val="0"/>
              <w:rPr>
                <w:rFonts w:eastAsia="宋体"/>
                <w:szCs w:val="20"/>
              </w:rPr>
            </w:pPr>
            <w:r>
              <w:rPr>
                <w:rFonts w:eastAsia="宋体"/>
                <w:szCs w:val="20"/>
              </w:rPr>
              <w:t>-</w:t>
            </w:r>
            <w:r>
              <w:rPr>
                <w:rFonts w:eastAsia="宋体"/>
                <w:szCs w:val="20"/>
              </w:rPr>
              <w:tab/>
            </w:r>
            <w:r>
              <w:rPr>
                <w:rFonts w:eastAsia="宋体"/>
                <w:szCs w:val="20"/>
              </w:rPr>
              <w:t xml:space="preserve">per group of </w:t>
            </w:r>
            <m:oMath>
              <m:sSub>
                <m:sSubPr>
                  <m:ctrlPr>
                    <w:rPr>
                      <w:rFonts w:ascii="Cambria Math" w:hAnsi="Cambria Math" w:eastAsia="宋体"/>
                      <w:i/>
                      <w:szCs w:val="20"/>
                      <w:lang w:val="zh-CN"/>
                    </w:rPr>
                  </m:ctrlPr>
                </m:sSubPr>
                <m:e>
                  <m:r>
                    <w:rPr>
                      <w:rFonts w:ascii="Cambria Math" w:hAnsi="Cambria Math" w:eastAsia="宋体"/>
                      <w:szCs w:val="20"/>
                      <w:lang w:val="zh-CN"/>
                    </w:rPr>
                    <m:t>X</m:t>
                  </m:r>
                  <m:ctrlPr>
                    <w:rPr>
                      <w:rFonts w:ascii="Cambria Math" w:hAnsi="Cambria Math" w:eastAsia="宋体"/>
                      <w:i/>
                      <w:szCs w:val="20"/>
                      <w:lang w:val="zh-CN"/>
                    </w:rPr>
                  </m:ctrlPr>
                </m:e>
                <m:sub>
                  <m:r>
                    <w:rPr>
                      <w:rFonts w:ascii="Cambria Math" w:hAnsi="Cambria Math" w:eastAsia="宋体"/>
                      <w:szCs w:val="20"/>
                      <w:lang w:val="zh-CN"/>
                    </w:rPr>
                    <m:t>s</m:t>
                  </m:r>
                  <m:ctrlPr>
                    <w:rPr>
                      <w:rFonts w:ascii="Cambria Math" w:hAnsi="Cambria Math" w:eastAsia="宋体"/>
                      <w:i/>
                      <w:szCs w:val="20"/>
                      <w:lang w:val="zh-CN"/>
                    </w:rPr>
                  </m:ctrlPr>
                </m:sub>
              </m:sSub>
            </m:oMath>
            <w:r>
              <w:rPr>
                <w:rFonts w:eastAsia="宋体"/>
                <w:szCs w:val="20"/>
              </w:rPr>
              <w:t xml:space="preserve"> slots according to combination </w:t>
            </w:r>
            <m:oMath>
              <m:d>
                <m:dPr>
                  <m:ctrlPr>
                    <w:rPr>
                      <w:rFonts w:ascii="Cambria Math" w:hAnsi="Cambria Math" w:eastAsia="宋体"/>
                      <w:szCs w:val="20"/>
                      <w:lang w:val="zh-CN"/>
                    </w:rPr>
                  </m:ctrlPr>
                </m:dPr>
                <m:e>
                  <m:sSub>
                    <m:sSubPr>
                      <m:ctrlPr>
                        <w:rPr>
                          <w:rFonts w:ascii="Cambria Math" w:hAnsi="Cambria Math" w:eastAsia="宋体"/>
                          <w:i/>
                          <w:szCs w:val="20"/>
                          <w:lang w:val="zh-CN"/>
                        </w:rPr>
                      </m:ctrlPr>
                    </m:sSubPr>
                    <m:e>
                      <m:r>
                        <w:rPr>
                          <w:rFonts w:ascii="Cambria Math" w:hAnsi="Cambria Math" w:eastAsia="宋体"/>
                          <w:szCs w:val="20"/>
                          <w:lang w:val="zh-CN"/>
                        </w:rPr>
                        <m:t>X</m:t>
                      </m:r>
                      <m:ctrlPr>
                        <w:rPr>
                          <w:rFonts w:ascii="Cambria Math" w:hAnsi="Cambria Math" w:eastAsia="宋体"/>
                          <w:i/>
                          <w:szCs w:val="20"/>
                          <w:lang w:val="zh-CN"/>
                        </w:rPr>
                      </m:ctrlPr>
                    </m:e>
                    <m:sub>
                      <m:r>
                        <w:rPr>
                          <w:rFonts w:ascii="Cambria Math" w:hAnsi="Cambria Math" w:eastAsia="宋体"/>
                          <w:szCs w:val="20"/>
                          <w:lang w:val="zh-CN"/>
                        </w:rPr>
                        <m:t>s</m:t>
                      </m:r>
                      <m:ctrlPr>
                        <w:rPr>
                          <w:rFonts w:ascii="Cambria Math" w:hAnsi="Cambria Math" w:eastAsia="宋体"/>
                          <w:i/>
                          <w:szCs w:val="20"/>
                          <w:lang w:val="zh-CN"/>
                        </w:rPr>
                      </m:ctrlPr>
                    </m:sub>
                  </m:sSub>
                  <m:r>
                    <w:rPr>
                      <w:rFonts w:ascii="Cambria Math" w:hAnsi="Cambria Math" w:eastAsia="宋体"/>
                      <w:szCs w:val="20"/>
                    </w:rPr>
                    <m:t>,</m:t>
                  </m:r>
                  <m:sSub>
                    <m:sSubPr>
                      <m:ctrlPr>
                        <w:rPr>
                          <w:rFonts w:ascii="Cambria Math" w:hAnsi="Cambria Math" w:eastAsia="宋体"/>
                          <w:i/>
                          <w:szCs w:val="20"/>
                          <w:lang w:val="zh-CN"/>
                        </w:rPr>
                      </m:ctrlPr>
                    </m:sSubPr>
                    <m:e>
                      <m:r>
                        <w:rPr>
                          <w:rFonts w:ascii="Cambria Math" w:hAnsi="Cambria Math" w:eastAsia="宋体"/>
                          <w:szCs w:val="20"/>
                          <w:lang w:val="zh-CN"/>
                        </w:rPr>
                        <m:t>Y</m:t>
                      </m:r>
                      <m:ctrlPr>
                        <w:rPr>
                          <w:rFonts w:ascii="Cambria Math" w:hAnsi="Cambria Math" w:eastAsia="宋体"/>
                          <w:i/>
                          <w:szCs w:val="20"/>
                          <w:lang w:val="zh-CN"/>
                        </w:rPr>
                      </m:ctrlPr>
                    </m:e>
                    <m:sub>
                      <m:r>
                        <w:rPr>
                          <w:rFonts w:ascii="Cambria Math" w:hAnsi="Cambria Math" w:eastAsia="宋体"/>
                          <w:szCs w:val="20"/>
                          <w:lang w:val="zh-CN"/>
                        </w:rPr>
                        <m:t>s</m:t>
                      </m:r>
                      <m:ctrlPr>
                        <w:rPr>
                          <w:rFonts w:ascii="Cambria Math" w:hAnsi="Cambria Math" w:eastAsia="宋体"/>
                          <w:i/>
                          <w:szCs w:val="20"/>
                          <w:lang w:val="zh-CN"/>
                        </w:rPr>
                      </m:ctrlPr>
                    </m:sub>
                  </m:sSub>
                  <m:ctrlPr>
                    <w:rPr>
                      <w:rFonts w:ascii="Cambria Math" w:hAnsi="Cambria Math" w:eastAsia="宋体"/>
                      <w:szCs w:val="20"/>
                      <w:lang w:val="zh-CN"/>
                    </w:rPr>
                  </m:ctrlPr>
                </m:e>
              </m:d>
            </m:oMath>
            <w:r>
              <w:rPr>
                <w:rFonts w:eastAsia="宋体"/>
                <w:szCs w:val="20"/>
              </w:rPr>
              <w:t xml:space="preserve">, as in Tables 10.1-2B and 10.1-3B, if </w:t>
            </w:r>
            <w:r>
              <w:rPr>
                <w:rFonts w:eastAsia="宋体"/>
                <w:i/>
                <w:szCs w:val="20"/>
              </w:rPr>
              <w:t>monitoringCapabilityConfig</w:t>
            </w:r>
            <w:r>
              <w:rPr>
                <w:rFonts w:eastAsia="宋体"/>
                <w:szCs w:val="20"/>
              </w:rPr>
              <w:t xml:space="preserve"> = </w:t>
            </w:r>
            <w:r>
              <w:rPr>
                <w:rFonts w:eastAsia="宋体"/>
                <w:i/>
                <w:szCs w:val="20"/>
              </w:rPr>
              <w:t>r17monitoringcapability</w:t>
            </w:r>
          </w:p>
          <w:p>
            <w:pPr>
              <w:widowControl w:val="0"/>
              <w:rPr>
                <w:rFonts w:eastAsia="宋体"/>
                <w:szCs w:val="20"/>
              </w:rPr>
            </w:pPr>
            <w:r>
              <w:rPr>
                <w:rFonts w:eastAsia="宋体"/>
                <w:szCs w:val="20"/>
              </w:rPr>
              <w:t xml:space="preserve">If the UE is not provided </w:t>
            </w:r>
            <w:r>
              <w:rPr>
                <w:rFonts w:eastAsia="宋体"/>
                <w:i/>
                <w:szCs w:val="20"/>
              </w:rPr>
              <w:t>monitoringCapabilityConfig</w:t>
            </w:r>
            <w:ins w:id="686" w:author="Alexander Golitschek" w:date="2022-02-20T19:32:00Z">
              <w:r>
                <w:rPr>
                  <w:rFonts w:eastAsia="宋体"/>
                  <w:szCs w:val="20"/>
                </w:rPr>
                <w:t xml:space="preserve"> f</w:t>
              </w:r>
            </w:ins>
            <w:ins w:id="687" w:author="Alexander Golitschek" w:date="2022-02-20T19:32:00Z">
              <w:r>
                <w:rPr>
                  <w:rFonts w:eastAsia="宋体"/>
                  <w:szCs w:val="20"/>
                  <w:lang w:val="en-GB"/>
                </w:rPr>
                <w:t xml:space="preserve">or μ </w:t>
              </w:r>
            </w:ins>
            <w:ins w:id="688" w:author="Alexander Golitschek" w:date="2022-02-20T19:32:00Z">
              <w:r>
                <w:rPr>
                  <w:rFonts w:ascii="Cambria Math" w:hAnsi="Cambria Math" w:eastAsia="宋体" w:cs="Cambria Math"/>
                  <w:szCs w:val="20"/>
                  <w:lang w:val="en-GB"/>
                </w:rPr>
                <w:t>∈</w:t>
              </w:r>
            </w:ins>
            <w:ins w:id="689" w:author="Alexander Golitschek" w:date="2022-02-20T19:32:00Z">
              <w:r>
                <w:rPr>
                  <w:rFonts w:eastAsia="宋体"/>
                  <w:szCs w:val="20"/>
                  <w:lang w:val="en-GB"/>
                </w:rPr>
                <w:t xml:space="preserve"> {0,1,2,3}</w:t>
              </w:r>
            </w:ins>
            <w:r>
              <w:rPr>
                <w:rFonts w:eastAsia="宋体"/>
                <w:szCs w:val="20"/>
              </w:rPr>
              <w:t xml:space="preserve">, the UE monitors PDCCH on the </w:t>
            </w:r>
            <w:ins w:id="690" w:author="Alexander Golitschek" w:date="2022-02-20T19:14:00Z">
              <w:r>
                <w:rPr>
                  <w:rFonts w:eastAsia="宋体"/>
                  <w:szCs w:val="20"/>
                </w:rPr>
                <w:t xml:space="preserve">active DL BWP of a </w:t>
              </w:r>
            </w:ins>
            <w:r>
              <w:rPr>
                <w:rFonts w:eastAsia="宋体"/>
                <w:szCs w:val="20"/>
              </w:rPr>
              <w:t xml:space="preserve">serving cell for a maximum number of PDCCH candidates and non-overlapping CCEs per slot. </w:t>
            </w:r>
          </w:p>
          <w:p>
            <w:pPr>
              <w:widowControl w:val="0"/>
              <w:spacing w:after="180" w:line="240" w:lineRule="auto"/>
              <w:rPr>
                <w:rFonts w:eastAsia="Times New Roman"/>
                <w:szCs w:val="20"/>
                <w:lang w:eastAsia="en-GB"/>
              </w:rPr>
            </w:pPr>
            <w:ins w:id="691" w:author="Alexander Golitschek" w:date="2022-02-20T19:32:00Z">
              <w:r>
                <w:rPr>
                  <w:rFonts w:eastAsia="宋体"/>
                  <w:szCs w:val="20"/>
                </w:rPr>
                <w:t>I</w:t>
              </w:r>
            </w:ins>
            <w:ins w:id="692" w:author="Alexander Golitschek" w:date="2022-02-20T18:58:00Z">
              <w:r>
                <w:rPr>
                  <w:rFonts w:eastAsia="宋体"/>
                  <w:szCs w:val="20"/>
                </w:rPr>
                <w:t xml:space="preserve">f the UE is not provided </w:t>
              </w:r>
            </w:ins>
            <w:ins w:id="693" w:author="Alexander Golitschek" w:date="2022-02-20T18:58:00Z">
              <w:r>
                <w:rPr>
                  <w:rFonts w:eastAsia="宋体"/>
                  <w:i/>
                  <w:iCs/>
                  <w:szCs w:val="20"/>
                </w:rPr>
                <w:t>monitoringCapabilityConfig</w:t>
              </w:r>
            </w:ins>
            <w:ins w:id="694" w:author="Alexander Golitschek" w:date="2022-02-20T19:32:00Z">
              <w:r>
                <w:rPr>
                  <w:rFonts w:eastAsia="宋体"/>
                  <w:szCs w:val="20"/>
                </w:rPr>
                <w:t xml:space="preserve"> for μ </w:t>
              </w:r>
            </w:ins>
            <w:ins w:id="695" w:author="Alexander Golitschek" w:date="2022-02-20T19:32:00Z">
              <w:r>
                <w:rPr>
                  <w:rFonts w:ascii="Cambria Math" w:hAnsi="Cambria Math" w:eastAsia="宋体" w:cs="Cambria Math"/>
                  <w:szCs w:val="20"/>
                </w:rPr>
                <w:t>∈</w:t>
              </w:r>
            </w:ins>
            <w:ins w:id="696" w:author="Alexander Golitschek" w:date="2022-02-20T19:32:00Z">
              <w:r>
                <w:rPr>
                  <w:rFonts w:eastAsia="宋体"/>
                  <w:szCs w:val="20"/>
                </w:rPr>
                <w:t xml:space="preserve"> {5,6}, </w:t>
              </w:r>
            </w:ins>
            <w:ins w:id="697" w:author="Alexander Golitschek" w:date="2022-02-20T18:58:00Z">
              <w:r>
                <w:rPr>
                  <w:rFonts w:eastAsia="宋体"/>
                  <w:szCs w:val="20"/>
                </w:rPr>
                <w:t xml:space="preserve">the UE monitors PDCCH on the </w:t>
              </w:r>
            </w:ins>
            <w:ins w:id="698" w:author="Alexander Golitschek" w:date="2022-02-20T19:13:00Z">
              <w:r>
                <w:rPr>
                  <w:rFonts w:eastAsia="宋体"/>
                  <w:szCs w:val="20"/>
                </w:rPr>
                <w:t xml:space="preserve">active DL BWP of a </w:t>
              </w:r>
            </w:ins>
            <w:ins w:id="699" w:author="Alexander Golitschek" w:date="2022-02-20T18:58:00Z">
              <w:r>
                <w:rPr>
                  <w:rFonts w:eastAsia="宋体"/>
                  <w:szCs w:val="20"/>
                </w:rPr>
                <w:t xml:space="preserve">serving cell for a maximum number of PDCCH candidates and non-overlapping CCEs per group of </w:t>
              </w:r>
            </w:ins>
            <m:oMath>
              <m:sSub>
                <m:sSubPr>
                  <m:ctrlPr>
                    <w:ins w:id="700" w:author="Alexander Golitschek" w:date="2022-02-20T18:58:00Z">
                      <w:rPr>
                        <w:rFonts w:ascii="Cambria Math" w:hAnsi="Cambria Math" w:eastAsia="宋体"/>
                        <w:szCs w:val="20"/>
                      </w:rPr>
                    </w:ins>
                  </m:ctrlPr>
                </m:sSubPr>
                <m:e>
                  <w:ins w:id="701" w:author="Alexander Golitschek" w:date="2022-02-20T18:58:00Z">
                    <m:r>
                      <w:rPr>
                        <w:rFonts w:ascii="Cambria Math" w:hAnsi="Cambria Math" w:eastAsia="宋体"/>
                        <w:szCs w:val="20"/>
                      </w:rPr>
                      <m:t>X</m:t>
                    </m:r>
                  </w:ins>
                  <m:ctrlPr>
                    <w:ins w:id="702" w:author="Alexander Golitschek" w:date="2022-02-20T18:58:00Z">
                      <w:rPr>
                        <w:rFonts w:ascii="Cambria Math" w:hAnsi="Cambria Math" w:eastAsia="宋体"/>
                        <w:szCs w:val="20"/>
                      </w:rPr>
                    </w:ins>
                  </m:ctrlPr>
                </m:e>
                <m:sub>
                  <w:ins w:id="703" w:author="Alexander Golitschek" w:date="2022-02-20T18:58:00Z">
                    <m:r>
                      <w:rPr>
                        <w:rFonts w:ascii="Cambria Math" w:hAnsi="Cambria Math" w:eastAsia="宋体"/>
                        <w:szCs w:val="20"/>
                      </w:rPr>
                      <m:t>s</m:t>
                    </m:r>
                  </w:ins>
                  <m:ctrlPr>
                    <w:ins w:id="704" w:author="Alexander Golitschek" w:date="2022-02-20T18:58:00Z">
                      <w:rPr>
                        <w:rFonts w:ascii="Cambria Math" w:hAnsi="Cambria Math" w:eastAsia="宋体"/>
                        <w:szCs w:val="20"/>
                      </w:rPr>
                    </w:ins>
                  </m:ctrlPr>
                </m:sub>
              </m:sSub>
            </m:oMath>
            <w:ins w:id="705" w:author="Alexander Golitschek" w:date="2022-02-20T18:58:00Z">
              <w:r>
                <w:rPr>
                  <w:rFonts w:eastAsia="宋体"/>
                  <w:szCs w:val="20"/>
                </w:rPr>
                <w:t xml:space="preserve"> slots according to combination </w:t>
              </w:r>
            </w:ins>
            <m:oMath>
              <m:d>
                <m:dPr>
                  <m:ctrlPr>
                    <w:ins w:id="706" w:author="Alexander Golitschek" w:date="2022-02-20T18:58:00Z">
                      <w:rPr>
                        <w:rFonts w:ascii="Cambria Math" w:hAnsi="Cambria Math" w:eastAsia="宋体"/>
                        <w:szCs w:val="20"/>
                      </w:rPr>
                    </w:ins>
                  </m:ctrlPr>
                </m:dPr>
                <m:e>
                  <m:sSub>
                    <m:sSubPr>
                      <m:ctrlPr>
                        <w:ins w:id="707" w:author="Alexander Golitschek" w:date="2022-02-20T18:58:00Z">
                          <w:rPr>
                            <w:rFonts w:ascii="Cambria Math" w:hAnsi="Cambria Math" w:eastAsia="宋体"/>
                            <w:szCs w:val="20"/>
                          </w:rPr>
                        </w:ins>
                      </m:ctrlPr>
                    </m:sSubPr>
                    <m:e>
                      <w:ins w:id="708" w:author="Alexander Golitschek" w:date="2022-02-20T18:58:00Z">
                        <m:r>
                          <w:rPr>
                            <w:rFonts w:ascii="Cambria Math" w:hAnsi="Cambria Math" w:eastAsia="宋体"/>
                            <w:szCs w:val="20"/>
                          </w:rPr>
                          <m:t>X</m:t>
                        </m:r>
                      </w:ins>
                      <m:ctrlPr>
                        <w:ins w:id="709" w:author="Alexander Golitschek" w:date="2022-02-20T18:58:00Z">
                          <w:rPr>
                            <w:rFonts w:ascii="Cambria Math" w:hAnsi="Cambria Math" w:eastAsia="宋体"/>
                            <w:szCs w:val="20"/>
                          </w:rPr>
                        </w:ins>
                      </m:ctrlPr>
                    </m:e>
                    <m:sub>
                      <w:ins w:id="710" w:author="Alexander Golitschek" w:date="2022-02-20T18:58:00Z">
                        <m:r>
                          <w:rPr>
                            <w:rFonts w:ascii="Cambria Math" w:hAnsi="Cambria Math" w:eastAsia="宋体"/>
                            <w:szCs w:val="20"/>
                          </w:rPr>
                          <m:t>s</m:t>
                        </m:r>
                      </w:ins>
                      <m:ctrlPr>
                        <w:ins w:id="711" w:author="Alexander Golitschek" w:date="2022-02-20T18:58:00Z">
                          <w:rPr>
                            <w:rFonts w:ascii="Cambria Math" w:hAnsi="Cambria Math" w:eastAsia="宋体"/>
                            <w:szCs w:val="20"/>
                          </w:rPr>
                        </w:ins>
                      </m:ctrlPr>
                    </m:sub>
                  </m:sSub>
                  <w:ins w:id="712" w:author="Alexander Golitschek" w:date="2022-02-20T18:58:00Z">
                    <m:r>
                      <m:rPr>
                        <m:sty m:val="p"/>
                      </m:rPr>
                      <w:rPr>
                        <w:rFonts w:ascii="Cambria Math" w:hAnsi="Cambria Math" w:eastAsia="宋体"/>
                        <w:szCs w:val="20"/>
                      </w:rPr>
                      <m:t>,</m:t>
                    </m:r>
                  </w:ins>
                  <m:sSub>
                    <m:sSubPr>
                      <m:ctrlPr>
                        <w:ins w:id="713" w:author="Alexander Golitschek" w:date="2022-02-20T18:58:00Z">
                          <w:rPr>
                            <w:rFonts w:ascii="Cambria Math" w:hAnsi="Cambria Math" w:eastAsia="宋体"/>
                            <w:szCs w:val="20"/>
                          </w:rPr>
                        </w:ins>
                      </m:ctrlPr>
                    </m:sSubPr>
                    <m:e>
                      <w:ins w:id="714" w:author="Alexander Golitschek" w:date="2022-02-20T18:58:00Z">
                        <m:r>
                          <w:rPr>
                            <w:rFonts w:ascii="Cambria Math" w:hAnsi="Cambria Math" w:eastAsia="宋体"/>
                            <w:szCs w:val="20"/>
                          </w:rPr>
                          <m:t>Y</m:t>
                        </m:r>
                      </w:ins>
                      <m:ctrlPr>
                        <w:ins w:id="715" w:author="Alexander Golitschek" w:date="2022-02-20T18:58:00Z">
                          <w:rPr>
                            <w:rFonts w:ascii="Cambria Math" w:hAnsi="Cambria Math" w:eastAsia="宋体"/>
                            <w:szCs w:val="20"/>
                          </w:rPr>
                        </w:ins>
                      </m:ctrlPr>
                    </m:e>
                    <m:sub>
                      <w:ins w:id="716" w:author="Alexander Golitschek" w:date="2022-02-20T18:58:00Z">
                        <m:r>
                          <w:rPr>
                            <w:rFonts w:ascii="Cambria Math" w:hAnsi="Cambria Math" w:eastAsia="宋体"/>
                            <w:szCs w:val="20"/>
                          </w:rPr>
                          <m:t>s</m:t>
                        </m:r>
                      </w:ins>
                      <m:ctrlPr>
                        <w:ins w:id="717" w:author="Alexander Golitschek" w:date="2022-02-20T18:58:00Z">
                          <w:rPr>
                            <w:rFonts w:ascii="Cambria Math" w:hAnsi="Cambria Math" w:eastAsia="宋体"/>
                            <w:szCs w:val="20"/>
                          </w:rPr>
                        </w:ins>
                      </m:ctrlPr>
                    </m:sub>
                  </m:sSub>
                  <m:ctrlPr>
                    <w:ins w:id="718" w:author="Alexander Golitschek" w:date="2022-02-20T18:58:00Z">
                      <w:rPr>
                        <w:rFonts w:ascii="Cambria Math" w:hAnsi="Cambria Math" w:eastAsia="宋体"/>
                        <w:szCs w:val="20"/>
                      </w:rPr>
                    </w:ins>
                  </m:ctrlPr>
                </m:e>
              </m:d>
              <w:ins w:id="719" w:author="Alexander Golitschek" w:date="2022-02-20T18:58:00Z">
                <m:r>
                  <m:rPr>
                    <m:sty m:val="p"/>
                  </m:rPr>
                  <w:rPr>
                    <w:rFonts w:ascii="Cambria Math" w:hAnsi="Cambria Math" w:eastAsia="宋体"/>
                    <w:szCs w:val="20"/>
                  </w:rPr>
                  <m:t>=(4,1)</m:t>
                </m:r>
              </w:ins>
            </m:oMath>
            <w:ins w:id="720" w:author="Alexander Golitschek" w:date="2022-02-20T18:58:00Z">
              <w:r>
                <w:rPr>
                  <w:rFonts w:eastAsia="宋体"/>
                  <w:szCs w:val="20"/>
                </w:rPr>
                <w:t xml:space="preserve"> for μ =</w:t>
              </w:r>
            </w:ins>
            <w:ins w:id="721" w:author="Alexander Golitschek" w:date="2022-02-20T19:01:00Z">
              <w:r>
                <w:rPr>
                  <w:rFonts w:eastAsia="宋体"/>
                  <w:szCs w:val="20"/>
                </w:rPr>
                <w:t xml:space="preserve"> </w:t>
              </w:r>
            </w:ins>
            <w:ins w:id="722" w:author="Alexander Golitschek" w:date="2022-02-20T18:58:00Z">
              <w:r>
                <w:rPr>
                  <w:rFonts w:eastAsia="宋体"/>
                  <w:szCs w:val="20"/>
                </w:rPr>
                <w:t xml:space="preserve">5 and </w:t>
              </w:r>
            </w:ins>
            <m:oMath>
              <m:d>
                <m:dPr>
                  <m:ctrlPr>
                    <w:ins w:id="723" w:author="Alexander Golitschek" w:date="2022-02-20T18:58:00Z">
                      <w:rPr>
                        <w:rFonts w:ascii="Cambria Math" w:hAnsi="Cambria Math" w:eastAsia="宋体"/>
                        <w:szCs w:val="20"/>
                      </w:rPr>
                    </w:ins>
                  </m:ctrlPr>
                </m:dPr>
                <m:e>
                  <m:sSub>
                    <m:sSubPr>
                      <m:ctrlPr>
                        <w:ins w:id="724" w:author="Alexander Golitschek" w:date="2022-02-20T18:58:00Z">
                          <w:rPr>
                            <w:rFonts w:ascii="Cambria Math" w:hAnsi="Cambria Math" w:eastAsia="宋体"/>
                            <w:szCs w:val="20"/>
                          </w:rPr>
                        </w:ins>
                      </m:ctrlPr>
                    </m:sSubPr>
                    <m:e>
                      <w:ins w:id="725" w:author="Alexander Golitschek" w:date="2022-02-20T18:58:00Z">
                        <m:r>
                          <w:rPr>
                            <w:rFonts w:ascii="Cambria Math" w:hAnsi="Cambria Math" w:eastAsia="宋体"/>
                            <w:szCs w:val="20"/>
                          </w:rPr>
                          <m:t>X</m:t>
                        </m:r>
                      </w:ins>
                      <m:ctrlPr>
                        <w:ins w:id="726" w:author="Alexander Golitschek" w:date="2022-02-20T18:58:00Z">
                          <w:rPr>
                            <w:rFonts w:ascii="Cambria Math" w:hAnsi="Cambria Math" w:eastAsia="宋体"/>
                            <w:szCs w:val="20"/>
                          </w:rPr>
                        </w:ins>
                      </m:ctrlPr>
                    </m:e>
                    <m:sub>
                      <w:ins w:id="727" w:author="Alexander Golitschek" w:date="2022-02-20T18:58:00Z">
                        <m:r>
                          <w:rPr>
                            <w:rFonts w:ascii="Cambria Math" w:hAnsi="Cambria Math" w:eastAsia="宋体"/>
                            <w:szCs w:val="20"/>
                          </w:rPr>
                          <m:t>s</m:t>
                        </m:r>
                      </w:ins>
                      <m:ctrlPr>
                        <w:ins w:id="728" w:author="Alexander Golitschek" w:date="2022-02-20T18:58:00Z">
                          <w:rPr>
                            <w:rFonts w:ascii="Cambria Math" w:hAnsi="Cambria Math" w:eastAsia="宋体"/>
                            <w:szCs w:val="20"/>
                          </w:rPr>
                        </w:ins>
                      </m:ctrlPr>
                    </m:sub>
                  </m:sSub>
                  <w:ins w:id="729" w:author="Alexander Golitschek" w:date="2022-02-20T18:58:00Z">
                    <m:r>
                      <m:rPr>
                        <m:sty m:val="p"/>
                      </m:rPr>
                      <w:rPr>
                        <w:rFonts w:ascii="Cambria Math" w:hAnsi="Cambria Math" w:eastAsia="宋体"/>
                        <w:szCs w:val="20"/>
                      </w:rPr>
                      <m:t>,</m:t>
                    </m:r>
                  </w:ins>
                  <m:sSub>
                    <m:sSubPr>
                      <m:ctrlPr>
                        <w:ins w:id="730" w:author="Alexander Golitschek" w:date="2022-02-20T18:58:00Z">
                          <w:rPr>
                            <w:rFonts w:ascii="Cambria Math" w:hAnsi="Cambria Math" w:eastAsia="宋体"/>
                            <w:szCs w:val="20"/>
                          </w:rPr>
                        </w:ins>
                      </m:ctrlPr>
                    </m:sSubPr>
                    <m:e>
                      <w:ins w:id="731" w:author="Alexander Golitschek" w:date="2022-02-20T18:58:00Z">
                        <m:r>
                          <w:rPr>
                            <w:rFonts w:ascii="Cambria Math" w:hAnsi="Cambria Math" w:eastAsia="宋体"/>
                            <w:szCs w:val="20"/>
                          </w:rPr>
                          <m:t>Y</m:t>
                        </m:r>
                      </w:ins>
                      <m:ctrlPr>
                        <w:ins w:id="732" w:author="Alexander Golitschek" w:date="2022-02-20T18:58:00Z">
                          <w:rPr>
                            <w:rFonts w:ascii="Cambria Math" w:hAnsi="Cambria Math" w:eastAsia="宋体"/>
                            <w:szCs w:val="20"/>
                          </w:rPr>
                        </w:ins>
                      </m:ctrlPr>
                    </m:e>
                    <m:sub>
                      <w:ins w:id="733" w:author="Alexander Golitschek" w:date="2022-02-20T18:58:00Z">
                        <m:r>
                          <w:rPr>
                            <w:rFonts w:ascii="Cambria Math" w:hAnsi="Cambria Math" w:eastAsia="宋体"/>
                            <w:szCs w:val="20"/>
                          </w:rPr>
                          <m:t>s</m:t>
                        </m:r>
                      </w:ins>
                      <m:ctrlPr>
                        <w:ins w:id="734" w:author="Alexander Golitschek" w:date="2022-02-20T18:58:00Z">
                          <w:rPr>
                            <w:rFonts w:ascii="Cambria Math" w:hAnsi="Cambria Math" w:eastAsia="宋体"/>
                            <w:szCs w:val="20"/>
                          </w:rPr>
                        </w:ins>
                      </m:ctrlPr>
                    </m:sub>
                  </m:sSub>
                  <m:ctrlPr>
                    <w:ins w:id="735" w:author="Alexander Golitschek" w:date="2022-02-20T18:58:00Z">
                      <w:rPr>
                        <w:rFonts w:ascii="Cambria Math" w:hAnsi="Cambria Math" w:eastAsia="宋体"/>
                        <w:szCs w:val="20"/>
                      </w:rPr>
                    </w:ins>
                  </m:ctrlPr>
                </m:e>
              </m:d>
              <w:ins w:id="736" w:author="Alexander Golitschek" w:date="2022-02-20T18:58:00Z">
                <m:r>
                  <m:rPr>
                    <m:sty m:val="p"/>
                  </m:rPr>
                  <w:rPr>
                    <w:rFonts w:ascii="Cambria Math" w:hAnsi="Cambria Math" w:eastAsia="宋体"/>
                    <w:szCs w:val="20"/>
                  </w:rPr>
                  <m:t>=(8,1)</m:t>
                </m:r>
              </w:ins>
            </m:oMath>
            <w:ins w:id="737" w:author="Alexander Golitschek" w:date="2022-02-20T18:58:00Z">
              <w:r>
                <w:rPr>
                  <w:rFonts w:eastAsia="宋体"/>
                  <w:szCs w:val="20"/>
                </w:rPr>
                <w:t xml:space="preserve"> for μ </w:t>
              </w:r>
            </w:ins>
            <w:ins w:id="738" w:author="Alexander Golitschek" w:date="2022-02-20T19:01:00Z">
              <w:r>
                <w:rPr>
                  <w:rFonts w:eastAsia="宋体"/>
                  <w:szCs w:val="20"/>
                </w:rPr>
                <w:t>=</w:t>
              </w:r>
            </w:ins>
            <w:ins w:id="739" w:author="Alexander Golitschek" w:date="2022-02-20T19:02:00Z">
              <w:r>
                <w:rPr>
                  <w:rFonts w:eastAsia="宋体"/>
                  <w:szCs w:val="20"/>
                </w:rPr>
                <w:t xml:space="preserve"> </w:t>
              </w:r>
            </w:ins>
            <w:ins w:id="740" w:author="Alexander Golitschek" w:date="2022-02-20T18:58:00Z">
              <w:r>
                <w:rPr>
                  <w:rFonts w:eastAsia="宋体"/>
                  <w:szCs w:val="20"/>
                </w:rPr>
                <w:t>6 as in Tables 10.1-2B and 10.1-3B.</w:t>
              </w:r>
            </w:ins>
          </w:p>
        </w:tc>
      </w:tr>
    </w:tbl>
    <w:p>
      <w:pPr>
        <w:pStyle w:val="212"/>
        <w:numPr>
          <w:ilvl w:val="0"/>
          <w:numId w:val="26"/>
        </w:numPr>
        <w:tabs>
          <w:tab w:val="left" w:pos="0"/>
          <w:tab w:val="clear" w:pos="1304"/>
          <w:tab w:val="clear" w:pos="2722"/>
        </w:tabs>
        <w:spacing w:after="120"/>
        <w:rPr>
          <w:rFonts w:ascii="Times New Roman" w:hAnsi="Times New Roman" w:cs="Times New Roman"/>
          <w:b w:val="0"/>
          <w:bCs w:val="0"/>
        </w:rPr>
      </w:pPr>
      <w:r>
        <w:rPr>
          <w:rFonts w:ascii="Times New Roman" w:hAnsi="Times New Roman" w:cs="Times New Roman" w:eastAsiaTheme="minorEastAsia"/>
          <w:b w:val="0"/>
          <w:bCs w:val="0"/>
          <w:lang w:eastAsia="ja-JP"/>
        </w:rPr>
        <w:t xml:space="preserve">Capture the following description in </w:t>
      </w:r>
      <w:r>
        <w:rPr>
          <w:rFonts w:ascii="Times New Roman" w:hAnsi="Times New Roman" w:cs="Times New Roman"/>
          <w:b w:val="0"/>
          <w:bCs w:val="0"/>
        </w:rPr>
        <w:t xml:space="preserve">the RRC parameter spreadsheet to RAN2, with </w:t>
      </w:r>
      <w:r>
        <w:rPr>
          <w:rFonts w:ascii="Times New Roman" w:hAnsi="Times New Roman" w:cs="Times New Roman"/>
          <w:i/>
          <w:iCs/>
        </w:rPr>
        <w:t>monitoringCapabilityConfig</w:t>
      </w:r>
      <w:r>
        <w:rPr>
          <w:rFonts w:ascii="Times New Roman" w:hAnsi="Times New Roman" w:cs="Times New Roman"/>
          <w:b w:val="0"/>
          <w:bCs w:val="0"/>
        </w:rPr>
        <w:t xml:space="preserve"> being an optional field:</w:t>
      </w:r>
    </w:p>
    <w:p>
      <w:pPr>
        <w:pStyle w:val="88"/>
        <w:numPr>
          <w:ilvl w:val="1"/>
          <w:numId w:val="26"/>
        </w:numPr>
        <w:rPr>
          <w:b/>
          <w:bCs/>
          <w:i/>
          <w:iCs/>
        </w:rPr>
      </w:pPr>
      <w:r>
        <w:rPr>
          <w:b/>
          <w:bCs/>
          <w:i/>
          <w:iCs/>
        </w:rPr>
        <w:t>monitoringCapabilityConfig</w:t>
      </w:r>
    </w:p>
    <w:p>
      <w:pPr>
        <w:pStyle w:val="88"/>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When present, the network configures this field with </w:t>
      </w:r>
      <w:r>
        <w:rPr>
          <w:i/>
          <w:lang w:eastAsia="sv-SE"/>
        </w:rPr>
        <w:t xml:space="preserve">r17monitoringcapablity </w:t>
      </w:r>
      <w:r>
        <w:rPr>
          <w:iCs/>
          <w:lang w:eastAsia="sv-SE"/>
        </w:rPr>
        <w:t>for a BWP with SCS configured as 480 or 960 kHz SCS</w:t>
      </w:r>
      <w:r>
        <w:rPr>
          <w:lang w:eastAsia="sv-SE"/>
        </w:rPr>
        <w:t>.</w:t>
      </w:r>
    </w:p>
    <w:p>
      <w:pPr>
        <w:rPr>
          <w:lang w:eastAsia="zh-CN"/>
        </w:rPr>
      </w:pPr>
    </w:p>
    <w:p>
      <w:pPr>
        <w:pStyle w:val="5"/>
      </w:pPr>
      <w:r>
        <w:t>Third round discussion</w:t>
      </w:r>
    </w:p>
    <w:p>
      <w:r>
        <w:t>Huawei has voiced concerns on supporting µ=6 PDCCH monitoring for IDLE or initial access UEs, suggesting Proposal A1-4.4d as an alternative. Please comment whether that proposal can be agreeable.</w:t>
      </w:r>
    </w:p>
    <w:p>
      <w:pPr>
        <w:rPr>
          <w:bCs/>
          <w:sz w:val="20"/>
          <w:szCs w:val="20"/>
        </w:rPr>
      </w:pPr>
      <w:r>
        <w:rPr>
          <w:b/>
          <w:sz w:val="20"/>
          <w:szCs w:val="20"/>
          <w:highlight w:val="yellow"/>
          <w:u w:val="single"/>
        </w:rPr>
        <w:t>Proposal A1-4.4d</w:t>
      </w:r>
    </w:p>
    <w:p>
      <w:pPr>
        <w:pStyle w:val="82"/>
        <w:numPr>
          <w:ilvl w:val="0"/>
          <w:numId w:val="26"/>
        </w:numPr>
        <w:rPr>
          <w:bCs/>
        </w:rPr>
      </w:pPr>
      <w:r>
        <w:rPr>
          <w:bCs/>
        </w:rPr>
        <w:t>Change TS 38.213 Clause 10 as follows:</w:t>
      </w:r>
    </w:p>
    <w:tbl>
      <w:tblPr>
        <w:tblStyle w:val="55"/>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000" w:type="pct"/>
            <w:vAlign w:val="center"/>
          </w:tcPr>
          <w:p>
            <w:pPr>
              <w:widowControl w:val="0"/>
              <w:rPr>
                <w:rFonts w:eastAsia="宋体"/>
                <w:szCs w:val="20"/>
              </w:rPr>
            </w:pPr>
            <w:r>
              <w:rPr>
                <w:rFonts w:eastAsia="宋体"/>
                <w:szCs w:val="20"/>
              </w:rPr>
              <w:t xml:space="preserve">If a UE is provided </w:t>
            </w:r>
            <w:r>
              <w:rPr>
                <w:rFonts w:eastAsia="宋体"/>
                <w:i/>
                <w:szCs w:val="20"/>
              </w:rPr>
              <w:t>monitoringCapabilityConfig</w:t>
            </w:r>
            <w:r>
              <w:rPr>
                <w:rFonts w:eastAsia="宋体"/>
                <w:szCs w:val="20"/>
              </w:rPr>
              <w:t xml:space="preserve"> for a</w:t>
            </w:r>
            <w:ins w:id="741" w:author="Alexander Golitschek" w:date="2022-02-20T19:09:00Z">
              <w:r>
                <w:rPr>
                  <w:rFonts w:eastAsia="宋体"/>
                  <w:szCs w:val="20"/>
                </w:rPr>
                <w:t>n active DL BWP of a</w:t>
              </w:r>
            </w:ins>
            <w:r>
              <w:rPr>
                <w:rFonts w:eastAsia="宋体"/>
                <w:szCs w:val="20"/>
              </w:rPr>
              <w:t xml:space="preserve"> serving cell, the UE obtains an indication to monitor PDCCH on </w:t>
            </w:r>
            <w:ins w:id="742" w:author="Alexander Golitschek" w:date="2022-02-20T19:12:00Z">
              <w:r>
                <w:rPr>
                  <w:rFonts w:eastAsia="宋体"/>
                  <w:szCs w:val="20"/>
                </w:rPr>
                <w:t xml:space="preserve">the active DL BWP of </w:t>
              </w:r>
            </w:ins>
            <w:r>
              <w:rPr>
                <w:rFonts w:eastAsia="宋体"/>
                <w:szCs w:val="20"/>
              </w:rPr>
              <w:t xml:space="preserve">the serving cell for a maximum number of PDCCH candidates and non-overlapping CCEs </w:t>
            </w:r>
          </w:p>
          <w:p>
            <w:pPr>
              <w:widowControl w:val="0"/>
              <w:rPr>
                <w:rFonts w:eastAsia="宋体"/>
                <w:szCs w:val="20"/>
              </w:rPr>
            </w:pPr>
            <w:r>
              <w:rPr>
                <w:rFonts w:eastAsia="宋体"/>
                <w:szCs w:val="20"/>
              </w:rPr>
              <w:t>-</w:t>
            </w:r>
            <w:r>
              <w:rPr>
                <w:rFonts w:eastAsia="宋体"/>
                <w:szCs w:val="20"/>
              </w:rPr>
              <w:tab/>
            </w:r>
            <w:r>
              <w:rPr>
                <w:rFonts w:eastAsia="宋体"/>
                <w:szCs w:val="20"/>
              </w:rPr>
              <w:t xml:space="preserve">per slot, as in Tables 10.1-2 and 10.1-3, if </w:t>
            </w:r>
            <w:r>
              <w:rPr>
                <w:rFonts w:eastAsia="宋体"/>
                <w:i/>
                <w:szCs w:val="20"/>
              </w:rPr>
              <w:t>monitoringCapabilityConfig</w:t>
            </w:r>
            <w:r>
              <w:rPr>
                <w:rFonts w:eastAsia="宋体"/>
                <w:szCs w:val="20"/>
              </w:rPr>
              <w:t xml:space="preserve"> = </w:t>
            </w:r>
            <w:r>
              <w:rPr>
                <w:rFonts w:eastAsia="宋体"/>
                <w:i/>
                <w:szCs w:val="20"/>
              </w:rPr>
              <w:t>r15monitoringcapability</w:t>
            </w:r>
            <w:r>
              <w:rPr>
                <w:rFonts w:eastAsia="宋体"/>
                <w:szCs w:val="20"/>
              </w:rPr>
              <w:t xml:space="preserve">, or </w:t>
            </w:r>
          </w:p>
          <w:p>
            <w:pPr>
              <w:widowControl w:val="0"/>
              <w:rPr>
                <w:rFonts w:eastAsia="宋体"/>
                <w:szCs w:val="20"/>
              </w:rPr>
            </w:pPr>
            <w:r>
              <w:rPr>
                <w:rFonts w:eastAsia="宋体"/>
                <w:szCs w:val="20"/>
              </w:rPr>
              <w:t>-</w:t>
            </w:r>
            <w:r>
              <w:rPr>
                <w:rFonts w:eastAsia="宋体"/>
                <w:szCs w:val="20"/>
              </w:rPr>
              <w:tab/>
            </w:r>
            <w:r>
              <w:rPr>
                <w:rFonts w:eastAsia="宋体"/>
                <w:szCs w:val="20"/>
              </w:rPr>
              <w:t xml:space="preserve">per span, as in Tables 10.1-2A and 10.1-3A, if </w:t>
            </w:r>
            <w:r>
              <w:rPr>
                <w:rFonts w:eastAsia="宋体"/>
                <w:i/>
                <w:szCs w:val="20"/>
              </w:rPr>
              <w:t>monitoringCapabilityConfig</w:t>
            </w:r>
            <w:r>
              <w:rPr>
                <w:rFonts w:eastAsia="宋体"/>
                <w:szCs w:val="20"/>
              </w:rPr>
              <w:t xml:space="preserve"> = </w:t>
            </w:r>
            <w:r>
              <w:rPr>
                <w:rFonts w:eastAsia="宋体"/>
                <w:i/>
                <w:szCs w:val="20"/>
              </w:rPr>
              <w:t>r16monitoringcapability</w:t>
            </w:r>
          </w:p>
          <w:p>
            <w:pPr>
              <w:widowControl w:val="0"/>
              <w:rPr>
                <w:rFonts w:eastAsia="宋体"/>
                <w:szCs w:val="20"/>
              </w:rPr>
            </w:pPr>
            <w:r>
              <w:rPr>
                <w:rFonts w:eastAsia="宋体"/>
                <w:szCs w:val="20"/>
              </w:rPr>
              <w:t>-</w:t>
            </w:r>
            <w:r>
              <w:rPr>
                <w:rFonts w:eastAsia="宋体"/>
                <w:szCs w:val="20"/>
              </w:rPr>
              <w:tab/>
            </w:r>
            <w:r>
              <w:rPr>
                <w:rFonts w:eastAsia="宋体"/>
                <w:szCs w:val="20"/>
              </w:rPr>
              <w:t xml:space="preserve">per group of </w:t>
            </w:r>
            <m:oMath>
              <m:sSub>
                <m:sSubPr>
                  <m:ctrlPr>
                    <w:rPr>
                      <w:rFonts w:ascii="Cambria Math" w:hAnsi="Cambria Math" w:eastAsia="宋体"/>
                      <w:i/>
                      <w:szCs w:val="20"/>
                      <w:lang w:val="zh-CN"/>
                    </w:rPr>
                  </m:ctrlPr>
                </m:sSubPr>
                <m:e>
                  <m:r>
                    <w:rPr>
                      <w:rFonts w:ascii="Cambria Math" w:hAnsi="Cambria Math" w:eastAsia="宋体"/>
                      <w:szCs w:val="20"/>
                      <w:lang w:val="zh-CN"/>
                    </w:rPr>
                    <m:t>X</m:t>
                  </m:r>
                  <m:ctrlPr>
                    <w:rPr>
                      <w:rFonts w:ascii="Cambria Math" w:hAnsi="Cambria Math" w:eastAsia="宋体"/>
                      <w:i/>
                      <w:szCs w:val="20"/>
                      <w:lang w:val="zh-CN"/>
                    </w:rPr>
                  </m:ctrlPr>
                </m:e>
                <m:sub>
                  <m:r>
                    <w:rPr>
                      <w:rFonts w:ascii="Cambria Math" w:hAnsi="Cambria Math" w:eastAsia="宋体"/>
                      <w:szCs w:val="20"/>
                      <w:lang w:val="zh-CN"/>
                    </w:rPr>
                    <m:t>s</m:t>
                  </m:r>
                  <m:ctrlPr>
                    <w:rPr>
                      <w:rFonts w:ascii="Cambria Math" w:hAnsi="Cambria Math" w:eastAsia="宋体"/>
                      <w:i/>
                      <w:szCs w:val="20"/>
                      <w:lang w:val="zh-CN"/>
                    </w:rPr>
                  </m:ctrlPr>
                </m:sub>
              </m:sSub>
            </m:oMath>
            <w:r>
              <w:rPr>
                <w:rFonts w:eastAsia="宋体"/>
                <w:szCs w:val="20"/>
              </w:rPr>
              <w:t xml:space="preserve"> slots according to combination </w:t>
            </w:r>
            <m:oMath>
              <m:d>
                <m:dPr>
                  <m:ctrlPr>
                    <w:rPr>
                      <w:rFonts w:ascii="Cambria Math" w:hAnsi="Cambria Math" w:eastAsia="宋体"/>
                      <w:szCs w:val="20"/>
                      <w:lang w:val="zh-CN"/>
                    </w:rPr>
                  </m:ctrlPr>
                </m:dPr>
                <m:e>
                  <m:sSub>
                    <m:sSubPr>
                      <m:ctrlPr>
                        <w:rPr>
                          <w:rFonts w:ascii="Cambria Math" w:hAnsi="Cambria Math" w:eastAsia="宋体"/>
                          <w:i/>
                          <w:szCs w:val="20"/>
                          <w:lang w:val="zh-CN"/>
                        </w:rPr>
                      </m:ctrlPr>
                    </m:sSubPr>
                    <m:e>
                      <m:r>
                        <w:rPr>
                          <w:rFonts w:ascii="Cambria Math" w:hAnsi="Cambria Math" w:eastAsia="宋体"/>
                          <w:szCs w:val="20"/>
                          <w:lang w:val="zh-CN"/>
                        </w:rPr>
                        <m:t>X</m:t>
                      </m:r>
                      <m:ctrlPr>
                        <w:rPr>
                          <w:rFonts w:ascii="Cambria Math" w:hAnsi="Cambria Math" w:eastAsia="宋体"/>
                          <w:i/>
                          <w:szCs w:val="20"/>
                          <w:lang w:val="zh-CN"/>
                        </w:rPr>
                      </m:ctrlPr>
                    </m:e>
                    <m:sub>
                      <m:r>
                        <w:rPr>
                          <w:rFonts w:ascii="Cambria Math" w:hAnsi="Cambria Math" w:eastAsia="宋体"/>
                          <w:szCs w:val="20"/>
                          <w:lang w:val="zh-CN"/>
                        </w:rPr>
                        <m:t>s</m:t>
                      </m:r>
                      <m:ctrlPr>
                        <w:rPr>
                          <w:rFonts w:ascii="Cambria Math" w:hAnsi="Cambria Math" w:eastAsia="宋体"/>
                          <w:i/>
                          <w:szCs w:val="20"/>
                          <w:lang w:val="zh-CN"/>
                        </w:rPr>
                      </m:ctrlPr>
                    </m:sub>
                  </m:sSub>
                  <m:r>
                    <w:rPr>
                      <w:rFonts w:ascii="Cambria Math" w:hAnsi="Cambria Math" w:eastAsia="宋体"/>
                      <w:szCs w:val="20"/>
                    </w:rPr>
                    <m:t>,</m:t>
                  </m:r>
                  <m:sSub>
                    <m:sSubPr>
                      <m:ctrlPr>
                        <w:rPr>
                          <w:rFonts w:ascii="Cambria Math" w:hAnsi="Cambria Math" w:eastAsia="宋体"/>
                          <w:i/>
                          <w:szCs w:val="20"/>
                          <w:lang w:val="zh-CN"/>
                        </w:rPr>
                      </m:ctrlPr>
                    </m:sSubPr>
                    <m:e>
                      <m:r>
                        <w:rPr>
                          <w:rFonts w:ascii="Cambria Math" w:hAnsi="Cambria Math" w:eastAsia="宋体"/>
                          <w:szCs w:val="20"/>
                          <w:lang w:val="zh-CN"/>
                        </w:rPr>
                        <m:t>Y</m:t>
                      </m:r>
                      <m:ctrlPr>
                        <w:rPr>
                          <w:rFonts w:ascii="Cambria Math" w:hAnsi="Cambria Math" w:eastAsia="宋体"/>
                          <w:i/>
                          <w:szCs w:val="20"/>
                          <w:lang w:val="zh-CN"/>
                        </w:rPr>
                      </m:ctrlPr>
                    </m:e>
                    <m:sub>
                      <m:r>
                        <w:rPr>
                          <w:rFonts w:ascii="Cambria Math" w:hAnsi="Cambria Math" w:eastAsia="宋体"/>
                          <w:szCs w:val="20"/>
                          <w:lang w:val="zh-CN"/>
                        </w:rPr>
                        <m:t>s</m:t>
                      </m:r>
                      <m:ctrlPr>
                        <w:rPr>
                          <w:rFonts w:ascii="Cambria Math" w:hAnsi="Cambria Math" w:eastAsia="宋体"/>
                          <w:i/>
                          <w:szCs w:val="20"/>
                          <w:lang w:val="zh-CN"/>
                        </w:rPr>
                      </m:ctrlPr>
                    </m:sub>
                  </m:sSub>
                  <m:ctrlPr>
                    <w:rPr>
                      <w:rFonts w:ascii="Cambria Math" w:hAnsi="Cambria Math" w:eastAsia="宋体"/>
                      <w:szCs w:val="20"/>
                      <w:lang w:val="zh-CN"/>
                    </w:rPr>
                  </m:ctrlPr>
                </m:e>
              </m:d>
            </m:oMath>
            <w:r>
              <w:rPr>
                <w:rFonts w:eastAsia="宋体"/>
                <w:szCs w:val="20"/>
              </w:rPr>
              <w:t xml:space="preserve">, as in Tables 10.1-2B and 10.1-3B, if </w:t>
            </w:r>
            <w:r>
              <w:rPr>
                <w:rFonts w:eastAsia="宋体"/>
                <w:i/>
                <w:szCs w:val="20"/>
              </w:rPr>
              <w:t>monitoringCapabilityConfig</w:t>
            </w:r>
            <w:r>
              <w:rPr>
                <w:rFonts w:eastAsia="宋体"/>
                <w:szCs w:val="20"/>
              </w:rPr>
              <w:t xml:space="preserve"> = </w:t>
            </w:r>
            <w:r>
              <w:rPr>
                <w:rFonts w:eastAsia="宋体"/>
                <w:i/>
                <w:szCs w:val="20"/>
              </w:rPr>
              <w:t>r17monitoringcapability</w:t>
            </w:r>
          </w:p>
          <w:p>
            <w:pPr>
              <w:widowControl w:val="0"/>
              <w:rPr>
                <w:rFonts w:eastAsia="宋体"/>
                <w:szCs w:val="20"/>
              </w:rPr>
            </w:pPr>
            <w:r>
              <w:rPr>
                <w:rFonts w:eastAsia="宋体"/>
                <w:szCs w:val="20"/>
              </w:rPr>
              <w:t xml:space="preserve">If the UE is not provided </w:t>
            </w:r>
            <w:r>
              <w:rPr>
                <w:rFonts w:eastAsia="宋体"/>
                <w:i/>
                <w:szCs w:val="20"/>
              </w:rPr>
              <w:t>monitoringCapabilityConfig</w:t>
            </w:r>
            <w:ins w:id="743" w:author="Alexander Golitschek" w:date="2022-02-20T19:32:00Z">
              <w:r>
                <w:rPr>
                  <w:rFonts w:eastAsia="宋体"/>
                  <w:szCs w:val="20"/>
                </w:rPr>
                <w:t xml:space="preserve"> f</w:t>
              </w:r>
            </w:ins>
            <w:ins w:id="744" w:author="Alexander Golitschek" w:date="2022-02-20T19:32:00Z">
              <w:r>
                <w:rPr>
                  <w:rFonts w:eastAsia="宋体"/>
                  <w:szCs w:val="20"/>
                  <w:lang w:val="en-GB"/>
                </w:rPr>
                <w:t xml:space="preserve">or μ </w:t>
              </w:r>
            </w:ins>
            <w:ins w:id="745" w:author="Alexander Golitschek" w:date="2022-02-20T19:32:00Z">
              <w:r>
                <w:rPr>
                  <w:rFonts w:ascii="Cambria Math" w:hAnsi="Cambria Math" w:eastAsia="宋体" w:cs="Cambria Math"/>
                  <w:szCs w:val="20"/>
                  <w:lang w:val="en-GB"/>
                </w:rPr>
                <w:t>∈</w:t>
              </w:r>
            </w:ins>
            <w:ins w:id="746" w:author="Alexander Golitschek" w:date="2022-02-20T19:32:00Z">
              <w:r>
                <w:rPr>
                  <w:rFonts w:eastAsia="宋体"/>
                  <w:szCs w:val="20"/>
                  <w:lang w:val="en-GB"/>
                </w:rPr>
                <w:t xml:space="preserve"> {0,1,2,3}</w:t>
              </w:r>
            </w:ins>
            <w:r>
              <w:rPr>
                <w:rFonts w:eastAsia="宋体"/>
                <w:szCs w:val="20"/>
              </w:rPr>
              <w:t xml:space="preserve">, the UE monitors PDCCH on the </w:t>
            </w:r>
            <w:ins w:id="747" w:author="Alexander Golitschek" w:date="2022-02-20T19:14:00Z">
              <w:r>
                <w:rPr>
                  <w:rFonts w:eastAsia="宋体"/>
                  <w:szCs w:val="20"/>
                </w:rPr>
                <w:t xml:space="preserve">active DL BWP of a </w:t>
              </w:r>
            </w:ins>
            <w:r>
              <w:rPr>
                <w:rFonts w:eastAsia="宋体"/>
                <w:szCs w:val="20"/>
              </w:rPr>
              <w:t xml:space="preserve">serving cell for a maximum number of PDCCH candidates and non-overlapping CCEs per slot. </w:t>
            </w:r>
          </w:p>
          <w:p>
            <w:pPr>
              <w:widowControl w:val="0"/>
              <w:spacing w:after="180" w:line="240" w:lineRule="auto"/>
              <w:rPr>
                <w:rFonts w:eastAsia="宋体"/>
                <w:szCs w:val="20"/>
              </w:rPr>
            </w:pPr>
            <w:ins w:id="748" w:author="Alexander Golitschek" w:date="2022-02-20T19:32:00Z">
              <w:r>
                <w:rPr>
                  <w:rFonts w:eastAsia="宋体"/>
                  <w:szCs w:val="20"/>
                </w:rPr>
                <w:t>I</w:t>
              </w:r>
            </w:ins>
            <w:ins w:id="749" w:author="Alexander Golitschek" w:date="2022-02-20T18:58:00Z">
              <w:r>
                <w:rPr>
                  <w:rFonts w:eastAsia="宋体"/>
                  <w:szCs w:val="20"/>
                </w:rPr>
                <w:t xml:space="preserve">f the UE is not provided </w:t>
              </w:r>
            </w:ins>
            <w:ins w:id="750" w:author="Alexander Golitschek" w:date="2022-02-20T18:58:00Z">
              <w:r>
                <w:rPr>
                  <w:rFonts w:eastAsia="宋体"/>
                  <w:i/>
                  <w:iCs/>
                  <w:szCs w:val="20"/>
                </w:rPr>
                <w:t>monitoringCapabilityConfig</w:t>
              </w:r>
            </w:ins>
            <w:ins w:id="751" w:author="Alexander Golitschek" w:date="2022-02-20T19:32:00Z">
              <w:r>
                <w:rPr>
                  <w:rFonts w:eastAsia="宋体"/>
                  <w:szCs w:val="20"/>
                </w:rPr>
                <w:t xml:space="preserve"> for μ</w:t>
              </w:r>
            </w:ins>
            <w:ins w:id="752" w:author="Keyvan2" w:date="2022-02-24T23:40:00Z">
              <w:r>
                <w:rPr>
                  <w:rFonts w:eastAsia="宋体"/>
                  <w:szCs w:val="20"/>
                </w:rPr>
                <w:t xml:space="preserve">=5 </w:t>
              </w:r>
            </w:ins>
            <w:ins w:id="753" w:author="Alexander Golitschek" w:date="2022-02-20T19:32:00Z">
              <w:r>
                <w:rPr>
                  <w:rFonts w:ascii="Cambria Math" w:hAnsi="Cambria Math" w:eastAsia="宋体" w:cs="Cambria Math"/>
                  <w:strike/>
                  <w:szCs w:val="20"/>
                </w:rPr>
                <w:t>∈</w:t>
              </w:r>
            </w:ins>
            <w:ins w:id="754" w:author="Alexander Golitschek" w:date="2022-02-20T19:32:00Z">
              <w:r>
                <w:rPr>
                  <w:rFonts w:eastAsia="宋体"/>
                  <w:strike/>
                  <w:szCs w:val="20"/>
                </w:rPr>
                <w:t xml:space="preserve"> {5,6}</w:t>
              </w:r>
            </w:ins>
            <w:ins w:id="755" w:author="Alexander Golitschek" w:date="2022-02-20T19:32:00Z">
              <w:r>
                <w:rPr>
                  <w:rFonts w:eastAsia="宋体"/>
                  <w:szCs w:val="20"/>
                </w:rPr>
                <w:t xml:space="preserve">, </w:t>
              </w:r>
            </w:ins>
            <w:ins w:id="756" w:author="Alexander Golitschek" w:date="2022-02-20T18:58:00Z">
              <w:r>
                <w:rPr>
                  <w:rFonts w:eastAsia="宋体"/>
                  <w:szCs w:val="20"/>
                </w:rPr>
                <w:t xml:space="preserve">the UE monitors PDCCH on the </w:t>
              </w:r>
            </w:ins>
            <w:ins w:id="757" w:author="Alexander Golitschek" w:date="2022-02-20T19:13:00Z">
              <w:r>
                <w:rPr>
                  <w:rFonts w:eastAsia="宋体"/>
                  <w:szCs w:val="20"/>
                </w:rPr>
                <w:t xml:space="preserve">active DL BWP of a </w:t>
              </w:r>
            </w:ins>
            <w:ins w:id="758" w:author="Alexander Golitschek" w:date="2022-02-20T18:58:00Z">
              <w:r>
                <w:rPr>
                  <w:rFonts w:eastAsia="宋体"/>
                  <w:szCs w:val="20"/>
                </w:rPr>
                <w:t xml:space="preserve">serving cell for a maximum number of PDCCH candidates and non-overlapping CCEs per group of </w:t>
              </w:r>
            </w:ins>
            <m:oMath>
              <m:sSub>
                <m:sSubPr>
                  <m:ctrlPr>
                    <w:ins w:id="759" w:author="Alexander Golitschek" w:date="2022-02-20T18:58:00Z">
                      <w:rPr>
                        <w:rFonts w:ascii="Cambria Math" w:hAnsi="Cambria Math" w:eastAsia="宋体"/>
                        <w:szCs w:val="20"/>
                      </w:rPr>
                    </w:ins>
                  </m:ctrlPr>
                </m:sSubPr>
                <m:e>
                  <w:ins w:id="760" w:author="Alexander Golitschek" w:date="2022-02-20T18:58:00Z">
                    <m:r>
                      <w:rPr>
                        <w:rFonts w:ascii="Cambria Math" w:hAnsi="Cambria Math" w:eastAsia="宋体"/>
                        <w:szCs w:val="20"/>
                      </w:rPr>
                      <m:t>X</m:t>
                    </m:r>
                  </w:ins>
                  <m:ctrlPr>
                    <w:ins w:id="761" w:author="Alexander Golitschek" w:date="2022-02-20T18:58:00Z">
                      <w:rPr>
                        <w:rFonts w:ascii="Cambria Math" w:hAnsi="Cambria Math" w:eastAsia="宋体"/>
                        <w:szCs w:val="20"/>
                      </w:rPr>
                    </w:ins>
                  </m:ctrlPr>
                </m:e>
                <m:sub>
                  <w:ins w:id="762" w:author="Alexander Golitschek" w:date="2022-02-20T18:58:00Z">
                    <m:r>
                      <w:rPr>
                        <w:rFonts w:ascii="Cambria Math" w:hAnsi="Cambria Math" w:eastAsia="宋体"/>
                        <w:szCs w:val="20"/>
                      </w:rPr>
                      <m:t>s</m:t>
                    </m:r>
                  </w:ins>
                  <m:ctrlPr>
                    <w:ins w:id="763" w:author="Alexander Golitschek" w:date="2022-02-20T18:58:00Z">
                      <w:rPr>
                        <w:rFonts w:ascii="Cambria Math" w:hAnsi="Cambria Math" w:eastAsia="宋体"/>
                        <w:szCs w:val="20"/>
                      </w:rPr>
                    </w:ins>
                  </m:ctrlPr>
                </m:sub>
              </m:sSub>
            </m:oMath>
            <w:ins w:id="764" w:author="Alexander Golitschek" w:date="2022-02-20T18:58:00Z">
              <w:r>
                <w:rPr>
                  <w:rFonts w:eastAsia="宋体"/>
                  <w:szCs w:val="20"/>
                </w:rPr>
                <w:t xml:space="preserve"> slots according to combination </w:t>
              </w:r>
            </w:ins>
            <m:oMath>
              <m:d>
                <m:dPr>
                  <m:ctrlPr>
                    <w:ins w:id="765" w:author="Alexander Golitschek" w:date="2022-02-20T18:58:00Z">
                      <w:rPr>
                        <w:rFonts w:ascii="Cambria Math" w:hAnsi="Cambria Math" w:eastAsia="宋体"/>
                        <w:szCs w:val="20"/>
                      </w:rPr>
                    </w:ins>
                  </m:ctrlPr>
                </m:dPr>
                <m:e>
                  <m:sSub>
                    <m:sSubPr>
                      <m:ctrlPr>
                        <w:ins w:id="766" w:author="Alexander Golitschek" w:date="2022-02-20T18:58:00Z">
                          <w:rPr>
                            <w:rFonts w:ascii="Cambria Math" w:hAnsi="Cambria Math" w:eastAsia="宋体"/>
                            <w:szCs w:val="20"/>
                          </w:rPr>
                        </w:ins>
                      </m:ctrlPr>
                    </m:sSubPr>
                    <m:e>
                      <w:ins w:id="767" w:author="Alexander Golitschek" w:date="2022-02-20T18:58:00Z">
                        <m:r>
                          <w:rPr>
                            <w:rFonts w:ascii="Cambria Math" w:hAnsi="Cambria Math" w:eastAsia="宋体"/>
                            <w:szCs w:val="20"/>
                          </w:rPr>
                          <m:t>X</m:t>
                        </m:r>
                      </w:ins>
                      <m:ctrlPr>
                        <w:ins w:id="768" w:author="Alexander Golitschek" w:date="2022-02-20T18:58:00Z">
                          <w:rPr>
                            <w:rFonts w:ascii="Cambria Math" w:hAnsi="Cambria Math" w:eastAsia="宋体"/>
                            <w:szCs w:val="20"/>
                          </w:rPr>
                        </w:ins>
                      </m:ctrlPr>
                    </m:e>
                    <m:sub>
                      <w:ins w:id="769" w:author="Alexander Golitschek" w:date="2022-02-20T18:58:00Z">
                        <m:r>
                          <w:rPr>
                            <w:rFonts w:ascii="Cambria Math" w:hAnsi="Cambria Math" w:eastAsia="宋体"/>
                            <w:szCs w:val="20"/>
                          </w:rPr>
                          <m:t>s</m:t>
                        </m:r>
                      </w:ins>
                      <m:ctrlPr>
                        <w:ins w:id="770" w:author="Alexander Golitschek" w:date="2022-02-20T18:58:00Z">
                          <w:rPr>
                            <w:rFonts w:ascii="Cambria Math" w:hAnsi="Cambria Math" w:eastAsia="宋体"/>
                            <w:szCs w:val="20"/>
                          </w:rPr>
                        </w:ins>
                      </m:ctrlPr>
                    </m:sub>
                  </m:sSub>
                  <w:ins w:id="771" w:author="Alexander Golitschek" w:date="2022-02-20T18:58:00Z">
                    <m:r>
                      <m:rPr>
                        <m:sty m:val="p"/>
                      </m:rPr>
                      <w:rPr>
                        <w:rFonts w:ascii="Cambria Math" w:hAnsi="Cambria Math" w:eastAsia="宋体"/>
                        <w:szCs w:val="20"/>
                      </w:rPr>
                      <m:t>,</m:t>
                    </m:r>
                  </w:ins>
                  <m:sSub>
                    <m:sSubPr>
                      <m:ctrlPr>
                        <w:ins w:id="772" w:author="Alexander Golitschek" w:date="2022-02-20T18:58:00Z">
                          <w:rPr>
                            <w:rFonts w:ascii="Cambria Math" w:hAnsi="Cambria Math" w:eastAsia="宋体"/>
                            <w:szCs w:val="20"/>
                          </w:rPr>
                        </w:ins>
                      </m:ctrlPr>
                    </m:sSubPr>
                    <m:e>
                      <w:ins w:id="773" w:author="Alexander Golitschek" w:date="2022-02-20T18:58:00Z">
                        <m:r>
                          <w:rPr>
                            <w:rFonts w:ascii="Cambria Math" w:hAnsi="Cambria Math" w:eastAsia="宋体"/>
                            <w:szCs w:val="20"/>
                          </w:rPr>
                          <m:t>Y</m:t>
                        </m:r>
                      </w:ins>
                      <m:ctrlPr>
                        <w:ins w:id="774" w:author="Alexander Golitschek" w:date="2022-02-20T18:58:00Z">
                          <w:rPr>
                            <w:rFonts w:ascii="Cambria Math" w:hAnsi="Cambria Math" w:eastAsia="宋体"/>
                            <w:szCs w:val="20"/>
                          </w:rPr>
                        </w:ins>
                      </m:ctrlPr>
                    </m:e>
                    <m:sub>
                      <w:ins w:id="775" w:author="Alexander Golitschek" w:date="2022-02-20T18:58:00Z">
                        <m:r>
                          <w:rPr>
                            <w:rFonts w:ascii="Cambria Math" w:hAnsi="Cambria Math" w:eastAsia="宋体"/>
                            <w:szCs w:val="20"/>
                          </w:rPr>
                          <m:t>s</m:t>
                        </m:r>
                      </w:ins>
                      <m:ctrlPr>
                        <w:ins w:id="776" w:author="Alexander Golitschek" w:date="2022-02-20T18:58:00Z">
                          <w:rPr>
                            <w:rFonts w:ascii="Cambria Math" w:hAnsi="Cambria Math" w:eastAsia="宋体"/>
                            <w:szCs w:val="20"/>
                          </w:rPr>
                        </w:ins>
                      </m:ctrlPr>
                    </m:sub>
                  </m:sSub>
                  <m:ctrlPr>
                    <w:ins w:id="777" w:author="Alexander Golitschek" w:date="2022-02-20T18:58:00Z">
                      <w:rPr>
                        <w:rFonts w:ascii="Cambria Math" w:hAnsi="Cambria Math" w:eastAsia="宋体"/>
                        <w:szCs w:val="20"/>
                      </w:rPr>
                    </w:ins>
                  </m:ctrlPr>
                </m:e>
              </m:d>
              <w:ins w:id="778" w:author="Alexander Golitschek" w:date="2022-02-20T18:58:00Z">
                <m:r>
                  <m:rPr>
                    <m:sty m:val="p"/>
                  </m:rPr>
                  <w:rPr>
                    <w:rFonts w:ascii="Cambria Math" w:hAnsi="Cambria Math" w:eastAsia="宋体"/>
                    <w:szCs w:val="20"/>
                  </w:rPr>
                  <m:t>=(4,1)</m:t>
                </m:r>
              </w:ins>
            </m:oMath>
            <w:ins w:id="779" w:author="Alexander Golitschek" w:date="2022-02-20T18:58:00Z">
              <w:r>
                <w:rPr>
                  <w:rFonts w:eastAsia="宋体"/>
                  <w:szCs w:val="20"/>
                </w:rPr>
                <w:t xml:space="preserve"> </w:t>
              </w:r>
            </w:ins>
            <w:ins w:id="780" w:author="Alexander Golitschek" w:date="2022-02-20T18:58:00Z">
              <w:r>
                <w:rPr>
                  <w:rFonts w:eastAsia="宋体"/>
                  <w:strike/>
                  <w:szCs w:val="20"/>
                </w:rPr>
                <w:t>for μ =</w:t>
              </w:r>
            </w:ins>
            <w:ins w:id="781" w:author="Alexander Golitschek" w:date="2022-02-20T19:01:00Z">
              <w:r>
                <w:rPr>
                  <w:rFonts w:eastAsia="宋体"/>
                  <w:strike/>
                  <w:szCs w:val="20"/>
                </w:rPr>
                <w:t xml:space="preserve"> </w:t>
              </w:r>
            </w:ins>
            <w:ins w:id="782" w:author="Alexander Golitschek" w:date="2022-02-20T18:58:00Z">
              <w:r>
                <w:rPr>
                  <w:rFonts w:eastAsia="宋体"/>
                  <w:strike/>
                  <w:szCs w:val="20"/>
                </w:rPr>
                <w:t xml:space="preserve">5 and </w:t>
              </w:r>
            </w:ins>
            <m:oMath>
              <m:d>
                <m:dPr>
                  <m:ctrlPr>
                    <w:ins w:id="783" w:author="Alexander Golitschek" w:date="2022-02-20T18:58:00Z">
                      <w:rPr>
                        <w:rFonts w:ascii="Cambria Math" w:hAnsi="Cambria Math" w:eastAsia="宋体"/>
                        <w:strike/>
                        <w:szCs w:val="20"/>
                      </w:rPr>
                    </w:ins>
                  </m:ctrlPr>
                </m:dPr>
                <m:e>
                  <m:sSub>
                    <m:sSubPr>
                      <m:ctrlPr>
                        <w:ins w:id="784" w:author="Alexander Golitschek" w:date="2022-02-20T18:58:00Z">
                          <w:rPr>
                            <w:rFonts w:ascii="Cambria Math" w:hAnsi="Cambria Math" w:eastAsia="宋体"/>
                            <w:strike/>
                            <w:szCs w:val="20"/>
                          </w:rPr>
                        </w:ins>
                      </m:ctrlPr>
                    </m:sSubPr>
                    <m:e>
                      <w:ins w:id="785" w:author="Alexander Golitschek" w:date="2022-02-20T18:58:00Z">
                        <m:r>
                          <w:rPr>
                            <w:rFonts w:ascii="Cambria Math" w:hAnsi="Cambria Math" w:eastAsia="宋体"/>
                            <w:strike/>
                            <w:szCs w:val="20"/>
                          </w:rPr>
                          <m:t>X</m:t>
                        </m:r>
                      </w:ins>
                      <m:ctrlPr>
                        <w:ins w:id="786" w:author="Alexander Golitschek" w:date="2022-02-20T18:58:00Z">
                          <w:rPr>
                            <w:rFonts w:ascii="Cambria Math" w:hAnsi="Cambria Math" w:eastAsia="宋体"/>
                            <w:strike/>
                            <w:szCs w:val="20"/>
                          </w:rPr>
                        </w:ins>
                      </m:ctrlPr>
                    </m:e>
                    <m:sub>
                      <w:ins w:id="787" w:author="Alexander Golitschek" w:date="2022-02-20T18:58:00Z">
                        <m:r>
                          <w:rPr>
                            <w:rFonts w:ascii="Cambria Math" w:hAnsi="Cambria Math" w:eastAsia="宋体"/>
                            <w:strike/>
                            <w:szCs w:val="20"/>
                          </w:rPr>
                          <m:t>s</m:t>
                        </m:r>
                      </w:ins>
                      <m:ctrlPr>
                        <w:ins w:id="788" w:author="Alexander Golitschek" w:date="2022-02-20T18:58:00Z">
                          <w:rPr>
                            <w:rFonts w:ascii="Cambria Math" w:hAnsi="Cambria Math" w:eastAsia="宋体"/>
                            <w:strike/>
                            <w:szCs w:val="20"/>
                          </w:rPr>
                        </w:ins>
                      </m:ctrlPr>
                    </m:sub>
                  </m:sSub>
                  <w:ins w:id="789" w:author="Alexander Golitschek" w:date="2022-02-20T18:58:00Z">
                    <m:r>
                      <m:rPr>
                        <m:sty m:val="p"/>
                      </m:rPr>
                      <w:rPr>
                        <w:rFonts w:ascii="Cambria Math" w:hAnsi="Cambria Math" w:eastAsia="宋体"/>
                        <w:strike/>
                        <w:szCs w:val="20"/>
                      </w:rPr>
                      <m:t>,</m:t>
                    </m:r>
                  </w:ins>
                  <m:sSub>
                    <m:sSubPr>
                      <m:ctrlPr>
                        <w:ins w:id="790" w:author="Alexander Golitschek" w:date="2022-02-20T18:58:00Z">
                          <w:rPr>
                            <w:rFonts w:ascii="Cambria Math" w:hAnsi="Cambria Math" w:eastAsia="宋体"/>
                            <w:strike/>
                            <w:szCs w:val="20"/>
                          </w:rPr>
                        </w:ins>
                      </m:ctrlPr>
                    </m:sSubPr>
                    <m:e>
                      <w:ins w:id="791" w:author="Alexander Golitschek" w:date="2022-02-20T18:58:00Z">
                        <m:r>
                          <w:rPr>
                            <w:rFonts w:ascii="Cambria Math" w:hAnsi="Cambria Math" w:eastAsia="宋体"/>
                            <w:strike/>
                            <w:szCs w:val="20"/>
                          </w:rPr>
                          <m:t>Y</m:t>
                        </m:r>
                      </w:ins>
                      <m:ctrlPr>
                        <w:ins w:id="792" w:author="Alexander Golitschek" w:date="2022-02-20T18:58:00Z">
                          <w:rPr>
                            <w:rFonts w:ascii="Cambria Math" w:hAnsi="Cambria Math" w:eastAsia="宋体"/>
                            <w:strike/>
                            <w:szCs w:val="20"/>
                          </w:rPr>
                        </w:ins>
                      </m:ctrlPr>
                    </m:e>
                    <m:sub>
                      <w:ins w:id="793" w:author="Alexander Golitschek" w:date="2022-02-20T18:58:00Z">
                        <m:r>
                          <w:rPr>
                            <w:rFonts w:ascii="Cambria Math" w:hAnsi="Cambria Math" w:eastAsia="宋体"/>
                            <w:strike/>
                            <w:szCs w:val="20"/>
                          </w:rPr>
                          <m:t>s</m:t>
                        </m:r>
                      </w:ins>
                      <m:ctrlPr>
                        <w:ins w:id="794" w:author="Alexander Golitschek" w:date="2022-02-20T18:58:00Z">
                          <w:rPr>
                            <w:rFonts w:ascii="Cambria Math" w:hAnsi="Cambria Math" w:eastAsia="宋体"/>
                            <w:strike/>
                            <w:szCs w:val="20"/>
                          </w:rPr>
                        </w:ins>
                      </m:ctrlPr>
                    </m:sub>
                  </m:sSub>
                  <m:ctrlPr>
                    <w:ins w:id="795" w:author="Alexander Golitschek" w:date="2022-02-20T18:58:00Z">
                      <w:rPr>
                        <w:rFonts w:ascii="Cambria Math" w:hAnsi="Cambria Math" w:eastAsia="宋体"/>
                        <w:strike/>
                        <w:szCs w:val="20"/>
                      </w:rPr>
                    </w:ins>
                  </m:ctrlPr>
                </m:e>
              </m:d>
              <w:ins w:id="796" w:author="Alexander Golitschek" w:date="2022-02-20T18:58:00Z">
                <m:r>
                  <m:rPr>
                    <m:sty m:val="p"/>
                  </m:rPr>
                  <w:rPr>
                    <w:rFonts w:ascii="Cambria Math" w:hAnsi="Cambria Math" w:eastAsia="宋体"/>
                    <w:strike/>
                    <w:szCs w:val="20"/>
                  </w:rPr>
                  <m:t>=(8,1)</m:t>
                </m:r>
              </w:ins>
            </m:oMath>
            <w:ins w:id="797" w:author="Alexander Golitschek" w:date="2022-02-20T18:58:00Z">
              <w:r>
                <w:rPr>
                  <w:rFonts w:eastAsia="宋体"/>
                  <w:strike/>
                  <w:szCs w:val="20"/>
                </w:rPr>
                <w:t xml:space="preserve"> for μ </w:t>
              </w:r>
            </w:ins>
            <w:ins w:id="798" w:author="Alexander Golitschek" w:date="2022-02-20T19:01:00Z">
              <w:r>
                <w:rPr>
                  <w:rFonts w:eastAsia="宋体"/>
                  <w:strike/>
                  <w:szCs w:val="20"/>
                </w:rPr>
                <w:t>=</w:t>
              </w:r>
            </w:ins>
            <w:ins w:id="799" w:author="Alexander Golitschek" w:date="2022-02-20T19:02:00Z">
              <w:r>
                <w:rPr>
                  <w:rFonts w:eastAsia="宋体"/>
                  <w:strike/>
                  <w:szCs w:val="20"/>
                </w:rPr>
                <w:t xml:space="preserve"> </w:t>
              </w:r>
            </w:ins>
            <w:ins w:id="800" w:author="Alexander Golitschek" w:date="2022-02-20T18:58:00Z">
              <w:r>
                <w:rPr>
                  <w:rFonts w:eastAsia="宋体"/>
                  <w:strike/>
                  <w:szCs w:val="20"/>
                </w:rPr>
                <w:t xml:space="preserve">6 </w:t>
              </w:r>
            </w:ins>
            <w:ins w:id="801" w:author="Alexander Golitschek" w:date="2022-02-20T18:58:00Z">
              <w:r>
                <w:rPr>
                  <w:rFonts w:eastAsia="宋体"/>
                  <w:szCs w:val="20"/>
                </w:rPr>
                <w:t>as in Tables 10.1-2B and 10.1-3B.</w:t>
              </w:r>
            </w:ins>
          </w:p>
          <w:p>
            <w:pPr>
              <w:widowControl w:val="0"/>
              <w:spacing w:after="180" w:line="240" w:lineRule="auto"/>
              <w:rPr>
                <w:rFonts w:eastAsia="Times New Roman"/>
                <w:szCs w:val="20"/>
                <w:lang w:eastAsia="en-GB"/>
              </w:rPr>
            </w:pPr>
            <w:ins w:id="802" w:author="Alexander Golitschek" w:date="2022-02-20T19:32:00Z">
              <w:r>
                <w:rPr>
                  <w:rFonts w:eastAsia="宋体"/>
                  <w:szCs w:val="20"/>
                </w:rPr>
                <w:t>I</w:t>
              </w:r>
            </w:ins>
            <w:ins w:id="803" w:author="Alexander Golitschek" w:date="2022-02-20T18:58:00Z">
              <w:r>
                <w:rPr>
                  <w:rFonts w:eastAsia="宋体"/>
                  <w:szCs w:val="20"/>
                </w:rPr>
                <w:t xml:space="preserve">f the UE is not provided </w:t>
              </w:r>
            </w:ins>
            <w:ins w:id="804" w:author="Alexander Golitschek" w:date="2022-02-20T18:58:00Z">
              <w:r>
                <w:rPr>
                  <w:rFonts w:eastAsia="宋体"/>
                  <w:i/>
                  <w:iCs/>
                  <w:szCs w:val="20"/>
                </w:rPr>
                <w:t>monitoringCapabilityConfig</w:t>
              </w:r>
            </w:ins>
            <w:ins w:id="805" w:author="Alexander Golitschek" w:date="2022-02-20T19:32:00Z">
              <w:r>
                <w:rPr>
                  <w:rFonts w:eastAsia="宋体"/>
                  <w:szCs w:val="20"/>
                </w:rPr>
                <w:t xml:space="preserve"> for μ</w:t>
              </w:r>
            </w:ins>
            <w:ins w:id="806" w:author="Keyvan2" w:date="2022-02-24T23:39:00Z">
              <w:r>
                <w:rPr>
                  <w:rFonts w:eastAsia="宋体"/>
                  <w:szCs w:val="20"/>
                </w:rPr>
                <w:t xml:space="preserve">=6 </w:t>
              </w:r>
            </w:ins>
            <w:ins w:id="807" w:author="Alexander Golitschek" w:date="2022-02-20T19:32:00Z">
              <w:r>
                <w:rPr>
                  <w:rFonts w:ascii="Cambria Math" w:hAnsi="Cambria Math" w:eastAsia="宋体" w:cs="Cambria Math"/>
                  <w:strike/>
                  <w:szCs w:val="20"/>
                </w:rPr>
                <w:t>∈</w:t>
              </w:r>
            </w:ins>
            <w:ins w:id="808" w:author="Alexander Golitschek" w:date="2022-02-20T19:32:00Z">
              <w:r>
                <w:rPr>
                  <w:rFonts w:eastAsia="宋体"/>
                  <w:strike/>
                  <w:szCs w:val="20"/>
                </w:rPr>
                <w:t xml:space="preserve"> {5,6}</w:t>
              </w:r>
            </w:ins>
            <w:r>
              <w:rPr>
                <w:rFonts w:eastAsia="宋体"/>
                <w:strike/>
                <w:szCs w:val="20"/>
              </w:rPr>
              <w:t xml:space="preserve"> </w:t>
            </w:r>
            <w:ins w:id="809" w:author="Keyvan2" w:date="2022-02-24T23:39:00Z">
              <w:r>
                <w:rPr>
                  <w:rFonts w:eastAsia="宋体"/>
                  <w:szCs w:val="20"/>
                </w:rPr>
                <w:t>and</w:t>
              </w:r>
            </w:ins>
            <w:r>
              <w:rPr>
                <w:rFonts w:eastAsia="宋体"/>
                <w:szCs w:val="20"/>
              </w:rPr>
              <w:t xml:space="preserve"> </w:t>
            </w:r>
            <w:ins w:id="810" w:author="Keyvan2" w:date="2022-02-22T23:38:00Z">
              <w:r>
                <w:rPr>
                  <w:rFonts w:eastAsia="宋体"/>
                  <w:color w:val="FF0000"/>
                  <w:szCs w:val="20"/>
                  <w:shd w:val="clear" w:color="auto" w:fill="00B0F0"/>
                </w:rPr>
                <w:t>UE that is provided dedicated higher layer parameters</w:t>
              </w:r>
            </w:ins>
            <w:ins w:id="811" w:author="Alexander Golitschek" w:date="2022-02-20T19:32:00Z">
              <w:r>
                <w:rPr>
                  <w:rFonts w:eastAsia="宋体"/>
                  <w:szCs w:val="20"/>
                </w:rPr>
                <w:t xml:space="preserve">, </w:t>
              </w:r>
            </w:ins>
            <w:ins w:id="812" w:author="Alexander Golitschek" w:date="2022-02-20T18:58:00Z">
              <w:r>
                <w:rPr>
                  <w:rFonts w:eastAsia="宋体"/>
                  <w:szCs w:val="20"/>
                </w:rPr>
                <w:t xml:space="preserve">the UE monitors PDCCH on the </w:t>
              </w:r>
            </w:ins>
            <w:ins w:id="813" w:author="Alexander Golitschek" w:date="2022-02-20T19:13:00Z">
              <w:r>
                <w:rPr>
                  <w:rFonts w:eastAsia="宋体"/>
                  <w:szCs w:val="20"/>
                </w:rPr>
                <w:t xml:space="preserve">active DL BWP of a </w:t>
              </w:r>
            </w:ins>
            <w:ins w:id="814" w:author="Alexander Golitschek" w:date="2022-02-20T18:58:00Z">
              <w:r>
                <w:rPr>
                  <w:rFonts w:eastAsia="宋体"/>
                  <w:szCs w:val="20"/>
                </w:rPr>
                <w:t xml:space="preserve">serving cell for a maximum number of PDCCH candidates and non-overlapping CCEs per group of </w:t>
              </w:r>
            </w:ins>
            <m:oMath>
              <m:sSub>
                <m:sSubPr>
                  <m:ctrlPr>
                    <w:ins w:id="815" w:author="Alexander Golitschek" w:date="2022-02-20T18:58:00Z">
                      <w:rPr>
                        <w:rFonts w:ascii="Cambria Math" w:hAnsi="Cambria Math" w:eastAsia="宋体"/>
                        <w:szCs w:val="20"/>
                      </w:rPr>
                    </w:ins>
                  </m:ctrlPr>
                </m:sSubPr>
                <m:e>
                  <w:ins w:id="816" w:author="Alexander Golitschek" w:date="2022-02-20T18:58:00Z">
                    <m:r>
                      <w:rPr>
                        <w:rFonts w:ascii="Cambria Math" w:hAnsi="Cambria Math" w:eastAsia="宋体"/>
                        <w:szCs w:val="20"/>
                      </w:rPr>
                      <m:t>X</m:t>
                    </m:r>
                  </w:ins>
                  <m:ctrlPr>
                    <w:ins w:id="817" w:author="Alexander Golitschek" w:date="2022-02-20T18:58:00Z">
                      <w:rPr>
                        <w:rFonts w:ascii="Cambria Math" w:hAnsi="Cambria Math" w:eastAsia="宋体"/>
                        <w:szCs w:val="20"/>
                      </w:rPr>
                    </w:ins>
                  </m:ctrlPr>
                </m:e>
                <m:sub>
                  <w:ins w:id="818" w:author="Alexander Golitschek" w:date="2022-02-20T18:58:00Z">
                    <m:r>
                      <w:rPr>
                        <w:rFonts w:ascii="Cambria Math" w:hAnsi="Cambria Math" w:eastAsia="宋体"/>
                        <w:szCs w:val="20"/>
                      </w:rPr>
                      <m:t>s</m:t>
                    </m:r>
                  </w:ins>
                  <m:ctrlPr>
                    <w:ins w:id="819" w:author="Alexander Golitschek" w:date="2022-02-20T18:58:00Z">
                      <w:rPr>
                        <w:rFonts w:ascii="Cambria Math" w:hAnsi="Cambria Math" w:eastAsia="宋体"/>
                        <w:szCs w:val="20"/>
                      </w:rPr>
                    </w:ins>
                  </m:ctrlPr>
                </m:sub>
              </m:sSub>
            </m:oMath>
            <w:ins w:id="820" w:author="Alexander Golitschek" w:date="2022-02-20T18:58:00Z">
              <w:r>
                <w:rPr>
                  <w:rFonts w:eastAsia="宋体"/>
                  <w:szCs w:val="20"/>
                </w:rPr>
                <w:t xml:space="preserve"> slots according to combination </w:t>
              </w:r>
            </w:ins>
            <m:oMath>
              <m:d>
                <m:dPr>
                  <m:ctrlPr>
                    <w:ins w:id="821" w:author="Alexander Golitschek" w:date="2022-02-20T18:58:00Z">
                      <w:rPr>
                        <w:rFonts w:ascii="Cambria Math" w:hAnsi="Cambria Math" w:eastAsia="宋体"/>
                        <w:strike/>
                        <w:szCs w:val="20"/>
                      </w:rPr>
                    </w:ins>
                  </m:ctrlPr>
                </m:dPr>
                <m:e>
                  <m:sSub>
                    <m:sSubPr>
                      <m:ctrlPr>
                        <w:ins w:id="822" w:author="Alexander Golitschek" w:date="2022-02-20T18:58:00Z">
                          <w:rPr>
                            <w:rFonts w:ascii="Cambria Math" w:hAnsi="Cambria Math" w:eastAsia="宋体"/>
                            <w:strike/>
                            <w:szCs w:val="20"/>
                          </w:rPr>
                        </w:ins>
                      </m:ctrlPr>
                    </m:sSubPr>
                    <m:e>
                      <w:ins w:id="823" w:author="Alexander Golitschek" w:date="2022-02-20T18:58:00Z">
                        <m:r>
                          <w:rPr>
                            <w:rFonts w:ascii="Cambria Math" w:hAnsi="Cambria Math" w:eastAsia="宋体"/>
                            <w:strike/>
                            <w:szCs w:val="20"/>
                          </w:rPr>
                          <m:t>X</m:t>
                        </m:r>
                      </w:ins>
                      <m:ctrlPr>
                        <w:ins w:id="824" w:author="Alexander Golitschek" w:date="2022-02-20T18:58:00Z">
                          <w:rPr>
                            <w:rFonts w:ascii="Cambria Math" w:hAnsi="Cambria Math" w:eastAsia="宋体"/>
                            <w:strike/>
                            <w:szCs w:val="20"/>
                          </w:rPr>
                        </w:ins>
                      </m:ctrlPr>
                    </m:e>
                    <m:sub>
                      <w:ins w:id="825" w:author="Alexander Golitschek" w:date="2022-02-20T18:58:00Z">
                        <m:r>
                          <w:rPr>
                            <w:rFonts w:ascii="Cambria Math" w:hAnsi="Cambria Math" w:eastAsia="宋体"/>
                            <w:strike/>
                            <w:szCs w:val="20"/>
                          </w:rPr>
                          <m:t>s</m:t>
                        </m:r>
                      </w:ins>
                      <m:ctrlPr>
                        <w:ins w:id="826" w:author="Alexander Golitschek" w:date="2022-02-20T18:58:00Z">
                          <w:rPr>
                            <w:rFonts w:ascii="Cambria Math" w:hAnsi="Cambria Math" w:eastAsia="宋体"/>
                            <w:strike/>
                            <w:szCs w:val="20"/>
                          </w:rPr>
                        </w:ins>
                      </m:ctrlPr>
                    </m:sub>
                  </m:sSub>
                  <w:ins w:id="827" w:author="Alexander Golitschek" w:date="2022-02-20T18:58:00Z">
                    <m:r>
                      <m:rPr>
                        <m:sty m:val="p"/>
                      </m:rPr>
                      <w:rPr>
                        <w:rFonts w:ascii="Cambria Math" w:hAnsi="Cambria Math" w:eastAsia="宋体"/>
                        <w:strike/>
                        <w:szCs w:val="20"/>
                      </w:rPr>
                      <m:t>,</m:t>
                    </m:r>
                  </w:ins>
                  <m:sSub>
                    <m:sSubPr>
                      <m:ctrlPr>
                        <w:ins w:id="828" w:author="Alexander Golitschek" w:date="2022-02-20T18:58:00Z">
                          <w:rPr>
                            <w:rFonts w:ascii="Cambria Math" w:hAnsi="Cambria Math" w:eastAsia="宋体"/>
                            <w:strike/>
                            <w:szCs w:val="20"/>
                          </w:rPr>
                        </w:ins>
                      </m:ctrlPr>
                    </m:sSubPr>
                    <m:e>
                      <w:ins w:id="829" w:author="Alexander Golitschek" w:date="2022-02-20T18:58:00Z">
                        <m:r>
                          <w:rPr>
                            <w:rFonts w:ascii="Cambria Math" w:hAnsi="Cambria Math" w:eastAsia="宋体"/>
                            <w:strike/>
                            <w:szCs w:val="20"/>
                          </w:rPr>
                          <m:t>Y</m:t>
                        </m:r>
                      </w:ins>
                      <m:ctrlPr>
                        <w:ins w:id="830" w:author="Alexander Golitschek" w:date="2022-02-20T18:58:00Z">
                          <w:rPr>
                            <w:rFonts w:ascii="Cambria Math" w:hAnsi="Cambria Math" w:eastAsia="宋体"/>
                            <w:strike/>
                            <w:szCs w:val="20"/>
                          </w:rPr>
                        </w:ins>
                      </m:ctrlPr>
                    </m:e>
                    <m:sub>
                      <w:ins w:id="831" w:author="Alexander Golitschek" w:date="2022-02-20T18:58:00Z">
                        <m:r>
                          <w:rPr>
                            <w:rFonts w:ascii="Cambria Math" w:hAnsi="Cambria Math" w:eastAsia="宋体"/>
                            <w:strike/>
                            <w:szCs w:val="20"/>
                          </w:rPr>
                          <m:t>s</m:t>
                        </m:r>
                      </w:ins>
                      <m:ctrlPr>
                        <w:ins w:id="832" w:author="Alexander Golitschek" w:date="2022-02-20T18:58:00Z">
                          <w:rPr>
                            <w:rFonts w:ascii="Cambria Math" w:hAnsi="Cambria Math" w:eastAsia="宋体"/>
                            <w:strike/>
                            <w:szCs w:val="20"/>
                          </w:rPr>
                        </w:ins>
                      </m:ctrlPr>
                    </m:sub>
                  </m:sSub>
                  <m:ctrlPr>
                    <w:ins w:id="833" w:author="Alexander Golitschek" w:date="2022-02-20T18:58:00Z">
                      <w:rPr>
                        <w:rFonts w:ascii="Cambria Math" w:hAnsi="Cambria Math" w:eastAsia="宋体"/>
                        <w:strike/>
                        <w:szCs w:val="20"/>
                      </w:rPr>
                    </w:ins>
                  </m:ctrlPr>
                </m:e>
              </m:d>
              <w:ins w:id="834" w:author="Alexander Golitschek" w:date="2022-02-20T18:58:00Z">
                <m:r>
                  <m:rPr>
                    <m:sty m:val="p"/>
                  </m:rPr>
                  <w:rPr>
                    <w:rFonts w:ascii="Cambria Math" w:hAnsi="Cambria Math" w:eastAsia="宋体"/>
                    <w:strike/>
                    <w:szCs w:val="20"/>
                  </w:rPr>
                  <m:t>=(4,1)</m:t>
                </m:r>
              </w:ins>
            </m:oMath>
            <w:ins w:id="835" w:author="Alexander Golitschek" w:date="2022-02-20T18:58:00Z">
              <w:r>
                <w:rPr>
                  <w:rFonts w:eastAsia="宋体"/>
                  <w:strike/>
                  <w:szCs w:val="20"/>
                </w:rPr>
                <w:t xml:space="preserve"> for μ =</w:t>
              </w:r>
            </w:ins>
            <w:ins w:id="836" w:author="Alexander Golitschek" w:date="2022-02-20T19:01:00Z">
              <w:r>
                <w:rPr>
                  <w:rFonts w:eastAsia="宋体"/>
                  <w:strike/>
                  <w:szCs w:val="20"/>
                </w:rPr>
                <w:t xml:space="preserve"> </w:t>
              </w:r>
            </w:ins>
            <w:ins w:id="837" w:author="Alexander Golitschek" w:date="2022-02-20T18:58:00Z">
              <w:r>
                <w:rPr>
                  <w:rFonts w:eastAsia="宋体"/>
                  <w:strike/>
                  <w:szCs w:val="20"/>
                </w:rPr>
                <w:t>5 and</w:t>
              </w:r>
            </w:ins>
            <w:ins w:id="838" w:author="Alexander Golitschek" w:date="2022-02-20T18:58:00Z">
              <w:r>
                <w:rPr>
                  <w:rFonts w:eastAsia="宋体"/>
                  <w:szCs w:val="20"/>
                </w:rPr>
                <w:t xml:space="preserve"> </w:t>
              </w:r>
            </w:ins>
            <m:oMath>
              <m:d>
                <m:dPr>
                  <m:ctrlPr>
                    <w:ins w:id="839" w:author="Alexander Golitschek" w:date="2022-02-20T18:58:00Z">
                      <w:rPr>
                        <w:rFonts w:ascii="Cambria Math" w:hAnsi="Cambria Math" w:eastAsia="宋体"/>
                        <w:szCs w:val="20"/>
                      </w:rPr>
                    </w:ins>
                  </m:ctrlPr>
                </m:dPr>
                <m:e>
                  <m:sSub>
                    <m:sSubPr>
                      <m:ctrlPr>
                        <w:ins w:id="840" w:author="Alexander Golitschek" w:date="2022-02-20T18:58:00Z">
                          <w:rPr>
                            <w:rFonts w:ascii="Cambria Math" w:hAnsi="Cambria Math" w:eastAsia="宋体"/>
                            <w:szCs w:val="20"/>
                          </w:rPr>
                        </w:ins>
                      </m:ctrlPr>
                    </m:sSubPr>
                    <m:e>
                      <w:ins w:id="841" w:author="Alexander Golitschek" w:date="2022-02-20T18:58:00Z">
                        <m:r>
                          <w:rPr>
                            <w:rFonts w:ascii="Cambria Math" w:hAnsi="Cambria Math" w:eastAsia="宋体"/>
                            <w:szCs w:val="20"/>
                          </w:rPr>
                          <m:t>X</m:t>
                        </m:r>
                      </w:ins>
                      <m:ctrlPr>
                        <w:ins w:id="842" w:author="Alexander Golitschek" w:date="2022-02-20T18:58:00Z">
                          <w:rPr>
                            <w:rFonts w:ascii="Cambria Math" w:hAnsi="Cambria Math" w:eastAsia="宋体"/>
                            <w:szCs w:val="20"/>
                          </w:rPr>
                        </w:ins>
                      </m:ctrlPr>
                    </m:e>
                    <m:sub>
                      <w:ins w:id="843" w:author="Alexander Golitschek" w:date="2022-02-20T18:58:00Z">
                        <m:r>
                          <w:rPr>
                            <w:rFonts w:ascii="Cambria Math" w:hAnsi="Cambria Math" w:eastAsia="宋体"/>
                            <w:szCs w:val="20"/>
                          </w:rPr>
                          <m:t>s</m:t>
                        </m:r>
                      </w:ins>
                      <m:ctrlPr>
                        <w:ins w:id="844" w:author="Alexander Golitschek" w:date="2022-02-20T18:58:00Z">
                          <w:rPr>
                            <w:rFonts w:ascii="Cambria Math" w:hAnsi="Cambria Math" w:eastAsia="宋体"/>
                            <w:szCs w:val="20"/>
                          </w:rPr>
                        </w:ins>
                      </m:ctrlPr>
                    </m:sub>
                  </m:sSub>
                  <w:ins w:id="845" w:author="Alexander Golitschek" w:date="2022-02-20T18:58:00Z">
                    <m:r>
                      <m:rPr>
                        <m:sty m:val="p"/>
                      </m:rPr>
                      <w:rPr>
                        <w:rFonts w:ascii="Cambria Math" w:hAnsi="Cambria Math" w:eastAsia="宋体"/>
                        <w:szCs w:val="20"/>
                      </w:rPr>
                      <m:t>,</m:t>
                    </m:r>
                  </w:ins>
                  <m:sSub>
                    <m:sSubPr>
                      <m:ctrlPr>
                        <w:ins w:id="846" w:author="Alexander Golitschek" w:date="2022-02-20T18:58:00Z">
                          <w:rPr>
                            <w:rFonts w:ascii="Cambria Math" w:hAnsi="Cambria Math" w:eastAsia="宋体"/>
                            <w:szCs w:val="20"/>
                          </w:rPr>
                        </w:ins>
                      </m:ctrlPr>
                    </m:sSubPr>
                    <m:e>
                      <w:ins w:id="847" w:author="Alexander Golitschek" w:date="2022-02-20T18:58:00Z">
                        <m:r>
                          <w:rPr>
                            <w:rFonts w:ascii="Cambria Math" w:hAnsi="Cambria Math" w:eastAsia="宋体"/>
                            <w:szCs w:val="20"/>
                          </w:rPr>
                          <m:t>Y</m:t>
                        </m:r>
                      </w:ins>
                      <m:ctrlPr>
                        <w:ins w:id="848" w:author="Alexander Golitschek" w:date="2022-02-20T18:58:00Z">
                          <w:rPr>
                            <w:rFonts w:ascii="Cambria Math" w:hAnsi="Cambria Math" w:eastAsia="宋体"/>
                            <w:szCs w:val="20"/>
                          </w:rPr>
                        </w:ins>
                      </m:ctrlPr>
                    </m:e>
                    <m:sub>
                      <w:ins w:id="849" w:author="Alexander Golitschek" w:date="2022-02-20T18:58:00Z">
                        <m:r>
                          <w:rPr>
                            <w:rFonts w:ascii="Cambria Math" w:hAnsi="Cambria Math" w:eastAsia="宋体"/>
                            <w:szCs w:val="20"/>
                          </w:rPr>
                          <m:t>s</m:t>
                        </m:r>
                      </w:ins>
                      <m:ctrlPr>
                        <w:ins w:id="850" w:author="Alexander Golitschek" w:date="2022-02-20T18:58:00Z">
                          <w:rPr>
                            <w:rFonts w:ascii="Cambria Math" w:hAnsi="Cambria Math" w:eastAsia="宋体"/>
                            <w:szCs w:val="20"/>
                          </w:rPr>
                        </w:ins>
                      </m:ctrlPr>
                    </m:sub>
                  </m:sSub>
                  <m:ctrlPr>
                    <w:ins w:id="851" w:author="Alexander Golitschek" w:date="2022-02-20T18:58:00Z">
                      <w:rPr>
                        <w:rFonts w:ascii="Cambria Math" w:hAnsi="Cambria Math" w:eastAsia="宋体"/>
                        <w:szCs w:val="20"/>
                      </w:rPr>
                    </w:ins>
                  </m:ctrlPr>
                </m:e>
              </m:d>
              <w:ins w:id="852" w:author="Alexander Golitschek" w:date="2022-02-20T18:58:00Z">
                <m:r>
                  <m:rPr>
                    <m:sty m:val="p"/>
                  </m:rPr>
                  <w:rPr>
                    <w:rFonts w:ascii="Cambria Math" w:hAnsi="Cambria Math" w:eastAsia="宋体"/>
                    <w:szCs w:val="20"/>
                  </w:rPr>
                  <m:t>=(8,1)</m:t>
                </m:r>
              </w:ins>
            </m:oMath>
            <w:ins w:id="853" w:author="Alexander Golitschek" w:date="2022-02-20T18:58:00Z">
              <w:r>
                <w:rPr>
                  <w:rFonts w:eastAsia="宋体"/>
                  <w:szCs w:val="20"/>
                </w:rPr>
                <w:t xml:space="preserve"> </w:t>
              </w:r>
            </w:ins>
            <w:ins w:id="854" w:author="Alexander Golitschek" w:date="2022-02-20T18:58:00Z">
              <w:r>
                <w:rPr>
                  <w:rFonts w:eastAsia="宋体"/>
                  <w:strike/>
                  <w:szCs w:val="20"/>
                </w:rPr>
                <w:t xml:space="preserve">for μ </w:t>
              </w:r>
            </w:ins>
            <w:ins w:id="855" w:author="Alexander Golitschek" w:date="2022-02-20T19:01:00Z">
              <w:r>
                <w:rPr>
                  <w:rFonts w:eastAsia="宋体"/>
                  <w:strike/>
                  <w:szCs w:val="20"/>
                </w:rPr>
                <w:t>=</w:t>
              </w:r>
            </w:ins>
            <w:ins w:id="856" w:author="Alexander Golitschek" w:date="2022-02-20T19:02:00Z">
              <w:r>
                <w:rPr>
                  <w:rFonts w:eastAsia="宋体"/>
                  <w:strike/>
                  <w:szCs w:val="20"/>
                </w:rPr>
                <w:t xml:space="preserve"> </w:t>
              </w:r>
            </w:ins>
            <w:ins w:id="857" w:author="Alexander Golitschek" w:date="2022-02-20T18:58:00Z">
              <w:r>
                <w:rPr>
                  <w:rFonts w:eastAsia="宋体"/>
                  <w:strike/>
                  <w:szCs w:val="20"/>
                </w:rPr>
                <w:t xml:space="preserve">6 </w:t>
              </w:r>
            </w:ins>
            <w:ins w:id="858" w:author="Alexander Golitschek" w:date="2022-02-20T18:58:00Z">
              <w:r>
                <w:rPr>
                  <w:rFonts w:eastAsia="宋体"/>
                  <w:szCs w:val="20"/>
                </w:rPr>
                <w:t>as in Tables 10.1-2B and 10.1-3B.</w:t>
              </w:r>
            </w:ins>
          </w:p>
        </w:tc>
      </w:tr>
    </w:tbl>
    <w:p>
      <w:pPr>
        <w:pStyle w:val="212"/>
        <w:numPr>
          <w:ilvl w:val="0"/>
          <w:numId w:val="26"/>
        </w:numPr>
        <w:tabs>
          <w:tab w:val="left" w:pos="0"/>
          <w:tab w:val="clear" w:pos="1304"/>
          <w:tab w:val="clear" w:pos="2722"/>
        </w:tabs>
        <w:spacing w:after="120"/>
        <w:rPr>
          <w:rFonts w:ascii="Times New Roman" w:hAnsi="Times New Roman" w:cs="Times New Roman"/>
          <w:b w:val="0"/>
          <w:bCs w:val="0"/>
        </w:rPr>
      </w:pPr>
      <w:r>
        <w:rPr>
          <w:rFonts w:ascii="Times New Roman" w:hAnsi="Times New Roman" w:cs="Times New Roman" w:eastAsiaTheme="minorEastAsia"/>
          <w:b w:val="0"/>
          <w:bCs w:val="0"/>
          <w:lang w:eastAsia="ja-JP"/>
        </w:rPr>
        <w:t xml:space="preserve">Capture the following description in </w:t>
      </w:r>
      <w:r>
        <w:rPr>
          <w:rFonts w:ascii="Times New Roman" w:hAnsi="Times New Roman" w:cs="Times New Roman"/>
          <w:b w:val="0"/>
          <w:bCs w:val="0"/>
        </w:rPr>
        <w:t xml:space="preserve">the RRC parameter spreadsheet to RAN2, with </w:t>
      </w:r>
      <w:r>
        <w:rPr>
          <w:rFonts w:ascii="Times New Roman" w:hAnsi="Times New Roman" w:cs="Times New Roman"/>
          <w:i/>
          <w:iCs/>
        </w:rPr>
        <w:t>monitoringCapabilityConfig</w:t>
      </w:r>
      <w:r>
        <w:rPr>
          <w:rFonts w:ascii="Times New Roman" w:hAnsi="Times New Roman" w:cs="Times New Roman"/>
          <w:b w:val="0"/>
          <w:bCs w:val="0"/>
        </w:rPr>
        <w:t xml:space="preserve"> being an optional field:</w:t>
      </w:r>
    </w:p>
    <w:p>
      <w:pPr>
        <w:pStyle w:val="88"/>
        <w:numPr>
          <w:ilvl w:val="1"/>
          <w:numId w:val="26"/>
        </w:numPr>
        <w:rPr>
          <w:b/>
          <w:bCs/>
          <w:i/>
          <w:iCs/>
        </w:rPr>
      </w:pPr>
      <w:r>
        <w:rPr>
          <w:b/>
          <w:bCs/>
          <w:i/>
          <w:iCs/>
        </w:rPr>
        <w:t>monitoringCapabilityConfig</w:t>
      </w:r>
    </w:p>
    <w:p>
      <w:pPr>
        <w:pStyle w:val="88"/>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When present, the network configures this field with </w:t>
      </w:r>
      <w:r>
        <w:rPr>
          <w:i/>
          <w:lang w:eastAsia="sv-SE"/>
        </w:rPr>
        <w:t xml:space="preserve">r17monitoringcapablity </w:t>
      </w:r>
      <w:r>
        <w:rPr>
          <w:iCs/>
          <w:lang w:eastAsia="sv-SE"/>
        </w:rPr>
        <w:t>for a BWP with SCS configured as 480 or 960 kHz SCS</w:t>
      </w:r>
      <w:r>
        <w:rPr>
          <w:lang w:eastAsia="sv-SE"/>
        </w:rPr>
        <w:t>.</w:t>
      </w:r>
    </w:p>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ascii="Times New Roman" w:hAnsi="Times New Roman" w:cs="Times New Roman" w:eastAsiaTheme="minorEastAsia"/>
                <w:sz w:val="22"/>
                <w:szCs w:val="22"/>
                <w:lang w:val="en-US" w:eastAsia="zh-CN" w:bidi="ar-SA"/>
              </w:rPr>
            </w:pPr>
            <w:r>
              <w:rPr>
                <w:rFonts w:hint="eastAsia"/>
                <w:lang w:eastAsia="zh-CN"/>
              </w:rPr>
              <w:t>ZTE, Sanechips</w:t>
            </w:r>
          </w:p>
        </w:tc>
        <w:tc>
          <w:tcPr>
            <w:tcW w:w="12176" w:type="dxa"/>
            <w:vAlign w:val="center"/>
          </w:tcPr>
          <w:p>
            <w:pPr>
              <w:widowControl w:val="0"/>
              <w:rPr>
                <w:rFonts w:hint="default" w:ascii="Times New Roman" w:hAnsi="Times New Roman" w:cs="Times New Roman" w:eastAsiaTheme="minorEastAsia"/>
                <w:sz w:val="22"/>
                <w:szCs w:val="22"/>
                <w:lang w:val="en-US" w:eastAsia="zh-CN" w:bidi="ar-SA"/>
              </w:rPr>
            </w:pPr>
            <w:r>
              <w:rPr>
                <w:rFonts w:hint="eastAsia"/>
                <w:lang w:eastAsia="zh-CN"/>
              </w:rPr>
              <w:t xml:space="preserve">We </w:t>
            </w:r>
            <w:r>
              <w:rPr>
                <w:rFonts w:hint="eastAsia"/>
                <w:lang w:val="en-US" w:eastAsia="zh-CN"/>
              </w:rPr>
              <w:t xml:space="preserve">support </w:t>
            </w:r>
            <w:r>
              <w:rPr>
                <w:rFonts w:hint="eastAsia"/>
                <w:lang w:eastAsia="zh-CN"/>
              </w:rPr>
              <w:t>Proposal A1-4.4</w:t>
            </w:r>
            <w:r>
              <w:rPr>
                <w:rFonts w:hint="eastAsia"/>
                <w:lang w:val="en-US" w:eastAsia="zh-CN"/>
              </w:rPr>
              <w:t>c</w:t>
            </w:r>
            <w:r>
              <w:rPr>
                <w:rFonts w:hint="eastAsia"/>
                <w:lang w:eastAsia="zh-CN"/>
              </w:rPr>
              <w:t xml:space="preserve"> </w:t>
            </w:r>
            <w:r>
              <w:rPr>
                <w:rFonts w:hint="eastAsia"/>
                <w:lang w:val="en-US" w:eastAsia="zh-CN"/>
              </w:rPr>
              <w:t xml:space="preserve">but we are also fine with </w:t>
            </w:r>
            <w:r>
              <w:rPr>
                <w:rFonts w:hint="eastAsia"/>
                <w:lang w:eastAsia="zh-CN"/>
              </w:rPr>
              <w:t>Proposal A1-4.4</w:t>
            </w:r>
            <w:r>
              <w:rPr>
                <w:rFonts w:hint="eastAsia"/>
                <w:lang w:val="en-US" w:eastAsia="zh-CN"/>
              </w:rPr>
              <w:t>d if Huawei insists</w:t>
            </w:r>
            <w:bookmarkStart w:id="107" w:name="_GoBack"/>
            <w:bookmarkEnd w:id="107"/>
            <w:r>
              <w:rPr>
                <w:rFonts w:hint="eastAsia"/>
                <w:lang w:val="en-US" w:eastAsia="zh-CN"/>
              </w:rPr>
              <w:t xml:space="preserve"> to make sure a UE will not monitor PDCCH according to the combination (Xs, Ys)=(8, 1) for 960kHz</w:t>
            </w:r>
            <w:r>
              <w:rPr>
                <w:rFonts w:eastAsia="MS Mincho"/>
                <w:lang w:eastAsia="ja-JP"/>
              </w:rPr>
              <w:t xml:space="preserve"> </w:t>
            </w:r>
            <w:r>
              <w:rPr>
                <w:rFonts w:hint="eastAsia" w:eastAsia="宋体"/>
                <w:lang w:val="en-US" w:eastAsia="zh-CN"/>
              </w:rPr>
              <w:t xml:space="preserve">in </w:t>
            </w:r>
            <w:r>
              <w:rPr>
                <w:rFonts w:eastAsia="MS Mincho"/>
                <w:lang w:eastAsia="ja-JP"/>
              </w:rPr>
              <w:t xml:space="preserve">RRC_IDLE </w:t>
            </w:r>
            <w:r>
              <w:rPr>
                <w:rFonts w:hint="eastAsia" w:eastAsia="宋体"/>
                <w:lang w:val="en-US" w:eastAsia="zh-CN"/>
              </w:rPr>
              <w:t>mode</w:t>
            </w:r>
            <w:r>
              <w:rPr>
                <w:rFonts w:eastAsia="MS Mincho"/>
                <w:lang w:eastAsia="ja-JP"/>
              </w:rPr>
              <w:t xml:space="preserve"> or </w:t>
            </w:r>
            <w:r>
              <w:rPr>
                <w:rFonts w:hint="eastAsia" w:eastAsia="宋体"/>
                <w:lang w:val="en-US" w:eastAsia="zh-CN"/>
              </w:rPr>
              <w:t xml:space="preserve">during </w:t>
            </w:r>
            <w:r>
              <w:rPr>
                <w:rFonts w:eastAsia="MS Mincho"/>
                <w:lang w:eastAsia="ja-JP"/>
              </w:rPr>
              <w:t>initial access</w:t>
            </w:r>
            <w:r>
              <w:rPr>
                <w:rFonts w:hint="eastAsia"/>
                <w:lang w:val="en-US"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p>
        </w:tc>
        <w:tc>
          <w:tcPr>
            <w:tcW w:w="12176" w:type="dxa"/>
            <w:vAlign w:val="center"/>
          </w:tcPr>
          <w:p>
            <w:pPr>
              <w:widowControl w:val="0"/>
              <w:rPr>
                <w:sz w:val="20"/>
                <w:lang w:eastAsia="zh-CN"/>
              </w:rPr>
            </w:pPr>
          </w:p>
        </w:tc>
      </w:tr>
    </w:tbl>
    <w:p>
      <w:pPr>
        <w:autoSpaceDE/>
        <w:autoSpaceDN/>
        <w:adjustRightInd/>
        <w:snapToGrid/>
        <w:spacing w:after="0" w:line="240" w:lineRule="auto"/>
        <w:rPr>
          <w:lang w:eastAsia="zh-CN"/>
        </w:rPr>
      </w:pPr>
    </w:p>
    <w:p>
      <w:pPr>
        <w:pStyle w:val="4"/>
      </w:pPr>
      <w:r>
        <w:t>(Closed) Issue A1-5: Other multi-slot monitoring behaviour</w:t>
      </w:r>
    </w:p>
    <w:p>
      <w:pPr>
        <w:pStyle w:val="5"/>
      </w:pPr>
      <w:r>
        <w:t>First round discussion</w:t>
      </w:r>
    </w:p>
    <w:p>
      <w:pPr>
        <w:spacing w:after="0"/>
        <w:rPr>
          <w:bCs/>
          <w:sz w:val="20"/>
          <w:szCs w:val="20"/>
        </w:rPr>
      </w:pPr>
      <w:r>
        <w:rPr>
          <w:bCs/>
          <w:sz w:val="20"/>
          <w:szCs w:val="20"/>
        </w:rPr>
        <w:t>Apple suggests the following proposal in R1-2201765:</w:t>
      </w:r>
    </w:p>
    <w:p>
      <w:pPr>
        <w:jc w:val="both"/>
        <w:rPr>
          <w:i/>
          <w:iCs/>
        </w:rPr>
      </w:pPr>
      <w:r>
        <w:rPr>
          <w:i/>
          <w:iCs/>
        </w:rPr>
        <w:t>For the slot group size (X) it should be concluded that:</w:t>
      </w:r>
    </w:p>
    <w:p>
      <w:pPr>
        <w:pStyle w:val="82"/>
        <w:numPr>
          <w:ilvl w:val="0"/>
          <w:numId w:val="27"/>
        </w:numPr>
        <w:snapToGrid/>
        <w:spacing w:line="240" w:lineRule="auto"/>
        <w:ind w:left="360"/>
        <w:rPr>
          <w:i/>
          <w:iCs/>
        </w:rPr>
      </w:pPr>
      <w:r>
        <w:rPr>
          <w:i/>
          <w:iCs/>
        </w:rPr>
        <w:t>The configurable values for multi-slot PDCCH monitoring operation should be same as the reported X value(s). The  UE is not expected to handle a scenario in which they are different, and a UE can report its monitoring capability for more than one (X,Y) combination.</w:t>
      </w:r>
    </w:p>
    <w:p>
      <w:pPr>
        <w:pStyle w:val="82"/>
        <w:numPr>
          <w:ilvl w:val="0"/>
          <w:numId w:val="27"/>
        </w:numPr>
        <w:snapToGrid/>
        <w:spacing w:line="240" w:lineRule="auto"/>
        <w:ind w:left="360"/>
        <w:rPr>
          <w:i/>
          <w:iCs/>
        </w:rPr>
      </w:pPr>
      <w:r>
        <w:rPr>
          <w:i/>
          <w:iCs/>
        </w:rPr>
        <w:t xml:space="preserve">For each SCS 480 kHz and 960 kHz, the minimum configurable multi-slot PDCCH monitoring periodicity is the smallest value X that a UE supports when reporting its PDCCH monitoring capabilities for the corresponding SCS and are UE specific. </w:t>
      </w:r>
    </w:p>
    <w:p>
      <w:pPr>
        <w:pStyle w:val="82"/>
        <w:numPr>
          <w:ilvl w:val="0"/>
          <w:numId w:val="27"/>
        </w:numPr>
        <w:snapToGrid/>
        <w:spacing w:line="240" w:lineRule="auto"/>
        <w:ind w:left="360"/>
        <w:rPr>
          <w:i/>
          <w:iCs/>
        </w:rPr>
      </w:pPr>
      <w:r>
        <w:rPr>
          <w:i/>
          <w:iCs/>
        </w:rPr>
        <w:t>Both statements may be either explicitly stated in the specification or as a conclusion in the Chairman’s notes.</w:t>
      </w:r>
    </w:p>
    <w:p>
      <w:pPr>
        <w:spacing w:after="0"/>
        <w:rPr>
          <w:bCs/>
          <w:sz w:val="20"/>
          <w:szCs w:val="20"/>
        </w:rPr>
      </w:pPr>
    </w:p>
    <w:p>
      <w:pPr>
        <w:spacing w:after="0"/>
        <w:rPr>
          <w:bCs/>
          <w:sz w:val="20"/>
          <w:szCs w:val="20"/>
        </w:rPr>
      </w:pPr>
      <w:r>
        <w:rPr>
          <w:bCs/>
          <w:sz w:val="20"/>
          <w:szCs w:val="20"/>
        </w:rPr>
        <w:t>FL thinks that these points are or will be taken into account in the discussion e.g. for search space configuration parameters, and therefore a separate discussion/agreement on the proposal appears unnecessary.</w:t>
      </w:r>
    </w:p>
    <w:p>
      <w:pPr>
        <w:rPr>
          <w:lang w:eastAsia="zh-CN"/>
        </w:rPr>
      </w:pPr>
    </w:p>
    <w:p>
      <w:pPr>
        <w:pStyle w:val="3"/>
      </w:pPr>
      <w:r>
        <w:t>Topic A2: Search Space Configuration/Enhancement</w:t>
      </w:r>
    </w:p>
    <w:p>
      <w:pPr>
        <w:pStyle w:val="4"/>
      </w:pPr>
      <w:r>
        <w:t xml:space="preserve">Issue A2-1: </w:t>
      </w:r>
      <w:r>
        <w:rPr>
          <w:highlight w:val="cyan"/>
          <w:lang w:val="en-US" w:eastAsia="ko-KR"/>
        </w:rPr>
        <w:t>[High Priority]</w:t>
      </w:r>
      <w:r>
        <w:rPr>
          <w:lang w:val="en-US" w:eastAsia="ko-KR"/>
        </w:rPr>
        <w:t xml:space="preserve"> </w:t>
      </w:r>
      <w:r>
        <w:t>Open issues and revisions for agreement in RAN1#107bis-e</w:t>
      </w:r>
    </w:p>
    <w:p>
      <w:pPr>
        <w:pStyle w:val="5"/>
      </w:pPr>
      <w:r>
        <w:t>First round discussion</w:t>
      </w:r>
    </w:p>
    <w:tbl>
      <w:tblPr>
        <w:tblStyle w:val="55"/>
        <w:tblW w:w="139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9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44" w:type="dxa"/>
            <w:vAlign w:val="center"/>
          </w:tcPr>
          <w:p>
            <w:pPr>
              <w:widowControl w:val="0"/>
              <w:rPr>
                <w:b/>
              </w:rPr>
            </w:pPr>
            <w:r>
              <w:rPr>
                <w:b/>
              </w:rPr>
              <w:t>Agreement (RAN1#107bis-e)</w:t>
            </w:r>
          </w:p>
          <w:p>
            <w:pPr>
              <w:widowControl w:val="0"/>
            </w:pPr>
            <w:r>
              <w:t>For search space set configuration of multi-slot PDCCH monitoring:</w:t>
            </w:r>
          </w:p>
          <w:p>
            <w:pPr>
              <w:widowControl w:val="0"/>
              <w:numPr>
                <w:ilvl w:val="0"/>
                <w:numId w:val="28"/>
              </w:numPr>
            </w:pPr>
            <w:r>
              <w:rPr>
                <w:rFonts w:hint="eastAsia"/>
                <w:i/>
                <w:iCs/>
                <w:lang w:eastAsia="zh-CN"/>
              </w:rPr>
              <w:t>monitoringSlotPeriodicityAndOffset</w:t>
            </w:r>
            <w:r>
              <w:rPr>
                <w:lang w:eastAsia="zh-CN"/>
              </w:rPr>
              <w:t xml:space="preserve"> and</w:t>
            </w:r>
            <w:r>
              <w:rPr>
                <w:rFonts w:hint="eastAsia"/>
                <w:i/>
                <w:iCs/>
                <w:szCs w:val="20"/>
                <w:lang w:eastAsia="zh-CN"/>
              </w:rPr>
              <w:t xml:space="preserve"> </w:t>
            </w:r>
            <w:r>
              <w:rPr>
                <w:rFonts w:hint="eastAsia"/>
                <w:i/>
                <w:iCs/>
                <w:lang w:eastAsia="zh-CN"/>
              </w:rPr>
              <w:t>duration</w:t>
            </w:r>
            <w:r>
              <w:rPr>
                <w:rFonts w:hint="eastAsia"/>
                <w:i/>
                <w:iCs/>
                <w:szCs w:val="20"/>
                <w:lang w:eastAsia="zh-CN"/>
              </w:rPr>
              <w:t xml:space="preserve"> </w:t>
            </w:r>
            <w:r>
              <w:t>are appended with "-r17", and</w:t>
            </w:r>
          </w:p>
          <w:p>
            <w:pPr>
              <w:widowControl w:val="0"/>
              <w:numPr>
                <w:ilvl w:val="1"/>
                <w:numId w:val="28"/>
              </w:numPr>
            </w:pPr>
            <w:r>
              <w:rPr>
                <w:i/>
                <w:iCs/>
                <w:lang w:eastAsia="zh-CN"/>
              </w:rPr>
              <w:t xml:space="preserve">For </w:t>
            </w:r>
            <w:r>
              <w:rPr>
                <w:i/>
                <w:iCs/>
              </w:rPr>
              <w:t>monitoringPeriodicityAndOffset-r17</w:t>
            </w:r>
          </w:p>
          <w:p>
            <w:pPr>
              <w:widowControl w:val="0"/>
              <w:numPr>
                <w:ilvl w:val="2"/>
                <w:numId w:val="28"/>
              </w:numPr>
            </w:pPr>
            <w:r>
              <w:t>The values represent slots</w:t>
            </w:r>
          </w:p>
          <w:p>
            <w:pPr>
              <w:widowControl w:val="0"/>
              <w:numPr>
                <w:ilvl w:val="2"/>
                <w:numId w:val="28"/>
              </w:numPr>
            </w:pPr>
            <w:r>
              <w:t xml:space="preserve">Add periodicity values {32,64,128,5120,10240,20480} to the existing values in </w:t>
            </w:r>
            <w:r>
              <w:rPr>
                <w:rFonts w:hint="eastAsia"/>
                <w:i/>
                <w:iCs/>
                <w:lang w:eastAsia="zh-CN"/>
              </w:rPr>
              <w:t>monitoringSlotPeriodicityAndOffset</w:t>
            </w:r>
          </w:p>
          <w:p>
            <w:pPr>
              <w:widowControl w:val="0"/>
              <w:numPr>
                <w:ilvl w:val="3"/>
                <w:numId w:val="28"/>
              </w:numPr>
            </w:pPr>
            <w:r>
              <w:t>Note: Total list of supported periodicity values: {1,2,4,5,8,10,16,20,32,40,64,80,128,160,320,640,1280,2560,5120,10240,20480}</w:t>
            </w:r>
          </w:p>
          <w:p>
            <w:pPr>
              <w:widowControl w:val="0"/>
              <w:numPr>
                <w:ilvl w:val="2"/>
                <w:numId w:val="28"/>
              </w:numPr>
            </w:pPr>
            <w:r>
              <w:t>For each periodicity value Xp</w:t>
            </w:r>
          </w:p>
          <w:p>
            <w:pPr>
              <w:widowControl w:val="0"/>
              <w:numPr>
                <w:ilvl w:val="3"/>
                <w:numId w:val="28"/>
              </w:numPr>
            </w:pPr>
            <w:r>
              <w:t>The value range for the offset O is {0 .. Xp-1} slots</w:t>
            </w:r>
          </w:p>
          <w:p>
            <w:pPr>
              <w:widowControl w:val="0"/>
              <w:numPr>
                <w:ilvl w:val="3"/>
                <w:numId w:val="28"/>
              </w:numPr>
            </w:pPr>
            <w:r>
              <w:t>Note: There may be no need to introduce the term "X</w:t>
            </w:r>
            <w:r>
              <w:rPr>
                <w:vertAlign w:val="subscript"/>
              </w:rPr>
              <w:t>p</w:t>
            </w:r>
            <w:r>
              <w:t>" in the specifications</w:t>
            </w:r>
          </w:p>
          <w:p>
            <w:pPr>
              <w:widowControl w:val="0"/>
              <w:numPr>
                <w:ilvl w:val="2"/>
                <w:numId w:val="28"/>
              </w:numPr>
            </w:pPr>
            <w:r>
              <w:t>The configured periodicity at least for Group (1) SSs is restricted to be an integer multiple of Xs slots</w:t>
            </w:r>
          </w:p>
          <w:p>
            <w:pPr>
              <w:widowControl w:val="0"/>
              <w:numPr>
                <w:ilvl w:val="2"/>
                <w:numId w:val="28"/>
              </w:numPr>
            </w:pPr>
            <w:r>
              <w:t>FFS: details of offset</w:t>
            </w:r>
          </w:p>
          <w:p>
            <w:pPr>
              <w:widowControl w:val="0"/>
              <w:numPr>
                <w:ilvl w:val="1"/>
                <w:numId w:val="28"/>
              </w:numPr>
              <w:rPr>
                <w:color w:val="000000"/>
              </w:rPr>
            </w:pPr>
            <w:r>
              <w:rPr>
                <w:color w:val="000000"/>
              </w:rPr>
              <w:t xml:space="preserve">For </w:t>
            </w:r>
            <w:r>
              <w:rPr>
                <w:i/>
                <w:iCs/>
                <w:color w:val="000000"/>
              </w:rPr>
              <w:t>duration-r17</w:t>
            </w:r>
          </w:p>
          <w:p>
            <w:pPr>
              <w:widowControl w:val="0"/>
              <w:numPr>
                <w:ilvl w:val="2"/>
                <w:numId w:val="28"/>
              </w:numPr>
              <w:rPr>
                <w:color w:val="000000"/>
              </w:rPr>
            </w:pPr>
            <w:r>
              <w:rPr>
                <w:color w:val="000000"/>
              </w:rPr>
              <w:t>The values represent slots</w:t>
            </w:r>
          </w:p>
          <w:p>
            <w:pPr>
              <w:widowControl w:val="0"/>
              <w:numPr>
                <w:ilvl w:val="2"/>
                <w:numId w:val="28"/>
              </w:numPr>
              <w:rPr>
                <w:color w:val="000000"/>
              </w:rPr>
            </w:pPr>
            <w:r>
              <w:rPr>
                <w:color w:val="000000"/>
              </w:rPr>
              <w:t>The value range is { 8, 12, …, 20476}</w:t>
            </w:r>
          </w:p>
          <w:p>
            <w:pPr>
              <w:widowControl w:val="0"/>
              <w:numPr>
                <w:ilvl w:val="2"/>
                <w:numId w:val="28"/>
              </w:numPr>
              <w:rPr>
                <w:color w:val="000000"/>
              </w:rPr>
            </w:pPr>
            <w:r>
              <w:rPr>
                <w:color w:val="000000"/>
              </w:rPr>
              <w:t>The configured duration is restricted to be an integer multiple of Xs slots</w:t>
            </w:r>
            <w:r>
              <w:t xml:space="preserve"> at least for Group (1) SSs</w:t>
            </w:r>
          </w:p>
          <w:p>
            <w:pPr>
              <w:widowControl w:val="0"/>
              <w:numPr>
                <w:ilvl w:val="2"/>
                <w:numId w:val="28"/>
              </w:numPr>
              <w:rPr>
                <w:color w:val="000000"/>
              </w:rPr>
            </w:pPr>
            <w:r>
              <w:t xml:space="preserve">FFS: need to revise the definition of </w:t>
            </w:r>
            <w:r>
              <w:rPr>
                <w:i/>
              </w:rPr>
              <w:t>duration</w:t>
            </w:r>
          </w:p>
          <w:p>
            <w:pPr>
              <w:widowControl w:val="0"/>
              <w:numPr>
                <w:ilvl w:val="0"/>
                <w:numId w:val="28"/>
              </w:numPr>
            </w:pPr>
            <w:r>
              <w:rPr>
                <w:i/>
                <w:iCs/>
              </w:rPr>
              <w:t xml:space="preserve">monitoringSymbolsWithinSlot </w:t>
            </w:r>
            <w:r>
              <w:t>applies to each slot in a slot group configured for multi-slot PDCCH monitoring</w:t>
            </w:r>
          </w:p>
          <w:p>
            <w:pPr>
              <w:widowControl w:val="0"/>
              <w:numPr>
                <w:ilvl w:val="1"/>
                <w:numId w:val="28"/>
              </w:numPr>
            </w:pPr>
            <w:r>
              <w:t>Note: This parameter can be directly re-used from earlier releases.</w:t>
            </w:r>
          </w:p>
          <w:p>
            <w:pPr>
              <w:widowControl w:val="0"/>
              <w:numPr>
                <w:ilvl w:val="0"/>
                <w:numId w:val="28"/>
              </w:numPr>
              <w:rPr>
                <w:color w:val="000000"/>
              </w:rPr>
            </w:pPr>
            <w:r>
              <w:rPr>
                <w:color w:val="000000"/>
              </w:rPr>
              <w:t xml:space="preserve">Introduce new parameter </w:t>
            </w:r>
            <w:r>
              <w:rPr>
                <w:i/>
                <w:iCs/>
                <w:color w:val="000000"/>
              </w:rPr>
              <w:t>monitoringSlotsWithinSlotGroup-r17</w:t>
            </w:r>
          </w:p>
          <w:p>
            <w:pPr>
              <w:widowControl w:val="0"/>
              <w:numPr>
                <w:ilvl w:val="1"/>
                <w:numId w:val="28"/>
              </w:numPr>
              <w:rPr>
                <w:color w:val="000000"/>
              </w:rPr>
            </w:pPr>
            <w:r>
              <w:rPr>
                <w:color w:val="000000"/>
                <w:highlight w:val="darkYellow"/>
              </w:rPr>
              <w:t>Working assumption</w:t>
            </w:r>
            <w:r>
              <w:rPr>
                <w:color w:val="000000"/>
              </w:rPr>
              <w:t>:</w:t>
            </w:r>
          </w:p>
          <w:p>
            <w:pPr>
              <w:widowControl w:val="0"/>
              <w:numPr>
                <w:ilvl w:val="2"/>
                <w:numId w:val="28"/>
              </w:numPr>
              <w:rPr>
                <w:color w:val="000000"/>
              </w:rPr>
            </w:pPr>
            <w:r>
              <w:rPr>
                <w:color w:val="000000"/>
              </w:rPr>
              <w:t>The size is 8 bits</w:t>
            </w:r>
          </w:p>
          <w:p>
            <w:pPr>
              <w:widowControl w:val="0"/>
              <w:numPr>
                <w:ilvl w:val="2"/>
                <w:numId w:val="28"/>
              </w:numPr>
              <w:rPr>
                <w:color w:val="000000"/>
              </w:rPr>
            </w:pPr>
            <w:r>
              <w:rPr>
                <w:color w:val="000000"/>
              </w:rPr>
              <w:t xml:space="preserve">Each bit in </w:t>
            </w:r>
            <w:r>
              <w:rPr>
                <w:i/>
                <w:iCs/>
                <w:color w:val="000000"/>
              </w:rPr>
              <w:t>monitoringSlotsWithinSlotGroup-r17</w:t>
            </w:r>
            <w:r>
              <w:rPr>
                <w:color w:val="000000"/>
              </w:rPr>
              <w:t xml:space="preserve"> represents a slot in a slot group</w:t>
            </w:r>
          </w:p>
          <w:p>
            <w:pPr>
              <w:widowControl w:val="0"/>
              <w:numPr>
                <w:ilvl w:val="2"/>
                <w:numId w:val="28"/>
              </w:numPr>
              <w:rPr>
                <w:color w:val="000000"/>
              </w:rPr>
            </w:pPr>
            <w:r>
              <w:rPr>
                <w:color w:val="000000"/>
              </w:rPr>
              <w:t>A slot in the slot group is configured for multi-slot PDCCH monitoring if the corresponding bit in the slot group is set to '1'</w:t>
            </w:r>
          </w:p>
          <w:p>
            <w:pPr>
              <w:widowControl w:val="0"/>
              <w:numPr>
                <w:ilvl w:val="3"/>
                <w:numId w:val="28"/>
              </w:numPr>
              <w:rPr>
                <w:color w:val="000000"/>
              </w:rPr>
            </w:pPr>
            <w:r>
              <w:rPr>
                <w:color w:val="000000"/>
              </w:rPr>
              <w:t xml:space="preserve">Note: Further configuration of the monitoring symbols in such a slot is done by </w:t>
            </w:r>
            <w:r>
              <w:rPr>
                <w:i/>
                <w:iCs/>
                <w:color w:val="000000"/>
              </w:rPr>
              <w:t>monitoringSymbolsWithinSlot</w:t>
            </w:r>
          </w:p>
          <w:p>
            <w:pPr>
              <w:widowControl w:val="0"/>
              <w:numPr>
                <w:ilvl w:val="2"/>
                <w:numId w:val="28"/>
              </w:numPr>
              <w:rPr>
                <w:color w:val="000000"/>
              </w:rPr>
            </w:pPr>
            <w:r>
              <w:rPr>
                <w:color w:val="000000"/>
              </w:rPr>
              <w:t>The</w:t>
            </w:r>
            <w:r>
              <w:rPr>
                <w:rFonts w:hint="eastAsia"/>
                <w:color w:val="000000"/>
              </w:rPr>
              <w:t xml:space="preserve"> </w:t>
            </w:r>
            <w:r>
              <w:rPr>
                <w:color w:val="000000"/>
              </w:rPr>
              <w:t>slots indicated in the bitmap should be consecutive</w:t>
            </w:r>
            <w:r>
              <w:t xml:space="preserve"> at least for Group (1) SSs</w:t>
            </w:r>
          </w:p>
          <w:p>
            <w:pPr>
              <w:widowControl w:val="0"/>
              <w:rPr>
                <w:lang w:eastAsia="zh-CN"/>
              </w:rPr>
            </w:pPr>
          </w:p>
        </w:tc>
      </w:tr>
    </w:tbl>
    <w:p>
      <w:pPr>
        <w:rPr>
          <w:lang w:val="en-GB"/>
        </w:rPr>
      </w:pPr>
    </w:p>
    <w:p>
      <w:r>
        <w:rPr>
          <w:lang w:val="en-GB"/>
        </w:rPr>
        <w:t xml:space="preserve">FL Summary: </w:t>
      </w:r>
      <w:r>
        <w:t>Many companies have submitted their views especially on the FFS items and the working assumption. After review of the contributions, FL suggests the following update to the RAN1#107bis-e agreement. Note that aspects related to Group (2) monitoring are covered in Issue A2-2. The following picture (based on R1-2201471) is given for visualization of the parameters and their applicability.</w:t>
      </w:r>
    </w:p>
    <w:p>
      <w:r>
        <w:drawing>
          <wp:inline distT="0" distB="0" distL="0" distR="0">
            <wp:extent cx="8860790" cy="13989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4"/>
                    <a:stretch>
                      <a:fillRect/>
                    </a:stretch>
                  </pic:blipFill>
                  <pic:spPr>
                    <a:xfrm>
                      <a:off x="0" y="0"/>
                      <a:ext cx="8860790" cy="1398905"/>
                    </a:xfrm>
                    <a:prstGeom prst="rect">
                      <a:avLst/>
                    </a:prstGeom>
                  </pic:spPr>
                </pic:pic>
              </a:graphicData>
            </a:graphic>
          </wp:inline>
        </w:drawing>
      </w:r>
    </w:p>
    <w:p>
      <w:bookmarkStart w:id="1" w:name="_Hlk96348638"/>
      <w:r>
        <w:rPr>
          <w:b/>
          <w:sz w:val="20"/>
          <w:szCs w:val="20"/>
          <w:u w:val="single"/>
        </w:rPr>
        <w:t>Proposal A2-1.1:</w:t>
      </w:r>
      <w:r>
        <w:rPr>
          <w:b/>
          <w:sz w:val="20"/>
          <w:szCs w:val="20"/>
        </w:rPr>
        <w:t xml:space="preserve"> Revise the RAN1#107bis-e agreement as follows:</w:t>
      </w:r>
    </w:p>
    <w:tbl>
      <w:tblPr>
        <w:tblStyle w:val="55"/>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vAlign w:val="center"/>
          </w:tcPr>
          <w:p>
            <w:pPr>
              <w:widowControl w:val="0"/>
              <w:spacing w:after="0"/>
              <w:rPr>
                <w:rFonts w:ascii="Times" w:hAnsi="Times" w:eastAsia="Batang"/>
                <w:sz w:val="20"/>
                <w:szCs w:val="24"/>
              </w:rPr>
            </w:pPr>
            <w:r>
              <w:rPr>
                <w:rFonts w:ascii="Times" w:hAnsi="Times" w:eastAsia="Batang"/>
                <w:sz w:val="20"/>
                <w:szCs w:val="24"/>
              </w:rPr>
              <w:t>For search space set configuration of multi-slot PDCCH monitoring:</w:t>
            </w:r>
          </w:p>
          <w:p>
            <w:pPr>
              <w:widowControl w:val="0"/>
              <w:numPr>
                <w:ilvl w:val="0"/>
                <w:numId w:val="28"/>
              </w:numPr>
              <w:overflowPunct w:val="0"/>
              <w:textAlignment w:val="baseline"/>
              <w:rPr>
                <w:rFonts w:ascii="Times" w:hAnsi="Times" w:eastAsia="Batang"/>
                <w:sz w:val="20"/>
                <w:szCs w:val="24"/>
              </w:rPr>
            </w:pPr>
            <w:r>
              <w:rPr>
                <w:rFonts w:hint="eastAsia" w:ascii="Times" w:hAnsi="Times" w:eastAsia="Batang"/>
                <w:i/>
                <w:iCs/>
                <w:sz w:val="20"/>
                <w:szCs w:val="24"/>
                <w:lang w:eastAsia="zh-CN"/>
              </w:rPr>
              <w:t>monitoringSlotPeriodicityAndOffset</w:t>
            </w:r>
            <w:r>
              <w:rPr>
                <w:rFonts w:ascii="Times" w:hAnsi="Times" w:eastAsia="Batang"/>
                <w:sz w:val="20"/>
                <w:szCs w:val="24"/>
                <w:lang w:eastAsia="zh-CN"/>
              </w:rPr>
              <w:t xml:space="preserve"> and</w:t>
            </w:r>
            <w:r>
              <w:rPr>
                <w:rFonts w:hint="eastAsia" w:ascii="Times" w:hAnsi="Times" w:eastAsia="Batang"/>
                <w:i/>
                <w:iCs/>
                <w:sz w:val="20"/>
                <w:lang w:eastAsia="zh-CN"/>
              </w:rPr>
              <w:t xml:space="preserve"> </w:t>
            </w:r>
            <w:r>
              <w:rPr>
                <w:rFonts w:hint="eastAsia" w:ascii="Times" w:hAnsi="Times" w:eastAsia="Batang"/>
                <w:i/>
                <w:iCs/>
                <w:sz w:val="20"/>
                <w:szCs w:val="24"/>
                <w:lang w:eastAsia="zh-CN"/>
              </w:rPr>
              <w:t>duration</w:t>
            </w:r>
            <w:r>
              <w:rPr>
                <w:rFonts w:hint="eastAsia" w:ascii="Times" w:hAnsi="Times" w:eastAsia="Batang"/>
                <w:i/>
                <w:iCs/>
                <w:sz w:val="20"/>
                <w:lang w:eastAsia="zh-CN"/>
              </w:rPr>
              <w:t xml:space="preserve"> </w:t>
            </w:r>
            <w:r>
              <w:rPr>
                <w:rFonts w:ascii="Times" w:hAnsi="Times" w:eastAsia="Batang"/>
                <w:sz w:val="20"/>
                <w:szCs w:val="24"/>
              </w:rPr>
              <w:t>are appended with "-r17", and</w:t>
            </w:r>
          </w:p>
          <w:p>
            <w:pPr>
              <w:widowControl w:val="0"/>
              <w:numPr>
                <w:ilvl w:val="1"/>
                <w:numId w:val="28"/>
              </w:numPr>
              <w:overflowPunct w:val="0"/>
              <w:textAlignment w:val="baseline"/>
              <w:rPr>
                <w:rFonts w:ascii="Times" w:hAnsi="Times" w:eastAsia="Batang"/>
                <w:sz w:val="20"/>
                <w:szCs w:val="24"/>
              </w:rPr>
            </w:pPr>
            <w:r>
              <w:rPr>
                <w:rFonts w:ascii="Times" w:hAnsi="Times" w:eastAsia="Batang"/>
                <w:i/>
                <w:iCs/>
                <w:sz w:val="20"/>
                <w:szCs w:val="24"/>
                <w:lang w:eastAsia="zh-CN"/>
              </w:rPr>
              <w:t xml:space="preserve">For </w:t>
            </w:r>
            <w:r>
              <w:rPr>
                <w:rFonts w:ascii="Times" w:hAnsi="Times" w:eastAsia="Batang"/>
                <w:i/>
                <w:iCs/>
                <w:sz w:val="20"/>
                <w:szCs w:val="24"/>
              </w:rPr>
              <w:t>monitoringPeriodicityAndOffset-r17</w:t>
            </w:r>
          </w:p>
          <w:p>
            <w:pPr>
              <w:widowControl w:val="0"/>
              <w:numPr>
                <w:ilvl w:val="2"/>
                <w:numId w:val="28"/>
              </w:numPr>
              <w:overflowPunct w:val="0"/>
              <w:textAlignment w:val="baseline"/>
              <w:rPr>
                <w:rFonts w:ascii="Times" w:hAnsi="Times" w:eastAsia="Batang"/>
                <w:sz w:val="20"/>
                <w:szCs w:val="24"/>
              </w:rPr>
            </w:pPr>
            <w:r>
              <w:rPr>
                <w:rFonts w:ascii="Times" w:hAnsi="Times" w:eastAsia="Batang"/>
                <w:sz w:val="20"/>
                <w:szCs w:val="24"/>
              </w:rPr>
              <w:t>The values represent slots</w:t>
            </w:r>
          </w:p>
          <w:p>
            <w:pPr>
              <w:widowControl w:val="0"/>
              <w:numPr>
                <w:ilvl w:val="2"/>
                <w:numId w:val="28"/>
              </w:numPr>
              <w:overflowPunct w:val="0"/>
              <w:textAlignment w:val="baseline"/>
              <w:rPr>
                <w:rFonts w:ascii="Times" w:hAnsi="Times" w:eastAsia="Batang"/>
                <w:sz w:val="20"/>
                <w:szCs w:val="24"/>
              </w:rPr>
            </w:pPr>
            <w:r>
              <w:rPr>
                <w:rFonts w:ascii="Times" w:hAnsi="Times" w:eastAsia="Batang"/>
                <w:sz w:val="20"/>
                <w:szCs w:val="24"/>
              </w:rPr>
              <w:t xml:space="preserve">Add periodicity values {32,64,128,5120,10240,20480} to the existing values in </w:t>
            </w:r>
            <w:r>
              <w:rPr>
                <w:rFonts w:hint="eastAsia" w:ascii="Times" w:hAnsi="Times" w:eastAsia="Batang"/>
                <w:i/>
                <w:iCs/>
                <w:sz w:val="20"/>
                <w:szCs w:val="24"/>
                <w:lang w:eastAsia="zh-CN"/>
              </w:rPr>
              <w:t>monitoringSlotPeriodicityAndOffset</w:t>
            </w:r>
          </w:p>
          <w:p>
            <w:pPr>
              <w:widowControl w:val="0"/>
              <w:numPr>
                <w:ilvl w:val="3"/>
                <w:numId w:val="28"/>
              </w:numPr>
              <w:overflowPunct w:val="0"/>
              <w:textAlignment w:val="baseline"/>
              <w:rPr>
                <w:rFonts w:ascii="Times" w:hAnsi="Times" w:eastAsia="Batang"/>
                <w:sz w:val="20"/>
                <w:szCs w:val="24"/>
              </w:rPr>
            </w:pPr>
            <w:r>
              <w:rPr>
                <w:rFonts w:ascii="Times" w:hAnsi="Times" w:eastAsia="Batang"/>
                <w:sz w:val="20"/>
                <w:szCs w:val="24"/>
              </w:rPr>
              <w:t>Note: Total list of supported periodicity values: {</w:t>
            </w:r>
            <w:r>
              <w:rPr>
                <w:rFonts w:ascii="Times" w:hAnsi="Times" w:eastAsia="Batang"/>
                <w:strike/>
                <w:color w:val="FF0000"/>
                <w:sz w:val="20"/>
                <w:szCs w:val="24"/>
              </w:rPr>
              <w:t>1,2,</w:t>
            </w:r>
            <w:r>
              <w:rPr>
                <w:rFonts w:ascii="Times" w:hAnsi="Times" w:eastAsia="Batang"/>
                <w:sz w:val="20"/>
                <w:szCs w:val="24"/>
              </w:rPr>
              <w:t>4,</w:t>
            </w:r>
            <w:r>
              <w:rPr>
                <w:rFonts w:ascii="Times" w:hAnsi="Times" w:eastAsia="Batang"/>
                <w:strike/>
                <w:color w:val="FF0000"/>
                <w:sz w:val="20"/>
                <w:szCs w:val="24"/>
              </w:rPr>
              <w:t>5,</w:t>
            </w:r>
            <w:r>
              <w:rPr>
                <w:rFonts w:ascii="Times" w:hAnsi="Times" w:eastAsia="Batang"/>
                <w:sz w:val="20"/>
                <w:szCs w:val="24"/>
              </w:rPr>
              <w:t>8,</w:t>
            </w:r>
            <w:r>
              <w:rPr>
                <w:rFonts w:ascii="Times" w:hAnsi="Times" w:eastAsia="Batang"/>
                <w:strike/>
                <w:color w:val="FF0000"/>
                <w:sz w:val="20"/>
                <w:szCs w:val="24"/>
              </w:rPr>
              <w:t>10,</w:t>
            </w:r>
            <w:r>
              <w:rPr>
                <w:rFonts w:ascii="Times" w:hAnsi="Times" w:eastAsia="Batang"/>
                <w:sz w:val="20"/>
                <w:szCs w:val="24"/>
              </w:rPr>
              <w:t>16,20,32,40,64,80,128,160,320,640,1280,2560,5120,10240,20480}</w:t>
            </w:r>
          </w:p>
          <w:p>
            <w:pPr>
              <w:widowControl w:val="0"/>
              <w:numPr>
                <w:ilvl w:val="2"/>
                <w:numId w:val="28"/>
              </w:numPr>
              <w:overflowPunct w:val="0"/>
              <w:textAlignment w:val="baseline"/>
              <w:rPr>
                <w:rFonts w:ascii="Times" w:hAnsi="Times" w:eastAsia="Batang"/>
                <w:sz w:val="20"/>
                <w:szCs w:val="24"/>
              </w:rPr>
            </w:pPr>
            <w:r>
              <w:rPr>
                <w:rFonts w:ascii="Times" w:hAnsi="Times" w:eastAsia="Batang"/>
                <w:sz w:val="20"/>
                <w:szCs w:val="24"/>
              </w:rPr>
              <w:t>For each periodicity value Xp</w:t>
            </w:r>
          </w:p>
          <w:p>
            <w:pPr>
              <w:widowControl w:val="0"/>
              <w:numPr>
                <w:ilvl w:val="3"/>
                <w:numId w:val="28"/>
              </w:numPr>
              <w:overflowPunct w:val="0"/>
              <w:textAlignment w:val="baseline"/>
              <w:rPr>
                <w:rFonts w:ascii="Times" w:hAnsi="Times" w:eastAsia="Batang"/>
                <w:sz w:val="20"/>
                <w:szCs w:val="24"/>
                <w:lang w:val="nl-NL"/>
              </w:rPr>
            </w:pPr>
            <w:r>
              <w:rPr>
                <w:rFonts w:ascii="Times" w:hAnsi="Times" w:eastAsia="Batang"/>
                <w:sz w:val="20"/>
                <w:szCs w:val="24"/>
              </w:rPr>
              <w:t xml:space="preserve">The value range for the offset O is </w:t>
            </w:r>
            <w:r>
              <w:rPr>
                <w:rFonts w:ascii="Times" w:hAnsi="Times" w:eastAsia="Batang"/>
                <w:strike/>
                <w:color w:val="FF0000"/>
                <w:sz w:val="20"/>
                <w:szCs w:val="24"/>
              </w:rPr>
              <w:t xml:space="preserve">{0 .. </w:t>
            </w:r>
            <w:r>
              <w:rPr>
                <w:rFonts w:ascii="Times" w:hAnsi="Times" w:eastAsia="Batang"/>
                <w:strike/>
                <w:color w:val="FF0000"/>
                <w:sz w:val="20"/>
                <w:szCs w:val="24"/>
                <w:lang w:val="nl-NL"/>
              </w:rPr>
              <w:t>Xp-1}</w:t>
            </w:r>
            <w:r>
              <w:rPr>
                <w:rFonts w:ascii="Times" w:hAnsi="Times" w:eastAsia="Batang"/>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ctrlPr>
                            <w:rPr>
                              <w:rFonts w:ascii="Cambria Math" w:hAnsi="Cambria Math"/>
                              <w:b/>
                              <w:bCs/>
                              <w:i/>
                              <w:color w:val="FF0000"/>
                            </w:rPr>
                          </m:ctrlPr>
                        </m:e>
                        <m:sub>
                          <m:r>
                            <m:rPr>
                              <m:sty m:val="bi"/>
                            </m:rPr>
                            <w:rPr>
                              <w:rFonts w:ascii="Cambria Math" w:hAnsi="Cambria Math"/>
                              <w:color w:val="FF0000"/>
                            </w:rPr>
                            <m:t>p</m:t>
                          </m:r>
                          <m:ctrlPr>
                            <w:rPr>
                              <w:rFonts w:ascii="Cambria Math" w:hAnsi="Cambria Math"/>
                              <w:b/>
                              <w:bCs/>
                              <w:i/>
                              <w:color w:val="FF0000"/>
                            </w:rPr>
                          </m:ctrlP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ctrlPr>
                        <w:rPr>
                          <w:rFonts w:ascii="Cambria Math" w:hAnsi="Cambria Math"/>
                          <w:b/>
                          <w:bCs/>
                          <w:i/>
                          <w:color w:val="FF0000"/>
                        </w:rPr>
                      </m:ctrlPr>
                    </m:num>
                    <m:den>
                      <m:r>
                        <m:rPr>
                          <m:sty m:val="bi"/>
                        </m:rPr>
                        <w:rPr>
                          <w:rFonts w:ascii="Cambria Math" w:hAnsi="Cambria Math"/>
                          <w:color w:val="FF0000"/>
                        </w:rPr>
                        <m:t>4</m:t>
                      </m:r>
                      <m:ctrlPr>
                        <w:rPr>
                          <w:rFonts w:ascii="Cambria Math" w:hAnsi="Cambria Math"/>
                          <w:b/>
                          <w:bCs/>
                          <w:i/>
                          <w:color w:val="FF0000"/>
                        </w:rPr>
                      </m:ctrlPr>
                    </m:den>
                  </m:f>
                  <m:ctrlPr>
                    <w:rPr>
                      <w:rFonts w:ascii="Cambria Math" w:hAnsi="Cambria Math"/>
                      <w:b/>
                      <w:bCs/>
                      <w:i/>
                      <w:color w:val="FF0000"/>
                    </w:rPr>
                  </m:ctrlPr>
                </m:e>
              </m:d>
            </m:oMath>
            <w:r>
              <w:rPr>
                <w:rFonts w:ascii="Times" w:hAnsi="Times" w:eastAsia="Batang"/>
                <w:color w:val="FF0000"/>
                <w:sz w:val="20"/>
                <w:szCs w:val="24"/>
                <w:lang w:val="nl-NL"/>
              </w:rPr>
              <w:t xml:space="preserve">} </w:t>
            </w:r>
            <w:r>
              <w:rPr>
                <w:rFonts w:ascii="Times" w:hAnsi="Times" w:eastAsia="Batang"/>
                <w:sz w:val="20"/>
                <w:szCs w:val="24"/>
                <w:lang w:val="nl-NL"/>
              </w:rPr>
              <w:t>slots</w:t>
            </w:r>
          </w:p>
          <w:p>
            <w:pPr>
              <w:widowControl w:val="0"/>
              <w:numPr>
                <w:ilvl w:val="3"/>
                <w:numId w:val="28"/>
              </w:numPr>
              <w:overflowPunct w:val="0"/>
              <w:textAlignment w:val="baseline"/>
              <w:rPr>
                <w:rFonts w:ascii="Times" w:hAnsi="Times" w:eastAsia="Batang"/>
                <w:sz w:val="20"/>
                <w:szCs w:val="24"/>
              </w:rPr>
            </w:pPr>
            <w:r>
              <w:rPr>
                <w:rFonts w:ascii="Times" w:hAnsi="Times" w:eastAsia="Batang"/>
                <w:sz w:val="20"/>
                <w:szCs w:val="24"/>
              </w:rPr>
              <w:t>Note: There may be no need to introduce the term "X</w:t>
            </w:r>
            <w:r>
              <w:rPr>
                <w:rFonts w:ascii="Times" w:hAnsi="Times" w:eastAsia="Batang"/>
                <w:sz w:val="20"/>
                <w:szCs w:val="24"/>
                <w:vertAlign w:val="subscript"/>
              </w:rPr>
              <w:t>p</w:t>
            </w:r>
            <w:r>
              <w:rPr>
                <w:rFonts w:ascii="Times" w:hAnsi="Times" w:eastAsia="Batang"/>
                <w:sz w:val="20"/>
                <w:szCs w:val="24"/>
              </w:rPr>
              <w:t>" in the specifications</w:t>
            </w:r>
          </w:p>
          <w:p>
            <w:pPr>
              <w:widowControl w:val="0"/>
              <w:numPr>
                <w:ilvl w:val="2"/>
                <w:numId w:val="28"/>
              </w:numPr>
              <w:overflowPunct w:val="0"/>
              <w:textAlignment w:val="baseline"/>
              <w:rPr>
                <w:rFonts w:ascii="Times" w:hAnsi="Times" w:eastAsia="Batang"/>
                <w:sz w:val="20"/>
                <w:szCs w:val="24"/>
              </w:rPr>
            </w:pPr>
            <w:r>
              <w:rPr>
                <w:rFonts w:ascii="Times" w:hAnsi="Times" w:eastAsia="Batang"/>
                <w:sz w:val="20"/>
                <w:szCs w:val="24"/>
              </w:rPr>
              <w:t>The configured periodicity at least for Group (1) SSs is restricted to be an integer multiple of Xs slots</w:t>
            </w:r>
          </w:p>
          <w:p>
            <w:pPr>
              <w:widowControl w:val="0"/>
              <w:numPr>
                <w:ilvl w:val="2"/>
                <w:numId w:val="28"/>
              </w:numPr>
              <w:overflowPunct w:val="0"/>
              <w:textAlignment w:val="baseline"/>
              <w:rPr>
                <w:rFonts w:ascii="Times" w:hAnsi="Times" w:eastAsia="Batang"/>
                <w:color w:val="FF0000"/>
                <w:sz w:val="20"/>
                <w:szCs w:val="24"/>
              </w:rPr>
            </w:pPr>
            <w:r>
              <w:rPr>
                <w:rFonts w:ascii="Times" w:hAnsi="Times" w:eastAsia="Batang"/>
                <w:color w:val="FF0000"/>
                <w:sz w:val="20"/>
                <w:szCs w:val="24"/>
              </w:rPr>
              <w:t>The configured offset is restricted to be an integer multiple of Xs slots</w:t>
            </w:r>
          </w:p>
          <w:p>
            <w:pPr>
              <w:widowControl w:val="0"/>
              <w:numPr>
                <w:ilvl w:val="2"/>
                <w:numId w:val="28"/>
              </w:numPr>
              <w:overflowPunct w:val="0"/>
              <w:textAlignment w:val="baseline"/>
              <w:rPr>
                <w:rFonts w:ascii="Times" w:hAnsi="Times" w:eastAsia="Batang"/>
                <w:strike/>
                <w:color w:val="FF0000"/>
                <w:sz w:val="20"/>
                <w:szCs w:val="24"/>
              </w:rPr>
            </w:pPr>
            <w:r>
              <w:rPr>
                <w:rFonts w:ascii="Times" w:hAnsi="Times" w:eastAsia="Batang"/>
                <w:strike/>
                <w:color w:val="FF0000"/>
                <w:sz w:val="20"/>
                <w:szCs w:val="24"/>
              </w:rPr>
              <w:t>FFS: details of offset</w:t>
            </w:r>
          </w:p>
          <w:p>
            <w:pPr>
              <w:widowControl w:val="0"/>
              <w:numPr>
                <w:ilvl w:val="1"/>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For </w:t>
            </w:r>
            <w:r>
              <w:rPr>
                <w:rFonts w:ascii="Times" w:hAnsi="Times" w:eastAsia="Batang"/>
                <w:i/>
                <w:iCs/>
                <w:color w:val="000000"/>
                <w:sz w:val="20"/>
                <w:szCs w:val="24"/>
              </w:rPr>
              <w:t>duration-r17</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The values represent slots</w:t>
            </w:r>
          </w:p>
          <w:p>
            <w:pPr>
              <w:widowControl w:val="0"/>
              <w:numPr>
                <w:ilvl w:val="2"/>
                <w:numId w:val="28"/>
              </w:numPr>
              <w:overflowPunct w:val="0"/>
              <w:textAlignment w:val="baseline"/>
              <w:rPr>
                <w:rFonts w:ascii="Times" w:hAnsi="Times" w:eastAsia="Batang"/>
                <w:color w:val="FF0000"/>
                <w:sz w:val="20"/>
                <w:szCs w:val="24"/>
              </w:rPr>
            </w:pPr>
            <w:r>
              <w:rPr>
                <w:rFonts w:ascii="Times" w:hAnsi="Times" w:eastAsia="Batang"/>
                <w:color w:val="000000"/>
                <w:sz w:val="20"/>
                <w:szCs w:val="24"/>
              </w:rPr>
              <w:t>The value range is {8, 12, …, 20476}</w:t>
            </w:r>
            <w:r>
              <w:rPr>
                <w:rFonts w:ascii="Times" w:hAnsi="Times" w:eastAsia="Batang"/>
                <w:color w:val="FF0000"/>
                <w:sz w:val="20"/>
                <w:szCs w:val="24"/>
              </w:rPr>
              <w:t xml:space="preserve"> at least for Group (1) SSs</w:t>
            </w:r>
          </w:p>
          <w:p>
            <w:pPr>
              <w:widowControl w:val="0"/>
              <w:numPr>
                <w:ilvl w:val="3"/>
                <w:numId w:val="28"/>
              </w:numPr>
              <w:overflowPunct w:val="0"/>
              <w:textAlignment w:val="baseline"/>
              <w:rPr>
                <w:rFonts w:ascii="Times" w:hAnsi="Times" w:eastAsia="Batang"/>
                <w:color w:val="FF0000"/>
                <w:sz w:val="20"/>
                <w:szCs w:val="24"/>
              </w:rPr>
            </w:pPr>
            <w:r>
              <w:rPr>
                <w:rFonts w:ascii="Times" w:hAnsi="Times"/>
                <w:color w:val="FF0000"/>
                <w:sz w:val="20"/>
                <w:szCs w:val="24"/>
              </w:rPr>
              <w:t>FFS: Applicable value if this field is absent</w:t>
            </w:r>
          </w:p>
          <w:p>
            <w:pPr>
              <w:widowControl w:val="0"/>
              <w:numPr>
                <w:ilvl w:val="2"/>
                <w:numId w:val="28"/>
              </w:numPr>
              <w:overflowPunct w:val="0"/>
              <w:textAlignment w:val="baseline"/>
              <w:rPr>
                <w:rFonts w:ascii="Times" w:hAnsi="Times" w:eastAsia="Batang"/>
                <w:sz w:val="20"/>
                <w:szCs w:val="24"/>
              </w:rPr>
            </w:pPr>
            <w:r>
              <w:rPr>
                <w:rFonts w:ascii="Times" w:hAnsi="Times" w:eastAsia="Batang"/>
                <w:color w:val="000000"/>
                <w:sz w:val="20"/>
                <w:szCs w:val="24"/>
              </w:rPr>
              <w:t>The configured duration is restricted to be an integer multiple of Xs slots</w:t>
            </w:r>
            <w:r>
              <w:rPr>
                <w:rFonts w:ascii="Times" w:hAnsi="Times" w:eastAsia="Batang"/>
                <w:sz w:val="20"/>
                <w:szCs w:val="24"/>
              </w:rPr>
              <w:t xml:space="preserve"> at least for Group (1) SSs</w:t>
            </w:r>
          </w:p>
          <w:p>
            <w:pPr>
              <w:widowControl w:val="0"/>
              <w:numPr>
                <w:ilvl w:val="2"/>
                <w:numId w:val="28"/>
              </w:numPr>
              <w:overflowPunct w:val="0"/>
              <w:textAlignment w:val="baseline"/>
              <w:rPr>
                <w:rFonts w:ascii="Times" w:hAnsi="Times" w:eastAsia="Batang"/>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pPr>
              <w:widowControl w:val="0"/>
              <w:numPr>
                <w:ilvl w:val="2"/>
                <w:numId w:val="28"/>
              </w:numPr>
              <w:overflowPunct w:val="0"/>
              <w:textAlignment w:val="baseline"/>
              <w:rPr>
                <w:rFonts w:ascii="Times" w:hAnsi="Times" w:eastAsia="Batang"/>
                <w:strike/>
                <w:color w:val="FF0000"/>
                <w:sz w:val="20"/>
                <w:szCs w:val="24"/>
              </w:rPr>
            </w:pPr>
            <w:r>
              <w:rPr>
                <w:rFonts w:ascii="Times" w:hAnsi="Times" w:eastAsia="Batang"/>
                <w:strike/>
                <w:color w:val="FF0000"/>
                <w:sz w:val="20"/>
                <w:szCs w:val="24"/>
              </w:rPr>
              <w:t xml:space="preserve">FFS: need to revise the definition of </w:t>
            </w:r>
            <w:r>
              <w:rPr>
                <w:rFonts w:ascii="Times" w:hAnsi="Times" w:eastAsia="Batang"/>
                <w:i/>
                <w:strike/>
                <w:color w:val="FF0000"/>
                <w:sz w:val="20"/>
                <w:szCs w:val="24"/>
              </w:rPr>
              <w:t>duration</w:t>
            </w:r>
          </w:p>
          <w:p>
            <w:pPr>
              <w:widowControl w:val="0"/>
              <w:numPr>
                <w:ilvl w:val="0"/>
                <w:numId w:val="28"/>
              </w:numPr>
              <w:overflowPunct w:val="0"/>
              <w:textAlignment w:val="baseline"/>
              <w:rPr>
                <w:rFonts w:ascii="Times" w:hAnsi="Times" w:eastAsia="Batang"/>
                <w:sz w:val="20"/>
                <w:szCs w:val="24"/>
              </w:rPr>
            </w:pPr>
            <w:r>
              <w:rPr>
                <w:rFonts w:ascii="Times" w:hAnsi="Times" w:eastAsia="Batang"/>
                <w:i/>
                <w:iCs/>
                <w:sz w:val="20"/>
                <w:szCs w:val="24"/>
              </w:rPr>
              <w:t xml:space="preserve">monitoringSymbolsWithinSlot </w:t>
            </w:r>
            <w:r>
              <w:rPr>
                <w:rFonts w:ascii="Times" w:hAnsi="Times" w:eastAsia="Batang"/>
                <w:sz w:val="20"/>
                <w:szCs w:val="24"/>
              </w:rPr>
              <w:t>applies to each slot in a slot group configured for multi-slot PDCCH monitoring</w:t>
            </w:r>
          </w:p>
          <w:p>
            <w:pPr>
              <w:widowControl w:val="0"/>
              <w:numPr>
                <w:ilvl w:val="1"/>
                <w:numId w:val="28"/>
              </w:numPr>
              <w:overflowPunct w:val="0"/>
              <w:textAlignment w:val="baseline"/>
              <w:rPr>
                <w:rFonts w:ascii="Times" w:hAnsi="Times" w:eastAsia="Batang"/>
                <w:sz w:val="20"/>
                <w:szCs w:val="24"/>
              </w:rPr>
            </w:pPr>
            <w:r>
              <w:rPr>
                <w:rFonts w:ascii="Times" w:hAnsi="Times" w:eastAsia="Batang"/>
                <w:sz w:val="20"/>
                <w:szCs w:val="24"/>
              </w:rPr>
              <w:t>Note: This parameter can be directly re-used from earlier releases.</w:t>
            </w:r>
          </w:p>
          <w:p>
            <w:pPr>
              <w:widowControl w:val="0"/>
              <w:numPr>
                <w:ilvl w:val="0"/>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Introduce new parameter </w:t>
            </w:r>
            <w:r>
              <w:rPr>
                <w:rFonts w:ascii="Times" w:hAnsi="Times" w:eastAsia="Batang"/>
                <w:i/>
                <w:iCs/>
                <w:color w:val="000000"/>
                <w:sz w:val="20"/>
                <w:szCs w:val="24"/>
              </w:rPr>
              <w:t>monitoringSlotsWithinSlotGroup-r17</w:t>
            </w:r>
          </w:p>
          <w:p>
            <w:pPr>
              <w:widowControl w:val="0"/>
              <w:numPr>
                <w:ilvl w:val="1"/>
                <w:numId w:val="28"/>
              </w:numPr>
              <w:overflowPunct w:val="0"/>
              <w:textAlignment w:val="baseline"/>
              <w:rPr>
                <w:rFonts w:ascii="Times" w:hAnsi="Times" w:eastAsia="Batang"/>
                <w:strike/>
                <w:color w:val="000000"/>
                <w:sz w:val="20"/>
                <w:szCs w:val="24"/>
              </w:rPr>
            </w:pPr>
            <w:r>
              <w:rPr>
                <w:rFonts w:ascii="Times" w:hAnsi="Times" w:eastAsia="Batang"/>
                <w:strike/>
                <w:color w:val="FF0000"/>
                <w:sz w:val="20"/>
                <w:szCs w:val="24"/>
                <w:highlight w:val="darkYellow"/>
              </w:rPr>
              <w:t>Working assumption</w:t>
            </w:r>
            <w:r>
              <w:rPr>
                <w:rFonts w:ascii="Times" w:hAnsi="Times" w:eastAsia="Batang"/>
                <w:strike/>
                <w:color w:val="FF0000"/>
                <w:sz w:val="20"/>
                <w:szCs w:val="24"/>
              </w:rPr>
              <w:t>:</w:t>
            </w:r>
          </w:p>
          <w:p>
            <w:pPr>
              <w:widowControl w:val="0"/>
              <w:numPr>
                <w:ilvl w:val="2"/>
                <w:numId w:val="28"/>
              </w:numPr>
              <w:overflowPunct w:val="0"/>
              <w:textAlignment w:val="baseline"/>
              <w:rPr>
                <w:rFonts w:ascii="Times" w:hAnsi="Times" w:eastAsia="Batang"/>
                <w:strike/>
                <w:color w:val="000000"/>
                <w:sz w:val="20"/>
                <w:szCs w:val="24"/>
              </w:rPr>
            </w:pPr>
            <w:r>
              <w:rPr>
                <w:rFonts w:ascii="Times" w:hAnsi="Times" w:eastAsia="Batang"/>
                <w:strike/>
                <w:color w:val="FF0000"/>
                <w:sz w:val="20"/>
                <w:szCs w:val="24"/>
              </w:rPr>
              <w:t>The size is 8 bits</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FF0000"/>
                <w:sz w:val="20"/>
                <w:szCs w:val="24"/>
              </w:rPr>
              <w:t>The size is Xs bits, where Xs is either 4 or 8</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Each bit in </w:t>
            </w:r>
            <w:r>
              <w:rPr>
                <w:rFonts w:ascii="Times" w:hAnsi="Times" w:eastAsia="Batang"/>
                <w:i/>
                <w:iCs/>
                <w:color w:val="000000"/>
                <w:sz w:val="20"/>
                <w:szCs w:val="24"/>
              </w:rPr>
              <w:t>monitoringSlotsWithinSlotGroup-r17</w:t>
            </w:r>
            <w:r>
              <w:rPr>
                <w:rFonts w:ascii="Times" w:hAnsi="Times" w:eastAsia="Batang"/>
                <w:color w:val="000000"/>
                <w:sz w:val="20"/>
                <w:szCs w:val="24"/>
              </w:rPr>
              <w:t xml:space="preserve"> represents a slot in a slot group</w:t>
            </w:r>
          </w:p>
          <w:p>
            <w:pPr>
              <w:widowControl w:val="0"/>
              <w:numPr>
                <w:ilvl w:val="2"/>
                <w:numId w:val="28"/>
              </w:numPr>
              <w:overflowPunct w:val="0"/>
              <w:textAlignment w:val="baseline"/>
              <w:rPr>
                <w:rFonts w:ascii="Times" w:hAnsi="Times" w:eastAsia="Batang"/>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hAnsi="Times" w:eastAsia="Batang"/>
                <w:i/>
                <w:iCs/>
                <w:color w:val="FF0000"/>
                <w:sz w:val="20"/>
                <w:szCs w:val="24"/>
              </w:rPr>
              <w:t>duration-r17</w:t>
            </w:r>
            <w:r>
              <w:rPr>
                <w:rFonts w:ascii="Times" w:hAnsi="Times"/>
                <w:color w:val="FF0000"/>
                <w:sz w:val="20"/>
                <w:szCs w:val="24"/>
              </w:rPr>
              <w:t>.</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A slot in the slot group is configured for multi-slot PDCCH monitoring if the corresponding bit in the slot group is set to '1'</w:t>
            </w:r>
          </w:p>
          <w:p>
            <w:pPr>
              <w:widowControl w:val="0"/>
              <w:numPr>
                <w:ilvl w:val="3"/>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Note: Further configuration of the monitoring symbols in such a slot is done by </w:t>
            </w:r>
            <w:r>
              <w:rPr>
                <w:rFonts w:ascii="Times" w:hAnsi="Times" w:eastAsia="Batang"/>
                <w:i/>
                <w:iCs/>
                <w:color w:val="000000"/>
                <w:sz w:val="20"/>
                <w:szCs w:val="24"/>
              </w:rPr>
              <w:t>monitoringSymbolsWithinSlot</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The</w:t>
            </w:r>
            <w:r>
              <w:rPr>
                <w:rFonts w:hint="eastAsia" w:ascii="Times" w:hAnsi="Times" w:eastAsia="Batang"/>
                <w:color w:val="000000"/>
                <w:sz w:val="20"/>
                <w:szCs w:val="24"/>
              </w:rPr>
              <w:t xml:space="preserve"> </w:t>
            </w:r>
            <w:r>
              <w:rPr>
                <w:rFonts w:ascii="Times" w:hAnsi="Times" w:eastAsia="Batang"/>
                <w:color w:val="000000"/>
                <w:sz w:val="20"/>
                <w:szCs w:val="24"/>
              </w:rPr>
              <w:t>slo</w:t>
            </w:r>
            <w:r>
              <w:rPr>
                <w:rFonts w:ascii="Times" w:hAnsi="Times" w:eastAsia="Batang"/>
                <w:sz w:val="20"/>
                <w:szCs w:val="24"/>
              </w:rPr>
              <w:t>ts indicated in the bitmap sh</w:t>
            </w:r>
            <w:r>
              <w:rPr>
                <w:rFonts w:ascii="Times" w:hAnsi="Times" w:eastAsia="Batang"/>
                <w:color w:val="000000"/>
                <w:sz w:val="20"/>
                <w:szCs w:val="24"/>
              </w:rPr>
              <w:t>ould be consecutive</w:t>
            </w:r>
            <w:r>
              <w:rPr>
                <w:rFonts w:ascii="Times" w:hAnsi="Times" w:eastAsia="Batang"/>
                <w:sz w:val="20"/>
                <w:szCs w:val="24"/>
              </w:rPr>
              <w:t xml:space="preserve"> at least for Group (1) SSs</w:t>
            </w:r>
          </w:p>
          <w:p>
            <w:pPr>
              <w:widowControl w:val="0"/>
              <w:numPr>
                <w:ilvl w:val="2"/>
                <w:numId w:val="28"/>
              </w:numPr>
              <w:overflowPunct w:val="0"/>
              <w:textAlignment w:val="baseline"/>
              <w:rPr>
                <w:rFonts w:ascii="Times" w:hAnsi="Times" w:eastAsia="Batang"/>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ctrlPr>
                    <w:rPr>
                      <w:rFonts w:ascii="Cambria Math" w:hAnsi="Cambria Math"/>
                      <w:bCs/>
                      <w:i/>
                      <w:color w:val="FF0000"/>
                      <w:sz w:val="20"/>
                      <w:szCs w:val="20"/>
                    </w:rPr>
                  </m:ctrlPr>
                </m:e>
                <m:sub>
                  <m:r>
                    <w:rPr>
                      <w:rFonts w:ascii="Cambria Math" w:hAnsi="Cambria Math"/>
                      <w:color w:val="FF0000"/>
                      <w:sz w:val="20"/>
                      <w:szCs w:val="20"/>
                    </w:rPr>
                    <m:t>s</m:t>
                  </m:r>
                  <m:ctrlPr>
                    <w:rPr>
                      <w:rFonts w:ascii="Cambria Math" w:hAnsi="Cambria Math"/>
                      <w:bCs/>
                      <w:i/>
                      <w:color w:val="FF0000"/>
                      <w:sz w:val="20"/>
                      <w:szCs w:val="20"/>
                    </w:rPr>
                  </m:ctrlPr>
                </m:sub>
              </m:sSub>
            </m:oMath>
            <w:r>
              <w:rPr>
                <w:bCs/>
                <w:color w:val="FF0000"/>
                <w:sz w:val="20"/>
                <w:szCs w:val="20"/>
              </w:rPr>
              <w:t xml:space="preserve"> </w:t>
            </w:r>
            <w:r>
              <w:rPr>
                <w:rFonts w:ascii="Times" w:hAnsi="Times" w:eastAsia="Batang"/>
                <w:color w:val="FF0000"/>
                <w:sz w:val="20"/>
                <w:szCs w:val="24"/>
              </w:rPr>
              <w:t>at least for Group (1) SSs</w:t>
            </w:r>
          </w:p>
          <w:p>
            <w:pPr>
              <w:widowControl w:val="0"/>
              <w:numPr>
                <w:ilvl w:val="2"/>
                <w:numId w:val="28"/>
              </w:numPr>
              <w:overflowPunct w:val="0"/>
              <w:textAlignment w:val="baseline"/>
              <w:rPr>
                <w:rFonts w:ascii="Times" w:hAnsi="Times" w:eastAsia="Batang"/>
                <w:color w:val="FF0000"/>
                <w:sz w:val="20"/>
                <w:szCs w:val="24"/>
              </w:rPr>
            </w:pPr>
            <w:r>
              <w:rPr>
                <w:rFonts w:ascii="Times" w:hAnsi="Times"/>
                <w:color w:val="FF0000"/>
                <w:sz w:val="20"/>
                <w:szCs w:val="24"/>
              </w:rPr>
              <w:t>FFS: Applicable value if this field is absent</w:t>
            </w:r>
          </w:p>
        </w:tc>
      </w:tr>
      <w:bookmarkEnd w:id="1"/>
    </w:tbl>
    <w:p/>
    <w:p>
      <w:pPr>
        <w:spacing w:after="0"/>
        <w:rPr>
          <w:b/>
          <w:sz w:val="20"/>
          <w:szCs w:val="20"/>
        </w:rPr>
      </w:pPr>
      <w:r>
        <w:rPr>
          <w:b/>
          <w:sz w:val="20"/>
          <w:szCs w:val="20"/>
        </w:rPr>
        <w:t xml:space="preserve">Please comment whether Proposal A2-1.1 is acceptable, and any suggestion you have for the case that are absent (e.g. it was proposed that a UE should assume a duration of 4 if </w:t>
      </w:r>
      <w:r>
        <w:rPr>
          <w:rFonts w:ascii="Times" w:hAnsi="Times" w:eastAsia="Batang"/>
          <w:b/>
          <w:i/>
          <w:iCs/>
          <w:color w:val="000000"/>
          <w:sz w:val="20"/>
          <w:szCs w:val="24"/>
        </w:rPr>
        <w:t>duration-r17</w:t>
      </w:r>
      <w:r>
        <w:rPr>
          <w:rFonts w:ascii="Times" w:hAnsi="Times" w:eastAsia="Batang"/>
          <w:b/>
          <w:color w:val="000000"/>
          <w:sz w:val="20"/>
          <w:szCs w:val="24"/>
        </w:rPr>
        <w:t xml:space="preserve"> is absent)</w:t>
      </w:r>
      <w:r>
        <w:rPr>
          <w:b/>
          <w:sz w:val="20"/>
          <w:szCs w:val="20"/>
        </w:rPr>
        <w:t>. Note that updates to the descriptions RRC parameter lists should be discussed after having reached consensus on the above.</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MediaTek</w:t>
            </w:r>
          </w:p>
        </w:tc>
        <w:tc>
          <w:tcPr>
            <w:tcW w:w="12176" w:type="dxa"/>
            <w:vAlign w:val="center"/>
          </w:tcPr>
          <w:p>
            <w:pPr>
              <w:widowControl w:val="0"/>
              <w:rPr>
                <w:lang w:eastAsia="zh-CN"/>
              </w:rPr>
            </w:pPr>
            <w:r>
              <w:rPr>
                <w:lang w:eastAsia="zh-CN"/>
              </w:rPr>
              <w:t xml:space="preserve">Thanks to FL’s proposal and DOCOMO’s nice figure for visualization! We had one clarification question: how to determine Xs? Is it based on the bit-length of </w:t>
            </w:r>
            <w:r>
              <w:rPr>
                <w:rFonts w:ascii="Times" w:hAnsi="Times" w:eastAsia="Batang"/>
                <w:i/>
                <w:iCs/>
                <w:color w:val="000000"/>
                <w:sz w:val="20"/>
                <w:szCs w:val="24"/>
              </w:rPr>
              <w:t xml:space="preserve">monitoringSlotsWithinSlotGroup-r17? </w:t>
            </w:r>
            <w:r>
              <w:rPr>
                <w:rFonts w:ascii="Times" w:hAnsi="Times" w:eastAsia="Batang"/>
                <w:color w:val="000000"/>
                <w:sz w:val="20"/>
                <w:szCs w:val="24"/>
              </w:rPr>
              <w:t>If so, does it mean Issue A1-3 is resolved on the Xs part after we agree ProposalA2-1.1?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lang w:eastAsia="zh-CN"/>
              </w:rPr>
              <w:t>Samsung</w:t>
            </w:r>
          </w:p>
        </w:tc>
        <w:tc>
          <w:tcPr>
            <w:tcW w:w="12176" w:type="dxa"/>
            <w:vAlign w:val="center"/>
          </w:tcPr>
          <w:p>
            <w:pPr>
              <w:widowControl w:val="0"/>
              <w:rPr>
                <w:lang w:eastAsia="zh-CN"/>
              </w:rPr>
            </w:pPr>
            <w:r>
              <w:rPr>
                <w:lang w:eastAsia="zh-CN"/>
              </w:rPr>
              <w:t xml:space="preserve">We are ok with the change in principle, and have some further comments for clarification: </w:t>
            </w:r>
          </w:p>
          <w:p>
            <w:pPr>
              <w:pStyle w:val="82"/>
              <w:widowControl w:val="0"/>
              <w:numPr>
                <w:ilvl w:val="0"/>
                <w:numId w:val="29"/>
              </w:numPr>
              <w:rPr>
                <w:rFonts w:ascii="Times New Roman" w:hAnsi="Times New Roman"/>
                <w:color w:val="000000" w:themeColor="text1"/>
                <w:lang w:eastAsia="zh-CN"/>
                <w14:textFill>
                  <w14:solidFill>
                    <w14:schemeClr w14:val="tx1"/>
                  </w14:solidFill>
                </w14:textFill>
              </w:rPr>
            </w:pPr>
            <w:r>
              <w:rPr>
                <w:rFonts w:ascii="Times New Roman" w:hAnsi="Times New Roman"/>
                <w:color w:val="000000" w:themeColor="text1"/>
                <w:lang w:eastAsia="zh-CN"/>
                <w14:textFill>
                  <w14:solidFill>
                    <w14:schemeClr w14:val="tx1"/>
                  </w14:solidFill>
                </w14:textFill>
              </w:rPr>
              <w:t xml:space="preserve">We understand the intention of equation </w:t>
            </w:r>
            <m:oMath>
              <m:r>
                <m:rPr>
                  <m:sty m:val="p"/>
                </m:rPr>
                <w:rPr>
                  <w:rFonts w:ascii="Cambria Math" w:hAnsi="Cambria Math"/>
                  <w:color w:val="000000" w:themeColor="text1"/>
                  <w14:textFill>
                    <w14:solidFill>
                      <w14:schemeClr w14:val="tx1"/>
                    </w14:solidFill>
                  </w14:textFill>
                </w:rPr>
                <m:t>4</m:t>
              </m:r>
              <m:d>
                <m:dPr>
                  <m:begChr m:val="⌊"/>
                  <m:endChr m:val="⌋"/>
                  <m:ctrlPr>
                    <w:rPr>
                      <w:rFonts w:ascii="Cambria Math" w:hAnsi="Cambria Math"/>
                      <w:bCs/>
                      <w:color w:val="000000" w:themeColor="text1"/>
                      <w14:textFill>
                        <w14:solidFill>
                          <w14:schemeClr w14:val="tx1"/>
                        </w14:solidFill>
                      </w14:textFill>
                    </w:rPr>
                  </m:ctrlPr>
                </m:dPr>
                <m:e>
                  <m:f>
                    <m:fPr>
                      <m:ctrlPr>
                        <w:rPr>
                          <w:rFonts w:ascii="Cambria Math" w:hAnsi="Cambria Math"/>
                          <w:bCs/>
                          <w:color w:val="000000" w:themeColor="text1"/>
                          <w14:textFill>
                            <w14:solidFill>
                              <w14:schemeClr w14:val="tx1"/>
                            </w14:solidFill>
                          </w14:textFill>
                        </w:rPr>
                      </m:ctrlPr>
                    </m:fPr>
                    <m:num>
                      <m:r>
                        <m:rPr>
                          <m:sty m:val="p"/>
                        </m:rPr>
                        <w:rPr>
                          <w:rFonts w:ascii="Cambria Math" w:hAnsi="Cambria Math"/>
                          <w:color w:val="000000" w:themeColor="text1"/>
                          <w14:textFill>
                            <w14:solidFill>
                              <w14:schemeClr w14:val="tx1"/>
                            </w14:solidFill>
                          </w14:textFill>
                        </w:rPr>
                        <m:t>(</m:t>
                      </m:r>
                      <m:sSub>
                        <m:sSubPr>
                          <m:ctrlPr>
                            <w:rPr>
                              <w:rFonts w:ascii="Cambria Math" w:hAnsi="Cambria Math"/>
                              <w:bCs/>
                              <w:color w:val="000000" w:themeColor="text1"/>
                              <w14:textFill>
                                <w14:solidFill>
                                  <w14:schemeClr w14:val="tx1"/>
                                </w14:solidFill>
                              </w14:textFill>
                            </w:rPr>
                          </m:ctrlPr>
                        </m:sSubPr>
                        <m:e>
                          <m:r>
                            <m:rPr>
                              <m:sty m:val="p"/>
                            </m:rPr>
                            <w:rPr>
                              <w:rFonts w:ascii="Cambria Math" w:hAnsi="Cambria Math"/>
                              <w:color w:val="000000" w:themeColor="text1"/>
                              <w14:textFill>
                                <w14:solidFill>
                                  <w14:schemeClr w14:val="tx1"/>
                                </w14:solidFill>
                              </w14:textFill>
                            </w:rPr>
                            <m:t>X</m:t>
                          </m:r>
                          <m:ctrlPr>
                            <w:rPr>
                              <w:rFonts w:ascii="Cambria Math" w:hAnsi="Cambria Math"/>
                              <w:bCs/>
                              <w:color w:val="000000" w:themeColor="text1"/>
                              <w14:textFill>
                                <w14:solidFill>
                                  <w14:schemeClr w14:val="tx1"/>
                                </w14:solidFill>
                              </w14:textFill>
                            </w:rPr>
                          </m:ctrlPr>
                        </m:e>
                        <m:sub>
                          <m:r>
                            <m:rPr>
                              <m:sty m:val="p"/>
                            </m:rPr>
                            <w:rPr>
                              <w:rFonts w:ascii="Cambria Math" w:hAnsi="Cambria Math"/>
                              <w:color w:val="000000" w:themeColor="text1"/>
                              <w14:textFill>
                                <w14:solidFill>
                                  <w14:schemeClr w14:val="tx1"/>
                                </w14:solidFill>
                              </w14:textFill>
                            </w:rPr>
                            <m:t>p</m:t>
                          </m:r>
                          <m:ctrlPr>
                            <w:rPr>
                              <w:rFonts w:ascii="Cambria Math" w:hAnsi="Cambria Math"/>
                              <w:bCs/>
                              <w:color w:val="000000" w:themeColor="text1"/>
                              <w14:textFill>
                                <w14:solidFill>
                                  <w14:schemeClr w14:val="tx1"/>
                                </w14:solidFill>
                              </w14:textFill>
                            </w:rPr>
                          </m:ctrlPr>
                        </m:sub>
                      </m:sSub>
                      <m:r>
                        <m:rPr>
                          <m:sty m:val="p"/>
                        </m:rPr>
                        <w:rPr>
                          <w:rFonts w:ascii="Cambria Math" w:hAnsi="Cambria Math"/>
                          <w:color w:val="000000" w:themeColor="text1"/>
                          <w14:textFill>
                            <w14:solidFill>
                              <w14:schemeClr w14:val="tx1"/>
                            </w14:solidFill>
                          </w14:textFill>
                        </w:rPr>
                        <m:t>-1)</m:t>
                      </m:r>
                      <m:ctrlPr>
                        <w:rPr>
                          <w:rFonts w:ascii="Cambria Math" w:hAnsi="Cambria Math"/>
                          <w:bCs/>
                          <w:color w:val="000000" w:themeColor="text1"/>
                          <w14:textFill>
                            <w14:solidFill>
                              <w14:schemeClr w14:val="tx1"/>
                            </w14:solidFill>
                          </w14:textFill>
                        </w:rPr>
                      </m:ctrlPr>
                    </m:num>
                    <m:den>
                      <m:r>
                        <m:rPr>
                          <m:sty m:val="p"/>
                        </m:rPr>
                        <w:rPr>
                          <w:rFonts w:ascii="Cambria Math" w:hAnsi="Cambria Math"/>
                          <w:color w:val="000000" w:themeColor="text1"/>
                          <w14:textFill>
                            <w14:solidFill>
                              <w14:schemeClr w14:val="tx1"/>
                            </w14:solidFill>
                          </w14:textFill>
                        </w:rPr>
                        <m:t>4</m:t>
                      </m:r>
                      <m:ctrlPr>
                        <w:rPr>
                          <w:rFonts w:ascii="Cambria Math" w:hAnsi="Cambria Math"/>
                          <w:bCs/>
                          <w:color w:val="000000" w:themeColor="text1"/>
                          <w14:textFill>
                            <w14:solidFill>
                              <w14:schemeClr w14:val="tx1"/>
                            </w14:solidFill>
                          </w14:textFill>
                        </w:rPr>
                      </m:ctrlPr>
                    </m:den>
                  </m:f>
                  <m:ctrlPr>
                    <w:rPr>
                      <w:rFonts w:ascii="Cambria Math" w:hAnsi="Cambria Math"/>
                      <w:bCs/>
                      <w:color w:val="000000" w:themeColor="text1"/>
                      <w14:textFill>
                        <w14:solidFill>
                          <w14:schemeClr w14:val="tx1"/>
                        </w14:solidFill>
                      </w14:textFill>
                    </w:rPr>
                  </m:ctrlPr>
                </m:e>
              </m:d>
            </m:oMath>
            <w:r>
              <w:rPr>
                <w:rFonts w:ascii="Times New Roman" w:hAnsi="Times New Roman"/>
                <w:bCs/>
                <w:color w:val="000000" w:themeColor="text1"/>
                <w14:textFill>
                  <w14:solidFill>
                    <w14:schemeClr w14:val="tx1"/>
                  </w14:solidFill>
                </w14:textFill>
              </w:rPr>
              <w:t xml:space="preserve">, and want to comment that this equation is only for simply notation in RAN1 discussion, and capturing the offset in RAN2 specification may not need such equation. </w:t>
            </w:r>
          </w:p>
          <w:p>
            <w:pPr>
              <w:pStyle w:val="82"/>
              <w:widowControl w:val="0"/>
              <w:numPr>
                <w:ilvl w:val="0"/>
                <w:numId w:val="29"/>
              </w:numPr>
              <w:rPr>
                <w:rFonts w:ascii="Times New Roman" w:hAnsi="Times New Roman"/>
                <w:color w:val="000000" w:themeColor="text1"/>
                <w:lang w:eastAsia="zh-CN"/>
                <w14:textFill>
                  <w14:solidFill>
                    <w14:schemeClr w14:val="tx1"/>
                  </w14:solidFill>
                </w14:textFill>
              </w:rPr>
            </w:pPr>
            <w:r>
              <w:rPr>
                <w:rFonts w:ascii="Times New Roman" w:hAnsi="Times New Roman" w:eastAsia="Batang"/>
                <w:color w:val="000000" w:themeColor="text1"/>
                <w14:textFill>
                  <w14:solidFill>
                    <w14:schemeClr w14:val="tx1"/>
                  </w14:solidFill>
                </w14:textFill>
              </w:rPr>
              <w:t xml:space="preserve">The configured offset </w:t>
            </w:r>
            <w:r>
              <w:rPr>
                <w:rFonts w:ascii="Times New Roman" w:hAnsi="Times New Roman" w:eastAsia="Batang"/>
                <w:color w:val="FF0000"/>
                <w:highlight w:val="yellow"/>
              </w:rPr>
              <w:t>at least for Group (1) SSs</w:t>
            </w:r>
            <w:r>
              <w:rPr>
                <w:rFonts w:ascii="Times New Roman" w:hAnsi="Times New Roman" w:eastAsia="Batang"/>
                <w:color w:val="FF0000"/>
              </w:rPr>
              <w:t xml:space="preserve"> </w:t>
            </w:r>
            <w:r>
              <w:rPr>
                <w:rFonts w:ascii="Times New Roman" w:hAnsi="Times New Roman" w:eastAsia="Batang"/>
                <w:color w:val="000000" w:themeColor="text1"/>
                <w14:textFill>
                  <w14:solidFill>
                    <w14:schemeClr w14:val="tx1"/>
                  </w14:solidFill>
                </w14:textFill>
              </w:rPr>
              <w:t xml:space="preserve">is restricted to be an integer multiple of Xs slots. </w:t>
            </w:r>
          </w:p>
          <w:p>
            <w:pPr>
              <w:pStyle w:val="82"/>
              <w:widowControl w:val="0"/>
              <w:numPr>
                <w:ilvl w:val="0"/>
                <w:numId w:val="29"/>
              </w:numPr>
              <w:rPr>
                <w:lang w:eastAsia="zh-CN"/>
              </w:rPr>
            </w:pPr>
            <w:r>
              <w:rPr>
                <w:rFonts w:ascii="Times New Roman" w:hAnsi="Times New Roman"/>
                <w:color w:val="000000" w:themeColor="text1"/>
                <w:lang w:eastAsia="zh-CN"/>
                <w14:textFill>
                  <w14:solidFill>
                    <w14:schemeClr w14:val="tx1"/>
                  </w14:solidFill>
                </w14:textFill>
              </w:rPr>
              <w:t xml:space="preserve">Value of </w:t>
            </w:r>
            <w:r>
              <w:rPr>
                <w:rFonts w:ascii="Times New Roman" w:hAnsi="Times New Roman" w:eastAsia="Batang"/>
                <w:iCs/>
                <w:color w:val="000000" w:themeColor="text1"/>
                <w14:textFill>
                  <w14:solidFill>
                    <w14:schemeClr w14:val="tx1"/>
                  </w14:solidFill>
                </w14:textFill>
              </w:rPr>
              <w:t xml:space="preserve">duration-r17 should be 4 </w:t>
            </w:r>
            <w:r>
              <w:rPr>
                <w:rFonts w:ascii="Times New Roman" w:hAnsi="Times New Roman"/>
                <w:color w:val="000000" w:themeColor="text1"/>
                <w14:textFill>
                  <w14:solidFill>
                    <w14:schemeClr w14:val="tx1"/>
                  </w14:solidFill>
                </w14:textFill>
              </w:rPr>
              <w:t>if this field is absent</w:t>
            </w:r>
          </w:p>
          <w:p>
            <w:pPr>
              <w:pStyle w:val="82"/>
              <w:widowControl w:val="0"/>
              <w:numPr>
                <w:ilvl w:val="0"/>
                <w:numId w:val="29"/>
              </w:numPr>
              <w:rPr>
                <w:rFonts w:ascii="Times New Roman" w:hAnsi="Times New Roman"/>
                <w:lang w:eastAsia="zh-CN"/>
              </w:rPr>
            </w:pPr>
            <w:r>
              <w:rPr>
                <w:rFonts w:ascii="Times New Roman" w:hAnsi="Times New Roman"/>
                <w:color w:val="000000" w:themeColor="text1"/>
                <w:lang w:eastAsia="zh-CN"/>
                <w14:textFill>
                  <w14:solidFill>
                    <w14:schemeClr w14:val="tx1"/>
                  </w14:solidFill>
                </w14:textFill>
              </w:rPr>
              <w:t>The definition of “</w:t>
            </w:r>
            <w:r>
              <w:rPr>
                <w:rFonts w:ascii="Times New Roman" w:hAnsi="Times New Roman" w:eastAsia="Batang"/>
                <w:iCs/>
                <w:color w:val="000000" w:themeColor="text1"/>
                <w14:textFill>
                  <w14:solidFill>
                    <w14:schemeClr w14:val="tx1"/>
                  </w14:solidFill>
                </w14:textFill>
              </w:rPr>
              <w:t>duration-r17</w:t>
            </w:r>
            <w:r>
              <w:rPr>
                <w:rFonts w:ascii="Times New Roman" w:hAnsi="Times New Roman"/>
                <w:color w:val="000000" w:themeColor="text1"/>
                <w:lang w:eastAsia="zh-CN"/>
                <w14:textFill>
                  <w14:solidFill>
                    <w14:schemeClr w14:val="tx1"/>
                  </w14:solidFill>
                </w14:textFill>
              </w:rPr>
              <w:t xml:space="preserve">” as “This field indicates the number of consecutive slots where a SearchSpace exists” may not be accurate. For example, in the figure provided by FL, duration-r17 is 8, but only 6 slots within the 8 slots includes SearchSpace. </w:t>
            </w:r>
          </w:p>
          <w:p>
            <w:pPr>
              <w:pStyle w:val="82"/>
              <w:widowControl w:val="0"/>
              <w:numPr>
                <w:ilvl w:val="0"/>
                <w:numId w:val="29"/>
              </w:numPr>
              <w:rPr>
                <w:rFonts w:ascii="Times New Roman" w:hAnsi="Times New Roman"/>
                <w:sz w:val="20"/>
                <w:szCs w:val="20"/>
                <w:lang w:eastAsia="zh-CN"/>
              </w:rPr>
            </w:pPr>
            <w:r>
              <w:rPr>
                <w:rFonts w:ascii="Times New Roman" w:hAnsi="Times New Roman"/>
                <w:color w:val="000000" w:themeColor="text1"/>
                <w:lang w:eastAsia="zh-CN"/>
                <w14:textFill>
                  <w14:solidFill>
                    <w14:schemeClr w14:val="tx1"/>
                  </w14:solidFill>
                </w14:textFill>
              </w:rPr>
              <w:t>We prefer to keep the bitwidth as 8 from last meeting, and could further clarify only the first Xs bit is applicable from a UE point of view. The gNB may not know what’s the Xs determined at the UE side.</w:t>
            </w:r>
            <w:r>
              <w:rPr>
                <w:rFonts w:ascii="Times New Roman" w:hAnsi="Times New Roman"/>
                <w:color w:val="000000" w:themeColor="text1"/>
                <w:sz w:val="20"/>
                <w:szCs w:val="20"/>
                <w:lang w:eastAsia="zh-CN"/>
                <w14:textFill>
                  <w14:solidFill>
                    <w14:schemeClr w14:val="tx1"/>
                  </w14:solidFill>
                </w14:textFill>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Ericsson</w:t>
            </w:r>
          </w:p>
        </w:tc>
        <w:tc>
          <w:tcPr>
            <w:tcW w:w="12176" w:type="dxa"/>
            <w:vAlign w:val="center"/>
          </w:tcPr>
          <w:p>
            <w:pPr>
              <w:widowControl w:val="0"/>
              <w:rPr>
                <w:sz w:val="20"/>
                <w:lang w:eastAsia="zh-CN"/>
              </w:rPr>
            </w:pPr>
            <w:r>
              <w:rPr>
                <w:sz w:val="20"/>
                <w:lang w:eastAsia="zh-CN"/>
              </w:rPr>
              <w:t>The proposal is heading in a reasonable direction; however, we have some comments/concerns:</w:t>
            </w:r>
          </w:p>
          <w:p>
            <w:pPr>
              <w:widowControl w:val="0"/>
              <w:rPr>
                <w:sz w:val="20"/>
                <w:lang w:eastAsia="zh-CN"/>
              </w:rPr>
            </w:pPr>
            <w:r>
              <w:rPr>
                <w:sz w:val="20"/>
                <w:u w:val="single"/>
                <w:lang w:eastAsia="zh-CN"/>
              </w:rPr>
              <w:t>Comment #1</w:t>
            </w:r>
            <w:r>
              <w:rPr>
                <w:sz w:val="20"/>
                <w:lang w:eastAsia="zh-CN"/>
              </w:rPr>
              <w:t>:</w:t>
            </w:r>
          </w:p>
          <w:p>
            <w:pPr>
              <w:widowControl w:val="0"/>
              <w:ind w:left="425"/>
              <w:rPr>
                <w:sz w:val="20"/>
                <w:lang w:eastAsia="zh-CN"/>
              </w:rPr>
            </w:pPr>
            <w:r>
              <w:rPr>
                <w:sz w:val="20"/>
                <w:lang w:eastAsia="zh-CN"/>
              </w:rPr>
              <w:t>Regarding the following changes:</w:t>
            </w:r>
          </w:p>
          <w:p>
            <w:pPr>
              <w:widowControl w:val="0"/>
              <w:numPr>
                <w:ilvl w:val="3"/>
                <w:numId w:val="28"/>
              </w:numPr>
              <w:overflowPunct w:val="0"/>
              <w:ind w:left="3305"/>
              <w:textAlignment w:val="baseline"/>
              <w:rPr>
                <w:rFonts w:ascii="Times" w:hAnsi="Times" w:eastAsia="Batang"/>
                <w:sz w:val="20"/>
                <w:szCs w:val="24"/>
              </w:rPr>
            </w:pPr>
            <w:r>
              <w:rPr>
                <w:rFonts w:ascii="Times" w:hAnsi="Times" w:eastAsia="Batang"/>
                <w:sz w:val="20"/>
                <w:szCs w:val="24"/>
              </w:rPr>
              <w:t>{</w:t>
            </w:r>
            <w:r>
              <w:rPr>
                <w:rFonts w:ascii="Times" w:hAnsi="Times" w:eastAsia="Batang"/>
                <w:strike/>
                <w:color w:val="FF0000"/>
                <w:sz w:val="20"/>
                <w:szCs w:val="24"/>
              </w:rPr>
              <w:t>1,2,</w:t>
            </w:r>
            <w:r>
              <w:rPr>
                <w:rFonts w:ascii="Times" w:hAnsi="Times" w:eastAsia="Batang"/>
                <w:sz w:val="20"/>
                <w:szCs w:val="24"/>
              </w:rPr>
              <w:t>4,</w:t>
            </w:r>
            <w:r>
              <w:rPr>
                <w:rFonts w:ascii="Times" w:hAnsi="Times" w:eastAsia="Batang"/>
                <w:strike/>
                <w:color w:val="FF0000"/>
                <w:sz w:val="20"/>
                <w:szCs w:val="24"/>
              </w:rPr>
              <w:t>5,</w:t>
            </w:r>
            <w:r>
              <w:rPr>
                <w:rFonts w:ascii="Times" w:hAnsi="Times" w:eastAsia="Batang"/>
                <w:sz w:val="20"/>
                <w:szCs w:val="24"/>
              </w:rPr>
              <w:t>8,</w:t>
            </w:r>
            <w:r>
              <w:rPr>
                <w:rFonts w:ascii="Times" w:hAnsi="Times" w:eastAsia="Batang"/>
                <w:strike/>
                <w:color w:val="FF0000"/>
                <w:sz w:val="20"/>
                <w:szCs w:val="24"/>
              </w:rPr>
              <w:t>10,</w:t>
            </w:r>
            <w:r>
              <w:rPr>
                <w:rFonts w:ascii="Times" w:hAnsi="Times" w:eastAsia="Batang"/>
                <w:sz w:val="20"/>
                <w:szCs w:val="24"/>
              </w:rPr>
              <w:t>16,20,32,40,64,80,128,160,320,640,1280,2560,5120,10240,20480}</w:t>
            </w:r>
          </w:p>
          <w:p>
            <w:pPr>
              <w:widowControl w:val="0"/>
              <w:numPr>
                <w:ilvl w:val="3"/>
                <w:numId w:val="28"/>
              </w:numPr>
              <w:overflowPunct w:val="0"/>
              <w:ind w:left="3305"/>
              <w:textAlignment w:val="baseline"/>
              <w:rPr>
                <w:rFonts w:ascii="Times" w:hAnsi="Times" w:eastAsia="Batang"/>
                <w:sz w:val="20"/>
                <w:szCs w:val="24"/>
                <w:lang w:val="nl-NL"/>
              </w:rPr>
            </w:pPr>
            <w:r>
              <w:rPr>
                <w:rFonts w:ascii="Times" w:hAnsi="Times" w:eastAsia="Batang"/>
                <w:sz w:val="20"/>
                <w:szCs w:val="24"/>
              </w:rPr>
              <w:t xml:space="preserve">The value range for the offset O is </w:t>
            </w:r>
            <w:r>
              <w:rPr>
                <w:rFonts w:ascii="Times" w:hAnsi="Times" w:eastAsia="Batang"/>
                <w:strike/>
                <w:color w:val="FF0000"/>
                <w:sz w:val="20"/>
                <w:szCs w:val="24"/>
              </w:rPr>
              <w:t xml:space="preserve">{0 .. </w:t>
            </w:r>
            <w:r>
              <w:rPr>
                <w:rFonts w:ascii="Times" w:hAnsi="Times" w:eastAsia="Batang"/>
                <w:strike/>
                <w:color w:val="FF0000"/>
                <w:sz w:val="20"/>
                <w:szCs w:val="24"/>
                <w:lang w:val="nl-NL"/>
              </w:rPr>
              <w:t>Xp-1}</w:t>
            </w:r>
            <w:r>
              <w:rPr>
                <w:rFonts w:ascii="Times" w:hAnsi="Times" w:eastAsia="Batang"/>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ctrlPr>
                            <w:rPr>
                              <w:rFonts w:ascii="Cambria Math" w:hAnsi="Cambria Math"/>
                              <w:b/>
                              <w:bCs/>
                              <w:i/>
                              <w:color w:val="FF0000"/>
                            </w:rPr>
                          </m:ctrlPr>
                        </m:e>
                        <m:sub>
                          <m:r>
                            <m:rPr>
                              <m:sty m:val="bi"/>
                            </m:rPr>
                            <w:rPr>
                              <w:rFonts w:ascii="Cambria Math" w:hAnsi="Cambria Math"/>
                              <w:color w:val="FF0000"/>
                            </w:rPr>
                            <m:t>p</m:t>
                          </m:r>
                          <m:ctrlPr>
                            <w:rPr>
                              <w:rFonts w:ascii="Cambria Math" w:hAnsi="Cambria Math"/>
                              <w:b/>
                              <w:bCs/>
                              <w:i/>
                              <w:color w:val="FF0000"/>
                            </w:rPr>
                          </m:ctrlP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ctrlPr>
                        <w:rPr>
                          <w:rFonts w:ascii="Cambria Math" w:hAnsi="Cambria Math"/>
                          <w:b/>
                          <w:bCs/>
                          <w:i/>
                          <w:color w:val="FF0000"/>
                        </w:rPr>
                      </m:ctrlPr>
                    </m:num>
                    <m:den>
                      <m:r>
                        <m:rPr>
                          <m:sty m:val="bi"/>
                        </m:rPr>
                        <w:rPr>
                          <w:rFonts w:ascii="Cambria Math" w:hAnsi="Cambria Math"/>
                          <w:color w:val="FF0000"/>
                        </w:rPr>
                        <m:t>4</m:t>
                      </m:r>
                      <m:ctrlPr>
                        <w:rPr>
                          <w:rFonts w:ascii="Cambria Math" w:hAnsi="Cambria Math"/>
                          <w:b/>
                          <w:bCs/>
                          <w:i/>
                          <w:color w:val="FF0000"/>
                        </w:rPr>
                      </m:ctrlPr>
                    </m:den>
                  </m:f>
                  <m:ctrlPr>
                    <w:rPr>
                      <w:rFonts w:ascii="Cambria Math" w:hAnsi="Cambria Math"/>
                      <w:b/>
                      <w:bCs/>
                      <w:i/>
                      <w:color w:val="FF0000"/>
                    </w:rPr>
                  </m:ctrlPr>
                </m:e>
              </m:d>
            </m:oMath>
            <w:r>
              <w:rPr>
                <w:rFonts w:ascii="Times" w:hAnsi="Times" w:eastAsia="Batang"/>
                <w:color w:val="FF0000"/>
                <w:sz w:val="20"/>
                <w:szCs w:val="24"/>
                <w:lang w:val="nl-NL"/>
              </w:rPr>
              <w:t xml:space="preserve">} </w:t>
            </w:r>
            <w:r>
              <w:rPr>
                <w:rFonts w:ascii="Times" w:hAnsi="Times" w:eastAsia="Batang"/>
                <w:sz w:val="20"/>
                <w:szCs w:val="24"/>
                <w:lang w:val="nl-NL"/>
              </w:rPr>
              <w:t>slots</w:t>
            </w:r>
          </w:p>
          <w:p>
            <w:pPr>
              <w:widowControl w:val="0"/>
              <w:numPr>
                <w:ilvl w:val="2"/>
                <w:numId w:val="28"/>
              </w:numPr>
              <w:overflowPunct w:val="0"/>
              <w:ind w:left="2585"/>
              <w:textAlignment w:val="baseline"/>
              <w:rPr>
                <w:rFonts w:ascii="Times" w:hAnsi="Times" w:eastAsia="Batang"/>
                <w:color w:val="FF0000"/>
                <w:sz w:val="20"/>
                <w:szCs w:val="24"/>
              </w:rPr>
            </w:pPr>
            <w:r>
              <w:rPr>
                <w:rFonts w:ascii="Times" w:hAnsi="Times" w:eastAsia="Batang"/>
                <w:color w:val="FF0000"/>
                <w:sz w:val="20"/>
                <w:szCs w:val="24"/>
              </w:rPr>
              <w:t>The configured offset is restricted to be an integer multiple of Xs slots</w:t>
            </w:r>
          </w:p>
          <w:p>
            <w:pPr>
              <w:widowControl w:val="0"/>
              <w:overflowPunct w:val="0"/>
              <w:ind w:left="425"/>
              <w:textAlignment w:val="baseline"/>
              <w:rPr>
                <w:rFonts w:ascii="Times" w:hAnsi="Times" w:eastAsia="Batang"/>
                <w:sz w:val="20"/>
                <w:szCs w:val="24"/>
              </w:rPr>
            </w:pPr>
            <w:r>
              <w:rPr>
                <w:rFonts w:ascii="Times" w:hAnsi="Times" w:eastAsia="Batang"/>
                <w:sz w:val="20"/>
                <w:szCs w:val="24"/>
              </w:rPr>
              <w:t xml:space="preserve">If these are agreed, then it would effectively mean that both the periodicity and offset are restricted to an integer multiple of Xs slots, </w:t>
            </w:r>
            <w:r>
              <w:rPr>
                <w:rFonts w:ascii="Times" w:hAnsi="Times" w:eastAsia="Batang"/>
                <w:sz w:val="20"/>
                <w:szCs w:val="24"/>
                <w:u w:val="single"/>
              </w:rPr>
              <w:t>even for Group (2) SSs</w:t>
            </w:r>
            <w:r>
              <w:rPr>
                <w:rFonts w:ascii="Times" w:hAnsi="Times" w:eastAsia="Batang"/>
                <w:sz w:val="20"/>
                <w:szCs w:val="24"/>
              </w:rPr>
              <w:t xml:space="preserve">. We can agree to that, but ONLY if it is simultaneously agreed that for Group (2), </w:t>
            </w:r>
            <w:r>
              <w:rPr>
                <w:rFonts w:ascii="Times" w:hAnsi="Times" w:eastAsia="Batang"/>
                <w:i/>
                <w:iCs/>
                <w:sz w:val="20"/>
                <w:szCs w:val="24"/>
              </w:rPr>
              <w:t>monitoringSlotsWithinSlotGroup</w:t>
            </w:r>
            <w:r>
              <w:rPr>
                <w:rFonts w:ascii="Times" w:hAnsi="Times" w:eastAsia="Batang"/>
                <w:sz w:val="20"/>
                <w:szCs w:val="24"/>
              </w:rPr>
              <w:t xml:space="preserve"> has no restriction on the number of '1's and position of '1's in the bitmap so as to be compliant with the following agreement from last meeting:</w:t>
            </w:r>
          </w:p>
          <w:p>
            <w:pPr>
              <w:widowControl w:val="0"/>
              <w:autoSpaceDE/>
              <w:autoSpaceDN/>
              <w:adjustRightInd/>
              <w:snapToGrid/>
              <w:spacing w:after="0" w:line="240" w:lineRule="auto"/>
              <w:ind w:left="567"/>
              <w:rPr>
                <w:rFonts w:eastAsia="Batang"/>
                <w:b/>
                <w:sz w:val="20"/>
                <w:szCs w:val="20"/>
                <w:lang w:val="en-GB"/>
              </w:rPr>
            </w:pPr>
            <w:r>
              <w:rPr>
                <w:rFonts w:eastAsia="Batang"/>
                <w:b/>
                <w:sz w:val="20"/>
                <w:szCs w:val="20"/>
                <w:highlight w:val="green"/>
                <w:lang w:val="en-GB"/>
              </w:rPr>
              <w:t>Agreement</w:t>
            </w:r>
          </w:p>
          <w:p>
            <w:pPr>
              <w:widowControl w:val="0"/>
              <w:autoSpaceDE/>
              <w:autoSpaceDN/>
              <w:adjustRightInd/>
              <w:snapToGrid/>
              <w:spacing w:after="0" w:line="240" w:lineRule="auto"/>
              <w:ind w:left="567"/>
              <w:rPr>
                <w:rFonts w:eastAsia="Batang"/>
                <w:sz w:val="20"/>
                <w:szCs w:val="20"/>
                <w:lang w:eastAsia="zh-CN"/>
              </w:rPr>
            </w:pPr>
            <w:r>
              <w:rPr>
                <w:rFonts w:eastAsia="Batang"/>
                <w:sz w:val="20"/>
                <w:szCs w:val="20"/>
                <w:lang w:eastAsia="zh-CN"/>
              </w:rPr>
              <w:t>Clarify earlier agreement as follows:</w:t>
            </w:r>
          </w:p>
          <w:p>
            <w:pPr>
              <w:widowControl w:val="0"/>
              <w:numPr>
                <w:ilvl w:val="0"/>
                <w:numId w:val="30"/>
              </w:numPr>
              <w:overflowPunct w:val="0"/>
              <w:autoSpaceDE/>
              <w:autoSpaceDN/>
              <w:adjustRightInd/>
              <w:snapToGrid/>
              <w:spacing w:after="0" w:line="252" w:lineRule="auto"/>
              <w:ind w:left="1340"/>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within each of the Xs slots of a slot-group</w:t>
            </w:r>
            <w:r>
              <w:rPr>
                <w:rFonts w:eastAsia="Batang"/>
                <w:sz w:val="20"/>
                <w:szCs w:val="20"/>
                <w:lang w:eastAsia="zh-CN"/>
              </w:rPr>
              <w:t>, such that:</w:t>
            </w:r>
          </w:p>
          <w:p>
            <w:pPr>
              <w:widowControl w:val="0"/>
              <w:numPr>
                <w:ilvl w:val="1"/>
                <w:numId w:val="30"/>
              </w:numPr>
              <w:overflowPunct w:val="0"/>
              <w:autoSpaceDE/>
              <w:autoSpaceDN/>
              <w:adjustRightInd/>
              <w:snapToGrid/>
              <w:spacing w:after="0" w:line="252" w:lineRule="auto"/>
              <w:ind w:left="2060"/>
              <w:jc w:val="both"/>
              <w:rPr>
                <w:rFonts w:eastAsia="Batang"/>
                <w:sz w:val="20"/>
                <w:szCs w:val="20"/>
                <w:lang w:eastAsia="zh-CN"/>
              </w:rPr>
            </w:pPr>
            <w:r>
              <w:rPr>
                <w:rFonts w:eastAsia="Batang"/>
                <w:sz w:val="20"/>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pPr>
              <w:widowControl w:val="0"/>
              <w:overflowPunct w:val="0"/>
              <w:textAlignment w:val="baseline"/>
              <w:rPr>
                <w:rFonts w:ascii="Times" w:hAnsi="Times" w:eastAsia="Batang"/>
                <w:sz w:val="20"/>
                <w:szCs w:val="24"/>
              </w:rPr>
            </w:pPr>
          </w:p>
          <w:p>
            <w:pPr>
              <w:widowControl w:val="0"/>
              <w:overflowPunct w:val="0"/>
              <w:ind w:left="425"/>
              <w:textAlignment w:val="baseline"/>
              <w:rPr>
                <w:rFonts w:ascii="Times" w:hAnsi="Times" w:eastAsia="Batang"/>
                <w:sz w:val="20"/>
                <w:szCs w:val="24"/>
              </w:rPr>
            </w:pPr>
            <w:r>
              <w:rPr>
                <w:rFonts w:ascii="Times" w:hAnsi="Times" w:eastAsia="Batang"/>
                <w:sz w:val="20"/>
                <w:szCs w:val="24"/>
              </w:rPr>
              <w:t xml:space="preserve">Hence we can agree to the above only if the following is </w:t>
            </w:r>
            <w:r>
              <w:rPr>
                <w:rFonts w:ascii="Times" w:hAnsi="Times" w:eastAsia="Batang"/>
                <w:color w:val="0070C0"/>
                <w:sz w:val="20"/>
                <w:szCs w:val="24"/>
              </w:rPr>
              <w:t>added</w:t>
            </w:r>
            <w:r>
              <w:rPr>
                <w:rFonts w:ascii="Times" w:hAnsi="Times" w:eastAsia="Batang"/>
                <w:sz w:val="20"/>
                <w:szCs w:val="24"/>
              </w:rPr>
              <w:t>:</w:t>
            </w:r>
          </w:p>
          <w:p>
            <w:pPr>
              <w:widowControl w:val="0"/>
              <w:numPr>
                <w:ilvl w:val="2"/>
                <w:numId w:val="28"/>
              </w:numPr>
              <w:overflowPunct w:val="0"/>
              <w:textAlignment w:val="baseline"/>
              <w:rPr>
                <w:rFonts w:ascii="Times" w:hAnsi="Times" w:eastAsia="Batang"/>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ctrlPr>
                    <w:rPr>
                      <w:rFonts w:ascii="Cambria Math" w:hAnsi="Cambria Math"/>
                      <w:bCs/>
                      <w:i/>
                      <w:color w:val="FF0000"/>
                      <w:sz w:val="20"/>
                      <w:szCs w:val="20"/>
                    </w:rPr>
                  </m:ctrlPr>
                </m:e>
                <m:sub>
                  <m:r>
                    <w:rPr>
                      <w:rFonts w:ascii="Cambria Math" w:hAnsi="Cambria Math"/>
                      <w:color w:val="FF0000"/>
                      <w:sz w:val="20"/>
                      <w:szCs w:val="20"/>
                    </w:rPr>
                    <m:t>s</m:t>
                  </m:r>
                  <m:ctrlPr>
                    <w:rPr>
                      <w:rFonts w:ascii="Cambria Math" w:hAnsi="Cambria Math"/>
                      <w:bCs/>
                      <w:i/>
                      <w:color w:val="FF0000"/>
                      <w:sz w:val="20"/>
                      <w:szCs w:val="20"/>
                    </w:rPr>
                  </m:ctrlPr>
                </m:sub>
              </m:sSub>
            </m:oMath>
            <w:r>
              <w:rPr>
                <w:bCs/>
                <w:color w:val="FF0000"/>
                <w:sz w:val="20"/>
                <w:szCs w:val="20"/>
              </w:rPr>
              <w:t xml:space="preserve"> </w:t>
            </w:r>
            <w:r>
              <w:rPr>
                <w:rFonts w:ascii="Times" w:hAnsi="Times" w:eastAsia="Batang"/>
                <w:color w:val="FF0000"/>
                <w:sz w:val="20"/>
                <w:szCs w:val="24"/>
              </w:rPr>
              <w:t>at least for Group (1) SSs</w:t>
            </w:r>
          </w:p>
          <w:p>
            <w:pPr>
              <w:widowControl w:val="0"/>
              <w:numPr>
                <w:ilvl w:val="2"/>
                <w:numId w:val="28"/>
              </w:numPr>
              <w:overflowPunct w:val="0"/>
              <w:textAlignment w:val="baseline"/>
              <w:rPr>
                <w:rFonts w:ascii="Times" w:hAnsi="Times" w:eastAsia="Batang"/>
                <w:color w:val="0070C0"/>
                <w:sz w:val="20"/>
                <w:szCs w:val="24"/>
              </w:rPr>
            </w:pPr>
            <w:r>
              <w:rPr>
                <w:rFonts w:ascii="Times" w:hAnsi="Times" w:eastAsia="Batang"/>
                <w:color w:val="0070C0"/>
                <w:sz w:val="20"/>
                <w:szCs w:val="24"/>
              </w:rPr>
              <w:t xml:space="preserve">The number of 1s in </w:t>
            </w:r>
            <w:r>
              <w:rPr>
                <w:rFonts w:ascii="Times" w:hAnsi="Times"/>
                <w:i/>
                <w:iCs/>
                <w:color w:val="0070C0"/>
                <w:sz w:val="20"/>
                <w:szCs w:val="24"/>
              </w:rPr>
              <w:t>monitoringSlotsWithinSlotGroup-r17</w:t>
            </w:r>
            <w:r>
              <w:rPr>
                <w:bCs/>
                <w:color w:val="0070C0"/>
                <w:sz w:val="20"/>
                <w:szCs w:val="20"/>
              </w:rPr>
              <w:t xml:space="preserve"> can be up to </w:t>
            </w:r>
            <m:oMath>
              <m:sSub>
                <m:sSubPr>
                  <m:ctrlPr>
                    <w:rPr>
                      <w:rFonts w:ascii="Cambria Math" w:hAnsi="Cambria Math"/>
                      <w:bCs/>
                      <w:i/>
                      <w:color w:val="0070C0"/>
                      <w:sz w:val="20"/>
                      <w:szCs w:val="20"/>
                    </w:rPr>
                  </m:ctrlPr>
                </m:sSubPr>
                <m:e>
                  <m:r>
                    <w:rPr>
                      <w:rFonts w:ascii="Cambria Math" w:hAnsi="Cambria Math"/>
                      <w:color w:val="0070C0"/>
                      <w:sz w:val="20"/>
                      <w:szCs w:val="20"/>
                    </w:rPr>
                    <m:t>X</m:t>
                  </m:r>
                  <m:ctrlPr>
                    <w:rPr>
                      <w:rFonts w:ascii="Cambria Math" w:hAnsi="Cambria Math"/>
                      <w:bCs/>
                      <w:i/>
                      <w:color w:val="0070C0"/>
                      <w:sz w:val="20"/>
                      <w:szCs w:val="20"/>
                    </w:rPr>
                  </m:ctrlPr>
                </m:e>
                <m:sub>
                  <m:r>
                    <w:rPr>
                      <w:rFonts w:ascii="Cambria Math" w:hAnsi="Cambria Math"/>
                      <w:color w:val="0070C0"/>
                      <w:sz w:val="20"/>
                      <w:szCs w:val="20"/>
                    </w:rPr>
                    <m:t>s</m:t>
                  </m:r>
                  <m:ctrlPr>
                    <w:rPr>
                      <w:rFonts w:ascii="Cambria Math" w:hAnsi="Cambria Math"/>
                      <w:bCs/>
                      <w:i/>
                      <w:color w:val="0070C0"/>
                      <w:sz w:val="20"/>
                      <w:szCs w:val="20"/>
                    </w:rPr>
                  </m:ctrlPr>
                </m:sub>
              </m:sSub>
            </m:oMath>
            <w:r>
              <w:rPr>
                <w:bCs/>
                <w:color w:val="0070C0"/>
                <w:sz w:val="20"/>
                <w:szCs w:val="20"/>
              </w:rPr>
              <w:t xml:space="preserve"> </w:t>
            </w:r>
            <w:r>
              <w:rPr>
                <w:rFonts w:ascii="Times" w:hAnsi="Times" w:eastAsia="Batang"/>
                <w:color w:val="0070C0"/>
                <w:sz w:val="20"/>
                <w:szCs w:val="24"/>
              </w:rPr>
              <w:t>for Group (2) SSs and are not restricted to be consecutive</w:t>
            </w:r>
          </w:p>
          <w:p>
            <w:pPr>
              <w:widowControl w:val="0"/>
              <w:rPr>
                <w:sz w:val="20"/>
                <w:lang w:eastAsia="zh-CN"/>
              </w:rPr>
            </w:pPr>
            <w:r>
              <w:rPr>
                <w:sz w:val="20"/>
                <w:u w:val="single"/>
                <w:lang w:eastAsia="zh-CN"/>
              </w:rPr>
              <w:t>Comment #2</w:t>
            </w:r>
            <w:r>
              <w:rPr>
                <w:sz w:val="20"/>
                <w:lang w:eastAsia="zh-CN"/>
              </w:rPr>
              <w:t>:</w:t>
            </w:r>
          </w:p>
          <w:p>
            <w:pPr>
              <w:widowControl w:val="0"/>
              <w:ind w:left="425"/>
              <w:rPr>
                <w:sz w:val="20"/>
                <w:lang w:eastAsia="zh-CN"/>
              </w:rPr>
            </w:pPr>
            <w:r>
              <w:rPr>
                <w:sz w:val="20"/>
                <w:lang w:eastAsia="zh-CN"/>
              </w:rPr>
              <w:t xml:space="preserve">Regarding the following changes for </w:t>
            </w:r>
            <w:r>
              <w:rPr>
                <w:i/>
                <w:iCs/>
                <w:sz w:val="20"/>
                <w:lang w:eastAsia="zh-CN"/>
              </w:rPr>
              <w:t>duration-r17</w:t>
            </w:r>
            <w:r>
              <w:rPr>
                <w:sz w:val="20"/>
                <w:lang w:eastAsia="zh-CN"/>
              </w:rPr>
              <w:t>:</w:t>
            </w:r>
          </w:p>
          <w:p>
            <w:pPr>
              <w:widowControl w:val="0"/>
              <w:numPr>
                <w:ilvl w:val="2"/>
                <w:numId w:val="28"/>
              </w:numPr>
              <w:overflowPunct w:val="0"/>
              <w:textAlignment w:val="baseline"/>
              <w:rPr>
                <w:rFonts w:ascii="Times" w:hAnsi="Times" w:eastAsia="Batang"/>
                <w:color w:val="FF0000"/>
                <w:sz w:val="20"/>
                <w:szCs w:val="24"/>
              </w:rPr>
            </w:pPr>
            <w:r>
              <w:rPr>
                <w:rFonts w:ascii="Times" w:hAnsi="Times" w:eastAsia="Batang"/>
                <w:color w:val="000000"/>
                <w:sz w:val="20"/>
                <w:szCs w:val="24"/>
              </w:rPr>
              <w:t>The value range is {8, 12, …, 20476}</w:t>
            </w:r>
            <w:r>
              <w:rPr>
                <w:rFonts w:ascii="Times" w:hAnsi="Times" w:eastAsia="Batang"/>
                <w:color w:val="FF0000"/>
                <w:sz w:val="20"/>
                <w:szCs w:val="24"/>
              </w:rPr>
              <w:t xml:space="preserve"> at least for Group (1) SSs</w:t>
            </w:r>
          </w:p>
          <w:p>
            <w:pPr>
              <w:widowControl w:val="0"/>
              <w:numPr>
                <w:ilvl w:val="3"/>
                <w:numId w:val="28"/>
              </w:numPr>
              <w:overflowPunct w:val="0"/>
              <w:textAlignment w:val="baseline"/>
              <w:rPr>
                <w:rFonts w:ascii="Times" w:hAnsi="Times" w:eastAsia="Batang"/>
                <w:color w:val="FF0000"/>
                <w:sz w:val="20"/>
                <w:szCs w:val="24"/>
              </w:rPr>
            </w:pPr>
            <w:r>
              <w:rPr>
                <w:rFonts w:ascii="Times" w:hAnsi="Times"/>
                <w:color w:val="FF0000"/>
                <w:sz w:val="20"/>
                <w:szCs w:val="24"/>
              </w:rPr>
              <w:t>FFS: Applicable value if this field is absent</w:t>
            </w:r>
          </w:p>
          <w:p>
            <w:pPr>
              <w:widowControl w:val="0"/>
              <w:ind w:left="425"/>
              <w:rPr>
                <w:rFonts w:ascii="Times" w:hAnsi="Times" w:eastAsia="Batang"/>
                <w:sz w:val="20"/>
                <w:szCs w:val="24"/>
              </w:rPr>
            </w:pPr>
            <w:r>
              <w:rPr>
                <w:sz w:val="20"/>
                <w:lang w:eastAsia="zh-CN"/>
              </w:rPr>
              <w:t xml:space="preserve">Under the condition that </w:t>
            </w:r>
            <w:r>
              <w:rPr>
                <w:rFonts w:ascii="Times" w:hAnsi="Times" w:eastAsia="Batang"/>
                <w:i/>
                <w:iCs/>
                <w:sz w:val="20"/>
                <w:szCs w:val="24"/>
              </w:rPr>
              <w:t>monitoringSlotsWithinSlotGroup</w:t>
            </w:r>
            <w:r>
              <w:rPr>
                <w:rFonts w:ascii="Times" w:hAnsi="Times" w:eastAsia="Batang"/>
                <w:sz w:val="20"/>
                <w:szCs w:val="24"/>
              </w:rPr>
              <w:t xml:space="preserve"> has no restriction on the number of '1's and position of '1's in the bitmap (see Comment #1), then we would be okay to remove "at least for Group (1) SSs" so that periodicity, offset, and duration are all restricted to integer multiple of Xs for both Group (1) and Group (2).</w:t>
            </w:r>
          </w:p>
          <w:p>
            <w:pPr>
              <w:widowControl w:val="0"/>
              <w:ind w:left="425"/>
              <w:rPr>
                <w:rFonts w:ascii="Times" w:hAnsi="Times" w:eastAsia="Batang"/>
                <w:sz w:val="20"/>
                <w:szCs w:val="24"/>
              </w:rPr>
            </w:pPr>
            <w:r>
              <w:rPr>
                <w:rFonts w:ascii="Times" w:hAnsi="Times" w:eastAsia="Batang"/>
                <w:sz w:val="20"/>
                <w:szCs w:val="24"/>
              </w:rPr>
              <w:t xml:space="preserve">Our view on the FFS is that if the field is absent, then the applicable value is the same as the configured length of the bitmap </w:t>
            </w:r>
            <w:r>
              <w:rPr>
                <w:rFonts w:ascii="Times" w:hAnsi="Times" w:eastAsia="Batang"/>
                <w:i/>
                <w:iCs/>
                <w:sz w:val="20"/>
                <w:szCs w:val="24"/>
              </w:rPr>
              <w:t>monitoringSlotsWithinSlotGroup</w:t>
            </w:r>
            <w:r>
              <w:rPr>
                <w:rFonts w:ascii="Times" w:hAnsi="Times" w:eastAsia="Batang"/>
                <w:sz w:val="20"/>
                <w:szCs w:val="24"/>
              </w:rPr>
              <w:t xml:space="preserve"> (i.e., either 4 or 8).</w:t>
            </w:r>
          </w:p>
          <w:p>
            <w:pPr>
              <w:widowControl w:val="0"/>
              <w:ind w:left="425"/>
              <w:rPr>
                <w:rFonts w:ascii="Times" w:hAnsi="Times" w:eastAsia="Batang"/>
                <w:sz w:val="20"/>
                <w:szCs w:val="24"/>
              </w:rPr>
            </w:pPr>
          </w:p>
          <w:p>
            <w:pPr>
              <w:widowControl w:val="0"/>
              <w:rPr>
                <w:rFonts w:ascii="Times" w:hAnsi="Times" w:eastAsia="Batang"/>
                <w:sz w:val="20"/>
                <w:szCs w:val="24"/>
              </w:rPr>
            </w:pPr>
            <w:r>
              <w:rPr>
                <w:rFonts w:ascii="Times" w:hAnsi="Times" w:eastAsia="Batang"/>
                <w:sz w:val="20"/>
                <w:szCs w:val="24"/>
                <w:u w:val="single"/>
              </w:rPr>
              <w:t>Comment #3</w:t>
            </w:r>
            <w:r>
              <w:rPr>
                <w:rFonts w:ascii="Times" w:hAnsi="Times" w:eastAsia="Batang"/>
                <w:sz w:val="20"/>
                <w:szCs w:val="24"/>
              </w:rPr>
              <w:t>:</w:t>
            </w:r>
          </w:p>
          <w:p>
            <w:pPr>
              <w:widowControl w:val="0"/>
              <w:ind w:left="425"/>
              <w:rPr>
                <w:sz w:val="20"/>
                <w:lang w:eastAsia="zh-CN"/>
              </w:rPr>
            </w:pPr>
            <w:r>
              <w:rPr>
                <w:sz w:val="20"/>
                <w:lang w:eastAsia="zh-CN"/>
              </w:rPr>
              <w:t xml:space="preserve">Agree with Samsung that the following description of the </w:t>
            </w:r>
            <w:r>
              <w:rPr>
                <w:i/>
                <w:iCs/>
                <w:sz w:val="20"/>
                <w:lang w:eastAsia="zh-CN"/>
              </w:rPr>
              <w:t>duration-r17</w:t>
            </w:r>
            <w:r>
              <w:rPr>
                <w:sz w:val="20"/>
                <w:lang w:eastAsia="zh-CN"/>
              </w:rPr>
              <w:t xml:space="preserve"> parameter still needs some work.</w:t>
            </w:r>
          </w:p>
          <w:p>
            <w:pPr>
              <w:widowControl w:val="0"/>
              <w:numPr>
                <w:ilvl w:val="2"/>
                <w:numId w:val="28"/>
              </w:numPr>
              <w:overflowPunct w:val="0"/>
              <w:textAlignment w:val="baseline"/>
              <w:rPr>
                <w:rFonts w:ascii="Times" w:hAnsi="Times" w:eastAsia="Batang"/>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pPr>
              <w:widowControl w:val="0"/>
              <w:ind w:left="425"/>
              <w:rPr>
                <w:sz w:val="20"/>
                <w:lang w:eastAsia="zh-CN"/>
              </w:rPr>
            </w:pPr>
            <w:r>
              <w:rPr>
                <w:sz w:val="20"/>
                <w:lang w:eastAsia="zh-CN"/>
              </w:rPr>
              <w:t xml:space="preserve">Instead, wouldn't it make sense to define the duration such that the "configured number of slots for </w:t>
            </w:r>
            <w:r>
              <w:rPr>
                <w:i/>
                <w:iCs/>
                <w:sz w:val="20"/>
                <w:lang w:eastAsia="zh-CN"/>
              </w:rPr>
              <w:t>duration-r17</w:t>
            </w:r>
            <w:r>
              <w:rPr>
                <w:sz w:val="20"/>
                <w:lang w:eastAsia="zh-CN"/>
              </w:rPr>
              <w:t xml:space="preserve"> corresponds to the number of consecutive slot groups in which monitoring is performed within a period"?</w:t>
            </w:r>
          </w:p>
          <w:p>
            <w:pPr>
              <w:widowControl w:val="0"/>
              <w:rPr>
                <w:sz w:val="20"/>
                <w:lang w:eastAsia="zh-CN"/>
              </w:rPr>
            </w:pPr>
          </w:p>
          <w:p>
            <w:pPr>
              <w:widowControl w:val="0"/>
              <w:rPr>
                <w:sz w:val="20"/>
                <w:lang w:eastAsia="zh-CN"/>
              </w:rPr>
            </w:pPr>
            <w:r>
              <w:rPr>
                <w:sz w:val="20"/>
                <w:u w:val="single"/>
                <w:lang w:eastAsia="zh-CN"/>
              </w:rPr>
              <w:t>Comment #4</w:t>
            </w:r>
            <w:r>
              <w:rPr>
                <w:sz w:val="20"/>
                <w:lang w:eastAsia="zh-CN"/>
              </w:rPr>
              <w:t>:</w:t>
            </w:r>
          </w:p>
          <w:p>
            <w:pPr>
              <w:widowControl w:val="0"/>
              <w:ind w:left="425"/>
              <w:rPr>
                <w:sz w:val="20"/>
                <w:lang w:eastAsia="zh-CN"/>
              </w:rPr>
            </w:pPr>
            <w:r>
              <w:rPr>
                <w:sz w:val="20"/>
                <w:lang w:eastAsia="zh-CN"/>
              </w:rPr>
              <w:t>We are suggest the following change for clarity:</w:t>
            </w:r>
          </w:p>
          <w:p>
            <w:pPr>
              <w:widowControl w:val="0"/>
              <w:numPr>
                <w:ilvl w:val="2"/>
                <w:numId w:val="28"/>
              </w:numPr>
              <w:rPr>
                <w:rFonts w:ascii="Times" w:hAnsi="Times"/>
                <w:color w:val="000000"/>
                <w:sz w:val="20"/>
                <w:szCs w:val="24"/>
              </w:rPr>
            </w:pPr>
            <w:r>
              <w:rPr>
                <w:rFonts w:ascii="Times" w:hAnsi="Times"/>
                <w:color w:val="FF0000"/>
                <w:sz w:val="20"/>
                <w:szCs w:val="24"/>
              </w:rPr>
              <w:t xml:space="preserve">The size is Xs bits, where Xs is </w:t>
            </w:r>
            <w:r>
              <w:rPr>
                <w:rFonts w:ascii="Times" w:hAnsi="Times"/>
                <w:strike/>
                <w:color w:val="0070C0"/>
                <w:sz w:val="20"/>
                <w:szCs w:val="24"/>
              </w:rPr>
              <w:t>either</w:t>
            </w:r>
            <w:r>
              <w:rPr>
                <w:rFonts w:ascii="Times" w:hAnsi="Times"/>
                <w:color w:val="0070C0"/>
                <w:sz w:val="20"/>
                <w:szCs w:val="24"/>
              </w:rPr>
              <w:t xml:space="preserve"> configurable as </w:t>
            </w:r>
            <w:r>
              <w:rPr>
                <w:rFonts w:ascii="Times" w:hAnsi="Times"/>
                <w:color w:val="FF0000"/>
                <w:sz w:val="20"/>
                <w:szCs w:val="24"/>
              </w:rPr>
              <w:t>4 or 8</w:t>
            </w:r>
          </w:p>
          <w:p>
            <w:pPr>
              <w:widowControl w:val="0"/>
              <w:ind w:left="425"/>
              <w:rPr>
                <w:sz w:val="20"/>
                <w:lang w:eastAsia="zh-CN"/>
              </w:rPr>
            </w:pPr>
            <w:r>
              <w:rPr>
                <w:sz w:val="20"/>
                <w:lang w:eastAsia="zh-CN"/>
              </w:rPr>
              <w:t xml:space="preserve">Regarding MediaTek's question on how to determine Xs. In our view, in terms of the configuration of an individual search space, it would make sense that Xs is given by the configured length of the bitmap </w:t>
            </w:r>
            <w:r>
              <w:rPr>
                <w:i/>
                <w:iCs/>
                <w:sz w:val="20"/>
                <w:lang w:eastAsia="zh-CN"/>
              </w:rPr>
              <w:t>monitoringSymbolsWithinSlot</w:t>
            </w:r>
            <w:r>
              <w:rPr>
                <w:sz w:val="20"/>
                <w:lang w:eastAsia="zh-CN"/>
              </w:rPr>
              <w:t>. To answer the second part of MediaTek's question, we don't think this resolves issue A1-3. That is a separate question, since from a UE perspective, if the UE reports capability for more than one value Xs for a given SCS, then it is needed to look over all configured search spaces to determine what is the "effective Xs" to which all search spaces comply. This "effective Xs" is the one that the UE would use to determine search space dropping if overbooking is employed. This can be done either (1) by explicit configuration with a separate RRC parameter (outside of the search space configuration) – this is our preference, or (2) a rule in the spec as proposed by some other companies, but this rule needs discussion. We think (1) is simpler, since the gNB must configure search spaces in such a way to comply with the UEs indicated capability, so the gNB is in a position to indicate what "effective Xs" for the UE to use.</w:t>
            </w:r>
          </w:p>
          <w:p>
            <w:pPr>
              <w:widowControl w:val="0"/>
              <w:ind w:left="425"/>
              <w:rPr>
                <w:sz w:val="20"/>
                <w:lang w:eastAsia="zh-CN"/>
              </w:rPr>
            </w:pPr>
          </w:p>
          <w:p>
            <w:pPr>
              <w:widowControl w:val="0"/>
              <w:rPr>
                <w:sz w:val="20"/>
                <w:lang w:eastAsia="zh-CN"/>
              </w:rPr>
            </w:pPr>
            <w:r>
              <w:rPr>
                <w:sz w:val="20"/>
                <w:u w:val="single"/>
                <w:lang w:eastAsia="zh-CN"/>
              </w:rPr>
              <w:t>Comment #5</w:t>
            </w:r>
            <w:r>
              <w:rPr>
                <w:sz w:val="20"/>
                <w:lang w:eastAsia="zh-CN"/>
              </w:rPr>
              <w:t>:</w:t>
            </w:r>
          </w:p>
          <w:p>
            <w:pPr>
              <w:widowControl w:val="0"/>
              <w:ind w:left="425"/>
              <w:rPr>
                <w:sz w:val="20"/>
                <w:lang w:eastAsia="zh-CN"/>
              </w:rPr>
            </w:pPr>
            <w:r>
              <w:rPr>
                <w:sz w:val="20"/>
                <w:lang w:eastAsia="zh-CN"/>
              </w:rPr>
              <w:t>Regarding the following for the monitoringSlotsWithinSlotGroup-r17 parameter:</w:t>
            </w:r>
          </w:p>
          <w:p>
            <w:pPr>
              <w:widowControl w:val="0"/>
              <w:ind w:left="425"/>
              <w:rPr>
                <w:sz w:val="20"/>
                <w:lang w:eastAsia="zh-CN"/>
              </w:rPr>
            </w:pPr>
            <w:r>
              <w:rPr>
                <w:rFonts w:ascii="Times" w:hAnsi="Times" w:eastAsia="Times New Roman"/>
                <w:color w:val="FF0000"/>
                <w:sz w:val="20"/>
                <w:szCs w:val="24"/>
              </w:rPr>
              <w:t>FFS: Applicable value if this field is absent</w:t>
            </w:r>
          </w:p>
          <w:p>
            <w:pPr>
              <w:widowControl w:val="0"/>
              <w:ind w:left="425"/>
              <w:rPr>
                <w:sz w:val="20"/>
                <w:lang w:eastAsia="zh-CN"/>
              </w:rPr>
            </w:pPr>
            <w:r>
              <w:rPr>
                <w:sz w:val="20"/>
                <w:lang w:eastAsia="zh-CN"/>
              </w:rPr>
              <w:t>This seems to imply that the field can be absent. However, we think that the higher level question is whether or not the field can be absent. In our view, it makes more sense that it is always present since this parameter is an integral part of configuring a search space. Fundamentally 4 things are required in order to locate the MOs, especially when some parameters are restricted to an integer multiple of Xs: periodicity, offset, duration, and monitoringSlotsWithinSlotGroup.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lang w:eastAsia="zh-CN"/>
              </w:rPr>
              <w:t>Qualcomm</w:t>
            </w:r>
          </w:p>
        </w:tc>
        <w:tc>
          <w:tcPr>
            <w:tcW w:w="12176" w:type="dxa"/>
            <w:vAlign w:val="center"/>
          </w:tcPr>
          <w:p>
            <w:pPr>
              <w:widowControl w:val="0"/>
              <w:rPr>
                <w:lang w:eastAsia="zh-CN"/>
              </w:rPr>
            </w:pPr>
            <w:r>
              <w:rPr>
                <w:lang w:eastAsia="zh-CN"/>
              </w:rPr>
              <w:t>We are fine with the proposal.</w:t>
            </w:r>
          </w:p>
          <w:p>
            <w:pPr>
              <w:widowControl w:val="0"/>
              <w:rPr>
                <w:lang w:eastAsia="zh-CN"/>
              </w:rPr>
            </w:pPr>
            <w:r>
              <w:rPr>
                <w:lang w:eastAsia="zh-CN"/>
              </w:rPr>
              <w:t xml:space="preserve">In particular for the bitmap size of </w:t>
            </w:r>
            <w:r>
              <w:rPr>
                <w:i/>
                <w:iCs/>
                <w:lang w:eastAsia="zh-CN"/>
              </w:rPr>
              <w:t>monitorinSlotWithinSlotGroup</w:t>
            </w:r>
            <w:r>
              <w:rPr>
                <w:lang w:eastAsia="zh-CN"/>
              </w:rPr>
              <w:t xml:space="preserve">, we think the size should be variable, i.e., 4 or 8 bits. Otherwise, when </w:t>
            </w:r>
            <w:r>
              <w:rPr>
                <w:i/>
                <w:iCs/>
                <w:lang w:eastAsia="zh-CN"/>
              </w:rPr>
              <w:t>duration-r17</w:t>
            </w:r>
            <w:r>
              <w:rPr>
                <w:lang w:eastAsia="zh-CN"/>
              </w:rPr>
              <w:t xml:space="preserve"> is configured, there could be ambiguity in the configuration of MOs. For example, in the figure below, periodicity = 32 slots, duration = 16 slots, and </w:t>
            </w:r>
            <w:r>
              <w:rPr>
                <w:i/>
                <w:iCs/>
                <w:lang w:eastAsia="zh-CN"/>
              </w:rPr>
              <w:t>monitoringSlotWithinSlotGroup</w:t>
            </w:r>
            <w:r>
              <w:rPr>
                <w:lang w:eastAsia="zh-CN"/>
              </w:rPr>
              <w:t xml:space="preserve"> = ‘10000000’. If we assume Xs = 8, the MO configuration as the upper one in the following figure is obtained. However, if we assume Xs=4 and only the first 4 bits of the bitmap are used, the MO configuration as the bottom one in the following figure is obtained. Therefore, to avoid the ambiguity, the assumed value of Xs should be implicitly indicated by the bitmap size of </w:t>
            </w:r>
            <w:r>
              <w:rPr>
                <w:i/>
                <w:iCs/>
                <w:lang w:eastAsia="zh-CN"/>
              </w:rPr>
              <w:t>monitoringSlotWithinSlotGroup</w:t>
            </w:r>
            <w:r>
              <w:rPr>
                <w:lang w:eastAsia="zh-CN"/>
              </w:rPr>
              <w:t>.</w:t>
            </w:r>
          </w:p>
          <w:p>
            <w:pPr>
              <w:widowControl w:val="0"/>
              <w:rPr>
                <w:lang w:eastAsia="zh-CN"/>
              </w:rPr>
            </w:pPr>
            <w:r>
              <w:rPr>
                <w:lang w:eastAsia="zh-CN"/>
              </w:rPr>
              <w:t>Note that the implicit indication of Xs is per SS set and separated from the discussion in A1-3. For example, even if a BWP is determined to use (Xs,Ys) = (4,1) according to Proposal A1-3.1, at least one SS set in the BWP may be configured with an 8-bit bitmap, while others are with a 4-bit bitmap.</w:t>
            </w:r>
          </w:p>
          <w:p>
            <w:pPr>
              <w:widowControl w:val="0"/>
              <w:rPr>
                <w:sz w:val="20"/>
                <w:lang w:eastAsia="zh-CN"/>
              </w:rPr>
            </w:pPr>
            <w:r>
              <w:object>
                <v:shape id="_x0000_i1034" o:spt="75" type="#_x0000_t75" style="height:78.75pt;width:591.75pt;" o:ole="t" filled="f" o:preferrelative="t" stroked="f" coordsize="21600,21600">
                  <v:path/>
                  <v:fill on="f" focussize="0,0"/>
                  <v:stroke on="f" joinstyle="miter"/>
                  <v:imagedata r:id="rId36" o:title=""/>
                  <o:lock v:ext="edit" aspectratio="t"/>
                  <w10:wrap type="none"/>
                  <w10:anchorlock/>
                </v:shape>
                <o:OLEObject Type="Embed" ProgID="Visio.Drawing.15" ShapeID="_x0000_i1034" DrawAspect="Content" ObjectID="_1468075734" r:id="rId35">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LG Electronics</w:t>
            </w:r>
          </w:p>
        </w:tc>
        <w:tc>
          <w:tcPr>
            <w:tcW w:w="12176" w:type="dxa"/>
            <w:vAlign w:val="center"/>
          </w:tcPr>
          <w:p>
            <w:pPr>
              <w:widowControl w:val="0"/>
              <w:rPr>
                <w:lang w:eastAsia="zh-CN"/>
              </w:rPr>
            </w:pPr>
            <w:r>
              <w:rPr>
                <w:lang w:eastAsia="zh-CN"/>
              </w:rPr>
              <w:t>Regarding the periodicity, we agree with FL’s revised version, i.e., removing some values not an integer multiple of Xs from the list of supported periodicity values.</w:t>
            </w:r>
          </w:p>
          <w:p>
            <w:pPr>
              <w:widowControl w:val="0"/>
              <w:rPr>
                <w:lang w:eastAsia="zh-CN"/>
              </w:rPr>
            </w:pPr>
            <w:r>
              <w:rPr>
                <w:lang w:eastAsia="zh-CN"/>
              </w:rPr>
              <w:t>Regarding the offset, we prefer to keep the previous agreement that the value range for the offset O is {0 .. Xp-1} slots.</w:t>
            </w:r>
          </w:p>
          <w:p>
            <w:pPr>
              <w:widowControl w:val="0"/>
              <w:rPr>
                <w:lang w:eastAsia="zh-CN"/>
              </w:rPr>
            </w:pPr>
            <w:r>
              <w:rPr>
                <w:lang w:eastAsia="zh-CN"/>
              </w:rPr>
              <w:t xml:space="preserve">Regarding the </w:t>
            </w:r>
            <w:r>
              <w:rPr>
                <w:i/>
                <w:lang w:eastAsia="zh-CN"/>
              </w:rPr>
              <w:t>duration-r17</w:t>
            </w:r>
            <w:r>
              <w:rPr>
                <w:lang w:eastAsia="zh-CN"/>
              </w:rPr>
              <w:t xml:space="preserve">, </w:t>
            </w:r>
          </w:p>
          <w:p>
            <w:pPr>
              <w:pStyle w:val="82"/>
              <w:widowControl w:val="0"/>
              <w:numPr>
                <w:ilvl w:val="0"/>
                <w:numId w:val="31"/>
              </w:numPr>
              <w:rPr>
                <w:color w:val="000000" w:themeColor="text1"/>
                <w:lang w:eastAsia="zh-CN"/>
                <w14:textFill>
                  <w14:solidFill>
                    <w14:schemeClr w14:val="tx1"/>
                  </w14:solidFill>
                </w14:textFill>
              </w:rPr>
            </w:pPr>
            <w:r>
              <w:rPr>
                <w:lang w:eastAsia="zh-CN"/>
              </w:rPr>
              <w:t xml:space="preserve">The definition of </w:t>
            </w:r>
            <w:r>
              <w:rPr>
                <w:rFonts w:ascii="Times New Roman" w:hAnsi="Times New Roman"/>
                <w:color w:val="000000" w:themeColor="text1"/>
                <w:lang w:eastAsia="zh-CN"/>
                <w14:textFill>
                  <w14:solidFill>
                    <w14:schemeClr w14:val="tx1"/>
                  </w14:solidFill>
                </w14:textFill>
              </w:rPr>
              <w:t xml:space="preserve">“This field indicates the number of consecutive slots where a SearchSpace exists” may not be </w:t>
            </w:r>
            <w:r>
              <w:rPr>
                <w:color w:val="000000" w:themeColor="text1"/>
                <w:lang w:eastAsia="zh-CN"/>
                <w14:textFill>
                  <w14:solidFill>
                    <w14:schemeClr w14:val="tx1"/>
                  </w14:solidFill>
                </w14:textFill>
              </w:rPr>
              <w:t>sufficient</w:t>
            </w:r>
            <w:r>
              <w:rPr>
                <w:rFonts w:ascii="Times New Roman" w:hAnsi="Times New Roman"/>
                <w:color w:val="000000" w:themeColor="text1"/>
                <w:lang w:eastAsia="zh-CN"/>
                <w14:textFill>
                  <w14:solidFill>
                    <w14:schemeClr w14:val="tx1"/>
                  </w14:solidFill>
                </w14:textFill>
              </w:rPr>
              <w:t>.</w:t>
            </w:r>
            <w:r>
              <w:rPr>
                <w:color w:val="000000" w:themeColor="text1"/>
                <w:lang w:eastAsia="zh-CN"/>
                <w14:textFill>
                  <w14:solidFill>
                    <w14:schemeClr w14:val="tx1"/>
                  </w14:solidFill>
                </w14:textFill>
              </w:rPr>
              <w:t xml:space="preserve"> In order to accurately indicate the monitoring slot within the period, the </w:t>
            </w:r>
            <w:r>
              <w:rPr>
                <w:i/>
                <w:lang w:eastAsia="zh-CN"/>
              </w:rPr>
              <w:t xml:space="preserve">duration-r17 </w:t>
            </w:r>
            <w:r>
              <w:rPr>
                <w:color w:val="000000" w:themeColor="text1"/>
                <w:lang w:eastAsia="zh-CN"/>
                <w14:textFill>
                  <w14:solidFill>
                    <w14:schemeClr w14:val="tx1"/>
                  </w14:solidFill>
                </w14:textFill>
              </w:rPr>
              <w:t xml:space="preserve">should be defined as a consecutive candidate slots in which SearchSpace can exist, and the actual monitoring slot position among these candidate slots should be indicated with a bitmap </w:t>
            </w:r>
            <w:r>
              <w:rPr>
                <w:i/>
                <w:color w:val="000000" w:themeColor="text1"/>
                <w:lang w:eastAsia="zh-CN"/>
                <w14:textFill>
                  <w14:solidFill>
                    <w14:schemeClr w14:val="tx1"/>
                  </w14:solidFill>
                </w14:textFill>
              </w:rPr>
              <w:t>monitoringSlotsWithinSlotGroup-r17</w:t>
            </w:r>
            <w:r>
              <w:rPr>
                <w:color w:val="000000" w:themeColor="text1"/>
                <w:lang w:eastAsia="zh-CN"/>
                <w14:textFill>
                  <w14:solidFill>
                    <w14:schemeClr w14:val="tx1"/>
                  </w14:solidFill>
                </w14:textFill>
              </w:rPr>
              <w:t xml:space="preserve">. </w:t>
            </w:r>
          </w:p>
          <w:p>
            <w:pPr>
              <w:pStyle w:val="82"/>
              <w:widowControl w:val="0"/>
              <w:numPr>
                <w:ilvl w:val="0"/>
                <w:numId w:val="31"/>
              </w:numPr>
              <w:rPr>
                <w:lang w:eastAsia="zh-CN"/>
              </w:rPr>
            </w:pPr>
            <w:r>
              <w:rPr>
                <w:color w:val="000000" w:themeColor="text1"/>
                <w:lang w:eastAsia="zh-CN"/>
                <w14:textFill>
                  <w14:solidFill>
                    <w14:schemeClr w14:val="tx1"/>
                  </w14:solidFill>
                </w14:textFill>
              </w:rPr>
              <w:t>F</w:t>
            </w:r>
            <w:r>
              <w:rPr>
                <w:lang w:eastAsia="zh-CN"/>
              </w:rPr>
              <w:t xml:space="preserve">or the default value of </w:t>
            </w:r>
            <w:r>
              <w:rPr>
                <w:i/>
                <w:lang w:eastAsia="zh-CN"/>
              </w:rPr>
              <w:t>duration-r17</w:t>
            </w:r>
            <w:r>
              <w:rPr>
                <w:lang w:eastAsia="zh-CN"/>
              </w:rPr>
              <w:t xml:space="preserve">, it is questionable whether the default duration of the SS set in which </w:t>
            </w:r>
            <w:r>
              <w:rPr>
                <w:i/>
                <w:lang w:eastAsia="zh-CN"/>
              </w:rPr>
              <w:t>duration-r17</w:t>
            </w:r>
            <w:r>
              <w:rPr>
                <w:lang w:eastAsia="zh-CN"/>
              </w:rPr>
              <w:t xml:space="preserve"> is not configured for UE operating with 960kHz SCS should still be 4 slots.</w:t>
            </w:r>
          </w:p>
          <w:p>
            <w:pPr>
              <w:widowControl w:val="0"/>
              <w:rPr>
                <w:lang w:eastAsia="zh-CN"/>
              </w:rPr>
            </w:pPr>
            <w:r>
              <w:rPr>
                <w:lang w:eastAsia="zh-CN"/>
              </w:rPr>
              <w:t xml:space="preserve">Regarding </w:t>
            </w:r>
            <w:r>
              <w:rPr>
                <w:i/>
                <w:color w:val="000000" w:themeColor="text1"/>
                <w:lang w:eastAsia="zh-CN"/>
                <w14:textFill>
                  <w14:solidFill>
                    <w14:schemeClr w14:val="tx1"/>
                  </w14:solidFill>
                </w14:textFill>
              </w:rPr>
              <w:t>monitoringSlotsWithinSlotGroup-r17</w:t>
            </w:r>
            <w:r>
              <w:rPr>
                <w:lang w:eastAsia="zh-CN"/>
              </w:rPr>
              <w:t xml:space="preserve">, </w:t>
            </w:r>
          </w:p>
          <w:p>
            <w:pPr>
              <w:pStyle w:val="82"/>
              <w:widowControl w:val="0"/>
              <w:numPr>
                <w:ilvl w:val="0"/>
                <w:numId w:val="32"/>
              </w:numPr>
              <w:rPr>
                <w:lang w:eastAsia="zh-CN"/>
              </w:rPr>
            </w:pPr>
            <w:r>
              <w:rPr>
                <w:lang w:eastAsia="zh-CN"/>
              </w:rPr>
              <w:t>We prefer to keep the bitwidth as 8 from the last meeting and the leftmost 4 bits can be valid for (Xs,Ys)=(4,Ys) combinations.</w:t>
            </w:r>
          </w:p>
          <w:p>
            <w:pPr>
              <w:pStyle w:val="82"/>
              <w:widowControl w:val="0"/>
              <w:numPr>
                <w:ilvl w:val="0"/>
                <w:numId w:val="32"/>
              </w:numPr>
              <w:rPr>
                <w:lang w:eastAsia="zh-CN"/>
              </w:rPr>
            </w:pPr>
            <w:r>
              <w:rPr>
                <w:lang w:eastAsia="zh-CN"/>
              </w:rPr>
              <w:t xml:space="preserve">We are not sure that “The number of 1s in </w:t>
            </w:r>
            <w:r>
              <w:rPr>
                <w:i/>
                <w:lang w:eastAsia="zh-CN"/>
              </w:rPr>
              <w:t xml:space="preserve">monitoringSlotsWithinSlotGroup-r17 </w:t>
            </w:r>
            <w:r>
              <w:rPr>
                <w:lang w:eastAsia="zh-CN"/>
              </w:rPr>
              <w:t xml:space="preserve">should be no larger than </w:t>
            </w:r>
            <m:oMath>
              <m:sSub>
                <m:sSubPr>
                  <m:ctrlPr>
                    <w:rPr>
                      <w:rFonts w:ascii="Cambria Math" w:hAnsi="Cambria Math"/>
                      <w:bCs/>
                      <w:i/>
                      <w:sz w:val="20"/>
                      <w:szCs w:val="20"/>
                    </w:rPr>
                  </m:ctrlPr>
                </m:sSubPr>
                <m:e>
                  <m:r>
                    <w:rPr>
                      <w:rFonts w:ascii="Cambria Math" w:hAnsi="Cambria Math"/>
                      <w:sz w:val="20"/>
                      <w:szCs w:val="20"/>
                    </w:rPr>
                    <m:t>Y</m:t>
                  </m:r>
                  <m:ctrlPr>
                    <w:rPr>
                      <w:rFonts w:ascii="Cambria Math" w:hAnsi="Cambria Math"/>
                      <w:bCs/>
                      <w:i/>
                      <w:sz w:val="20"/>
                      <w:szCs w:val="20"/>
                    </w:rPr>
                  </m:ctrlPr>
                </m:e>
                <m:sub>
                  <m:r>
                    <w:rPr>
                      <w:rFonts w:ascii="Cambria Math" w:hAnsi="Cambria Math"/>
                      <w:sz w:val="20"/>
                      <w:szCs w:val="20"/>
                    </w:rPr>
                    <m:t>s</m:t>
                  </m:r>
                  <m:ctrlPr>
                    <w:rPr>
                      <w:rFonts w:ascii="Cambria Math" w:hAnsi="Cambria Math"/>
                      <w:bCs/>
                      <w:i/>
                      <w:sz w:val="20"/>
                      <w:szCs w:val="20"/>
                    </w:rPr>
                  </m:ctrlPr>
                </m:sub>
              </m:sSub>
            </m:oMath>
            <w:r>
              <w:rPr>
                <w:lang w:eastAsia="zh-CN"/>
              </w:rPr>
              <w:t xml:space="preserve"> at least for Group (1) SSs” needs to be agreed separately. If the number of 1's in this bitmap is greater than </w:t>
            </w:r>
            <m:oMath>
              <m:sSub>
                <m:sSubPr>
                  <m:ctrlPr>
                    <w:rPr>
                      <w:rFonts w:ascii="Cambria Math" w:hAnsi="Cambria Math"/>
                      <w:bCs/>
                      <w:i/>
                      <w:sz w:val="20"/>
                      <w:szCs w:val="20"/>
                    </w:rPr>
                  </m:ctrlPr>
                </m:sSubPr>
                <m:e>
                  <m:r>
                    <w:rPr>
                      <w:rFonts w:ascii="Cambria Math" w:hAnsi="Cambria Math"/>
                      <w:sz w:val="20"/>
                      <w:szCs w:val="20"/>
                    </w:rPr>
                    <m:t>Y</m:t>
                  </m:r>
                  <m:ctrlPr>
                    <w:rPr>
                      <w:rFonts w:ascii="Cambria Math" w:hAnsi="Cambria Math"/>
                      <w:bCs/>
                      <w:i/>
                      <w:sz w:val="20"/>
                      <w:szCs w:val="20"/>
                    </w:rPr>
                  </m:ctrlPr>
                </m:e>
                <m:sub>
                  <m:r>
                    <w:rPr>
                      <w:rFonts w:ascii="Cambria Math" w:hAnsi="Cambria Math"/>
                      <w:sz w:val="20"/>
                      <w:szCs w:val="20"/>
                    </w:rPr>
                    <m:t>s</m:t>
                  </m:r>
                  <m:ctrlPr>
                    <w:rPr>
                      <w:rFonts w:ascii="Cambria Math" w:hAnsi="Cambria Math"/>
                      <w:bCs/>
                      <w:i/>
                      <w:sz w:val="20"/>
                      <w:szCs w:val="20"/>
                    </w:rPr>
                  </m:ctrlPr>
                </m:sub>
              </m:sSub>
            </m:oMath>
            <w:r>
              <w:rPr>
                <w:lang w:eastAsia="zh-CN"/>
              </w:rPr>
              <w:t>, the UE could handle it as mis-configuration.</w:t>
            </w:r>
          </w:p>
          <w:p>
            <w:pPr>
              <w:pStyle w:val="82"/>
              <w:widowControl w:val="0"/>
              <w:numPr>
                <w:ilvl w:val="0"/>
                <w:numId w:val="32"/>
              </w:numPr>
              <w:rPr>
                <w:lang w:eastAsia="zh-CN"/>
              </w:rPr>
            </w:pPr>
            <w:r>
              <w:rPr>
                <w:lang w:eastAsia="zh-CN"/>
              </w:rPr>
              <w:t xml:space="preserve">For the default value if this field is absent, we think the value of ‘10000000’ should be enough. In addition, for the mandatorily supported (Xs,Ys) combinations with Ys=1, this field can be absent. For these combinations, the monitoring slot within a period can be determined by offset given in </w:t>
            </w:r>
            <w:r>
              <w:rPr>
                <w:i/>
                <w:lang w:eastAsia="zh-CN"/>
              </w:rPr>
              <w:t>monitoringPeriodicityAndOffset-r17</w:t>
            </w:r>
            <w:r>
              <w:rPr>
                <w:lang w:eastAsia="zh-CN"/>
              </w:rPr>
              <w:t>.</w:t>
            </w:r>
          </w:p>
          <w:p>
            <w:pPr>
              <w:widowControl w:val="0"/>
              <w:rPr>
                <w:lang w:eastAsia="zh-CN"/>
              </w:rPr>
            </w:pPr>
          </w:p>
          <w:p>
            <w:pPr>
              <w:widowControl w:val="0"/>
              <w:rPr>
                <w:lang w:eastAsia="ko-KR"/>
              </w:rPr>
            </w:pPr>
            <w:r>
              <w:rPr>
                <w:lang w:eastAsia="zh-CN"/>
              </w:rPr>
              <w:t>Regarding the Qualcomm’s comment of “the implicit indication of Xs is per SS set and separated from the discussion in A1-3”, it is unclear to us that the meaning of configuration with an 8-bit bitmap for a BWP whose (Xs,Ys) is determined to use (4,1). Does the 8-bit bitmap indicate MOs over two consecutive slot-groups operating in (Xs,Ys)=(4,1)?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Sharp</w:t>
            </w:r>
          </w:p>
        </w:tc>
        <w:tc>
          <w:tcPr>
            <w:tcW w:w="12176" w:type="dxa"/>
            <w:vAlign w:val="center"/>
          </w:tcPr>
          <w:p>
            <w:pPr>
              <w:widowControl w:val="0"/>
              <w:rPr>
                <w:rFonts w:eastAsia="MS Mincho"/>
                <w:lang w:eastAsia="ja-JP"/>
              </w:rPr>
            </w:pPr>
            <w:r>
              <w:rPr>
                <w:rFonts w:eastAsia="MS Mincho"/>
                <w:lang w:eastAsia="ja-JP"/>
              </w:rPr>
              <w:t xml:space="preserve">The offset should be set as a multiple of Xs, since Ys is the number of consecutive slots in Xs,. </w:t>
            </w:r>
          </w:p>
          <w:p>
            <w:pPr>
              <w:widowControl w:val="0"/>
              <w:rPr>
                <w:lang w:eastAsia="zh-CN"/>
              </w:rPr>
            </w:pPr>
            <w:r>
              <w:rPr>
                <w:rFonts w:eastAsia="MS Mincho"/>
                <w:lang w:eastAsia="ja-JP"/>
              </w:rPr>
              <w:t xml:space="preserve">Therefore, we don't need </w:t>
            </w:r>
            <m:oMath>
              <m:r>
                <m:rPr>
                  <m:sty m:val="p"/>
                </m:rPr>
                <w:rPr>
                  <w:rFonts w:ascii="Cambria Math" w:hAnsi="Cambria Math"/>
                  <w:color w:val="000000" w:themeColor="text1"/>
                  <w14:textFill>
                    <w14:solidFill>
                      <w14:schemeClr w14:val="tx1"/>
                    </w14:solidFill>
                  </w14:textFill>
                </w:rPr>
                <m:t>4</m:t>
              </m:r>
              <m:d>
                <m:dPr>
                  <m:begChr m:val="⌊"/>
                  <m:endChr m:val="⌋"/>
                  <m:ctrlPr>
                    <w:rPr>
                      <w:rFonts w:ascii="Cambria Math" w:hAnsi="Cambria Math"/>
                      <w:bCs/>
                      <w:color w:val="000000" w:themeColor="text1"/>
                      <w14:textFill>
                        <w14:solidFill>
                          <w14:schemeClr w14:val="tx1"/>
                        </w14:solidFill>
                      </w14:textFill>
                    </w:rPr>
                  </m:ctrlPr>
                </m:dPr>
                <m:e>
                  <m:f>
                    <m:fPr>
                      <m:ctrlPr>
                        <w:rPr>
                          <w:rFonts w:ascii="Cambria Math" w:hAnsi="Cambria Math"/>
                          <w:bCs/>
                          <w:color w:val="000000" w:themeColor="text1"/>
                          <w14:textFill>
                            <w14:solidFill>
                              <w14:schemeClr w14:val="tx1"/>
                            </w14:solidFill>
                          </w14:textFill>
                        </w:rPr>
                      </m:ctrlPr>
                    </m:fPr>
                    <m:num>
                      <m:r>
                        <m:rPr>
                          <m:sty m:val="p"/>
                        </m:rPr>
                        <w:rPr>
                          <w:rFonts w:ascii="Cambria Math" w:hAnsi="Cambria Math"/>
                          <w:color w:val="000000" w:themeColor="text1"/>
                          <w14:textFill>
                            <w14:solidFill>
                              <w14:schemeClr w14:val="tx1"/>
                            </w14:solidFill>
                          </w14:textFill>
                        </w:rPr>
                        <m:t>(</m:t>
                      </m:r>
                      <m:sSub>
                        <m:sSubPr>
                          <m:ctrlPr>
                            <w:rPr>
                              <w:rFonts w:ascii="Cambria Math" w:hAnsi="Cambria Math"/>
                              <w:bCs/>
                              <w:color w:val="000000" w:themeColor="text1"/>
                              <w14:textFill>
                                <w14:solidFill>
                                  <w14:schemeClr w14:val="tx1"/>
                                </w14:solidFill>
                              </w14:textFill>
                            </w:rPr>
                          </m:ctrlPr>
                        </m:sSubPr>
                        <m:e>
                          <m:r>
                            <m:rPr>
                              <m:sty m:val="p"/>
                            </m:rPr>
                            <w:rPr>
                              <w:rFonts w:ascii="Cambria Math" w:hAnsi="Cambria Math"/>
                              <w:color w:val="000000" w:themeColor="text1"/>
                              <w14:textFill>
                                <w14:solidFill>
                                  <w14:schemeClr w14:val="tx1"/>
                                </w14:solidFill>
                              </w14:textFill>
                            </w:rPr>
                            <m:t>X</m:t>
                          </m:r>
                          <m:ctrlPr>
                            <w:rPr>
                              <w:rFonts w:ascii="Cambria Math" w:hAnsi="Cambria Math"/>
                              <w:bCs/>
                              <w:color w:val="000000" w:themeColor="text1"/>
                              <w14:textFill>
                                <w14:solidFill>
                                  <w14:schemeClr w14:val="tx1"/>
                                </w14:solidFill>
                              </w14:textFill>
                            </w:rPr>
                          </m:ctrlPr>
                        </m:e>
                        <m:sub>
                          <m:r>
                            <m:rPr>
                              <m:sty m:val="p"/>
                            </m:rPr>
                            <w:rPr>
                              <w:rFonts w:ascii="Cambria Math" w:hAnsi="Cambria Math"/>
                              <w:color w:val="000000" w:themeColor="text1"/>
                              <w14:textFill>
                                <w14:solidFill>
                                  <w14:schemeClr w14:val="tx1"/>
                                </w14:solidFill>
                              </w14:textFill>
                            </w:rPr>
                            <m:t>p</m:t>
                          </m:r>
                          <m:ctrlPr>
                            <w:rPr>
                              <w:rFonts w:ascii="Cambria Math" w:hAnsi="Cambria Math"/>
                              <w:bCs/>
                              <w:color w:val="000000" w:themeColor="text1"/>
                              <w14:textFill>
                                <w14:solidFill>
                                  <w14:schemeClr w14:val="tx1"/>
                                </w14:solidFill>
                              </w14:textFill>
                            </w:rPr>
                          </m:ctrlPr>
                        </m:sub>
                      </m:sSub>
                      <m:r>
                        <m:rPr>
                          <m:sty m:val="p"/>
                        </m:rPr>
                        <w:rPr>
                          <w:rFonts w:ascii="Cambria Math" w:hAnsi="Cambria Math"/>
                          <w:color w:val="000000" w:themeColor="text1"/>
                          <w14:textFill>
                            <w14:solidFill>
                              <w14:schemeClr w14:val="tx1"/>
                            </w14:solidFill>
                          </w14:textFill>
                        </w:rPr>
                        <m:t>-1)</m:t>
                      </m:r>
                      <m:ctrlPr>
                        <w:rPr>
                          <w:rFonts w:ascii="Cambria Math" w:hAnsi="Cambria Math"/>
                          <w:bCs/>
                          <w:color w:val="000000" w:themeColor="text1"/>
                          <w14:textFill>
                            <w14:solidFill>
                              <w14:schemeClr w14:val="tx1"/>
                            </w14:solidFill>
                          </w14:textFill>
                        </w:rPr>
                      </m:ctrlPr>
                    </m:num>
                    <m:den>
                      <m:r>
                        <m:rPr>
                          <m:sty m:val="p"/>
                        </m:rPr>
                        <w:rPr>
                          <w:rFonts w:ascii="Cambria Math" w:hAnsi="Cambria Math"/>
                          <w:color w:val="000000" w:themeColor="text1"/>
                          <w14:textFill>
                            <w14:solidFill>
                              <w14:schemeClr w14:val="tx1"/>
                            </w14:solidFill>
                          </w14:textFill>
                        </w:rPr>
                        <m:t>4</m:t>
                      </m:r>
                      <m:ctrlPr>
                        <w:rPr>
                          <w:rFonts w:ascii="Cambria Math" w:hAnsi="Cambria Math"/>
                          <w:bCs/>
                          <w:color w:val="000000" w:themeColor="text1"/>
                          <w14:textFill>
                            <w14:solidFill>
                              <w14:schemeClr w14:val="tx1"/>
                            </w14:solidFill>
                          </w14:textFill>
                        </w:rPr>
                      </m:ctrlPr>
                    </m:den>
                  </m:f>
                  <m:ctrlPr>
                    <w:rPr>
                      <w:rFonts w:ascii="Cambria Math" w:hAnsi="Cambria Math"/>
                      <w:bCs/>
                      <w:color w:val="000000" w:themeColor="text1"/>
                      <w14:textFill>
                        <w14:solidFill>
                          <w14:schemeClr w14:val="tx1"/>
                        </w14:solidFill>
                      </w14:textFill>
                    </w:rPr>
                  </m:ctrlPr>
                </m:e>
              </m:d>
            </m:oMath>
            <w:r>
              <w:rPr>
                <w:rFonts w:eastAsia="MS Mincho"/>
                <w:lang w:eastAsia="ja-JP"/>
              </w:rPr>
              <w:t>, we can simply add the extended period and consider only multiples of Xs as valid settings.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Huawei/HiSilicon</w:t>
            </w:r>
          </w:p>
        </w:tc>
        <w:tc>
          <w:tcPr>
            <w:tcW w:w="12176" w:type="dxa"/>
            <w:vAlign w:val="center"/>
          </w:tcPr>
          <w:p>
            <w:pPr>
              <w:widowControl w:val="0"/>
              <w:rPr>
                <w:b/>
                <w:lang w:eastAsia="zh-CN"/>
              </w:rPr>
            </w:pPr>
            <w:r>
              <w:rPr>
                <w:b/>
                <w:lang w:eastAsia="zh-CN"/>
              </w:rPr>
              <w:t>Comment#1: Periodicity/Offset/Duration value range</w:t>
            </w:r>
          </w:p>
          <w:p>
            <w:pPr>
              <w:widowControl w:val="0"/>
              <w:rPr>
                <w:lang w:eastAsia="zh-CN"/>
              </w:rPr>
            </w:pPr>
            <w:r>
              <w:rPr>
                <w:lang w:eastAsia="zh-CN"/>
              </w:rPr>
              <w:t xml:space="preserve">We think that </w:t>
            </w:r>
            <w:r>
              <w:rPr>
                <w:u w:val="single"/>
                <w:lang w:eastAsia="zh-CN"/>
              </w:rPr>
              <w:t>for both Group(1) SS and Group (2) SS</w:t>
            </w:r>
            <w:r>
              <w:rPr>
                <w:lang w:eastAsia="zh-CN"/>
              </w:rPr>
              <w:t>, the following should be supported:</w:t>
            </w:r>
          </w:p>
          <w:p>
            <w:pPr>
              <w:pStyle w:val="82"/>
              <w:widowControl w:val="0"/>
              <w:numPr>
                <w:ilvl w:val="0"/>
                <w:numId w:val="33"/>
              </w:numPr>
              <w:rPr>
                <w:lang w:eastAsia="zh-CN"/>
              </w:rPr>
            </w:pPr>
            <w:r>
              <w:rPr>
                <w:rFonts w:ascii="Times" w:hAnsi="Times" w:eastAsia="Batang"/>
                <w:sz w:val="20"/>
                <w:szCs w:val="24"/>
              </w:rPr>
              <w:t xml:space="preserve">The configured periodicity </w:t>
            </w:r>
            <w:r>
              <w:rPr>
                <w:rFonts w:ascii="Times" w:hAnsi="Times" w:eastAsia="Batang"/>
                <w:strike/>
                <w:sz w:val="20"/>
                <w:szCs w:val="24"/>
              </w:rPr>
              <w:t xml:space="preserve">at least for Group (1) SSs </w:t>
            </w:r>
            <w:r>
              <w:rPr>
                <w:rFonts w:ascii="Times" w:hAnsi="Times" w:eastAsia="Batang"/>
                <w:sz w:val="20"/>
                <w:szCs w:val="24"/>
              </w:rPr>
              <w:t>is restricted to be an integer multiple of Xs slots</w:t>
            </w:r>
          </w:p>
          <w:p>
            <w:pPr>
              <w:widowControl w:val="0"/>
              <w:numPr>
                <w:ilvl w:val="1"/>
                <w:numId w:val="33"/>
              </w:numPr>
              <w:overflowPunct w:val="0"/>
              <w:textAlignment w:val="baseline"/>
              <w:rPr>
                <w:rFonts w:ascii="Times" w:hAnsi="Times" w:eastAsia="Batang"/>
                <w:sz w:val="20"/>
                <w:szCs w:val="24"/>
              </w:rPr>
            </w:pPr>
            <w:r>
              <w:rPr>
                <w:rFonts w:ascii="Times" w:hAnsi="Times" w:eastAsia="Batang"/>
                <w:sz w:val="20"/>
                <w:szCs w:val="24"/>
              </w:rPr>
              <w:t>Total list of supported periodicity values: {</w:t>
            </w:r>
            <w:r>
              <w:rPr>
                <w:rFonts w:ascii="Times" w:hAnsi="Times" w:eastAsia="Batang"/>
                <w:strike/>
                <w:color w:val="FF0000"/>
                <w:sz w:val="20"/>
                <w:szCs w:val="24"/>
              </w:rPr>
              <w:t>1,2,</w:t>
            </w:r>
            <w:r>
              <w:rPr>
                <w:rFonts w:ascii="Times" w:hAnsi="Times" w:eastAsia="Batang"/>
                <w:sz w:val="20"/>
                <w:szCs w:val="24"/>
              </w:rPr>
              <w:t>4,</w:t>
            </w:r>
            <w:r>
              <w:rPr>
                <w:rFonts w:ascii="Times" w:hAnsi="Times" w:eastAsia="Batang"/>
                <w:strike/>
                <w:color w:val="FF0000"/>
                <w:sz w:val="20"/>
                <w:szCs w:val="24"/>
              </w:rPr>
              <w:t>5,</w:t>
            </w:r>
            <w:r>
              <w:rPr>
                <w:rFonts w:ascii="Times" w:hAnsi="Times" w:eastAsia="Batang"/>
                <w:sz w:val="20"/>
                <w:szCs w:val="24"/>
              </w:rPr>
              <w:t>8,</w:t>
            </w:r>
            <w:r>
              <w:rPr>
                <w:rFonts w:ascii="Times" w:hAnsi="Times" w:eastAsia="Batang"/>
                <w:strike/>
                <w:color w:val="FF0000"/>
                <w:sz w:val="20"/>
                <w:szCs w:val="24"/>
              </w:rPr>
              <w:t>10,</w:t>
            </w:r>
            <w:r>
              <w:rPr>
                <w:rFonts w:ascii="Times" w:hAnsi="Times" w:eastAsia="Batang"/>
                <w:sz w:val="20"/>
                <w:szCs w:val="24"/>
              </w:rPr>
              <w:t>16,20,32,40,64,80,128,160,320,640,1280,2560,5120,10240,20480}</w:t>
            </w:r>
          </w:p>
          <w:p>
            <w:pPr>
              <w:widowControl w:val="0"/>
              <w:numPr>
                <w:ilvl w:val="0"/>
                <w:numId w:val="33"/>
              </w:numPr>
              <w:overflowPunct w:val="0"/>
              <w:textAlignment w:val="baseline"/>
              <w:rPr>
                <w:rFonts w:ascii="Times" w:hAnsi="Times" w:eastAsia="Batang"/>
                <w:sz w:val="20"/>
                <w:szCs w:val="24"/>
              </w:rPr>
            </w:pPr>
            <w:r>
              <w:rPr>
                <w:rFonts w:ascii="Times" w:hAnsi="Times" w:eastAsia="Batang"/>
                <w:color w:val="FF0000"/>
                <w:sz w:val="20"/>
                <w:szCs w:val="24"/>
              </w:rPr>
              <w:t>The configured offset is restricted to be an integer multiple of Xs slots</w:t>
            </w:r>
          </w:p>
          <w:p>
            <w:pPr>
              <w:widowControl w:val="0"/>
              <w:numPr>
                <w:ilvl w:val="1"/>
                <w:numId w:val="33"/>
              </w:numPr>
              <w:overflowPunct w:val="0"/>
              <w:textAlignment w:val="baseline"/>
              <w:rPr>
                <w:rFonts w:ascii="Times" w:hAnsi="Times" w:eastAsia="Batang"/>
                <w:sz w:val="20"/>
                <w:szCs w:val="24"/>
              </w:rPr>
            </w:pPr>
            <w:r>
              <w:rPr>
                <w:rFonts w:ascii="Times" w:hAnsi="Times" w:eastAsia="Batang"/>
                <w:sz w:val="20"/>
                <w:szCs w:val="24"/>
              </w:rPr>
              <w:t xml:space="preserve">The value range for the offset O is </w:t>
            </w:r>
            <w:r>
              <w:rPr>
                <w:rFonts w:ascii="Times" w:hAnsi="Times" w:eastAsia="Batang"/>
                <w:strike/>
                <w:color w:val="FF0000"/>
                <w:sz w:val="20"/>
                <w:szCs w:val="24"/>
              </w:rPr>
              <w:t>{0 .. Xp-1}</w:t>
            </w:r>
            <w:r>
              <w:rPr>
                <w:rFonts w:ascii="Times" w:hAnsi="Times" w:eastAsia="Batang"/>
                <w:color w:val="FF0000"/>
                <w:sz w:val="20"/>
                <w:szCs w:val="24"/>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rPr>
                        <m:t>(</m:t>
                      </m:r>
                      <m:sSub>
                        <m:sSubPr>
                          <m:ctrlPr>
                            <w:rPr>
                              <w:rFonts w:ascii="Cambria Math" w:hAnsi="Cambria Math"/>
                              <w:b/>
                              <w:bCs/>
                              <w:i/>
                              <w:color w:val="FF0000"/>
                            </w:rPr>
                          </m:ctrlPr>
                        </m:sSubPr>
                        <m:e>
                          <m:r>
                            <m:rPr>
                              <m:sty m:val="bi"/>
                            </m:rPr>
                            <w:rPr>
                              <w:rFonts w:ascii="Cambria Math" w:hAnsi="Cambria Math"/>
                              <w:color w:val="FF0000"/>
                            </w:rPr>
                            <m:t>X</m:t>
                          </m:r>
                          <m:ctrlPr>
                            <w:rPr>
                              <w:rFonts w:ascii="Cambria Math" w:hAnsi="Cambria Math"/>
                              <w:b/>
                              <w:bCs/>
                              <w:i/>
                              <w:color w:val="FF0000"/>
                            </w:rPr>
                          </m:ctrlPr>
                        </m:e>
                        <m:sub>
                          <m:r>
                            <m:rPr>
                              <m:sty m:val="bi"/>
                            </m:rPr>
                            <w:rPr>
                              <w:rFonts w:ascii="Cambria Math" w:hAnsi="Cambria Math"/>
                              <w:color w:val="FF0000"/>
                            </w:rPr>
                            <m:t>p</m:t>
                          </m:r>
                          <m:ctrlPr>
                            <w:rPr>
                              <w:rFonts w:ascii="Cambria Math" w:hAnsi="Cambria Math"/>
                              <w:b/>
                              <w:bCs/>
                              <w:i/>
                              <w:color w:val="FF0000"/>
                            </w:rPr>
                          </m:ctrlPr>
                        </m:sub>
                      </m:sSub>
                      <m:r>
                        <m:rPr>
                          <m:sty m:val="bi"/>
                        </m:rPr>
                        <w:rPr>
                          <w:rFonts w:ascii="Cambria Math" w:hAnsi="Cambria Math"/>
                          <w:color w:val="FF0000"/>
                        </w:rPr>
                        <m:t>-1)</m:t>
                      </m:r>
                      <m:ctrlPr>
                        <w:rPr>
                          <w:rFonts w:ascii="Cambria Math" w:hAnsi="Cambria Math"/>
                          <w:b/>
                          <w:bCs/>
                          <w:i/>
                          <w:color w:val="FF0000"/>
                        </w:rPr>
                      </m:ctrlPr>
                    </m:num>
                    <m:den>
                      <m:r>
                        <m:rPr>
                          <m:sty m:val="bi"/>
                        </m:rPr>
                        <w:rPr>
                          <w:rFonts w:ascii="Cambria Math" w:hAnsi="Cambria Math"/>
                          <w:color w:val="FF0000"/>
                        </w:rPr>
                        <m:t>4</m:t>
                      </m:r>
                      <m:ctrlPr>
                        <w:rPr>
                          <w:rFonts w:ascii="Cambria Math" w:hAnsi="Cambria Math"/>
                          <w:b/>
                          <w:bCs/>
                          <w:i/>
                          <w:color w:val="FF0000"/>
                        </w:rPr>
                      </m:ctrlPr>
                    </m:den>
                  </m:f>
                  <m:ctrlPr>
                    <w:rPr>
                      <w:rFonts w:ascii="Cambria Math" w:hAnsi="Cambria Math"/>
                      <w:b/>
                      <w:bCs/>
                      <w:i/>
                      <w:color w:val="FF0000"/>
                    </w:rPr>
                  </m:ctrlPr>
                </m:e>
              </m:d>
            </m:oMath>
            <w:r>
              <w:rPr>
                <w:rFonts w:ascii="Times" w:hAnsi="Times" w:eastAsia="Batang"/>
                <w:color w:val="FF0000"/>
                <w:sz w:val="20"/>
                <w:szCs w:val="24"/>
              </w:rPr>
              <w:t xml:space="preserve">} </w:t>
            </w:r>
            <w:r>
              <w:rPr>
                <w:rFonts w:ascii="Times" w:hAnsi="Times" w:eastAsia="Batang"/>
                <w:sz w:val="20"/>
                <w:szCs w:val="24"/>
              </w:rPr>
              <w:t>slots where Xp the periodicity vlue</w:t>
            </w:r>
          </w:p>
          <w:p>
            <w:pPr>
              <w:widowControl w:val="0"/>
              <w:numPr>
                <w:ilvl w:val="0"/>
                <w:numId w:val="33"/>
              </w:numPr>
              <w:overflowPunct w:val="0"/>
              <w:textAlignment w:val="baseline"/>
              <w:rPr>
                <w:rFonts w:ascii="Times" w:hAnsi="Times" w:eastAsia="Batang"/>
                <w:sz w:val="20"/>
                <w:szCs w:val="24"/>
              </w:rPr>
            </w:pPr>
            <w:r>
              <w:rPr>
                <w:rFonts w:ascii="Times" w:hAnsi="Times" w:eastAsia="Batang"/>
                <w:color w:val="000000"/>
                <w:sz w:val="20"/>
                <w:szCs w:val="24"/>
              </w:rPr>
              <w:t>The configured duration is restricted to be an integer multiple of Xs slots</w:t>
            </w:r>
          </w:p>
          <w:p>
            <w:pPr>
              <w:widowControl w:val="0"/>
              <w:numPr>
                <w:ilvl w:val="1"/>
                <w:numId w:val="33"/>
              </w:numPr>
              <w:overflowPunct w:val="0"/>
              <w:textAlignment w:val="baseline"/>
              <w:rPr>
                <w:rFonts w:ascii="Times" w:hAnsi="Times" w:eastAsia="Batang"/>
                <w:sz w:val="20"/>
                <w:szCs w:val="24"/>
              </w:rPr>
            </w:pPr>
            <w:r>
              <w:rPr>
                <w:rFonts w:ascii="Times" w:hAnsi="Times" w:eastAsia="Batang"/>
                <w:color w:val="000000"/>
                <w:sz w:val="20"/>
                <w:szCs w:val="24"/>
              </w:rPr>
              <w:t>The value range is {8, 12, …, 20476}</w:t>
            </w:r>
          </w:p>
          <w:p>
            <w:pPr>
              <w:widowControl w:val="0"/>
              <w:rPr>
                <w:b/>
                <w:lang w:eastAsia="zh-CN"/>
              </w:rPr>
            </w:pPr>
            <w:r>
              <w:rPr>
                <w:b/>
                <w:lang w:eastAsia="zh-CN"/>
              </w:rPr>
              <w:t>Comment#2: Duration definition</w:t>
            </w:r>
          </w:p>
          <w:p>
            <w:pPr>
              <w:widowControl w:val="0"/>
              <w:rPr>
                <w:lang w:eastAsia="zh-CN"/>
              </w:rPr>
            </w:pPr>
            <w:r>
              <w:rPr>
                <w:lang w:eastAsia="zh-CN"/>
              </w:rPr>
              <w:t>We think the definition of duration should be modified as follows as SSs within a duration are not necessarily in consecutive slots but are in consecutive slot groups:</w:t>
            </w:r>
          </w:p>
          <w:p>
            <w:pPr>
              <w:widowControl w:val="0"/>
              <w:rPr>
                <w:b/>
                <w:sz w:val="21"/>
                <w:szCs w:val="21"/>
              </w:rPr>
            </w:pPr>
            <w:r>
              <w:rPr>
                <w:b/>
                <w:sz w:val="21"/>
                <w:szCs w:val="21"/>
              </w:rPr>
              <w:t xml:space="preserve">Duration-r17 is the total number of slots in consecutive groups of </w:t>
            </w:r>
            <m:oMath>
              <m:sSub>
                <m:sSubPr>
                  <m:ctrlPr>
                    <w:rPr>
                      <w:rFonts w:ascii="Cambria Math" w:hAnsi="Cambria Math"/>
                      <w:b/>
                      <w:sz w:val="21"/>
                      <w:szCs w:val="21"/>
                    </w:rPr>
                  </m:ctrlPr>
                </m:sSubPr>
                <m:e>
                  <m:r>
                    <m:rPr>
                      <m:sty m:val="b"/>
                    </m:rPr>
                    <w:rPr>
                      <w:rFonts w:ascii="Cambria Math" w:hAnsi="Cambria Math"/>
                      <w:sz w:val="21"/>
                      <w:szCs w:val="21"/>
                    </w:rPr>
                    <m:t>X</m:t>
                  </m:r>
                  <m:ctrlPr>
                    <w:rPr>
                      <w:rFonts w:ascii="Cambria Math" w:hAnsi="Cambria Math"/>
                      <w:b/>
                      <w:sz w:val="21"/>
                      <w:szCs w:val="21"/>
                    </w:rPr>
                  </m:ctrlPr>
                </m:e>
                <m:sub>
                  <m:r>
                    <m:rPr>
                      <m:sty m:val="b"/>
                    </m:rPr>
                    <w:rPr>
                      <w:rFonts w:ascii="Cambria Math" w:hAnsi="Cambria Math"/>
                      <w:sz w:val="21"/>
                      <w:szCs w:val="21"/>
                    </w:rPr>
                    <m:t>s</m:t>
                  </m:r>
                  <m:ctrlPr>
                    <w:rPr>
                      <w:rFonts w:ascii="Cambria Math" w:hAnsi="Cambria Math"/>
                      <w:b/>
                      <w:sz w:val="21"/>
                      <w:szCs w:val="21"/>
                    </w:rPr>
                  </m:ctrlPr>
                </m:sub>
              </m:sSub>
            </m:oMath>
            <w:r>
              <w:rPr>
                <w:b/>
                <w:sz w:val="21"/>
                <w:szCs w:val="21"/>
              </w:rPr>
              <w:t xml:space="preserve"> slots that a SearchSpace lasts in every occasion, i.e., upon every period as given in the monitoringPeriodicityAndOffset-r17</w:t>
            </w:r>
          </w:p>
          <w:p>
            <w:pPr>
              <w:widowControl w:val="0"/>
              <w:rPr>
                <w:b/>
                <w:i/>
                <w:sz w:val="21"/>
                <w:szCs w:val="21"/>
              </w:rPr>
            </w:pPr>
          </w:p>
          <w:p>
            <w:pPr>
              <w:widowControl w:val="0"/>
              <w:rPr>
                <w:b/>
                <w:iCs/>
                <w:lang w:eastAsia="zh-CN"/>
              </w:rPr>
            </w:pPr>
            <w:r>
              <w:rPr>
                <w:b/>
                <w:sz w:val="21"/>
                <w:szCs w:val="21"/>
              </w:rPr>
              <w:t>C</w:t>
            </w:r>
            <w:r>
              <w:rPr>
                <w:b/>
                <w:lang w:eastAsia="zh-CN"/>
              </w:rPr>
              <w:t>omment#3: monitorinSlotWithinSlotGroup-r17 bitmap</w:t>
            </w:r>
          </w:p>
          <w:p>
            <w:pPr>
              <w:widowControl w:val="0"/>
              <w:rPr>
                <w:iCs/>
                <w:lang w:eastAsia="zh-CN"/>
              </w:rPr>
            </w:pPr>
            <w:r>
              <w:rPr>
                <w:iCs/>
                <w:lang w:eastAsia="zh-CN"/>
              </w:rPr>
              <w:t>We can agree with the following (Based on Ericsson):</w:t>
            </w:r>
          </w:p>
          <w:p>
            <w:pPr>
              <w:pStyle w:val="82"/>
              <w:widowControl w:val="0"/>
              <w:numPr>
                <w:ilvl w:val="0"/>
                <w:numId w:val="34"/>
              </w:numPr>
              <w:rPr>
                <w:sz w:val="21"/>
                <w:szCs w:val="21"/>
              </w:rPr>
            </w:pPr>
            <w:r>
              <w:rPr>
                <w:rFonts w:ascii="Times" w:hAnsi="Times" w:eastAsia="Batang"/>
                <w:sz w:val="20"/>
                <w:szCs w:val="24"/>
              </w:rPr>
              <w:t>F</w:t>
            </w:r>
            <w:r>
              <w:rPr>
                <w:u w:val="single"/>
                <w:lang w:eastAsia="zh-CN"/>
              </w:rPr>
              <w:t>or both Group(1) SS and Group (2) SS,</w:t>
            </w:r>
            <w:r>
              <w:rPr>
                <w:rFonts w:ascii="Times" w:hAnsi="Times" w:eastAsia="Batang"/>
                <w:color w:val="FF0000"/>
                <w:sz w:val="20"/>
                <w:szCs w:val="24"/>
              </w:rPr>
              <w:t xml:space="preserve"> the size is Xs bits, where Xs is either 4 or 8</w:t>
            </w:r>
            <w:r>
              <w:rPr>
                <w:sz w:val="21"/>
                <w:szCs w:val="21"/>
              </w:rPr>
              <w:t>.</w:t>
            </w:r>
          </w:p>
          <w:p>
            <w:pPr>
              <w:pStyle w:val="82"/>
              <w:widowControl w:val="0"/>
              <w:numPr>
                <w:ilvl w:val="1"/>
                <w:numId w:val="34"/>
              </w:numPr>
              <w:rPr>
                <w:sz w:val="21"/>
                <w:szCs w:val="21"/>
              </w:rPr>
            </w:pPr>
            <w:r>
              <w:rPr>
                <w:rFonts w:ascii="Times" w:hAnsi="Times" w:eastAsia="Batang"/>
                <w:sz w:val="20"/>
                <w:szCs w:val="24"/>
              </w:rPr>
              <w:t xml:space="preserve">Note: </w:t>
            </w:r>
            <w:r>
              <w:t>Determination of X in case of multiple supported X values for multi-slot monitoring should be separately discussed</w:t>
            </w:r>
          </w:p>
          <w:p>
            <w:pPr>
              <w:pStyle w:val="82"/>
              <w:widowControl w:val="0"/>
              <w:numPr>
                <w:ilvl w:val="0"/>
                <w:numId w:val="34"/>
              </w:numPr>
              <w:rPr>
                <w:sz w:val="21"/>
                <w:szCs w:val="21"/>
              </w:rPr>
            </w:pPr>
            <w:r>
              <w:rPr>
                <w:rFonts w:ascii="Times" w:hAnsi="Times" w:eastAsia="Batang"/>
                <w:sz w:val="20"/>
                <w:szCs w:val="24"/>
                <w:u w:val="single"/>
              </w:rPr>
              <w:t>F</w:t>
            </w:r>
            <w:r>
              <w:rPr>
                <w:u w:val="single"/>
                <w:lang w:eastAsia="zh-CN"/>
              </w:rPr>
              <w:t xml:space="preserve">or Group(1) SS, </w:t>
            </w:r>
            <w:r>
              <w:rPr>
                <w:bCs/>
                <w:color w:val="FF0000"/>
                <w:sz w:val="20"/>
                <w:szCs w:val="20"/>
              </w:rPr>
              <w:t xml:space="preserve">the 1s in </w:t>
            </w:r>
            <w:r>
              <w:rPr>
                <w:rFonts w:ascii="Times" w:hAnsi="Times"/>
                <w:i/>
                <w:iCs/>
                <w:color w:val="FF0000"/>
                <w:sz w:val="20"/>
                <w:szCs w:val="24"/>
              </w:rPr>
              <w:t>monitoringSlotsWithinSlotGroup-r17</w:t>
            </w:r>
            <w:r>
              <w:rPr>
                <w:bCs/>
                <w:color w:val="FF0000"/>
                <w:sz w:val="20"/>
                <w:szCs w:val="20"/>
              </w:rPr>
              <w:t xml:space="preserve"> are consecutive and the number of 1s are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ctrlPr>
                    <w:rPr>
                      <w:rFonts w:ascii="Cambria Math" w:hAnsi="Cambria Math"/>
                      <w:bCs/>
                      <w:i/>
                      <w:color w:val="FF0000"/>
                      <w:sz w:val="20"/>
                      <w:szCs w:val="20"/>
                    </w:rPr>
                  </m:ctrlPr>
                </m:e>
                <m:sub>
                  <m:r>
                    <w:rPr>
                      <w:rFonts w:ascii="Cambria Math" w:hAnsi="Cambria Math"/>
                      <w:color w:val="FF0000"/>
                      <w:sz w:val="20"/>
                      <w:szCs w:val="20"/>
                    </w:rPr>
                    <m:t>s</m:t>
                  </m:r>
                  <m:ctrlPr>
                    <w:rPr>
                      <w:rFonts w:ascii="Cambria Math" w:hAnsi="Cambria Math"/>
                      <w:bCs/>
                      <w:i/>
                      <w:color w:val="FF0000"/>
                      <w:sz w:val="20"/>
                      <w:szCs w:val="20"/>
                    </w:rPr>
                  </m:ctrlPr>
                </m:sub>
              </m:sSub>
            </m:oMath>
          </w:p>
          <w:p>
            <w:pPr>
              <w:pStyle w:val="82"/>
              <w:widowControl w:val="0"/>
              <w:numPr>
                <w:ilvl w:val="0"/>
                <w:numId w:val="34"/>
              </w:numPr>
              <w:rPr>
                <w:sz w:val="21"/>
                <w:szCs w:val="21"/>
              </w:rPr>
            </w:pPr>
            <w:r>
              <w:rPr>
                <w:rFonts w:ascii="Times" w:hAnsi="Times" w:eastAsia="Batang"/>
                <w:sz w:val="20"/>
                <w:szCs w:val="24"/>
                <w:u w:val="single"/>
              </w:rPr>
              <w:t xml:space="preserve">For Group (2) SS, </w:t>
            </w:r>
            <w:r>
              <w:rPr>
                <w:bCs/>
                <w:color w:val="FF0000"/>
                <w:sz w:val="20"/>
                <w:szCs w:val="20"/>
              </w:rPr>
              <w:t xml:space="preserve">the 1s in </w:t>
            </w:r>
            <w:r>
              <w:rPr>
                <w:rFonts w:ascii="Times" w:hAnsi="Times"/>
                <w:i/>
                <w:iCs/>
                <w:color w:val="FF0000"/>
                <w:sz w:val="20"/>
                <w:szCs w:val="24"/>
              </w:rPr>
              <w:t>monitoringSlotsWithinSlotGroup-r17</w:t>
            </w:r>
            <w:r>
              <w:rPr>
                <w:bCs/>
                <w:color w:val="FF0000"/>
                <w:sz w:val="20"/>
                <w:szCs w:val="20"/>
              </w:rPr>
              <w:t xml:space="preserve"> may be non-consecutive and the number of 1s may be up to Xs</w:t>
            </w:r>
          </w:p>
          <w:p>
            <w:pPr>
              <w:widowControl w:val="0"/>
              <w:rPr>
                <w:lang w:eastAsia="zh-CN"/>
              </w:rPr>
            </w:pPr>
            <w:r>
              <w:rPr>
                <w:lang w:eastAsia="zh-CN"/>
              </w:rPr>
              <w:t>Also, we can agree with the following added bullet:</w:t>
            </w:r>
          </w:p>
          <w:p>
            <w:pPr>
              <w:widowControl w:val="0"/>
              <w:numPr>
                <w:ilvl w:val="0"/>
                <w:numId w:val="28"/>
              </w:numPr>
              <w:overflowPunct w:val="0"/>
              <w:textAlignment w:val="baseline"/>
              <w:rPr>
                <w:rFonts w:ascii="Times" w:hAnsi="Times" w:eastAsia="Batang"/>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hAnsi="Times" w:eastAsia="Batang"/>
                <w:i/>
                <w:iCs/>
                <w:color w:val="FF0000"/>
                <w:sz w:val="20"/>
                <w:szCs w:val="24"/>
              </w:rPr>
              <w:t>duration-r17</w:t>
            </w:r>
            <w:r>
              <w:rPr>
                <w:rFonts w:ascii="Times" w:hAnsi="Times"/>
                <w:color w:val="FF0000"/>
                <w:sz w:val="20"/>
                <w:szCs w:val="24"/>
              </w:rPr>
              <w:t>.</w:t>
            </w:r>
          </w:p>
          <w:p>
            <w:pPr>
              <w:widowControl w:val="0"/>
              <w:rPr>
                <w:lang w:eastAsia="zh-CN"/>
              </w:rPr>
            </w:pPr>
          </w:p>
          <w:p>
            <w:pPr>
              <w:widowControl w:val="0"/>
              <w:rPr>
                <w:lang w:eastAsia="zh-CN"/>
              </w:rPr>
            </w:pPr>
          </w:p>
          <w:p>
            <w:pPr>
              <w:pStyle w:val="82"/>
              <w:widowControl w:val="0"/>
              <w:rPr>
                <w:rFonts w:ascii="Times" w:hAnsi="Times" w:eastAsia="Batang"/>
                <w:sz w:val="20"/>
                <w:szCs w:val="24"/>
              </w:rPr>
            </w:pPr>
          </w:p>
          <w:p>
            <w:pPr>
              <w:pStyle w:val="82"/>
              <w:widowControl w:val="0"/>
              <w:ind w:left="85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szCs w:val="20"/>
                <w:lang w:eastAsia="zh-CN"/>
              </w:rPr>
            </w:pPr>
            <w:r>
              <w:rPr>
                <w:rFonts w:hint="eastAsia"/>
                <w:sz w:val="20"/>
                <w:szCs w:val="20"/>
                <w:lang w:eastAsia="zh-CN"/>
              </w:rPr>
              <w:t>X</w:t>
            </w:r>
            <w:r>
              <w:rPr>
                <w:sz w:val="20"/>
                <w:szCs w:val="20"/>
                <w:lang w:eastAsia="zh-CN"/>
              </w:rPr>
              <w:t>iaomi</w:t>
            </w:r>
          </w:p>
        </w:tc>
        <w:tc>
          <w:tcPr>
            <w:tcW w:w="12176" w:type="dxa"/>
            <w:vAlign w:val="center"/>
          </w:tcPr>
          <w:p>
            <w:pPr>
              <w:widowControl w:val="0"/>
              <w:rPr>
                <w:sz w:val="20"/>
                <w:szCs w:val="20"/>
                <w:lang w:eastAsia="zh-CN"/>
              </w:rPr>
            </w:pPr>
            <w:r>
              <w:rPr>
                <w:rFonts w:hint="eastAsia"/>
                <w:sz w:val="20"/>
                <w:szCs w:val="20"/>
                <w:lang w:eastAsia="zh-CN"/>
              </w:rPr>
              <w:t>G</w:t>
            </w:r>
            <w:r>
              <w:rPr>
                <w:sz w:val="20"/>
                <w:szCs w:val="20"/>
                <w:lang w:eastAsia="zh-CN"/>
              </w:rPr>
              <w:t>enerally fine with the update.</w:t>
            </w:r>
          </w:p>
          <w:p>
            <w:pPr>
              <w:widowControl w:val="0"/>
              <w:rPr>
                <w:sz w:val="20"/>
                <w:szCs w:val="20"/>
                <w:lang w:eastAsia="zh-CN"/>
              </w:rPr>
            </w:pPr>
            <w:r>
              <w:rPr>
                <w:sz w:val="20"/>
                <w:szCs w:val="20"/>
                <w:lang w:eastAsia="zh-CN"/>
              </w:rPr>
              <w:t>1</w:t>
            </w:r>
            <w:r>
              <w:rPr>
                <w:rFonts w:hint="eastAsia"/>
                <w:sz w:val="20"/>
                <w:szCs w:val="20"/>
                <w:lang w:eastAsia="zh-CN"/>
              </w:rPr>
              <w:t>,</w:t>
            </w:r>
            <w:r>
              <w:rPr>
                <w:sz w:val="20"/>
                <w:szCs w:val="20"/>
                <w:lang w:eastAsia="zh-CN"/>
              </w:rPr>
              <w:t xml:space="preserve"> we have similar question as MTK, Can‘</w:t>
            </w:r>
            <w:r>
              <w:rPr>
                <w:rFonts w:ascii="Times" w:hAnsi="Times" w:eastAsia="Batang"/>
                <w:i/>
                <w:iCs/>
                <w:color w:val="000000"/>
                <w:sz w:val="20"/>
                <w:szCs w:val="20"/>
              </w:rPr>
              <w:t>monitoringSlotsWithinSlotGroup-r17</w:t>
            </w:r>
            <w:r>
              <w:rPr>
                <w:sz w:val="20"/>
                <w:szCs w:val="20"/>
                <w:lang w:eastAsia="zh-CN"/>
              </w:rPr>
              <w:t>’ be used to indicate Xs?</w:t>
            </w:r>
          </w:p>
          <w:p>
            <w:pPr>
              <w:widowControl w:val="0"/>
              <w:rPr>
                <w:rFonts w:ascii="Times" w:hAnsi="Times"/>
                <w:iCs/>
                <w:sz w:val="20"/>
                <w:szCs w:val="24"/>
              </w:rPr>
            </w:pPr>
            <w:r>
              <w:rPr>
                <w:sz w:val="20"/>
                <w:szCs w:val="20"/>
                <w:lang w:eastAsia="zh-CN"/>
              </w:rPr>
              <w:t xml:space="preserve">2, for Comment 1 of Ericssion, we think Group (2) SS still reuse R15/16 </w:t>
            </w:r>
            <w:r>
              <w:rPr>
                <w:rFonts w:hint="eastAsia"/>
                <w:sz w:val="20"/>
                <w:szCs w:val="20"/>
                <w:lang w:eastAsia="zh-CN"/>
              </w:rPr>
              <w:t>search</w:t>
            </w:r>
            <w:r>
              <w:rPr>
                <w:sz w:val="20"/>
                <w:szCs w:val="20"/>
                <w:lang w:eastAsia="zh-CN"/>
              </w:rPr>
              <w:t xml:space="preserve"> </w:t>
            </w:r>
            <w:r>
              <w:rPr>
                <w:rFonts w:hint="eastAsia"/>
                <w:sz w:val="20"/>
                <w:szCs w:val="20"/>
                <w:lang w:eastAsia="zh-CN"/>
              </w:rPr>
              <w:t>space</w:t>
            </w:r>
            <w:r>
              <w:rPr>
                <w:sz w:val="20"/>
                <w:szCs w:val="20"/>
                <w:lang w:eastAsia="zh-CN"/>
              </w:rPr>
              <w:t xml:space="preserve"> </w:t>
            </w:r>
            <w:r>
              <w:rPr>
                <w:rFonts w:hint="eastAsia"/>
                <w:sz w:val="20"/>
                <w:szCs w:val="20"/>
                <w:lang w:eastAsia="zh-CN"/>
              </w:rPr>
              <w:t>configuration,</w:t>
            </w:r>
            <w:r>
              <w:rPr>
                <w:sz w:val="20"/>
                <w:szCs w:val="20"/>
                <w:lang w:eastAsia="zh-CN"/>
              </w:rPr>
              <w:t xml:space="preserve"> </w:t>
            </w:r>
            <w:r>
              <w:rPr>
                <w:rFonts w:ascii="Times" w:hAnsi="Times"/>
                <w:i/>
                <w:iCs/>
                <w:sz w:val="20"/>
                <w:szCs w:val="24"/>
              </w:rPr>
              <w:t>monitoringSlotsWithinSlotGroup-r17</w:t>
            </w:r>
            <w:r>
              <w:rPr>
                <w:rFonts w:ascii="Times" w:hAnsi="Times"/>
                <w:i/>
                <w:iCs/>
                <w:color w:val="0070C0"/>
                <w:sz w:val="20"/>
                <w:szCs w:val="24"/>
              </w:rPr>
              <w:t xml:space="preserve"> </w:t>
            </w:r>
            <w:r>
              <w:rPr>
                <w:sz w:val="20"/>
                <w:szCs w:val="20"/>
                <w:lang w:eastAsia="zh-CN"/>
              </w:rPr>
              <w:t xml:space="preserve">is only applied to Group (1) CSS, </w:t>
            </w:r>
            <w:r>
              <w:rPr>
                <w:rFonts w:hint="eastAsia"/>
                <w:sz w:val="20"/>
                <w:szCs w:val="20"/>
                <w:lang w:eastAsia="zh-CN"/>
              </w:rPr>
              <w:t>so</w:t>
            </w:r>
            <w:r>
              <w:rPr>
                <w:sz w:val="20"/>
                <w:szCs w:val="20"/>
                <w:lang w:eastAsia="zh-CN"/>
              </w:rPr>
              <w:t xml:space="preserve"> we think </w:t>
            </w:r>
            <w:r>
              <w:rPr>
                <w:rFonts w:ascii="Times" w:hAnsi="Times" w:eastAsia="Batang"/>
                <w:sz w:val="20"/>
                <w:szCs w:val="24"/>
              </w:rPr>
              <w:t xml:space="preserve">1s in </w:t>
            </w:r>
            <w:r>
              <w:rPr>
                <w:rFonts w:ascii="Times" w:hAnsi="Times"/>
                <w:i/>
                <w:iCs/>
                <w:sz w:val="20"/>
                <w:szCs w:val="24"/>
              </w:rPr>
              <w:t xml:space="preserve">monitoringSlotsWithinSlotGroup-r17 </w:t>
            </w:r>
            <w:r>
              <w:rPr>
                <w:rFonts w:ascii="Times" w:hAnsi="Times"/>
                <w:iCs/>
                <w:sz w:val="20"/>
                <w:szCs w:val="24"/>
              </w:rPr>
              <w:t>should still be consecutive.</w:t>
            </w:r>
          </w:p>
          <w:p>
            <w:pPr>
              <w:widowControl w:val="0"/>
              <w:rPr>
                <w:sz w:val="20"/>
                <w:szCs w:val="20"/>
                <w:lang w:eastAsia="zh-CN"/>
              </w:rPr>
            </w:pPr>
            <w:r>
              <w:rPr>
                <w:rFonts w:ascii="Times" w:hAnsi="Times"/>
                <w:iCs/>
                <w:sz w:val="20"/>
                <w:szCs w:val="24"/>
              </w:rPr>
              <w:t xml:space="preserve">3, for different searchspace set, each with a </w:t>
            </w:r>
            <w:r>
              <w:rPr>
                <w:rFonts w:ascii="Times" w:hAnsi="Times"/>
                <w:i/>
                <w:iCs/>
                <w:sz w:val="20"/>
                <w:szCs w:val="24"/>
              </w:rPr>
              <w:t>monitoringSlotsWithinSlotGroup-r17</w:t>
            </w:r>
            <w:r>
              <w:rPr>
                <w:rFonts w:ascii="Times" w:hAnsi="Times"/>
                <w:iCs/>
                <w:sz w:val="20"/>
                <w:szCs w:val="24"/>
              </w:rPr>
              <w:t>, the combined result of monitoring slots should comply to X</w:t>
            </w:r>
            <w:r>
              <w:rPr>
                <w:rFonts w:hint="eastAsia" w:ascii="Times" w:hAnsi="Times"/>
                <w:iCs/>
                <w:sz w:val="20"/>
                <w:szCs w:val="24"/>
                <w:lang w:eastAsia="zh-CN"/>
              </w:rPr>
              <w:t>s</w:t>
            </w:r>
            <w:r>
              <w:rPr>
                <w:rFonts w:ascii="Times" w:hAnsi="Times"/>
                <w:iCs/>
                <w:sz w:val="20"/>
                <w:szCs w:val="24"/>
              </w:rPr>
              <w:t>/Ys pattern.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szCs w:val="20"/>
                <w:lang w:eastAsia="zh-CN"/>
              </w:rPr>
            </w:pPr>
            <w:r>
              <w:rPr>
                <w:rFonts w:hint="eastAsia"/>
                <w:sz w:val="20"/>
                <w:lang w:eastAsia="zh-CN"/>
              </w:rPr>
              <w:t>v</w:t>
            </w:r>
            <w:r>
              <w:rPr>
                <w:sz w:val="20"/>
                <w:lang w:eastAsia="zh-CN"/>
              </w:rPr>
              <w:t>ivo</w:t>
            </w:r>
          </w:p>
        </w:tc>
        <w:tc>
          <w:tcPr>
            <w:tcW w:w="12176" w:type="dxa"/>
            <w:vAlign w:val="center"/>
          </w:tcPr>
          <w:p>
            <w:pPr>
              <w:widowControl w:val="0"/>
              <w:rPr>
                <w:sz w:val="20"/>
                <w:lang w:eastAsia="zh-CN"/>
              </w:rPr>
            </w:pPr>
            <w:r>
              <w:rPr>
                <w:rFonts w:hint="eastAsia"/>
                <w:sz w:val="20"/>
                <w:lang w:eastAsia="zh-CN"/>
              </w:rPr>
              <w:t>W</w:t>
            </w:r>
            <w:r>
              <w:rPr>
                <w:sz w:val="20"/>
                <w:lang w:eastAsia="zh-CN"/>
              </w:rPr>
              <w:t>e are generally OK with the direction of this proposal with the following comments:</w:t>
            </w:r>
          </w:p>
          <w:p>
            <w:pPr>
              <w:widowControl w:val="0"/>
              <w:rPr>
                <w:sz w:val="20"/>
                <w:lang w:eastAsia="zh-CN"/>
              </w:rPr>
            </w:pPr>
            <w:r>
              <w:rPr>
                <w:rFonts w:hint="eastAsia"/>
                <w:sz w:val="20"/>
                <w:lang w:eastAsia="zh-CN"/>
              </w:rPr>
              <w:t>C</w:t>
            </w:r>
            <w:r>
              <w:rPr>
                <w:sz w:val="20"/>
                <w:lang w:eastAsia="zh-CN"/>
              </w:rPr>
              <w:t>omment #1:</w:t>
            </w:r>
          </w:p>
          <w:p>
            <w:pPr>
              <w:widowControl w:val="0"/>
              <w:ind w:left="425"/>
              <w:rPr>
                <w:sz w:val="20"/>
                <w:lang w:eastAsia="zh-CN"/>
              </w:rPr>
            </w:pPr>
            <w:r>
              <w:rPr>
                <w:sz w:val="20"/>
                <w:lang w:eastAsia="zh-CN"/>
              </w:rPr>
              <w:t>On the following changes:</w:t>
            </w:r>
          </w:p>
          <w:p>
            <w:pPr>
              <w:widowControl w:val="0"/>
              <w:numPr>
                <w:ilvl w:val="3"/>
                <w:numId w:val="28"/>
              </w:numPr>
              <w:overflowPunct w:val="0"/>
              <w:ind w:left="3305"/>
              <w:textAlignment w:val="baseline"/>
              <w:rPr>
                <w:rFonts w:ascii="Times" w:hAnsi="Times" w:eastAsia="Batang"/>
                <w:sz w:val="20"/>
                <w:szCs w:val="24"/>
              </w:rPr>
            </w:pPr>
            <w:r>
              <w:rPr>
                <w:rFonts w:ascii="Times" w:hAnsi="Times" w:eastAsia="Batang"/>
                <w:sz w:val="20"/>
                <w:szCs w:val="24"/>
              </w:rPr>
              <w:t>{</w:t>
            </w:r>
            <w:r>
              <w:rPr>
                <w:rFonts w:ascii="Times" w:hAnsi="Times" w:eastAsia="Batang"/>
                <w:strike/>
                <w:color w:val="FF0000"/>
                <w:sz w:val="20"/>
                <w:szCs w:val="24"/>
              </w:rPr>
              <w:t>1,2,</w:t>
            </w:r>
            <w:r>
              <w:rPr>
                <w:rFonts w:ascii="Times" w:hAnsi="Times" w:eastAsia="Batang"/>
                <w:sz w:val="20"/>
                <w:szCs w:val="24"/>
              </w:rPr>
              <w:t>4,</w:t>
            </w:r>
            <w:r>
              <w:rPr>
                <w:rFonts w:ascii="Times" w:hAnsi="Times" w:eastAsia="Batang"/>
                <w:strike/>
                <w:color w:val="FF0000"/>
                <w:sz w:val="20"/>
                <w:szCs w:val="24"/>
              </w:rPr>
              <w:t>5,</w:t>
            </w:r>
            <w:r>
              <w:rPr>
                <w:rFonts w:ascii="Times" w:hAnsi="Times" w:eastAsia="Batang"/>
                <w:sz w:val="20"/>
                <w:szCs w:val="24"/>
              </w:rPr>
              <w:t>8,</w:t>
            </w:r>
            <w:r>
              <w:rPr>
                <w:rFonts w:ascii="Times" w:hAnsi="Times" w:eastAsia="Batang"/>
                <w:strike/>
                <w:color w:val="FF0000"/>
                <w:sz w:val="20"/>
                <w:szCs w:val="24"/>
              </w:rPr>
              <w:t>10,</w:t>
            </w:r>
            <w:r>
              <w:rPr>
                <w:rFonts w:ascii="Times" w:hAnsi="Times" w:eastAsia="Batang"/>
                <w:sz w:val="20"/>
                <w:szCs w:val="24"/>
              </w:rPr>
              <w:t>16,20,32,40,64,80,128,160,320,640,1280,2560,5120,10240,20480}</w:t>
            </w:r>
          </w:p>
          <w:p>
            <w:pPr>
              <w:widowControl w:val="0"/>
              <w:numPr>
                <w:ilvl w:val="3"/>
                <w:numId w:val="28"/>
              </w:numPr>
              <w:overflowPunct w:val="0"/>
              <w:ind w:left="3305"/>
              <w:textAlignment w:val="baseline"/>
              <w:rPr>
                <w:rFonts w:ascii="Times" w:hAnsi="Times" w:eastAsia="Batang"/>
                <w:sz w:val="20"/>
                <w:szCs w:val="24"/>
                <w:lang w:val="nl-NL"/>
              </w:rPr>
            </w:pPr>
            <w:r>
              <w:rPr>
                <w:rFonts w:ascii="Times" w:hAnsi="Times" w:eastAsia="Batang"/>
                <w:sz w:val="20"/>
                <w:szCs w:val="24"/>
              </w:rPr>
              <w:t xml:space="preserve">The value range for the offset O is </w:t>
            </w:r>
            <w:r>
              <w:rPr>
                <w:rFonts w:ascii="Times" w:hAnsi="Times" w:eastAsia="Batang"/>
                <w:strike/>
                <w:color w:val="FF0000"/>
                <w:sz w:val="20"/>
                <w:szCs w:val="24"/>
              </w:rPr>
              <w:t xml:space="preserve">{0 .. </w:t>
            </w:r>
            <w:r>
              <w:rPr>
                <w:rFonts w:ascii="Times" w:hAnsi="Times" w:eastAsia="Batang"/>
                <w:strike/>
                <w:color w:val="FF0000"/>
                <w:sz w:val="20"/>
                <w:szCs w:val="24"/>
                <w:lang w:val="nl-NL"/>
              </w:rPr>
              <w:t>Xp-1}</w:t>
            </w:r>
            <w:r>
              <w:rPr>
                <w:rFonts w:ascii="Times" w:hAnsi="Times" w:eastAsia="Batang"/>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ctrlPr>
                            <w:rPr>
                              <w:rFonts w:ascii="Cambria Math" w:hAnsi="Cambria Math"/>
                              <w:b/>
                              <w:bCs/>
                              <w:i/>
                              <w:color w:val="FF0000"/>
                            </w:rPr>
                          </m:ctrlPr>
                        </m:e>
                        <m:sub>
                          <m:r>
                            <m:rPr>
                              <m:sty m:val="bi"/>
                            </m:rPr>
                            <w:rPr>
                              <w:rFonts w:ascii="Cambria Math" w:hAnsi="Cambria Math"/>
                              <w:color w:val="FF0000"/>
                            </w:rPr>
                            <m:t>p</m:t>
                          </m:r>
                          <m:ctrlPr>
                            <w:rPr>
                              <w:rFonts w:ascii="Cambria Math" w:hAnsi="Cambria Math"/>
                              <w:b/>
                              <w:bCs/>
                              <w:i/>
                              <w:color w:val="FF0000"/>
                            </w:rPr>
                          </m:ctrlP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ctrlPr>
                        <w:rPr>
                          <w:rFonts w:ascii="Cambria Math" w:hAnsi="Cambria Math"/>
                          <w:b/>
                          <w:bCs/>
                          <w:i/>
                          <w:color w:val="FF0000"/>
                        </w:rPr>
                      </m:ctrlPr>
                    </m:num>
                    <m:den>
                      <m:r>
                        <m:rPr>
                          <m:sty m:val="bi"/>
                        </m:rPr>
                        <w:rPr>
                          <w:rFonts w:ascii="Cambria Math" w:hAnsi="Cambria Math"/>
                          <w:color w:val="FF0000"/>
                        </w:rPr>
                        <m:t>4</m:t>
                      </m:r>
                      <m:ctrlPr>
                        <w:rPr>
                          <w:rFonts w:ascii="Cambria Math" w:hAnsi="Cambria Math"/>
                          <w:b/>
                          <w:bCs/>
                          <w:i/>
                          <w:color w:val="FF0000"/>
                        </w:rPr>
                      </m:ctrlPr>
                    </m:den>
                  </m:f>
                  <m:ctrlPr>
                    <w:rPr>
                      <w:rFonts w:ascii="Cambria Math" w:hAnsi="Cambria Math"/>
                      <w:b/>
                      <w:bCs/>
                      <w:i/>
                      <w:color w:val="FF0000"/>
                    </w:rPr>
                  </m:ctrlPr>
                </m:e>
              </m:d>
            </m:oMath>
            <w:r>
              <w:rPr>
                <w:rFonts w:ascii="Times" w:hAnsi="Times" w:eastAsia="Batang"/>
                <w:color w:val="FF0000"/>
                <w:sz w:val="20"/>
                <w:szCs w:val="24"/>
                <w:lang w:val="nl-NL"/>
              </w:rPr>
              <w:t xml:space="preserve">} </w:t>
            </w:r>
            <w:r>
              <w:rPr>
                <w:rFonts w:ascii="Times" w:hAnsi="Times" w:eastAsia="Batang"/>
                <w:sz w:val="20"/>
                <w:szCs w:val="24"/>
                <w:lang w:val="nl-NL"/>
              </w:rPr>
              <w:t>slots</w:t>
            </w:r>
          </w:p>
          <w:p>
            <w:pPr>
              <w:widowControl w:val="0"/>
              <w:numPr>
                <w:ilvl w:val="2"/>
                <w:numId w:val="28"/>
              </w:numPr>
              <w:overflowPunct w:val="0"/>
              <w:ind w:left="2585"/>
              <w:textAlignment w:val="baseline"/>
              <w:rPr>
                <w:rFonts w:ascii="Times" w:hAnsi="Times" w:eastAsia="Batang"/>
                <w:color w:val="FF0000"/>
                <w:sz w:val="20"/>
                <w:szCs w:val="24"/>
              </w:rPr>
            </w:pPr>
            <w:r>
              <w:rPr>
                <w:rFonts w:ascii="Times" w:hAnsi="Times" w:eastAsia="Batang"/>
                <w:color w:val="FF0000"/>
                <w:sz w:val="20"/>
                <w:szCs w:val="24"/>
              </w:rPr>
              <w:t>The configured offset is restricted to be an integer multiple of Xs slots</w:t>
            </w:r>
          </w:p>
          <w:p>
            <w:pPr>
              <w:widowControl w:val="0"/>
              <w:rPr>
                <w:sz w:val="20"/>
                <w:lang w:eastAsia="zh-CN"/>
              </w:rPr>
            </w:pPr>
            <w:r>
              <w:rPr>
                <w:rFonts w:hint="eastAsia"/>
                <w:sz w:val="20"/>
                <w:lang w:eastAsia="zh-CN"/>
              </w:rPr>
              <w:t xml:space="preserve"> </w:t>
            </w:r>
            <w:r>
              <w:rPr>
                <w:sz w:val="20"/>
                <w:lang w:eastAsia="zh-CN"/>
              </w:rPr>
              <w:t xml:space="preserve">        It should be applied to Group (2) SS only.</w:t>
            </w:r>
          </w:p>
          <w:p>
            <w:pPr>
              <w:widowControl w:val="0"/>
              <w:rPr>
                <w:sz w:val="20"/>
                <w:lang w:eastAsia="zh-CN"/>
              </w:rPr>
            </w:pPr>
          </w:p>
          <w:p>
            <w:pPr>
              <w:widowControl w:val="0"/>
              <w:rPr>
                <w:sz w:val="20"/>
                <w:lang w:eastAsia="zh-CN"/>
              </w:rPr>
            </w:pPr>
            <w:r>
              <w:rPr>
                <w:rFonts w:hint="eastAsia"/>
                <w:sz w:val="20"/>
                <w:lang w:eastAsia="zh-CN"/>
              </w:rPr>
              <w:t>C</w:t>
            </w:r>
            <w:r>
              <w:rPr>
                <w:sz w:val="20"/>
                <w:lang w:eastAsia="zh-CN"/>
              </w:rPr>
              <w:t>omment #2:</w:t>
            </w:r>
          </w:p>
          <w:p>
            <w:pPr>
              <w:widowControl w:val="0"/>
              <w:rPr>
                <w:sz w:val="20"/>
                <w:szCs w:val="20"/>
                <w:lang w:eastAsia="zh-CN"/>
              </w:rPr>
            </w:pPr>
            <w:r>
              <w:rPr>
                <w:rFonts w:hint="eastAsia"/>
                <w:sz w:val="20"/>
                <w:lang w:eastAsia="zh-CN"/>
              </w:rPr>
              <w:t>A</w:t>
            </w:r>
            <w:r>
              <w:rPr>
                <w:sz w:val="20"/>
                <w:lang w:eastAsia="zh-CN"/>
              </w:rPr>
              <w:t xml:space="preserve">gree with Samsung that the description of </w:t>
            </w:r>
            <w:r>
              <w:rPr>
                <w:i/>
                <w:iCs/>
                <w:sz w:val="20"/>
                <w:lang w:eastAsia="zh-CN"/>
              </w:rPr>
              <w:t xml:space="preserve">duration-r17 </w:t>
            </w:r>
            <w:r>
              <w:rPr>
                <w:sz w:val="20"/>
                <w:lang w:eastAsia="zh-CN"/>
              </w:rPr>
              <w:t xml:space="preserve">is not accurate.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Nokia, NSB</w:t>
            </w:r>
          </w:p>
        </w:tc>
        <w:tc>
          <w:tcPr>
            <w:tcW w:w="12176" w:type="dxa"/>
            <w:vAlign w:val="center"/>
          </w:tcPr>
          <w:p>
            <w:pPr>
              <w:widowControl w:val="0"/>
              <w:rPr>
                <w:lang w:eastAsia="zh-CN"/>
              </w:rPr>
            </w:pPr>
            <w:r>
              <w:rPr>
                <w:lang w:eastAsia="zh-CN"/>
              </w:rPr>
              <w:t xml:space="preserve">This looks like a good starting point. </w:t>
            </w:r>
          </w:p>
          <w:p>
            <w:pPr>
              <w:widowControl w:val="0"/>
              <w:rPr>
                <w:lang w:eastAsia="zh-CN"/>
              </w:rPr>
            </w:pPr>
            <w:r>
              <w:rPr>
                <w:lang w:eastAsia="zh-CN"/>
              </w:rPr>
              <w:t xml:space="preserve">Comment #1:  We don’t see a need to change the previous the working assumption w.r.t 8 bits (“The size is 8 bits”). </w:t>
            </w:r>
          </w:p>
          <w:p>
            <w:pPr>
              <w:widowControl/>
              <w:numPr>
                <w:ilvl w:val="0"/>
                <w:numId w:val="35"/>
              </w:numPr>
              <w:overflowPunct w:val="0"/>
              <w:textAlignment w:val="baseline"/>
              <w:rPr>
                <w:rFonts w:ascii="Times" w:hAnsi="Times" w:eastAsia="Batang"/>
                <w:color w:val="000000"/>
                <w:sz w:val="20"/>
                <w:szCs w:val="24"/>
              </w:rPr>
            </w:pPr>
            <w:r>
              <w:rPr>
                <w:lang w:eastAsia="zh-CN"/>
              </w:rPr>
              <w:t xml:space="preserve">If the size is either 4 or 8 bits, it should be configurable </w:t>
            </w:r>
          </w:p>
          <w:p>
            <w:pPr>
              <w:widowControl w:val="0"/>
              <w:ind w:left="360"/>
              <w:rPr>
                <w:lang w:eastAsia="zh-CN"/>
              </w:rPr>
            </w:pPr>
          </w:p>
          <w:p>
            <w:pPr>
              <w:widowControl w:val="0"/>
              <w:rPr>
                <w:lang w:eastAsia="zh-CN"/>
              </w:rPr>
            </w:pPr>
            <w:r>
              <w:rPr>
                <w:lang w:eastAsia="zh-CN"/>
              </w:rPr>
              <w:t>Comment  #2: We think that the following bullet is not needed:</w:t>
            </w:r>
          </w:p>
          <w:p>
            <w:pPr>
              <w:widowControl w:val="0"/>
              <w:numPr>
                <w:ilvl w:val="0"/>
                <w:numId w:val="35"/>
              </w:numPr>
              <w:overflowPunct w:val="0"/>
              <w:textAlignment w:val="baseline"/>
              <w:rPr>
                <w:rFonts w:ascii="Times" w:hAnsi="Times" w:eastAsia="Batang"/>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ctrlPr>
                    <w:rPr>
                      <w:rFonts w:ascii="Cambria Math" w:hAnsi="Cambria Math"/>
                      <w:bCs/>
                      <w:i/>
                      <w:color w:val="FF0000"/>
                      <w:sz w:val="20"/>
                      <w:szCs w:val="20"/>
                    </w:rPr>
                  </m:ctrlPr>
                </m:e>
                <m:sub>
                  <m:r>
                    <w:rPr>
                      <w:rFonts w:ascii="Cambria Math" w:hAnsi="Cambria Math"/>
                      <w:color w:val="FF0000"/>
                      <w:sz w:val="20"/>
                      <w:szCs w:val="20"/>
                    </w:rPr>
                    <m:t>s</m:t>
                  </m:r>
                  <m:ctrlPr>
                    <w:rPr>
                      <w:rFonts w:ascii="Cambria Math" w:hAnsi="Cambria Math"/>
                      <w:bCs/>
                      <w:i/>
                      <w:color w:val="FF0000"/>
                      <w:sz w:val="20"/>
                      <w:szCs w:val="20"/>
                    </w:rPr>
                  </m:ctrlPr>
                </m:sub>
              </m:sSub>
            </m:oMath>
            <w:r>
              <w:rPr>
                <w:bCs/>
                <w:color w:val="FF0000"/>
                <w:sz w:val="20"/>
                <w:szCs w:val="20"/>
              </w:rPr>
              <w:t xml:space="preserve"> </w:t>
            </w:r>
            <w:r>
              <w:rPr>
                <w:rFonts w:ascii="Times" w:hAnsi="Times" w:eastAsia="Batang"/>
                <w:color w:val="FF0000"/>
                <w:sz w:val="20"/>
                <w:szCs w:val="24"/>
              </w:rPr>
              <w:t>at least for Group (1) SSs</w:t>
            </w:r>
          </w:p>
          <w:p>
            <w:pPr>
              <w:widowControl w:val="0"/>
              <w:overflowPunct w:val="0"/>
              <w:textAlignment w:val="baseline"/>
              <w:rPr>
                <w:rFonts w:ascii="Times" w:hAnsi="Times" w:eastAsia="Batang"/>
                <w:color w:val="000000"/>
                <w:sz w:val="20"/>
                <w:szCs w:val="24"/>
              </w:rPr>
            </w:pPr>
          </w:p>
          <w:p>
            <w:pPr>
              <w:widowControl w:val="0"/>
              <w:overflowPunct w:val="0"/>
              <w:textAlignment w:val="baseline"/>
              <w:rPr>
                <w:rFonts w:ascii="Times" w:hAnsi="Times" w:eastAsia="Batang"/>
                <w:color w:val="000000"/>
                <w:sz w:val="20"/>
                <w:szCs w:val="24"/>
              </w:rPr>
            </w:pPr>
            <w:r>
              <w:rPr>
                <w:lang w:eastAsia="zh-CN"/>
              </w:rPr>
              <w:t xml:space="preserve">Comment #3: We support Huawei’s proposal for defining Duration-r17:  </w:t>
            </w:r>
          </w:p>
          <w:p>
            <w:pPr>
              <w:pStyle w:val="82"/>
              <w:widowControl w:val="0"/>
              <w:numPr>
                <w:ilvl w:val="0"/>
                <w:numId w:val="36"/>
              </w:numPr>
              <w:rPr>
                <w:b/>
                <w:sz w:val="21"/>
                <w:szCs w:val="21"/>
              </w:rPr>
            </w:pPr>
            <w:r>
              <w:rPr>
                <w:b/>
                <w:sz w:val="21"/>
                <w:szCs w:val="21"/>
              </w:rPr>
              <w:t xml:space="preserve">Duration-r17 is the total number of slots in consecutive groups of </w:t>
            </w:r>
            <m:oMath>
              <m:sSub>
                <m:sSubPr>
                  <m:ctrlPr>
                    <w:rPr>
                      <w:rFonts w:ascii="Cambria Math" w:hAnsi="Cambria Math"/>
                      <w:b/>
                      <w:sz w:val="21"/>
                      <w:szCs w:val="21"/>
                    </w:rPr>
                  </m:ctrlPr>
                </m:sSubPr>
                <m:e>
                  <m:r>
                    <m:rPr>
                      <m:sty m:val="b"/>
                    </m:rPr>
                    <w:rPr>
                      <w:rFonts w:ascii="Cambria Math" w:hAnsi="Cambria Math"/>
                      <w:sz w:val="21"/>
                      <w:szCs w:val="21"/>
                    </w:rPr>
                    <m:t>X</m:t>
                  </m:r>
                  <m:ctrlPr>
                    <w:rPr>
                      <w:rFonts w:ascii="Cambria Math" w:hAnsi="Cambria Math"/>
                      <w:b/>
                      <w:sz w:val="21"/>
                      <w:szCs w:val="21"/>
                    </w:rPr>
                  </m:ctrlPr>
                </m:e>
                <m:sub>
                  <m:r>
                    <m:rPr>
                      <m:sty m:val="b"/>
                    </m:rPr>
                    <w:rPr>
                      <w:rFonts w:ascii="Cambria Math" w:hAnsi="Cambria Math"/>
                      <w:sz w:val="21"/>
                      <w:szCs w:val="21"/>
                    </w:rPr>
                    <m:t>s</m:t>
                  </m:r>
                  <m:ctrlPr>
                    <w:rPr>
                      <w:rFonts w:ascii="Cambria Math" w:hAnsi="Cambria Math"/>
                      <w:b/>
                      <w:sz w:val="21"/>
                      <w:szCs w:val="21"/>
                    </w:rPr>
                  </m:ctrlPr>
                </m:sub>
              </m:sSub>
            </m:oMath>
            <w:r>
              <w:rPr>
                <w:b/>
                <w:sz w:val="21"/>
                <w:szCs w:val="21"/>
              </w:rPr>
              <w:t xml:space="preserve"> slots that a SearchSpace lasts in every occasion, i.e., upon every period as given in the monitoringPeriodicityAndOffset-r17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rFonts w:ascii="Times" w:hAnsi="Times" w:eastAsia="Batang"/>
                <w:color w:val="000000"/>
                <w:sz w:val="20"/>
                <w:szCs w:val="24"/>
              </w:rPr>
            </w:pPr>
            <w:r>
              <w:rPr>
                <w:rFonts w:ascii="Times" w:hAnsi="Times" w:eastAsia="Batang"/>
                <w:color w:val="000000"/>
                <w:sz w:val="20"/>
                <w:szCs w:val="24"/>
              </w:rPr>
              <w:t xml:space="preserve">For SCS 960kHz, </w:t>
            </w:r>
            <w:r>
              <w:rPr>
                <w:rFonts w:ascii="Times" w:hAnsi="Times" w:eastAsia="Batang"/>
                <w:i/>
                <w:iCs/>
                <w:color w:val="000000"/>
                <w:sz w:val="20"/>
                <w:szCs w:val="24"/>
              </w:rPr>
              <w:t xml:space="preserve">monitoringSlotsWithinSlotGroup-r17 </w:t>
            </w:r>
            <w:r>
              <w:rPr>
                <w:rFonts w:ascii="Times" w:hAnsi="Times" w:eastAsia="Batang"/>
                <w:color w:val="000000"/>
                <w:sz w:val="20"/>
                <w:szCs w:val="24"/>
              </w:rPr>
              <w:t xml:space="preserve">has 8 bits. the 8 bits should be interpreted as the indication of a slot pattern for either one slot group with Xs=8 or two consecutive slot groups with Xs=4. Therefore, we propose the following revisions. </w:t>
            </w:r>
          </w:p>
          <w:p>
            <w:pPr>
              <w:widowControl w:val="0"/>
              <w:numPr>
                <w:ilvl w:val="0"/>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Introduce new parameter </w:t>
            </w:r>
            <w:r>
              <w:rPr>
                <w:rFonts w:ascii="Times" w:hAnsi="Times" w:eastAsia="Batang"/>
                <w:i/>
                <w:iCs/>
                <w:color w:val="000000"/>
                <w:sz w:val="20"/>
                <w:szCs w:val="24"/>
              </w:rPr>
              <w:t>monitoringSlotsWithinSlotGroup-r17</w:t>
            </w:r>
          </w:p>
          <w:p>
            <w:pPr>
              <w:widowControl w:val="0"/>
              <w:numPr>
                <w:ilvl w:val="1"/>
                <w:numId w:val="28"/>
              </w:numPr>
              <w:overflowPunct w:val="0"/>
              <w:textAlignment w:val="baseline"/>
              <w:rPr>
                <w:rFonts w:ascii="Times" w:hAnsi="Times" w:eastAsia="Batang"/>
                <w:strike/>
                <w:color w:val="000000"/>
                <w:sz w:val="20"/>
                <w:szCs w:val="24"/>
              </w:rPr>
            </w:pPr>
            <w:r>
              <w:rPr>
                <w:rFonts w:ascii="Times" w:hAnsi="Times" w:eastAsia="Batang"/>
                <w:strike/>
                <w:color w:val="FF0000"/>
                <w:sz w:val="20"/>
                <w:szCs w:val="24"/>
                <w:highlight w:val="darkYellow"/>
              </w:rPr>
              <w:t>Working assumption</w:t>
            </w:r>
            <w:r>
              <w:rPr>
                <w:rFonts w:ascii="Times" w:hAnsi="Times" w:eastAsia="Batang"/>
                <w:strike/>
                <w:color w:val="FF0000"/>
                <w:sz w:val="20"/>
                <w:szCs w:val="24"/>
              </w:rPr>
              <w:t>:</w:t>
            </w:r>
          </w:p>
          <w:p>
            <w:pPr>
              <w:widowControl w:val="0"/>
              <w:numPr>
                <w:ilvl w:val="2"/>
                <w:numId w:val="28"/>
              </w:numPr>
              <w:overflowPunct w:val="0"/>
              <w:textAlignment w:val="baseline"/>
              <w:rPr>
                <w:rFonts w:ascii="Times" w:hAnsi="Times" w:eastAsia="Batang"/>
                <w:strike/>
                <w:color w:val="000000"/>
                <w:sz w:val="20"/>
                <w:szCs w:val="24"/>
              </w:rPr>
            </w:pPr>
            <w:r>
              <w:rPr>
                <w:rFonts w:ascii="Times" w:hAnsi="Times" w:eastAsia="Batang"/>
                <w:strike/>
                <w:color w:val="FF0000"/>
                <w:sz w:val="20"/>
                <w:szCs w:val="24"/>
              </w:rPr>
              <w:t>The size is 8 bits</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FF0000"/>
                <w:sz w:val="20"/>
                <w:szCs w:val="24"/>
              </w:rPr>
              <w:t>The size is Xs bits, where Xs is either 4 or 8</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Each bit in </w:t>
            </w:r>
            <w:r>
              <w:rPr>
                <w:rFonts w:ascii="Times" w:hAnsi="Times" w:eastAsia="Batang"/>
                <w:i/>
                <w:iCs/>
                <w:color w:val="000000"/>
                <w:sz w:val="20"/>
                <w:szCs w:val="24"/>
              </w:rPr>
              <w:t>monitoringSlotsWithinSlotGroup-r17</w:t>
            </w:r>
            <w:r>
              <w:rPr>
                <w:rFonts w:ascii="Times" w:hAnsi="Times" w:eastAsia="Batang"/>
                <w:color w:val="000000"/>
                <w:sz w:val="20"/>
                <w:szCs w:val="24"/>
              </w:rPr>
              <w:t xml:space="preserve"> represents a slot in a slot group </w:t>
            </w:r>
            <w:r>
              <w:rPr>
                <w:rFonts w:ascii="Times" w:hAnsi="Times" w:eastAsia="Batang"/>
                <w:color w:val="0620BA"/>
                <w:sz w:val="20"/>
                <w:szCs w:val="24"/>
                <w:u w:val="single"/>
              </w:rPr>
              <w:t>or two consecutive slot groups</w:t>
            </w:r>
          </w:p>
          <w:p>
            <w:pPr>
              <w:widowControl w:val="0"/>
              <w:numPr>
                <w:ilvl w:val="2"/>
                <w:numId w:val="28"/>
              </w:numPr>
              <w:overflowPunct w:val="0"/>
              <w:textAlignment w:val="baseline"/>
              <w:rPr>
                <w:rFonts w:ascii="Times" w:hAnsi="Times" w:eastAsia="Batang"/>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hAnsi="Times" w:eastAsia="Batang"/>
                <w:i/>
                <w:iCs/>
                <w:color w:val="FF0000"/>
                <w:sz w:val="20"/>
                <w:szCs w:val="24"/>
              </w:rPr>
              <w:t>duration-r17</w:t>
            </w:r>
            <w:r>
              <w:rPr>
                <w:rFonts w:ascii="Times" w:hAnsi="Times"/>
                <w:color w:val="FF0000"/>
                <w:sz w:val="20"/>
                <w:szCs w:val="24"/>
              </w:rPr>
              <w:t>.</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A slot in the slot group is configured for multi-slot PDCCH monitoring if the corresponding bit in the slot group is set to '1'</w:t>
            </w:r>
          </w:p>
          <w:p>
            <w:pPr>
              <w:widowControl w:val="0"/>
              <w:numPr>
                <w:ilvl w:val="3"/>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Note: Further configuration of the monitoring symbols in such a slot is done by </w:t>
            </w:r>
            <w:r>
              <w:rPr>
                <w:rFonts w:ascii="Times" w:hAnsi="Times" w:eastAsia="Batang"/>
                <w:i/>
                <w:iCs/>
                <w:color w:val="000000"/>
                <w:sz w:val="20"/>
                <w:szCs w:val="24"/>
              </w:rPr>
              <w:t>monitoringSymbolsWithinSlot</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The</w:t>
            </w:r>
            <w:r>
              <w:rPr>
                <w:rFonts w:hint="eastAsia" w:ascii="Times" w:hAnsi="Times" w:eastAsia="Batang"/>
                <w:color w:val="000000"/>
                <w:sz w:val="20"/>
                <w:szCs w:val="24"/>
              </w:rPr>
              <w:t xml:space="preserve"> </w:t>
            </w:r>
            <w:r>
              <w:rPr>
                <w:rFonts w:ascii="Times" w:hAnsi="Times" w:eastAsia="Batang"/>
                <w:color w:val="000000"/>
                <w:sz w:val="20"/>
                <w:szCs w:val="24"/>
              </w:rPr>
              <w:t>slo</w:t>
            </w:r>
            <w:r>
              <w:rPr>
                <w:rFonts w:ascii="Times" w:hAnsi="Times" w:eastAsia="Batang"/>
                <w:sz w:val="20"/>
                <w:szCs w:val="24"/>
              </w:rPr>
              <w:t>ts indicated in the bitmap sh</w:t>
            </w:r>
            <w:r>
              <w:rPr>
                <w:rFonts w:ascii="Times" w:hAnsi="Times" w:eastAsia="Batang"/>
                <w:color w:val="000000"/>
                <w:sz w:val="20"/>
                <w:szCs w:val="24"/>
              </w:rPr>
              <w:t>ould be consecutive</w:t>
            </w:r>
            <w:r>
              <w:rPr>
                <w:rFonts w:ascii="Times" w:hAnsi="Times" w:eastAsia="Batang"/>
                <w:sz w:val="20"/>
                <w:szCs w:val="24"/>
              </w:rPr>
              <w:t xml:space="preserve"> at least for Group (1) SSs</w:t>
            </w:r>
            <w:r>
              <w:rPr>
                <w:rFonts w:ascii="Times" w:hAnsi="Times" w:eastAsia="Batang"/>
                <w:color w:val="0070C0"/>
                <w:sz w:val="20"/>
                <w:szCs w:val="24"/>
                <w:u w:val="single"/>
              </w:rPr>
              <w:t xml:space="preserve"> </w:t>
            </w:r>
            <w:r>
              <w:rPr>
                <w:rFonts w:ascii="Times" w:hAnsi="Times" w:eastAsia="Batang"/>
                <w:color w:val="0620BA"/>
                <w:sz w:val="20"/>
                <w:szCs w:val="24"/>
                <w:u w:val="single"/>
              </w:rPr>
              <w:t>in a slot group</w:t>
            </w:r>
          </w:p>
          <w:p>
            <w:pPr>
              <w:widowControl w:val="0"/>
              <w:numPr>
                <w:ilvl w:val="2"/>
                <w:numId w:val="28"/>
              </w:numPr>
              <w:overflowPunct w:val="0"/>
              <w:textAlignment w:val="baseline"/>
              <w:rPr>
                <w:rFonts w:ascii="Times" w:hAnsi="Times" w:eastAsia="Batang"/>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ctrlPr>
                    <w:rPr>
                      <w:rFonts w:ascii="Cambria Math" w:hAnsi="Cambria Math"/>
                      <w:bCs/>
                      <w:i/>
                      <w:color w:val="FF0000"/>
                      <w:sz w:val="20"/>
                      <w:szCs w:val="20"/>
                    </w:rPr>
                  </m:ctrlPr>
                </m:e>
                <m:sub>
                  <m:r>
                    <w:rPr>
                      <w:rFonts w:ascii="Cambria Math" w:hAnsi="Cambria Math"/>
                      <w:color w:val="FF0000"/>
                      <w:sz w:val="20"/>
                      <w:szCs w:val="20"/>
                    </w:rPr>
                    <m:t>s</m:t>
                  </m:r>
                  <m:ctrlPr>
                    <w:rPr>
                      <w:rFonts w:ascii="Cambria Math" w:hAnsi="Cambria Math"/>
                      <w:bCs/>
                      <w:i/>
                      <w:color w:val="FF0000"/>
                      <w:sz w:val="20"/>
                      <w:szCs w:val="20"/>
                    </w:rPr>
                  </m:ctrlPr>
                </m:sub>
              </m:sSub>
            </m:oMath>
            <w:r>
              <w:rPr>
                <w:bCs/>
                <w:color w:val="FF0000"/>
                <w:sz w:val="20"/>
                <w:szCs w:val="20"/>
              </w:rPr>
              <w:t xml:space="preserve"> </w:t>
            </w:r>
            <w:r>
              <w:rPr>
                <w:rFonts w:ascii="Times" w:hAnsi="Times" w:eastAsia="Batang"/>
                <w:color w:val="0620BA"/>
                <w:sz w:val="20"/>
                <w:szCs w:val="24"/>
                <w:u w:val="single"/>
              </w:rPr>
              <w:t>in a slot group</w:t>
            </w:r>
            <w:r>
              <w:rPr>
                <w:bCs/>
                <w:color w:val="FF0000"/>
                <w:sz w:val="20"/>
                <w:szCs w:val="20"/>
              </w:rPr>
              <w:t xml:space="preserve"> </w:t>
            </w:r>
            <w:r>
              <w:rPr>
                <w:rFonts w:ascii="Times" w:hAnsi="Times" w:eastAsia="Batang"/>
                <w:color w:val="FF0000"/>
                <w:sz w:val="20"/>
                <w:szCs w:val="24"/>
              </w:rPr>
              <w:t>at least for Group (1) SSs</w:t>
            </w:r>
          </w:p>
          <w:p>
            <w:pPr>
              <w:widowControl w:val="0"/>
              <w:numPr>
                <w:ilvl w:val="2"/>
                <w:numId w:val="28"/>
              </w:numPr>
              <w:overflowPunct w:val="0"/>
              <w:textAlignment w:val="baseline"/>
              <w:rPr>
                <w:lang w:eastAsia="zh-CN"/>
              </w:rPr>
            </w:pPr>
            <w:r>
              <w:rPr>
                <w:rFonts w:ascii="Times" w:hAnsi="Times"/>
                <w:color w:val="FF0000"/>
                <w:sz w:val="20"/>
                <w:szCs w:val="24"/>
              </w:rPr>
              <w:t>FFS: Applicable value if this field is absent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rFonts w:eastAsia="宋体"/>
                <w:sz w:val="21"/>
                <w:szCs w:val="21"/>
                <w:u w:val="single"/>
                <w:lang w:eastAsia="zh-CN"/>
              </w:rPr>
            </w:pPr>
            <w:r>
              <w:rPr>
                <w:sz w:val="21"/>
                <w:szCs w:val="21"/>
                <w:u w:val="single"/>
                <w:lang w:eastAsia="zh-CN"/>
              </w:rPr>
              <w:t xml:space="preserve">For periodicity in </w:t>
            </w:r>
            <w:r>
              <w:rPr>
                <w:rFonts w:eastAsia="Batang"/>
                <w:i/>
                <w:iCs/>
                <w:sz w:val="21"/>
                <w:szCs w:val="21"/>
                <w:u w:val="single"/>
              </w:rPr>
              <w:t>monitoringPeriodicityAndOffset</w:t>
            </w:r>
            <w:r>
              <w:rPr>
                <w:rFonts w:eastAsia="宋体"/>
                <w:i/>
                <w:iCs/>
                <w:sz w:val="21"/>
                <w:szCs w:val="21"/>
                <w:u w:val="single"/>
                <w:lang w:eastAsia="zh-CN"/>
              </w:rPr>
              <w:t>-r17</w:t>
            </w:r>
          </w:p>
          <w:p>
            <w:pPr>
              <w:widowControl w:val="0"/>
              <w:rPr>
                <w:sz w:val="21"/>
                <w:szCs w:val="21"/>
                <w:lang w:eastAsia="zh-CN"/>
              </w:rPr>
            </w:pPr>
            <w:r>
              <w:rPr>
                <w:sz w:val="21"/>
                <w:szCs w:val="21"/>
                <w:lang w:eastAsia="zh-CN"/>
              </w:rPr>
              <w:t xml:space="preserve">If we can further clarify in TS 38.213 or add a note in RRC parameter list that </w:t>
            </w:r>
            <w:r>
              <w:rPr>
                <w:rFonts w:eastAsia="Batang"/>
                <w:i/>
                <w:iCs/>
                <w:sz w:val="21"/>
                <w:szCs w:val="21"/>
                <w:u w:val="single"/>
              </w:rPr>
              <w:t>monitoringPeriodicityAndOffset</w:t>
            </w:r>
            <w:r>
              <w:rPr>
                <w:rFonts w:eastAsia="宋体"/>
                <w:i/>
                <w:iCs/>
                <w:sz w:val="21"/>
                <w:szCs w:val="21"/>
                <w:u w:val="single"/>
                <w:lang w:eastAsia="zh-CN"/>
              </w:rPr>
              <w:t xml:space="preserve">-r17 </w:t>
            </w:r>
            <w:r>
              <w:rPr>
                <w:sz w:val="21"/>
                <w:szCs w:val="21"/>
                <w:lang w:eastAsia="zh-CN"/>
              </w:rPr>
              <w:t>is only used for 480kHz and 960kHz, we can accept the change:</w:t>
            </w:r>
          </w:p>
          <w:p>
            <w:pPr>
              <w:widowControl w:val="0"/>
              <w:numPr>
                <w:ilvl w:val="3"/>
                <w:numId w:val="28"/>
              </w:numPr>
              <w:overflowPunct w:val="0"/>
              <w:textAlignment w:val="baseline"/>
              <w:rPr>
                <w:rFonts w:eastAsia="Batang"/>
                <w:sz w:val="21"/>
                <w:szCs w:val="21"/>
              </w:rPr>
            </w:pPr>
            <w:r>
              <w:rPr>
                <w:rFonts w:eastAsia="Batang"/>
                <w:sz w:val="21"/>
                <w:szCs w:val="21"/>
              </w:rPr>
              <w:t>Note: Total list of supported periodicity values: {</w:t>
            </w:r>
            <w:r>
              <w:rPr>
                <w:rFonts w:eastAsia="Batang"/>
                <w:strike/>
                <w:color w:val="FF0000"/>
                <w:sz w:val="21"/>
                <w:szCs w:val="21"/>
              </w:rPr>
              <w:t>1,2,</w:t>
            </w:r>
            <w:r>
              <w:rPr>
                <w:rFonts w:eastAsia="Batang"/>
                <w:sz w:val="21"/>
                <w:szCs w:val="21"/>
              </w:rPr>
              <w:t>4,</w:t>
            </w:r>
            <w:r>
              <w:rPr>
                <w:rFonts w:eastAsia="Batang"/>
                <w:strike/>
                <w:color w:val="FF0000"/>
                <w:sz w:val="21"/>
                <w:szCs w:val="21"/>
              </w:rPr>
              <w:t>5,</w:t>
            </w:r>
            <w:r>
              <w:rPr>
                <w:rFonts w:eastAsia="Batang"/>
                <w:sz w:val="21"/>
                <w:szCs w:val="21"/>
              </w:rPr>
              <w:t>8,</w:t>
            </w:r>
            <w:r>
              <w:rPr>
                <w:rFonts w:eastAsia="Batang"/>
                <w:strike/>
                <w:color w:val="FF0000"/>
                <w:sz w:val="21"/>
                <w:szCs w:val="21"/>
              </w:rPr>
              <w:t>10,</w:t>
            </w:r>
            <w:r>
              <w:rPr>
                <w:rFonts w:eastAsia="Batang"/>
                <w:sz w:val="21"/>
                <w:szCs w:val="21"/>
              </w:rPr>
              <w:t>16,20,32,40,64,80,128,160,320,640,1280,2560,5120,10240,20480}</w:t>
            </w:r>
          </w:p>
          <w:p>
            <w:pPr>
              <w:widowControl w:val="0"/>
              <w:overflowPunct w:val="0"/>
              <w:textAlignment w:val="baseline"/>
              <w:rPr>
                <w:sz w:val="21"/>
                <w:szCs w:val="21"/>
                <w:u w:val="single"/>
                <w:lang w:eastAsia="zh-CN"/>
              </w:rPr>
            </w:pPr>
            <w:r>
              <w:rPr>
                <w:rFonts w:eastAsia="宋体"/>
                <w:sz w:val="21"/>
                <w:szCs w:val="21"/>
                <w:lang w:eastAsia="zh-CN"/>
              </w:rPr>
              <w:t xml:space="preserve">Moreover, </w:t>
            </w:r>
            <w:r>
              <w:rPr>
                <w:rFonts w:eastAsia="宋体"/>
                <w:bCs/>
                <w:sz w:val="21"/>
                <w:szCs w:val="21"/>
                <w:lang w:eastAsia="zh-CN"/>
              </w:rPr>
              <w:t xml:space="preserve"> The configuration of periodicity/duration is intended not only for Group (1) SSs but also for Group (2) SSs, so we suggest changing the wordings in the agreement “The configured periodicity/duration at least for Group (1) SSs is restricted to be an integer multiple of </w:t>
            </w:r>
            <m:oMath>
              <m:sSub>
                <m:sSubPr>
                  <m:ctrlPr>
                    <w:rPr>
                      <w:rFonts w:ascii="Cambria Math" w:hAnsi="Cambria Math"/>
                      <w:i/>
                      <w:sz w:val="21"/>
                      <w:szCs w:val="21"/>
                      <w:lang w:eastAsia="zh-CN"/>
                    </w:rPr>
                  </m:ctrlPr>
                </m:sSubPr>
                <m:e>
                  <m:r>
                    <w:rPr>
                      <w:rFonts w:ascii="Cambria Math" w:hAnsi="Cambria Math"/>
                      <w:sz w:val="21"/>
                      <w:szCs w:val="21"/>
                      <w:lang w:eastAsia="zh-CN"/>
                    </w:rPr>
                    <m:t>X</m:t>
                  </m:r>
                  <m:ctrlPr>
                    <w:rPr>
                      <w:rFonts w:ascii="Cambria Math" w:hAnsi="Cambria Math"/>
                      <w:i/>
                      <w:sz w:val="21"/>
                      <w:szCs w:val="21"/>
                      <w:lang w:eastAsia="zh-CN"/>
                    </w:rPr>
                  </m:ctrlPr>
                </m:e>
                <m:sub>
                  <m:r>
                    <w:rPr>
                      <w:rFonts w:ascii="Cambria Math" w:hAnsi="Cambria Math"/>
                      <w:sz w:val="21"/>
                      <w:szCs w:val="21"/>
                      <w:lang w:eastAsia="zh-CN"/>
                    </w:rPr>
                    <m:t>s</m:t>
                  </m:r>
                  <m:ctrlPr>
                    <w:rPr>
                      <w:rFonts w:ascii="Cambria Math" w:hAnsi="Cambria Math"/>
                      <w:i/>
                      <w:sz w:val="21"/>
                      <w:szCs w:val="21"/>
                      <w:lang w:eastAsia="zh-CN"/>
                    </w:rPr>
                  </m:ctrlPr>
                </m:sub>
              </m:sSub>
            </m:oMath>
            <w:r>
              <w:rPr>
                <w:rFonts w:eastAsia="宋体"/>
                <w:bCs/>
                <w:sz w:val="21"/>
                <w:szCs w:val="21"/>
                <w:lang w:eastAsia="zh-CN"/>
              </w:rPr>
              <w:t xml:space="preserve"> slots” to “</w:t>
            </w:r>
            <w:r>
              <w:rPr>
                <w:color w:val="FF0000"/>
                <w:sz w:val="21"/>
                <w:szCs w:val="21"/>
                <w:lang w:eastAsia="zh-CN"/>
              </w:rPr>
              <w:t>The configured periodicity/duration</w:t>
            </w:r>
            <w:r>
              <w:rPr>
                <w:rFonts w:eastAsia="宋体"/>
                <w:i/>
                <w:iCs/>
                <w:color w:val="FF0000"/>
                <w:sz w:val="21"/>
                <w:szCs w:val="21"/>
                <w:lang w:eastAsia="zh-CN"/>
              </w:rPr>
              <w:t xml:space="preserve"> </w:t>
            </w:r>
            <w:r>
              <w:rPr>
                <w:rFonts w:eastAsia="宋体"/>
                <w:color w:val="FF0000"/>
                <w:sz w:val="21"/>
                <w:szCs w:val="21"/>
                <w:lang w:eastAsia="zh-CN"/>
              </w:rPr>
              <w:t xml:space="preserve">is restricted to be an integer multiple of </w:t>
            </w:r>
            <m:oMath>
              <m:sSub>
                <m:sSubPr>
                  <m:ctrlPr>
                    <w:rPr>
                      <w:rFonts w:ascii="Cambria Math" w:hAnsi="Cambria Math"/>
                      <w:i/>
                      <w:color w:val="FF0000"/>
                      <w:sz w:val="21"/>
                      <w:szCs w:val="21"/>
                      <w:lang w:eastAsia="zh-CN"/>
                    </w:rPr>
                  </m:ctrlPr>
                </m:sSubPr>
                <m:e>
                  <m:r>
                    <w:rPr>
                      <w:rFonts w:ascii="Cambria Math" w:hAnsi="Cambria Math"/>
                      <w:color w:val="FF0000"/>
                      <w:sz w:val="21"/>
                      <w:szCs w:val="21"/>
                      <w:lang w:eastAsia="zh-CN"/>
                    </w:rPr>
                    <m:t>X</m:t>
                  </m:r>
                  <m:ctrlPr>
                    <w:rPr>
                      <w:rFonts w:ascii="Cambria Math" w:hAnsi="Cambria Math"/>
                      <w:i/>
                      <w:color w:val="FF0000"/>
                      <w:sz w:val="21"/>
                      <w:szCs w:val="21"/>
                      <w:lang w:eastAsia="zh-CN"/>
                    </w:rPr>
                  </m:ctrlPr>
                </m:e>
                <m:sub>
                  <m:r>
                    <w:rPr>
                      <w:rFonts w:ascii="Cambria Math" w:hAnsi="Cambria Math"/>
                      <w:color w:val="FF0000"/>
                      <w:sz w:val="21"/>
                      <w:szCs w:val="21"/>
                      <w:lang w:eastAsia="zh-CN"/>
                    </w:rPr>
                    <m:t>s</m:t>
                  </m:r>
                  <m:ctrlPr>
                    <w:rPr>
                      <w:rFonts w:ascii="Cambria Math" w:hAnsi="Cambria Math"/>
                      <w:i/>
                      <w:color w:val="FF0000"/>
                      <w:sz w:val="21"/>
                      <w:szCs w:val="21"/>
                      <w:lang w:eastAsia="zh-CN"/>
                    </w:rPr>
                  </m:ctrlPr>
                </m:sub>
              </m:sSub>
            </m:oMath>
            <w:r>
              <w:rPr>
                <w:rFonts w:eastAsia="宋体"/>
                <w:color w:val="FF0000"/>
                <w:sz w:val="21"/>
                <w:szCs w:val="21"/>
                <w:lang w:eastAsia="zh-CN"/>
              </w:rPr>
              <w:t xml:space="preserve"> slots for both Group (1) SSs and Group (2) SSs</w:t>
            </w:r>
            <w:r>
              <w:rPr>
                <w:rFonts w:eastAsia="宋体"/>
                <w:bCs/>
                <w:sz w:val="21"/>
                <w:szCs w:val="21"/>
                <w:lang w:eastAsia="zh-CN"/>
              </w:rPr>
              <w:t>”.</w:t>
            </w:r>
          </w:p>
          <w:p>
            <w:pPr>
              <w:widowControl w:val="0"/>
              <w:rPr>
                <w:rFonts w:eastAsia="宋体"/>
                <w:sz w:val="21"/>
                <w:szCs w:val="21"/>
                <w:u w:val="single"/>
                <w:lang w:eastAsia="zh-CN"/>
              </w:rPr>
            </w:pPr>
            <w:r>
              <w:rPr>
                <w:sz w:val="21"/>
                <w:szCs w:val="21"/>
                <w:u w:val="single"/>
                <w:lang w:eastAsia="zh-CN"/>
              </w:rPr>
              <w:t xml:space="preserve">For offset in </w:t>
            </w:r>
            <w:r>
              <w:rPr>
                <w:rFonts w:eastAsia="Batang"/>
                <w:i/>
                <w:iCs/>
                <w:sz w:val="21"/>
                <w:szCs w:val="21"/>
                <w:u w:val="single"/>
              </w:rPr>
              <w:t>monitoringPeriodicityAndOffset</w:t>
            </w:r>
            <w:r>
              <w:rPr>
                <w:rFonts w:eastAsia="宋体"/>
                <w:i/>
                <w:iCs/>
                <w:sz w:val="21"/>
                <w:szCs w:val="21"/>
                <w:u w:val="single"/>
                <w:lang w:eastAsia="zh-CN"/>
              </w:rPr>
              <w:t>-17</w:t>
            </w:r>
          </w:p>
          <w:p>
            <w:pPr>
              <w:widowControl w:val="0"/>
              <w:rPr>
                <w:sz w:val="21"/>
                <w:szCs w:val="21"/>
                <w:lang w:eastAsia="zh-CN"/>
              </w:rPr>
            </w:pPr>
            <w:r>
              <w:rPr>
                <w:sz w:val="21"/>
                <w:szCs w:val="21"/>
                <w:lang w:eastAsia="zh-CN"/>
              </w:rPr>
              <w:t xml:space="preserve">We can accept the idea to make sure the value of offset is restricted to be an integer multiple of Xs slots. </w:t>
            </w:r>
          </w:p>
          <w:p>
            <w:pPr>
              <w:widowControl w:val="0"/>
              <w:rPr>
                <w:sz w:val="21"/>
                <w:szCs w:val="21"/>
                <w:lang w:eastAsia="zh-CN"/>
              </w:rPr>
            </w:pPr>
            <w:r>
              <w:rPr>
                <w:sz w:val="21"/>
                <w:szCs w:val="21"/>
                <w:lang w:eastAsia="zh-CN"/>
              </w:rPr>
              <w:t>If the offset is not restricted to be an integer multiple of Xs slots and t</w:t>
            </w:r>
            <w:r>
              <w:rPr>
                <w:rFonts w:eastAsia="宋体"/>
                <w:bCs/>
                <w:sz w:val="21"/>
                <w:szCs w:val="21"/>
                <w:lang w:eastAsia="zh-CN"/>
              </w:rPr>
              <w:t>he value range for the offset O is {0 .. Xp-1} slots for each periodicity value Xp.</w:t>
            </w:r>
            <w:r>
              <w:rPr>
                <w:sz w:val="21"/>
                <w:szCs w:val="21"/>
                <w:lang w:eastAsia="zh-CN"/>
              </w:rPr>
              <w:t xml:space="preserve"> </w:t>
            </w:r>
            <w:r>
              <w:rPr>
                <w:rFonts w:eastAsia="宋体"/>
                <w:sz w:val="21"/>
                <w:szCs w:val="21"/>
                <w:lang w:eastAsia="zh-CN"/>
              </w:rPr>
              <w:t xml:space="preserve">The offset indicates the slot offset between PDCCH monitoring occasion and frame boundary according to the current specification in TS 38.213, the configuration of  parameter </w:t>
            </w:r>
            <w:r>
              <w:rPr>
                <w:rFonts w:eastAsia="宋体"/>
                <w:i/>
                <w:iCs/>
                <w:sz w:val="21"/>
                <w:szCs w:val="21"/>
                <w:lang w:eastAsia="zh-CN"/>
              </w:rPr>
              <w:t xml:space="preserve">monitoringSlotsWithinSlotGroup-r17 </w:t>
            </w:r>
            <w:r>
              <w:rPr>
                <w:rFonts w:eastAsia="宋体"/>
                <w:sz w:val="21"/>
                <w:szCs w:val="21"/>
                <w:lang w:eastAsia="zh-CN"/>
              </w:rPr>
              <w:t xml:space="preserve">should align with the configuration of offset in  </w:t>
            </w:r>
            <w:r>
              <w:rPr>
                <w:rFonts w:eastAsia="宋体"/>
                <w:bCs/>
                <w:i/>
                <w:iCs/>
                <w:sz w:val="21"/>
                <w:szCs w:val="21"/>
                <w:lang w:eastAsia="zh-CN"/>
              </w:rPr>
              <w:t>monitoringSlotPeriodicityAndOffset-r17</w:t>
            </w:r>
            <w:r>
              <w:rPr>
                <w:rFonts w:eastAsia="宋体"/>
                <w:sz w:val="21"/>
                <w:szCs w:val="21"/>
                <w:lang w:eastAsia="zh-CN"/>
              </w:rPr>
              <w:t xml:space="preserve">. In other words, the offset indicated in </w:t>
            </w:r>
            <w:r>
              <w:rPr>
                <w:rFonts w:eastAsia="宋体"/>
                <w:i/>
                <w:iCs/>
                <w:sz w:val="21"/>
                <w:szCs w:val="21"/>
                <w:lang w:eastAsia="zh-CN"/>
              </w:rPr>
              <w:t xml:space="preserve">monitoringSlotPeriodicityAndOffset-r17 </w:t>
            </w:r>
            <w:r>
              <w:rPr>
                <w:rFonts w:eastAsia="宋体"/>
                <w:sz w:val="21"/>
                <w:szCs w:val="21"/>
                <w:lang w:eastAsia="zh-CN"/>
              </w:rPr>
              <w:t xml:space="preserve">is equal to the slot offset between the subframe boundary and the first slot in the slot group indicated in </w:t>
            </w:r>
            <w:r>
              <w:rPr>
                <w:rFonts w:eastAsia="宋体"/>
                <w:i/>
                <w:iCs/>
                <w:sz w:val="21"/>
                <w:szCs w:val="21"/>
                <w:lang w:eastAsia="zh-CN"/>
              </w:rPr>
              <w:t>monitoringSlotsWithinSlotGroup-r17</w:t>
            </w:r>
            <w:r>
              <w:rPr>
                <w:rFonts w:eastAsia="宋体"/>
                <w:sz w:val="21"/>
                <w:szCs w:val="21"/>
                <w:lang w:eastAsia="zh-CN"/>
              </w:rPr>
              <w:t xml:space="preserve"> for a PDCCH monitoring occasion.</w:t>
            </w:r>
          </w:p>
          <w:p>
            <w:pPr>
              <w:widowControl w:val="0"/>
              <w:rPr>
                <w:sz w:val="21"/>
                <w:szCs w:val="21"/>
                <w:u w:val="single"/>
                <w:lang w:eastAsia="zh-CN"/>
              </w:rPr>
            </w:pPr>
            <w:r>
              <w:rPr>
                <w:sz w:val="21"/>
                <w:szCs w:val="21"/>
                <w:u w:val="single"/>
                <w:lang w:eastAsia="zh-CN"/>
              </w:rPr>
              <w:t xml:space="preserve">For </w:t>
            </w:r>
            <w:r>
              <w:rPr>
                <w:i/>
                <w:iCs/>
                <w:sz w:val="21"/>
                <w:szCs w:val="21"/>
                <w:u w:val="single"/>
                <w:lang w:eastAsia="zh-CN"/>
              </w:rPr>
              <w:t>duration-17</w:t>
            </w:r>
          </w:p>
          <w:p>
            <w:pPr>
              <w:widowControl w:val="0"/>
              <w:rPr>
                <w:sz w:val="21"/>
                <w:szCs w:val="21"/>
                <w:lang w:eastAsia="zh-CN"/>
              </w:rPr>
            </w:pPr>
            <w:r>
              <w:rPr>
                <w:sz w:val="21"/>
                <w:szCs w:val="21"/>
                <w:lang w:eastAsia="zh-CN"/>
              </w:rPr>
              <w:t xml:space="preserve">We don’t support the definition for </w:t>
            </w:r>
            <w:r>
              <w:rPr>
                <w:i/>
                <w:iCs/>
                <w:sz w:val="21"/>
                <w:szCs w:val="21"/>
                <w:lang w:eastAsia="zh-CN"/>
              </w:rPr>
              <w:t>duration-r17</w:t>
            </w:r>
            <w:r>
              <w:rPr>
                <w:sz w:val="21"/>
                <w:szCs w:val="21"/>
                <w:lang w:eastAsia="zh-CN"/>
              </w:rPr>
              <w:t xml:space="preserve"> in Proposal A2-1.1. We propose to clarify the definition of </w:t>
            </w:r>
            <w:r>
              <w:rPr>
                <w:i/>
                <w:iCs/>
                <w:sz w:val="21"/>
                <w:szCs w:val="21"/>
                <w:lang w:eastAsia="zh-CN"/>
              </w:rPr>
              <w:t>duration-r17</w:t>
            </w:r>
            <w:r>
              <w:rPr>
                <w:sz w:val="21"/>
                <w:szCs w:val="21"/>
                <w:lang w:eastAsia="zh-CN"/>
              </w:rPr>
              <w:t xml:space="preserve"> as “</w:t>
            </w:r>
            <w:r>
              <w:rPr>
                <w:color w:val="FF0000"/>
                <w:sz w:val="21"/>
                <w:szCs w:val="21"/>
                <w:lang w:eastAsia="zh-CN"/>
              </w:rPr>
              <w:t>number of slots that a SearchSpace lasts for a couple of consecutive slot groups in every occasion</w:t>
            </w:r>
            <w:r>
              <w:rPr>
                <w:sz w:val="21"/>
                <w:szCs w:val="21"/>
                <w:lang w:eastAsia="zh-CN"/>
              </w:rPr>
              <w:t xml:space="preserve">”. </w:t>
            </w:r>
          </w:p>
          <w:p>
            <w:pPr>
              <w:widowControl w:val="0"/>
              <w:rPr>
                <w:sz w:val="21"/>
                <w:szCs w:val="21"/>
                <w:lang w:eastAsia="zh-CN"/>
              </w:rPr>
            </w:pPr>
            <w:r>
              <w:rPr>
                <w:sz w:val="21"/>
                <w:szCs w:val="21"/>
                <w:lang w:eastAsia="zh-CN"/>
              </w:rPr>
              <w:t xml:space="preserve">In the curren specification of TS 38.331 for </w:t>
            </w:r>
            <w:r>
              <w:rPr>
                <w:i/>
                <w:iCs/>
                <w:sz w:val="21"/>
                <w:szCs w:val="21"/>
                <w:lang w:eastAsia="zh-CN"/>
              </w:rPr>
              <w:t>duration</w:t>
            </w:r>
            <w:r>
              <w:rPr>
                <w:sz w:val="21"/>
                <w:szCs w:val="21"/>
                <w:lang w:eastAsia="zh-CN"/>
              </w:rPr>
              <w:t>, “</w:t>
            </w:r>
            <w:r>
              <w:rPr>
                <w:sz w:val="21"/>
                <w:szCs w:val="21"/>
                <w:lang w:eastAsia="sv-SE"/>
              </w:rPr>
              <w:t xml:space="preserve"> If the field is absent, the UE applies the value 1 slot, except for DCI format 2_0</w:t>
            </w:r>
            <w:r>
              <w:rPr>
                <w:sz w:val="21"/>
                <w:szCs w:val="21"/>
                <w:lang w:eastAsia="zh-CN"/>
              </w:rPr>
              <w:t xml:space="preserve">”. We prefer to extend this description for </w:t>
            </w:r>
            <w:r>
              <w:rPr>
                <w:i/>
                <w:iCs/>
                <w:sz w:val="21"/>
                <w:szCs w:val="21"/>
                <w:lang w:eastAsia="zh-CN"/>
              </w:rPr>
              <w:t>duration-r17</w:t>
            </w:r>
            <w:r>
              <w:rPr>
                <w:sz w:val="21"/>
                <w:szCs w:val="21"/>
                <w:lang w:eastAsia="zh-CN"/>
              </w:rPr>
              <w:t>: “</w:t>
            </w:r>
            <w:r>
              <w:rPr>
                <w:color w:val="FF0000"/>
                <w:sz w:val="21"/>
                <w:szCs w:val="21"/>
                <w:lang w:eastAsia="zh-CN"/>
              </w:rPr>
              <w:t xml:space="preserve">If </w:t>
            </w:r>
            <w:r>
              <w:rPr>
                <w:i/>
                <w:iCs/>
                <w:color w:val="FF0000"/>
                <w:sz w:val="21"/>
                <w:szCs w:val="21"/>
                <w:lang w:eastAsia="zh-CN"/>
              </w:rPr>
              <w:t>duration-r17</w:t>
            </w:r>
            <w:r>
              <w:rPr>
                <w:color w:val="FF0000"/>
                <w:sz w:val="21"/>
                <w:szCs w:val="21"/>
                <w:lang w:eastAsia="zh-CN"/>
              </w:rPr>
              <w:t xml:space="preserve"> is absent, the UE applies the value 4 slots for 480kHz and 8 slots for 960kHz, except for DCI format 2_0.</w:t>
            </w:r>
            <w:r>
              <w:rPr>
                <w:sz w:val="21"/>
                <w:szCs w:val="21"/>
                <w:lang w:eastAsia="zh-CN"/>
              </w:rPr>
              <w:t>”</w:t>
            </w:r>
          </w:p>
          <w:p>
            <w:pPr>
              <w:widowControl w:val="0"/>
              <w:rPr>
                <w:sz w:val="21"/>
                <w:szCs w:val="21"/>
                <w:u w:val="single"/>
                <w:lang w:eastAsia="zh-CN"/>
              </w:rPr>
            </w:pPr>
            <w:r>
              <w:rPr>
                <w:sz w:val="21"/>
                <w:szCs w:val="21"/>
                <w:u w:val="single"/>
                <w:lang w:eastAsia="zh-CN"/>
              </w:rPr>
              <w:t xml:space="preserve">For </w:t>
            </w:r>
            <w:r>
              <w:rPr>
                <w:i/>
                <w:iCs/>
                <w:sz w:val="21"/>
                <w:szCs w:val="21"/>
                <w:u w:val="single"/>
                <w:lang w:eastAsia="zh-CN"/>
              </w:rPr>
              <w:t>monitoringSlotsWithinSlotGroup</w:t>
            </w:r>
          </w:p>
          <w:p>
            <w:pPr>
              <w:widowControl w:val="0"/>
              <w:rPr>
                <w:rFonts w:ascii="Times" w:hAnsi="Times"/>
                <w:color w:val="FF0000"/>
                <w:sz w:val="20"/>
                <w:szCs w:val="24"/>
              </w:rPr>
            </w:pPr>
            <w:r>
              <w:rPr>
                <w:sz w:val="21"/>
                <w:szCs w:val="21"/>
                <w:lang w:eastAsia="zh-CN"/>
              </w:rPr>
              <w:t xml:space="preserve">If the size of </w:t>
            </w:r>
            <w:r>
              <w:rPr>
                <w:i/>
                <w:iCs/>
                <w:sz w:val="21"/>
                <w:szCs w:val="21"/>
                <w:lang w:eastAsia="zh-CN"/>
              </w:rPr>
              <w:t>monitoringSlotsWithinSlotGroup</w:t>
            </w:r>
            <w:r>
              <w:rPr>
                <w:sz w:val="21"/>
                <w:szCs w:val="21"/>
                <w:lang w:eastAsia="zh-CN"/>
              </w:rPr>
              <w:t xml:space="preserve"> is Xs slots, the value of Xs depends on the solution of issue A1-3.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rFonts w:eastAsia="MS Mincho"/>
                <w:lang w:eastAsia="ja-JP"/>
              </w:rPr>
            </w:pPr>
            <w:r>
              <w:rPr>
                <w:rFonts w:eastAsia="MS Mincho"/>
                <w:lang w:eastAsia="ja-JP"/>
              </w:rPr>
              <w:t xml:space="preserve">We support Proposal A2-1.1 in general. </w:t>
            </w:r>
          </w:p>
          <w:p>
            <w:pPr>
              <w:widowControl w:val="0"/>
              <w:rPr>
                <w:sz w:val="21"/>
                <w:szCs w:val="21"/>
                <w:u w:val="single"/>
                <w:lang w:eastAsia="zh-CN"/>
              </w:rPr>
            </w:pPr>
            <w:r>
              <w:rPr>
                <w:rFonts w:eastAsia="MS Mincho"/>
                <w:lang w:eastAsia="ja-JP"/>
              </w:rPr>
              <w:t xml:space="preserve">In our understanding, the first slot of slots which are indicated to apply </w:t>
            </w:r>
            <w:r>
              <w:rPr>
                <w:rFonts w:eastAsia="MS Mincho"/>
                <w:i/>
                <w:iCs/>
                <w:lang w:eastAsia="ja-JP"/>
              </w:rPr>
              <w:t>monitoringSlotWithinSlotGroup-r17</w:t>
            </w:r>
            <w:r>
              <w:rPr>
                <w:rFonts w:eastAsia="MS Mincho"/>
                <w:lang w:eastAsia="ja-JP"/>
              </w:rPr>
              <w:t xml:space="preserve"> needs to align with the boundary of a slot group. To ensure the alignment, therefore, periodicity, offset and duration needs to be the integer multiple of Xs. In addition, we believe that the proposal above especially for Group (1) SS with the restriction on periodicity, offset and duration can provide the same configuration flexibility as the legacy mechanism even for the Group (2) SS since slot-level offset or duration can be configured via </w:t>
            </w:r>
            <w:r>
              <w:rPr>
                <w:rFonts w:eastAsia="MS Mincho"/>
                <w:i/>
                <w:iCs/>
                <w:lang w:eastAsia="ja-JP"/>
              </w:rPr>
              <w:t>monitoringSlotWithinSlotGroup-r17</w:t>
            </w:r>
            <w:r>
              <w:rPr>
                <w:rFonts w:eastAsia="MS Mincho"/>
                <w:lang w:eastAsia="ja-JP"/>
              </w:rPr>
              <w:t>. Thus, we don’t see the need to specify different candidate values between Group (1) and (2) SS, i.e., periodicity, offset and duration should be restricted to integer multiple of Xs for both Group (1) and (2) 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lang w:eastAsia="zh-CN"/>
              </w:rPr>
              <w:t>Apple</w:t>
            </w:r>
          </w:p>
        </w:tc>
        <w:tc>
          <w:tcPr>
            <w:tcW w:w="12176" w:type="dxa"/>
            <w:vAlign w:val="center"/>
          </w:tcPr>
          <w:p>
            <w:pPr>
              <w:widowControl w:val="0"/>
              <w:rPr>
                <w:lang w:eastAsia="zh-CN"/>
              </w:rPr>
            </w:pPr>
            <w:r>
              <w:rPr>
                <w:lang w:eastAsia="zh-CN"/>
              </w:rPr>
              <w:t xml:space="preserve">We are in general fine with the proposal. </w:t>
            </w:r>
          </w:p>
          <w:p>
            <w:pPr>
              <w:widowControl w:val="0"/>
              <w:rPr>
                <w:rFonts w:ascii="Times" w:hAnsi="Times" w:eastAsia="Batang"/>
                <w:i/>
                <w:iCs/>
                <w:sz w:val="20"/>
                <w:szCs w:val="24"/>
                <w:lang w:eastAsia="zh-CN"/>
              </w:rPr>
            </w:pPr>
            <w:r>
              <w:rPr>
                <w:lang w:eastAsia="zh-CN"/>
              </w:rPr>
              <w:t xml:space="preserve">Comment 1: We are fine with the removal of the non-integer multiples of Xs from the set of values for </w:t>
            </w:r>
            <w:r>
              <w:rPr>
                <w:rFonts w:hint="eastAsia" w:ascii="Times" w:hAnsi="Times" w:eastAsia="Batang"/>
                <w:i/>
                <w:iCs/>
                <w:sz w:val="20"/>
                <w:szCs w:val="24"/>
                <w:lang w:eastAsia="zh-CN"/>
              </w:rPr>
              <w:t>monitoringSlotPeriodicityAndOffset</w:t>
            </w:r>
          </w:p>
          <w:p>
            <w:pPr>
              <w:widowControl w:val="0"/>
              <w:rPr>
                <w:rFonts w:ascii="Times" w:hAnsi="Times" w:eastAsia="Batang"/>
                <w:i/>
                <w:iCs/>
                <w:sz w:val="20"/>
                <w:szCs w:val="24"/>
                <w:lang w:eastAsia="zh-CN"/>
              </w:rPr>
            </w:pPr>
          </w:p>
          <w:p>
            <w:pPr>
              <w:widowControl w:val="0"/>
              <w:overflowPunct w:val="0"/>
              <w:textAlignment w:val="baseline"/>
              <w:rPr>
                <w:rFonts w:ascii="Times" w:hAnsi="Times" w:eastAsia="Batang"/>
                <w:color w:val="000000" w:themeColor="text1"/>
                <w:sz w:val="20"/>
                <w:szCs w:val="24"/>
                <w14:textFill>
                  <w14:solidFill>
                    <w14:schemeClr w14:val="tx1"/>
                  </w14:solidFill>
                </w14:textFill>
              </w:rPr>
            </w:pPr>
            <w:r>
              <w:rPr>
                <w:rFonts w:ascii="Times" w:hAnsi="Times" w:eastAsia="Batang"/>
                <w:color w:val="000000" w:themeColor="text1"/>
                <w:sz w:val="20"/>
                <w:szCs w:val="24"/>
                <w:lang w:eastAsia="zh-CN"/>
                <w14:textFill>
                  <w14:solidFill>
                    <w14:schemeClr w14:val="tx1"/>
                  </w14:solidFill>
                </w14:textFill>
              </w:rPr>
              <w:t xml:space="preserve">Comment 2: We are fine with the parameter  </w:t>
            </w:r>
            <w:r>
              <w:rPr>
                <w:rFonts w:ascii="Times" w:hAnsi="Times" w:eastAsia="Batang"/>
                <w:i/>
                <w:iCs/>
                <w:color w:val="000000" w:themeColor="text1"/>
                <w:sz w:val="20"/>
                <w:szCs w:val="24"/>
                <w14:textFill>
                  <w14:solidFill>
                    <w14:schemeClr w14:val="tx1"/>
                  </w14:solidFill>
                </w14:textFill>
              </w:rPr>
              <w:t>monitoringSlotsWithinSlotGroup-r17</w:t>
            </w:r>
            <w:r>
              <w:rPr>
                <w:rFonts w:ascii="Times" w:hAnsi="Times" w:eastAsia="Batang"/>
                <w:color w:val="000000" w:themeColor="text1"/>
                <w:sz w:val="20"/>
                <w:szCs w:val="24"/>
                <w14:textFill>
                  <w14:solidFill>
                    <w14:schemeClr w14:val="tx1"/>
                  </w14:solidFill>
                </w14:textFill>
              </w:rPr>
              <w:t xml:space="preserve"> being modified as “The size is Xs bits, where Xs is either 4 or 8”</w:t>
            </w:r>
          </w:p>
          <w:p>
            <w:pPr>
              <w:widowControl w:val="0"/>
              <w:rPr>
                <w:rFonts w:ascii="Times" w:hAnsi="Times" w:eastAsia="Batang"/>
                <w:i/>
                <w:iCs/>
                <w:sz w:val="20"/>
                <w:szCs w:val="24"/>
                <w:lang w:eastAsia="zh-CN"/>
              </w:rPr>
            </w:pPr>
          </w:p>
          <w:p>
            <w:pPr>
              <w:widowControl w:val="0"/>
              <w:rPr>
                <w:lang w:eastAsia="zh-CN"/>
              </w:rPr>
            </w:pPr>
            <w:r>
              <w:rPr>
                <w:rFonts w:ascii="Times" w:hAnsi="Times" w:eastAsia="Batang"/>
                <w:sz w:val="20"/>
                <w:szCs w:val="24"/>
                <w:lang w:eastAsia="zh-CN"/>
              </w:rPr>
              <w:t xml:space="preserve">Comment 3: For the duration, we think it should defined the # of slots corresponding to the # of slot groups i.e. 8 vs 6 (for Group (1) SSs. The parameter </w:t>
            </w:r>
            <w:r>
              <w:rPr>
                <w:i/>
                <w:color w:val="000000" w:themeColor="text1"/>
                <w:lang w:eastAsia="zh-CN"/>
                <w14:textFill>
                  <w14:solidFill>
                    <w14:schemeClr w14:val="tx1"/>
                  </w14:solidFill>
                </w14:textFill>
              </w:rPr>
              <w:t xml:space="preserve">monitoringSlotsWithinSlotGroup-r17  </w:t>
            </w:r>
            <w:r>
              <w:rPr>
                <w:iCs/>
                <w:color w:val="000000" w:themeColor="text1"/>
                <w:lang w:eastAsia="zh-CN"/>
                <w14:textFill>
                  <w14:solidFill>
                    <w14:schemeClr w14:val="tx1"/>
                  </w14:solidFill>
                </w14:textFill>
              </w:rPr>
              <w:t>would  then define the acutal slots within the slot groups that are identified by the</w:t>
            </w:r>
            <w:r>
              <w:rPr>
                <w:i/>
                <w:color w:val="000000" w:themeColor="text1"/>
                <w:lang w:eastAsia="zh-CN"/>
                <w14:textFill>
                  <w14:solidFill>
                    <w14:schemeClr w14:val="tx1"/>
                  </w14:solidFill>
                </w14:textFill>
              </w:rPr>
              <w:t xml:space="preserve"> duration </w:t>
            </w:r>
            <w:r>
              <w:rPr>
                <w:iCs/>
                <w:color w:val="000000" w:themeColor="text1"/>
                <w:lang w:eastAsia="zh-CN"/>
                <w14:textFill>
                  <w14:solidFill>
                    <w14:schemeClr w14:val="tx1"/>
                  </w14:solidFill>
                </w14:textFill>
              </w:rPr>
              <w:t>parameter</w:t>
            </w:r>
            <w:r>
              <w:rPr>
                <w:i/>
                <w:color w:val="000000" w:themeColor="text1"/>
                <w:lang w:eastAsia="zh-CN"/>
                <w14:textFill>
                  <w14:solidFill>
                    <w14:schemeClr w14:val="tx1"/>
                  </w14:solidFill>
                </w14:textFill>
              </w:rPr>
              <w:t xml:space="preserve">. </w:t>
            </w:r>
          </w:p>
          <w:p>
            <w:pPr>
              <w:widowControl w:val="0"/>
              <w:rPr>
                <w:rFonts w:eastAsia="MS Mincho"/>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rFonts w:eastAsia="宋体"/>
                <w:lang w:eastAsia="zh-CN"/>
              </w:rPr>
            </w:pPr>
            <w:r>
              <w:rPr>
                <w:rFonts w:hint="eastAsia" w:eastAsia="宋体"/>
                <w:lang w:eastAsia="zh-CN"/>
              </w:rPr>
              <w:t>We are fine with the proposal in principle.</w:t>
            </w:r>
          </w:p>
          <w:p>
            <w:pPr>
              <w:widowControl w:val="0"/>
              <w:rPr>
                <w:rFonts w:eastAsia="宋体"/>
                <w:lang w:eastAsia="zh-CN"/>
              </w:rPr>
            </w:pPr>
            <w:r>
              <w:rPr>
                <w:rFonts w:hint="eastAsia" w:eastAsia="宋体"/>
                <w:lang w:eastAsia="zh-CN"/>
              </w:rPr>
              <w:t xml:space="preserve">Comment#1: Regarding </w:t>
            </w:r>
            <w:r>
              <w:rPr>
                <w:rFonts w:hint="eastAsia" w:eastAsia="宋体"/>
                <w:i/>
                <w:iCs/>
                <w:lang w:eastAsia="zh-CN"/>
              </w:rPr>
              <w:t>duration-r17</w:t>
            </w:r>
            <w:r>
              <w:rPr>
                <w:rFonts w:hint="eastAsia" w:eastAsia="宋体"/>
                <w:lang w:eastAsia="zh-CN"/>
              </w:rPr>
              <w:t>, we share the same view as Huawei.</w:t>
            </w:r>
          </w:p>
        </w:tc>
      </w:tr>
    </w:tbl>
    <w:tbl>
      <w:tblPr>
        <w:tblStyle w:val="270"/>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lang w:eastAsia="zh-CN"/>
              </w:rPr>
            </w:pPr>
            <w:r>
              <w:rPr>
                <w:lang w:eastAsia="zh-CN"/>
              </w:rPr>
              <w:t>Futurewei</w:t>
            </w:r>
          </w:p>
        </w:tc>
        <w:tc>
          <w:tcPr>
            <w:tcW w:w="12176" w:type="dxa"/>
            <w:vAlign w:val="center"/>
          </w:tcPr>
          <w:p>
            <w:pPr>
              <w:widowControl w:val="0"/>
              <w:spacing w:line="240" w:lineRule="auto"/>
              <w:rPr>
                <w:lang w:eastAsia="zh-CN"/>
              </w:rPr>
            </w:pPr>
            <w:r>
              <w:rPr>
                <w:lang w:eastAsia="zh-CN"/>
              </w:rPr>
              <w:t>We are fine with the proposal. We support that periodicity, offset and duration should be integer multiples of Xs for both groups Group(1) SS and Group(2) SS. We agree with previous companies that the definition of “duration” needs to be corrected. We are fine with Huawei definition.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lang w:eastAsia="zh-CN"/>
              </w:rPr>
            </w:pPr>
            <w:r>
              <w:rPr>
                <w:lang w:eastAsia="zh-CN"/>
              </w:rPr>
              <w:t>Lenovo</w:t>
            </w:r>
          </w:p>
        </w:tc>
        <w:tc>
          <w:tcPr>
            <w:tcW w:w="12176" w:type="dxa"/>
            <w:vAlign w:val="center"/>
          </w:tcPr>
          <w:p>
            <w:pPr>
              <w:widowControl w:val="0"/>
              <w:spacing w:line="240" w:lineRule="auto"/>
              <w:rPr>
                <w:rFonts w:ascii="Times" w:hAnsi="Times" w:eastAsia="Batang"/>
                <w:color w:val="000000" w:themeColor="text1"/>
                <w:lang w:eastAsia="ja-JP"/>
                <w14:textFill>
                  <w14:solidFill>
                    <w14:schemeClr w14:val="tx1"/>
                  </w14:solidFill>
                </w14:textFill>
              </w:rPr>
            </w:pPr>
            <w:r>
              <w:rPr>
                <w:lang w:eastAsia="zh-CN"/>
              </w:rPr>
              <w:t xml:space="preserve">Regarding the size of </w:t>
            </w:r>
            <w:r>
              <w:rPr>
                <w:rFonts w:ascii="Times" w:hAnsi="Times" w:eastAsia="Batang"/>
                <w:i/>
                <w:iCs/>
                <w:color w:val="000000" w:themeColor="text1"/>
                <w:lang w:eastAsia="ja-JP"/>
                <w14:textFill>
                  <w14:solidFill>
                    <w14:schemeClr w14:val="tx1"/>
                  </w14:solidFill>
                </w14:textFill>
              </w:rPr>
              <w:t>monitoringSlotsWithinSlotGroup-r17</w:t>
            </w:r>
            <w:r>
              <w:rPr>
                <w:rFonts w:ascii="Times" w:hAnsi="Times" w:eastAsia="Batang"/>
                <w:color w:val="000000" w:themeColor="text1"/>
                <w:lang w:eastAsia="ja-JP"/>
                <w14:textFill>
                  <w14:solidFill>
                    <w14:schemeClr w14:val="tx1"/>
                  </w14:solidFill>
                </w14:textFill>
              </w:rPr>
              <w:t xml:space="preserve"> we support that it is equivalent to the slot group size (Xs). However there is no need to configure it explicitly at least for the purpose of this particular parameter. The ASN.1 encoding includes the size implicitly, so when receiving the RRC message, a UE will inherently know whether the size of </w:t>
            </w:r>
            <w:r>
              <w:rPr>
                <w:rFonts w:ascii="Times" w:hAnsi="Times" w:eastAsia="Batang"/>
                <w:i/>
                <w:iCs/>
                <w:color w:val="000000" w:themeColor="text1"/>
                <w:lang w:eastAsia="ja-JP"/>
                <w14:textFill>
                  <w14:solidFill>
                    <w14:schemeClr w14:val="tx1"/>
                  </w14:solidFill>
                </w14:textFill>
              </w:rPr>
              <w:t>monitoringSlotsWithinSlotGroup-r17</w:t>
            </w:r>
            <w:r>
              <w:rPr>
                <w:rFonts w:ascii="Times" w:hAnsi="Times" w:eastAsia="Batang"/>
                <w:color w:val="000000" w:themeColor="text1"/>
                <w:lang w:eastAsia="ja-JP"/>
                <w14:textFill>
                  <w14:solidFill>
                    <w14:schemeClr w14:val="tx1"/>
                  </w14:solidFill>
                </w14:textFill>
              </w:rPr>
              <w:t xml:space="preserve"> is 4 or 8 bits.</w:t>
            </w:r>
          </w:p>
          <w:p>
            <w:pPr>
              <w:widowControl w:val="0"/>
              <w:spacing w:line="240" w:lineRule="auto"/>
              <w:rPr>
                <w:lang w:eastAsia="zh-CN"/>
              </w:rPr>
            </w:pPr>
            <w:r>
              <w:rPr>
                <w:rFonts w:ascii="Times" w:hAnsi="Times" w:eastAsia="Batang"/>
                <w:color w:val="000000" w:themeColor="text1"/>
                <w:lang w:eastAsia="ja-JP"/>
                <w14:textFill>
                  <w14:solidFill>
                    <w14:schemeClr w14:val="tx1"/>
                  </w14:solidFill>
                </w14:textFill>
              </w:rPr>
              <w:t xml:space="preserve">Regarding </w:t>
            </w:r>
            <w:r>
              <w:rPr>
                <w:rFonts w:hint="eastAsia" w:eastAsia="宋体"/>
                <w:i/>
                <w:iCs/>
                <w:lang w:eastAsia="zh-CN"/>
              </w:rPr>
              <w:t>duration-r17</w:t>
            </w:r>
            <w:r>
              <w:rPr>
                <w:rFonts w:eastAsia="宋体"/>
                <w:lang w:eastAsia="zh-CN"/>
              </w:rPr>
              <w:t xml:space="preserve"> we think Huawei's suggestion goes to the right direction, though we think the wording of "upon every period" is not very clear. Perhaps it is sufficient to say: </w:t>
            </w:r>
            <w:r>
              <w:rPr>
                <w:b/>
                <w:sz w:val="21"/>
                <w:szCs w:val="21"/>
                <w:lang w:eastAsia="ja-JP"/>
              </w:rPr>
              <w:t xml:space="preserve">Duration-r17 is the total number of slots in consecutive groups of </w:t>
            </w:r>
            <m:oMath>
              <m:sSub>
                <m:sSubPr>
                  <m:ctrlPr>
                    <w:rPr>
                      <w:rFonts w:ascii="Cambria Math" w:hAnsi="Cambria Math"/>
                      <w:b/>
                      <w:sz w:val="21"/>
                      <w:szCs w:val="21"/>
                      <w:lang w:eastAsia="ja-JP"/>
                    </w:rPr>
                  </m:ctrlPr>
                </m:sSubPr>
                <m:e>
                  <m:r>
                    <m:rPr>
                      <m:sty m:val="b"/>
                    </m:rPr>
                    <w:rPr>
                      <w:rFonts w:ascii="Cambria Math" w:hAnsi="Cambria Math"/>
                      <w:sz w:val="21"/>
                      <w:szCs w:val="21"/>
                      <w:lang w:eastAsia="ja-JP"/>
                    </w:rPr>
                    <m:t>X</m:t>
                  </m:r>
                  <m:ctrlPr>
                    <w:rPr>
                      <w:rFonts w:ascii="Cambria Math" w:hAnsi="Cambria Math"/>
                      <w:b/>
                      <w:sz w:val="21"/>
                      <w:szCs w:val="21"/>
                      <w:lang w:eastAsia="ja-JP"/>
                    </w:rPr>
                  </m:ctrlPr>
                </m:e>
                <m:sub>
                  <m:r>
                    <m:rPr>
                      <m:sty m:val="b"/>
                    </m:rPr>
                    <w:rPr>
                      <w:rFonts w:ascii="Cambria Math" w:hAnsi="Cambria Math"/>
                      <w:sz w:val="21"/>
                      <w:szCs w:val="21"/>
                      <w:lang w:eastAsia="ja-JP"/>
                    </w:rPr>
                    <m:t>s</m:t>
                  </m:r>
                  <m:ctrlPr>
                    <w:rPr>
                      <w:rFonts w:ascii="Cambria Math" w:hAnsi="Cambria Math"/>
                      <w:b/>
                      <w:sz w:val="21"/>
                      <w:szCs w:val="21"/>
                      <w:lang w:eastAsia="ja-JP"/>
                    </w:rPr>
                  </m:ctrlPr>
                </m:sub>
              </m:sSub>
            </m:oMath>
            <w:r>
              <w:rPr>
                <w:b/>
                <w:sz w:val="21"/>
                <w:szCs w:val="21"/>
                <w:lang w:eastAsia="ja-JP"/>
              </w:rPr>
              <w:t xml:space="preserve"> slots that a SearchSpace lasts in every occasion as given by monitoringPeriodicityAndOffset-r17</w:t>
            </w:r>
            <w:r>
              <w:rPr>
                <w:rFonts w:eastAsia="宋体"/>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lang w:eastAsia="zh-CN"/>
              </w:rPr>
            </w:pPr>
            <w:r>
              <w:rPr>
                <w:lang w:eastAsia="zh-CN"/>
              </w:rPr>
              <w:t>CATT</w:t>
            </w:r>
          </w:p>
        </w:tc>
        <w:tc>
          <w:tcPr>
            <w:tcW w:w="12176" w:type="dxa"/>
            <w:vAlign w:val="center"/>
          </w:tcPr>
          <w:p>
            <w:pPr>
              <w:widowControl w:val="0"/>
              <w:numPr>
                <w:ilvl w:val="2"/>
                <w:numId w:val="28"/>
              </w:numPr>
              <w:overflowPunct w:val="0"/>
              <w:spacing w:line="240" w:lineRule="auto"/>
              <w:textAlignment w:val="baseline"/>
              <w:rPr>
                <w:rFonts w:ascii="Times" w:hAnsi="Times" w:eastAsia="Batang"/>
                <w:strike/>
                <w:sz w:val="20"/>
                <w:szCs w:val="24"/>
                <w:lang w:eastAsia="ja-JP"/>
              </w:rPr>
            </w:pPr>
            <w:r>
              <w:rPr>
                <w:rFonts w:ascii="Times" w:hAnsi="Times" w:eastAsia="Batang"/>
                <w:strike/>
                <w:sz w:val="20"/>
                <w:szCs w:val="24"/>
                <w:lang w:eastAsia="ja-JP"/>
              </w:rPr>
              <w:t>For each periodicity value Xp</w:t>
            </w:r>
          </w:p>
          <w:p>
            <w:pPr>
              <w:widowControl w:val="0"/>
              <w:numPr>
                <w:ilvl w:val="3"/>
                <w:numId w:val="28"/>
              </w:numPr>
              <w:overflowPunct w:val="0"/>
              <w:spacing w:line="240" w:lineRule="auto"/>
              <w:textAlignment w:val="baseline"/>
              <w:rPr>
                <w:rFonts w:ascii="Times" w:hAnsi="Times" w:eastAsia="Batang"/>
                <w:strike/>
                <w:sz w:val="20"/>
                <w:szCs w:val="24"/>
                <w:lang w:val="nl-NL" w:eastAsia="ja-JP"/>
              </w:rPr>
            </w:pPr>
            <w:r>
              <w:rPr>
                <w:rFonts w:ascii="Times" w:hAnsi="Times" w:eastAsia="Batang"/>
                <w:strike/>
                <w:sz w:val="20"/>
                <w:szCs w:val="24"/>
                <w:lang w:eastAsia="ja-JP"/>
              </w:rPr>
              <w:t xml:space="preserve">The value range for the offset O is </w:t>
            </w:r>
            <w:r>
              <w:rPr>
                <w:rFonts w:ascii="Times" w:hAnsi="Times" w:eastAsia="Batang"/>
                <w:strike/>
                <w:color w:val="FF0000"/>
                <w:sz w:val="20"/>
                <w:szCs w:val="24"/>
                <w:lang w:eastAsia="ja-JP"/>
              </w:rPr>
              <w:t xml:space="preserve">{0 .. </w:t>
            </w:r>
            <w:r>
              <w:rPr>
                <w:rFonts w:ascii="Times" w:hAnsi="Times" w:eastAsia="Batang"/>
                <w:strike/>
                <w:color w:val="FF0000"/>
                <w:sz w:val="20"/>
                <w:szCs w:val="24"/>
                <w:lang w:val="nl-NL" w:eastAsia="ja-JP"/>
              </w:rPr>
              <w:t xml:space="preserve">Xp-1}{0, 4, 8,  …, </w:t>
            </w:r>
            <m:oMath>
              <m:r>
                <m:rPr>
                  <m:sty m:val="bi"/>
                </m:rPr>
                <w:rPr>
                  <w:rFonts w:ascii="Cambria Math" w:hAnsi="Cambria Math"/>
                  <w:strike/>
                  <w:color w:val="FF0000"/>
                  <w:lang w:eastAsia="ja-JP"/>
                </w:rPr>
                <m:t>4</m:t>
              </m:r>
              <m:d>
                <m:dPr>
                  <m:begChr m:val="⌊"/>
                  <m:endChr m:val="⌋"/>
                  <m:ctrlPr>
                    <w:rPr>
                      <w:rFonts w:ascii="Cambria Math" w:hAnsi="Cambria Math"/>
                      <w:b/>
                      <w:bCs/>
                      <w:i/>
                      <w:strike/>
                      <w:color w:val="FF0000"/>
                      <w:lang w:eastAsia="ja-JP"/>
                    </w:rPr>
                  </m:ctrlPr>
                </m:dPr>
                <m:e>
                  <m:f>
                    <m:fPr>
                      <m:ctrlPr>
                        <w:rPr>
                          <w:rFonts w:ascii="Cambria Math" w:hAnsi="Cambria Math"/>
                          <w:b/>
                          <w:bCs/>
                          <w:i/>
                          <w:strike/>
                          <w:color w:val="FF0000"/>
                          <w:lang w:eastAsia="ja-JP"/>
                        </w:rPr>
                      </m:ctrlPr>
                    </m:fPr>
                    <m:num>
                      <m:r>
                        <m:rPr>
                          <m:sty m:val="bi"/>
                        </m:rPr>
                        <w:rPr>
                          <w:rFonts w:ascii="Cambria Math" w:hAnsi="Cambria Math"/>
                          <w:strike/>
                          <w:color w:val="FF0000"/>
                          <w:lang w:val="nl-NL" w:eastAsia="ja-JP"/>
                        </w:rPr>
                        <m:t>(</m:t>
                      </m:r>
                      <m:sSub>
                        <m:sSubPr>
                          <m:ctrlPr>
                            <w:rPr>
                              <w:rFonts w:ascii="Cambria Math" w:hAnsi="Cambria Math"/>
                              <w:b/>
                              <w:bCs/>
                              <w:i/>
                              <w:strike/>
                              <w:color w:val="FF0000"/>
                              <w:lang w:eastAsia="ja-JP"/>
                            </w:rPr>
                          </m:ctrlPr>
                        </m:sSubPr>
                        <m:e>
                          <m:r>
                            <m:rPr>
                              <m:sty m:val="bi"/>
                            </m:rPr>
                            <w:rPr>
                              <w:rFonts w:ascii="Cambria Math" w:hAnsi="Cambria Math"/>
                              <w:strike/>
                              <w:color w:val="FF0000"/>
                              <w:lang w:eastAsia="ja-JP"/>
                            </w:rPr>
                            <m:t>X</m:t>
                          </m:r>
                          <m:ctrlPr>
                            <w:rPr>
                              <w:rFonts w:ascii="Cambria Math" w:hAnsi="Cambria Math"/>
                              <w:b/>
                              <w:bCs/>
                              <w:i/>
                              <w:strike/>
                              <w:color w:val="FF0000"/>
                              <w:lang w:eastAsia="ja-JP"/>
                            </w:rPr>
                          </m:ctrlPr>
                        </m:e>
                        <m:sub>
                          <m:r>
                            <m:rPr>
                              <m:sty m:val="bi"/>
                            </m:rPr>
                            <w:rPr>
                              <w:rFonts w:ascii="Cambria Math" w:hAnsi="Cambria Math"/>
                              <w:strike/>
                              <w:color w:val="FF0000"/>
                              <w:lang w:eastAsia="ja-JP"/>
                            </w:rPr>
                            <m:t>p</m:t>
                          </m:r>
                          <m:ctrlPr>
                            <w:rPr>
                              <w:rFonts w:ascii="Cambria Math" w:hAnsi="Cambria Math"/>
                              <w:b/>
                              <w:bCs/>
                              <w:i/>
                              <w:strike/>
                              <w:color w:val="FF0000"/>
                              <w:lang w:eastAsia="ja-JP"/>
                            </w:rPr>
                          </m:ctrlPr>
                        </m:sub>
                      </m:sSub>
                      <m:r>
                        <m:rPr>
                          <m:sty m:val="bi"/>
                        </m:rPr>
                        <w:rPr>
                          <w:rFonts w:ascii="Cambria Math" w:hAnsi="Cambria Math"/>
                          <w:strike/>
                          <w:color w:val="FF0000"/>
                          <w:lang w:val="nl-NL" w:eastAsia="ja-JP"/>
                        </w:rPr>
                        <m:t>-</m:t>
                      </m:r>
                      <m:r>
                        <m:rPr>
                          <m:sty m:val="bi"/>
                        </m:rPr>
                        <w:rPr>
                          <w:rFonts w:ascii="Cambria Math" w:hAnsi="Cambria Math"/>
                          <w:strike/>
                          <w:color w:val="FF0000"/>
                          <w:lang w:eastAsia="ja-JP"/>
                        </w:rPr>
                        <m:t>1</m:t>
                      </m:r>
                      <m:r>
                        <m:rPr>
                          <m:sty m:val="bi"/>
                        </m:rPr>
                        <w:rPr>
                          <w:rFonts w:ascii="Cambria Math" w:hAnsi="Cambria Math"/>
                          <w:strike/>
                          <w:color w:val="FF0000"/>
                          <w:lang w:val="nl-NL" w:eastAsia="ja-JP"/>
                        </w:rPr>
                        <m:t>)</m:t>
                      </m:r>
                      <m:ctrlPr>
                        <w:rPr>
                          <w:rFonts w:ascii="Cambria Math" w:hAnsi="Cambria Math"/>
                          <w:b/>
                          <w:bCs/>
                          <w:i/>
                          <w:strike/>
                          <w:color w:val="FF0000"/>
                          <w:lang w:eastAsia="ja-JP"/>
                        </w:rPr>
                      </m:ctrlPr>
                    </m:num>
                    <m:den>
                      <m:r>
                        <m:rPr>
                          <m:sty m:val="bi"/>
                        </m:rPr>
                        <w:rPr>
                          <w:rFonts w:ascii="Cambria Math" w:hAnsi="Cambria Math"/>
                          <w:strike/>
                          <w:color w:val="FF0000"/>
                          <w:lang w:eastAsia="ja-JP"/>
                        </w:rPr>
                        <m:t>4</m:t>
                      </m:r>
                      <m:ctrlPr>
                        <w:rPr>
                          <w:rFonts w:ascii="Cambria Math" w:hAnsi="Cambria Math"/>
                          <w:b/>
                          <w:bCs/>
                          <w:i/>
                          <w:strike/>
                          <w:color w:val="FF0000"/>
                          <w:lang w:eastAsia="ja-JP"/>
                        </w:rPr>
                      </m:ctrlPr>
                    </m:den>
                  </m:f>
                  <m:ctrlPr>
                    <w:rPr>
                      <w:rFonts w:ascii="Cambria Math" w:hAnsi="Cambria Math"/>
                      <w:b/>
                      <w:bCs/>
                      <w:i/>
                      <w:strike/>
                      <w:color w:val="FF0000"/>
                      <w:lang w:eastAsia="ja-JP"/>
                    </w:rPr>
                  </m:ctrlPr>
                </m:e>
              </m:d>
            </m:oMath>
            <w:r>
              <w:rPr>
                <w:rFonts w:ascii="Times" w:hAnsi="Times" w:eastAsia="Batang"/>
                <w:strike/>
                <w:color w:val="FF0000"/>
                <w:sz w:val="20"/>
                <w:szCs w:val="24"/>
                <w:lang w:val="nl-NL" w:eastAsia="ja-JP"/>
              </w:rPr>
              <w:t xml:space="preserve">} </w:t>
            </w:r>
            <w:r>
              <w:rPr>
                <w:rFonts w:ascii="Times" w:hAnsi="Times" w:eastAsia="Batang"/>
                <w:strike/>
                <w:sz w:val="20"/>
                <w:szCs w:val="24"/>
                <w:lang w:val="nl-NL" w:eastAsia="ja-JP"/>
              </w:rPr>
              <w:t>slots</w:t>
            </w:r>
          </w:p>
          <w:p>
            <w:pPr>
              <w:widowControl w:val="0"/>
              <w:numPr>
                <w:ilvl w:val="3"/>
                <w:numId w:val="28"/>
              </w:numPr>
              <w:overflowPunct w:val="0"/>
              <w:spacing w:line="240" w:lineRule="auto"/>
              <w:textAlignment w:val="baseline"/>
              <w:rPr>
                <w:rFonts w:ascii="Times" w:hAnsi="Times" w:eastAsia="Batang"/>
                <w:sz w:val="20"/>
                <w:szCs w:val="24"/>
                <w:lang w:eastAsia="ja-JP"/>
              </w:rPr>
            </w:pPr>
            <w:r>
              <w:rPr>
                <w:rFonts w:ascii="Times" w:hAnsi="Times" w:eastAsia="Batang"/>
                <w:strike/>
                <w:sz w:val="20"/>
                <w:szCs w:val="24"/>
                <w:lang w:eastAsia="ja-JP"/>
              </w:rPr>
              <w:t>Note: There may be no need to introduce the term "X</w:t>
            </w:r>
            <w:r>
              <w:rPr>
                <w:rFonts w:ascii="Times" w:hAnsi="Times" w:eastAsia="Batang"/>
                <w:strike/>
                <w:sz w:val="20"/>
                <w:szCs w:val="24"/>
                <w:vertAlign w:val="subscript"/>
                <w:lang w:eastAsia="ja-JP"/>
              </w:rPr>
              <w:t>p</w:t>
            </w:r>
            <w:r>
              <w:rPr>
                <w:rFonts w:ascii="Times" w:hAnsi="Times" w:eastAsia="Batang"/>
                <w:strike/>
                <w:sz w:val="20"/>
                <w:szCs w:val="24"/>
                <w:lang w:eastAsia="ja-JP"/>
              </w:rPr>
              <w:t>" in the specifications</w:t>
            </w:r>
          </w:p>
          <w:p>
            <w:pPr>
              <w:widowControl w:val="0"/>
              <w:numPr>
                <w:ilvl w:val="2"/>
                <w:numId w:val="28"/>
              </w:numPr>
              <w:overflowPunct w:val="0"/>
              <w:spacing w:line="240" w:lineRule="auto"/>
              <w:textAlignment w:val="baseline"/>
              <w:rPr>
                <w:rFonts w:ascii="Times" w:hAnsi="Times" w:eastAsia="Batang"/>
                <w:sz w:val="20"/>
                <w:szCs w:val="24"/>
                <w:lang w:eastAsia="ja-JP"/>
              </w:rPr>
            </w:pPr>
            <w:r>
              <w:rPr>
                <w:rFonts w:ascii="Times" w:hAnsi="Times" w:eastAsia="Batang"/>
                <w:sz w:val="20"/>
                <w:szCs w:val="24"/>
                <w:lang w:eastAsia="ja-JP"/>
              </w:rPr>
              <w:t>The configured periodicity at least for Group (1) SSs is restricted to be an integer multiple of Xs slots</w:t>
            </w:r>
          </w:p>
          <w:p>
            <w:pPr>
              <w:widowControl w:val="0"/>
              <w:numPr>
                <w:ilvl w:val="2"/>
                <w:numId w:val="28"/>
              </w:numPr>
              <w:overflowPunct w:val="0"/>
              <w:spacing w:line="240" w:lineRule="auto"/>
              <w:textAlignment w:val="baseline"/>
              <w:rPr>
                <w:rFonts w:ascii="Times" w:hAnsi="Times" w:eastAsia="Batang"/>
                <w:color w:val="FF0000"/>
                <w:sz w:val="20"/>
                <w:szCs w:val="24"/>
                <w:lang w:eastAsia="ja-JP"/>
              </w:rPr>
            </w:pPr>
            <w:r>
              <w:rPr>
                <w:rFonts w:ascii="Times" w:hAnsi="Times" w:eastAsia="Batang"/>
                <w:color w:val="FF0000"/>
                <w:sz w:val="20"/>
                <w:szCs w:val="24"/>
                <w:lang w:eastAsia="ja-JP"/>
              </w:rPr>
              <w:t xml:space="preserve">The configured offset is restricted to be an integer multiple of Xs slots </w:t>
            </w:r>
          </w:p>
          <w:p>
            <w:pPr>
              <w:widowControl w:val="0"/>
              <w:spacing w:line="240" w:lineRule="auto"/>
              <w:rPr>
                <w:lang w:eastAsia="zh-CN"/>
              </w:rPr>
            </w:pPr>
            <w:r>
              <w:rPr>
                <w:lang w:eastAsia="zh-CN"/>
              </w:rPr>
              <w:t>This is because Xs is already multiple 4, so this restriction is enough to include the deleted text</w:t>
            </w:r>
          </w:p>
          <w:p>
            <w:pPr>
              <w:widowControl w:val="0"/>
              <w:spacing w:line="240" w:lineRule="auto"/>
              <w:rPr>
                <w:lang w:eastAsia="zh-CN"/>
              </w:rPr>
            </w:pPr>
          </w:p>
          <w:p>
            <w:pPr>
              <w:widowControl w:val="0"/>
              <w:numPr>
                <w:ilvl w:val="2"/>
                <w:numId w:val="28"/>
              </w:numPr>
              <w:overflowPunct w:val="0"/>
              <w:spacing w:line="240" w:lineRule="auto"/>
              <w:textAlignment w:val="baseline"/>
              <w:rPr>
                <w:rFonts w:ascii="Times" w:hAnsi="Times" w:eastAsia="Batang"/>
                <w:color w:val="FF0000"/>
                <w:sz w:val="20"/>
                <w:szCs w:val="24"/>
                <w:lang w:eastAsia="ja-JP"/>
              </w:rPr>
            </w:pPr>
            <w:r>
              <w:rPr>
                <w:rFonts w:ascii="Times" w:hAnsi="Times" w:eastAsia="Batang"/>
                <w:color w:val="000000"/>
                <w:sz w:val="20"/>
                <w:szCs w:val="24"/>
                <w:lang w:eastAsia="ja-JP"/>
              </w:rPr>
              <w:t>The value range is {8, 12, …, 20476}</w:t>
            </w:r>
            <w:r>
              <w:rPr>
                <w:rFonts w:ascii="Times" w:hAnsi="Times" w:eastAsia="Batang"/>
                <w:color w:val="FF0000"/>
                <w:sz w:val="20"/>
                <w:szCs w:val="24"/>
                <w:lang w:eastAsia="ja-JP"/>
              </w:rPr>
              <w:t xml:space="preserve"> </w:t>
            </w:r>
            <w:r>
              <w:rPr>
                <w:rFonts w:ascii="Times" w:hAnsi="Times" w:eastAsia="Batang"/>
                <w:strike/>
                <w:color w:val="FF0000"/>
                <w:sz w:val="20"/>
                <w:szCs w:val="24"/>
                <w:lang w:eastAsia="ja-JP"/>
              </w:rPr>
              <w:t>at least for Group (1) SSs</w:t>
            </w:r>
          </w:p>
          <w:p>
            <w:pPr>
              <w:widowControl w:val="0"/>
              <w:numPr>
                <w:ilvl w:val="3"/>
                <w:numId w:val="28"/>
              </w:numPr>
              <w:overflowPunct w:val="0"/>
              <w:spacing w:line="240" w:lineRule="auto"/>
              <w:textAlignment w:val="baseline"/>
              <w:rPr>
                <w:rFonts w:ascii="Times" w:hAnsi="Times" w:eastAsia="Batang"/>
                <w:color w:val="FF0000"/>
                <w:sz w:val="20"/>
                <w:szCs w:val="24"/>
                <w:lang w:eastAsia="ja-JP"/>
              </w:rPr>
            </w:pPr>
            <w:r>
              <w:rPr>
                <w:rFonts w:ascii="Times" w:hAnsi="Times"/>
                <w:color w:val="FF0000"/>
                <w:sz w:val="20"/>
                <w:szCs w:val="24"/>
                <w:lang w:eastAsia="ja-JP"/>
              </w:rPr>
              <w:t>FFS: Applicable value if this field is absent</w:t>
            </w:r>
          </w:p>
          <w:p>
            <w:pPr>
              <w:widowControl w:val="0"/>
              <w:numPr>
                <w:ilvl w:val="2"/>
                <w:numId w:val="28"/>
              </w:numPr>
              <w:overflowPunct w:val="0"/>
              <w:spacing w:line="240" w:lineRule="auto"/>
              <w:textAlignment w:val="baseline"/>
              <w:rPr>
                <w:rFonts w:ascii="Times" w:hAnsi="Times" w:eastAsia="Batang"/>
                <w:strike/>
                <w:color w:val="000000"/>
                <w:sz w:val="20"/>
                <w:szCs w:val="24"/>
                <w:lang w:eastAsia="ja-JP"/>
              </w:rPr>
            </w:pPr>
            <w:r>
              <w:rPr>
                <w:bCs/>
                <w:strike/>
                <w:color w:val="FF0000"/>
                <w:sz w:val="20"/>
                <w:szCs w:val="20"/>
                <w:lang w:eastAsia="ja-JP"/>
              </w:rPr>
              <w:t xml:space="preserve">The number of 1s in </w:t>
            </w:r>
            <w:r>
              <w:rPr>
                <w:rFonts w:ascii="Times" w:hAnsi="Times"/>
                <w:i/>
                <w:iCs/>
                <w:strike/>
                <w:color w:val="FF0000"/>
                <w:sz w:val="20"/>
                <w:szCs w:val="24"/>
                <w:lang w:eastAsia="ja-JP"/>
              </w:rPr>
              <w:t>monitoringSlotsWithinSlotGroup-r17</w:t>
            </w:r>
            <w:r>
              <w:rPr>
                <w:bCs/>
                <w:strike/>
                <w:color w:val="FF0000"/>
                <w:sz w:val="20"/>
                <w:szCs w:val="20"/>
                <w:lang w:eastAsia="ja-JP"/>
              </w:rPr>
              <w:t xml:space="preserve"> should be no larger than </w:t>
            </w:r>
            <m:oMath>
              <m:sSub>
                <m:sSubPr>
                  <m:ctrlPr>
                    <w:rPr>
                      <w:rFonts w:ascii="Cambria Math" w:hAnsi="Cambria Math"/>
                      <w:bCs/>
                      <w:i/>
                      <w:strike/>
                      <w:color w:val="FF0000"/>
                      <w:sz w:val="20"/>
                      <w:szCs w:val="20"/>
                      <w:lang w:eastAsia="ja-JP"/>
                    </w:rPr>
                  </m:ctrlPr>
                </m:sSubPr>
                <m:e>
                  <m:r>
                    <w:rPr>
                      <w:rFonts w:ascii="Cambria Math" w:hAnsi="Cambria Math"/>
                      <w:strike/>
                      <w:color w:val="FF0000"/>
                      <w:sz w:val="20"/>
                      <w:szCs w:val="20"/>
                      <w:lang w:eastAsia="ja-JP"/>
                    </w:rPr>
                    <m:t>Y</m:t>
                  </m:r>
                  <m:ctrlPr>
                    <w:rPr>
                      <w:rFonts w:ascii="Cambria Math" w:hAnsi="Cambria Math"/>
                      <w:bCs/>
                      <w:i/>
                      <w:strike/>
                      <w:color w:val="FF0000"/>
                      <w:sz w:val="20"/>
                      <w:szCs w:val="20"/>
                      <w:lang w:eastAsia="ja-JP"/>
                    </w:rPr>
                  </m:ctrlPr>
                </m:e>
                <m:sub>
                  <m:r>
                    <w:rPr>
                      <w:rFonts w:ascii="Cambria Math" w:hAnsi="Cambria Math"/>
                      <w:strike/>
                      <w:color w:val="FF0000"/>
                      <w:sz w:val="20"/>
                      <w:szCs w:val="20"/>
                      <w:lang w:eastAsia="ja-JP"/>
                    </w:rPr>
                    <m:t>s</m:t>
                  </m:r>
                  <m:ctrlPr>
                    <w:rPr>
                      <w:rFonts w:ascii="Cambria Math" w:hAnsi="Cambria Math"/>
                      <w:bCs/>
                      <w:i/>
                      <w:strike/>
                      <w:color w:val="FF0000"/>
                      <w:sz w:val="20"/>
                      <w:szCs w:val="20"/>
                      <w:lang w:eastAsia="ja-JP"/>
                    </w:rPr>
                  </m:ctrlPr>
                </m:sub>
              </m:sSub>
            </m:oMath>
            <w:r>
              <w:rPr>
                <w:bCs/>
                <w:strike/>
                <w:color w:val="FF0000"/>
                <w:sz w:val="20"/>
                <w:szCs w:val="20"/>
                <w:lang w:eastAsia="ja-JP"/>
              </w:rPr>
              <w:t xml:space="preserve"> </w:t>
            </w:r>
            <w:r>
              <w:rPr>
                <w:rFonts w:ascii="Times" w:hAnsi="Times" w:eastAsia="Batang"/>
                <w:strike/>
                <w:color w:val="FF0000"/>
                <w:sz w:val="20"/>
                <w:szCs w:val="24"/>
                <w:lang w:eastAsia="ja-JP"/>
              </w:rPr>
              <w:t>at least for Group (1) SSs</w:t>
            </w:r>
          </w:p>
          <w:p>
            <w:pPr>
              <w:widowControl w:val="0"/>
              <w:spacing w:line="240" w:lineRule="auto"/>
              <w:rPr>
                <w:lang w:eastAsia="zh-CN"/>
              </w:rPr>
            </w:pPr>
            <w:r>
              <w:rPr>
                <w:lang w:eastAsia="zh-CN"/>
              </w:rPr>
              <w:t>These two are problematic statement.  Isn’t that Ys is defined for slot group and there is no different Ys for group(1) and group(2) ? if yes,  then there is only one Ys for both ss, what is the meaning of &gt;Ys at least for group(1) SS?</w:t>
            </w:r>
          </w:p>
        </w:tc>
      </w:tr>
    </w:tbl>
    <w:p>
      <w:pPr>
        <w:spacing w:after="0"/>
        <w:rPr>
          <w:b/>
          <w:sz w:val="20"/>
          <w:szCs w:val="20"/>
        </w:rPr>
      </w:pPr>
    </w:p>
    <w:p>
      <w:pPr>
        <w:pStyle w:val="5"/>
      </w:pPr>
      <w:r>
        <w:t>First round discussion summary</w:t>
      </w:r>
    </w:p>
    <w:p>
      <w:pPr>
        <w:rPr>
          <w:sz w:val="20"/>
          <w:szCs w:val="20"/>
          <w:lang w:eastAsia="zh-CN"/>
        </w:rPr>
      </w:pPr>
      <w:r>
        <w:rPr>
          <w:sz w:val="20"/>
          <w:szCs w:val="20"/>
          <w:lang w:eastAsia="zh-CN"/>
        </w:rPr>
        <w:t xml:space="preserve">Taking into account the suggestions from the first round of A2-1 as well as A2-2 (for Group (2)), FL suggests to continue discussion based on revised Proposal </w:t>
      </w:r>
      <w:r>
        <w:rPr>
          <w:sz w:val="20"/>
          <w:szCs w:val="20"/>
        </w:rPr>
        <w:t xml:space="preserve">A2-1.1a (green colour shows changes against </w:t>
      </w:r>
      <w:r>
        <w:rPr>
          <w:sz w:val="20"/>
          <w:szCs w:val="20"/>
          <w:lang w:eastAsia="zh-CN"/>
        </w:rPr>
        <w:t xml:space="preserve">Proposal </w:t>
      </w:r>
      <w:r>
        <w:rPr>
          <w:sz w:val="20"/>
          <w:szCs w:val="20"/>
        </w:rPr>
        <w:t>A2-1.1).</w:t>
      </w:r>
    </w:p>
    <w:p>
      <w:r>
        <w:rPr>
          <w:b/>
          <w:sz w:val="20"/>
          <w:szCs w:val="20"/>
          <w:u w:val="single"/>
        </w:rPr>
        <w:t>Proposal A2-1.1a:</w:t>
      </w:r>
      <w:r>
        <w:rPr>
          <w:b/>
          <w:sz w:val="20"/>
          <w:szCs w:val="20"/>
        </w:rPr>
        <w:t xml:space="preserve"> Revise the RAN1#107bis-e agreement as follows:</w:t>
      </w:r>
    </w:p>
    <w:tbl>
      <w:tblPr>
        <w:tblStyle w:val="55"/>
        <w:tblW w:w="1275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3" w:type="dxa"/>
            <w:vAlign w:val="center"/>
          </w:tcPr>
          <w:p>
            <w:pPr>
              <w:widowControl w:val="0"/>
              <w:spacing w:after="0"/>
              <w:rPr>
                <w:rFonts w:ascii="Times" w:hAnsi="Times" w:eastAsia="Batang"/>
                <w:sz w:val="20"/>
                <w:szCs w:val="24"/>
              </w:rPr>
            </w:pPr>
            <w:r>
              <w:rPr>
                <w:rFonts w:ascii="Times" w:hAnsi="Times" w:eastAsia="Batang"/>
                <w:sz w:val="20"/>
                <w:szCs w:val="24"/>
              </w:rPr>
              <w:t>For search space set configuration of multi-slot PDCCH monitoring:</w:t>
            </w:r>
          </w:p>
          <w:p>
            <w:pPr>
              <w:widowControl w:val="0"/>
              <w:numPr>
                <w:ilvl w:val="0"/>
                <w:numId w:val="28"/>
              </w:numPr>
              <w:overflowPunct w:val="0"/>
              <w:textAlignment w:val="baseline"/>
              <w:rPr>
                <w:rFonts w:ascii="Times" w:hAnsi="Times" w:eastAsia="Batang"/>
                <w:sz w:val="20"/>
                <w:szCs w:val="24"/>
              </w:rPr>
            </w:pPr>
            <w:r>
              <w:rPr>
                <w:rFonts w:hint="eastAsia" w:ascii="Times" w:hAnsi="Times" w:eastAsia="Batang"/>
                <w:i/>
                <w:iCs/>
                <w:sz w:val="20"/>
                <w:szCs w:val="24"/>
                <w:lang w:eastAsia="zh-CN"/>
              </w:rPr>
              <w:t>monitoringSlotPeriodicityAndOffset</w:t>
            </w:r>
            <w:r>
              <w:rPr>
                <w:rFonts w:ascii="Times" w:hAnsi="Times" w:eastAsia="Batang"/>
                <w:sz w:val="20"/>
                <w:szCs w:val="24"/>
                <w:lang w:eastAsia="zh-CN"/>
              </w:rPr>
              <w:t xml:space="preserve"> and</w:t>
            </w:r>
            <w:r>
              <w:rPr>
                <w:rFonts w:hint="eastAsia" w:ascii="Times" w:hAnsi="Times" w:eastAsia="Batang"/>
                <w:i/>
                <w:iCs/>
                <w:sz w:val="20"/>
                <w:lang w:eastAsia="zh-CN"/>
              </w:rPr>
              <w:t xml:space="preserve"> </w:t>
            </w:r>
            <w:r>
              <w:rPr>
                <w:rFonts w:hint="eastAsia" w:ascii="Times" w:hAnsi="Times" w:eastAsia="Batang"/>
                <w:i/>
                <w:iCs/>
                <w:sz w:val="20"/>
                <w:szCs w:val="24"/>
                <w:lang w:eastAsia="zh-CN"/>
              </w:rPr>
              <w:t>duration</w:t>
            </w:r>
            <w:r>
              <w:rPr>
                <w:rFonts w:hint="eastAsia" w:ascii="Times" w:hAnsi="Times" w:eastAsia="Batang"/>
                <w:i/>
                <w:iCs/>
                <w:sz w:val="20"/>
                <w:lang w:eastAsia="zh-CN"/>
              </w:rPr>
              <w:t xml:space="preserve"> </w:t>
            </w:r>
            <w:r>
              <w:rPr>
                <w:rFonts w:ascii="Times" w:hAnsi="Times" w:eastAsia="Batang"/>
                <w:sz w:val="20"/>
                <w:szCs w:val="24"/>
              </w:rPr>
              <w:t>are appended with "-r17", and</w:t>
            </w:r>
          </w:p>
          <w:p>
            <w:pPr>
              <w:widowControl w:val="0"/>
              <w:numPr>
                <w:ilvl w:val="1"/>
                <w:numId w:val="28"/>
              </w:numPr>
              <w:overflowPunct w:val="0"/>
              <w:textAlignment w:val="baseline"/>
              <w:rPr>
                <w:rFonts w:ascii="Times" w:hAnsi="Times" w:eastAsia="Batang"/>
                <w:sz w:val="20"/>
                <w:szCs w:val="24"/>
              </w:rPr>
            </w:pPr>
            <w:r>
              <w:rPr>
                <w:rFonts w:ascii="Times" w:hAnsi="Times" w:eastAsia="Batang"/>
                <w:i/>
                <w:iCs/>
                <w:sz w:val="20"/>
                <w:szCs w:val="24"/>
                <w:lang w:eastAsia="zh-CN"/>
              </w:rPr>
              <w:t xml:space="preserve">For </w:t>
            </w:r>
            <w:r>
              <w:rPr>
                <w:rFonts w:ascii="Times" w:hAnsi="Times" w:eastAsia="Batang"/>
                <w:i/>
                <w:iCs/>
                <w:sz w:val="20"/>
                <w:szCs w:val="24"/>
              </w:rPr>
              <w:t>monitoringPeriodicityAndOffset-r17</w:t>
            </w:r>
          </w:p>
          <w:p>
            <w:pPr>
              <w:widowControl w:val="0"/>
              <w:numPr>
                <w:ilvl w:val="2"/>
                <w:numId w:val="28"/>
              </w:numPr>
              <w:overflowPunct w:val="0"/>
              <w:textAlignment w:val="baseline"/>
              <w:rPr>
                <w:rFonts w:ascii="Times" w:hAnsi="Times" w:eastAsia="Batang"/>
                <w:sz w:val="20"/>
                <w:szCs w:val="24"/>
              </w:rPr>
            </w:pPr>
            <w:r>
              <w:rPr>
                <w:rFonts w:ascii="Times" w:hAnsi="Times" w:eastAsia="Batang"/>
                <w:sz w:val="20"/>
                <w:szCs w:val="24"/>
              </w:rPr>
              <w:t>The values represent slots</w:t>
            </w:r>
          </w:p>
          <w:p>
            <w:pPr>
              <w:widowControl w:val="0"/>
              <w:numPr>
                <w:ilvl w:val="2"/>
                <w:numId w:val="28"/>
              </w:numPr>
              <w:overflowPunct w:val="0"/>
              <w:textAlignment w:val="baseline"/>
              <w:rPr>
                <w:rFonts w:ascii="Times" w:hAnsi="Times" w:eastAsia="Batang"/>
                <w:sz w:val="20"/>
                <w:szCs w:val="24"/>
              </w:rPr>
            </w:pPr>
            <w:r>
              <w:rPr>
                <w:rFonts w:ascii="Times" w:hAnsi="Times" w:eastAsia="Batang"/>
                <w:sz w:val="20"/>
                <w:szCs w:val="24"/>
              </w:rPr>
              <w:t xml:space="preserve">Add periodicity values {32,64,128,5120,10240,20480} to the existing values in </w:t>
            </w:r>
            <w:r>
              <w:rPr>
                <w:rFonts w:hint="eastAsia" w:ascii="Times" w:hAnsi="Times" w:eastAsia="Batang"/>
                <w:i/>
                <w:iCs/>
                <w:sz w:val="20"/>
                <w:szCs w:val="24"/>
                <w:lang w:eastAsia="zh-CN"/>
              </w:rPr>
              <w:t>monitoringSlotPeriodicityAndOffset</w:t>
            </w:r>
          </w:p>
          <w:p>
            <w:pPr>
              <w:widowControl w:val="0"/>
              <w:numPr>
                <w:ilvl w:val="3"/>
                <w:numId w:val="28"/>
              </w:numPr>
              <w:overflowPunct w:val="0"/>
              <w:textAlignment w:val="baseline"/>
              <w:rPr>
                <w:rFonts w:ascii="Times" w:hAnsi="Times" w:eastAsia="Batang"/>
                <w:sz w:val="20"/>
                <w:szCs w:val="24"/>
              </w:rPr>
            </w:pPr>
            <w:r>
              <w:rPr>
                <w:rFonts w:ascii="Times" w:hAnsi="Times" w:eastAsia="Batang"/>
                <w:sz w:val="20"/>
                <w:szCs w:val="24"/>
              </w:rPr>
              <w:t>Note: Total list of supported periodicity values</w:t>
            </w:r>
            <w:r>
              <w:rPr>
                <w:rFonts w:ascii="Times" w:hAnsi="Times" w:eastAsia="Batang"/>
                <w:color w:val="00B050"/>
                <w:sz w:val="20"/>
                <w:szCs w:val="24"/>
              </w:rPr>
              <w:t xml:space="preserve"> for SCS 480kHz and 960kHz</w:t>
            </w:r>
            <w:r>
              <w:rPr>
                <w:rFonts w:ascii="Times" w:hAnsi="Times" w:eastAsia="Batang"/>
                <w:sz w:val="20"/>
                <w:szCs w:val="24"/>
              </w:rPr>
              <w:t>: {</w:t>
            </w:r>
            <w:r>
              <w:rPr>
                <w:rFonts w:ascii="Times" w:hAnsi="Times" w:eastAsia="Batang"/>
                <w:strike/>
                <w:color w:val="FF0000"/>
                <w:sz w:val="20"/>
                <w:szCs w:val="24"/>
              </w:rPr>
              <w:t>1,2,</w:t>
            </w:r>
            <w:r>
              <w:rPr>
                <w:rFonts w:ascii="Times" w:hAnsi="Times" w:eastAsia="Batang"/>
                <w:sz w:val="20"/>
                <w:szCs w:val="24"/>
              </w:rPr>
              <w:t>4,</w:t>
            </w:r>
            <w:r>
              <w:rPr>
                <w:rFonts w:ascii="Times" w:hAnsi="Times" w:eastAsia="Batang"/>
                <w:strike/>
                <w:color w:val="FF0000"/>
                <w:sz w:val="20"/>
                <w:szCs w:val="24"/>
              </w:rPr>
              <w:t>5,</w:t>
            </w:r>
            <w:r>
              <w:rPr>
                <w:rFonts w:ascii="Times" w:hAnsi="Times" w:eastAsia="Batang"/>
                <w:sz w:val="20"/>
                <w:szCs w:val="24"/>
              </w:rPr>
              <w:t>8,</w:t>
            </w:r>
            <w:r>
              <w:rPr>
                <w:rFonts w:ascii="Times" w:hAnsi="Times" w:eastAsia="Batang"/>
                <w:strike/>
                <w:color w:val="FF0000"/>
                <w:sz w:val="20"/>
                <w:szCs w:val="24"/>
              </w:rPr>
              <w:t>10,</w:t>
            </w:r>
            <w:r>
              <w:rPr>
                <w:rFonts w:ascii="Times" w:hAnsi="Times" w:eastAsia="Batang"/>
                <w:sz w:val="20"/>
                <w:szCs w:val="24"/>
              </w:rPr>
              <w:t>16,20,32,40,64,80,128,160,320,640,1280,2560,5120,10240,20480}</w:t>
            </w:r>
          </w:p>
          <w:p>
            <w:pPr>
              <w:widowControl w:val="0"/>
              <w:numPr>
                <w:ilvl w:val="2"/>
                <w:numId w:val="28"/>
              </w:numPr>
              <w:overflowPunct w:val="0"/>
              <w:textAlignment w:val="baseline"/>
              <w:rPr>
                <w:rFonts w:ascii="Times" w:hAnsi="Times" w:eastAsia="Batang"/>
                <w:sz w:val="20"/>
                <w:szCs w:val="24"/>
              </w:rPr>
            </w:pPr>
            <w:r>
              <w:rPr>
                <w:rFonts w:ascii="Times" w:hAnsi="Times" w:eastAsia="Batang"/>
                <w:sz w:val="20"/>
                <w:szCs w:val="24"/>
              </w:rPr>
              <w:t>For each periodicity value Xp</w:t>
            </w:r>
          </w:p>
          <w:p>
            <w:pPr>
              <w:widowControl w:val="0"/>
              <w:numPr>
                <w:ilvl w:val="3"/>
                <w:numId w:val="28"/>
              </w:numPr>
              <w:overflowPunct w:val="0"/>
              <w:textAlignment w:val="baseline"/>
              <w:rPr>
                <w:rFonts w:ascii="Times" w:hAnsi="Times" w:eastAsia="Batang"/>
                <w:sz w:val="20"/>
                <w:szCs w:val="24"/>
                <w:lang w:val="nl-NL"/>
              </w:rPr>
            </w:pPr>
            <w:r>
              <w:rPr>
                <w:rFonts w:ascii="Times" w:hAnsi="Times" w:eastAsia="Batang"/>
                <w:sz w:val="20"/>
                <w:szCs w:val="24"/>
              </w:rPr>
              <w:t xml:space="preserve">The value range for the offset O is </w:t>
            </w:r>
            <w:r>
              <w:rPr>
                <w:rFonts w:ascii="Times" w:hAnsi="Times" w:eastAsia="Batang"/>
                <w:strike/>
                <w:color w:val="FF0000"/>
                <w:sz w:val="20"/>
                <w:szCs w:val="24"/>
              </w:rPr>
              <w:t xml:space="preserve">{0 .. </w:t>
            </w:r>
            <w:r>
              <w:rPr>
                <w:rFonts w:ascii="Times" w:hAnsi="Times" w:eastAsia="Batang"/>
                <w:strike/>
                <w:color w:val="FF0000"/>
                <w:sz w:val="20"/>
                <w:szCs w:val="24"/>
                <w:lang w:val="nl-NL"/>
              </w:rPr>
              <w:t>Xp-1}</w:t>
            </w:r>
            <w:r>
              <w:rPr>
                <w:rFonts w:ascii="Times" w:hAnsi="Times" w:eastAsia="Batang"/>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ctrlPr>
                            <w:rPr>
                              <w:rFonts w:ascii="Cambria Math" w:hAnsi="Cambria Math"/>
                              <w:b/>
                              <w:bCs/>
                              <w:i/>
                              <w:color w:val="FF0000"/>
                            </w:rPr>
                          </m:ctrlPr>
                        </m:e>
                        <m:sub>
                          <m:r>
                            <m:rPr>
                              <m:sty m:val="bi"/>
                            </m:rPr>
                            <w:rPr>
                              <w:rFonts w:ascii="Cambria Math" w:hAnsi="Cambria Math"/>
                              <w:color w:val="FF0000"/>
                            </w:rPr>
                            <m:t>p</m:t>
                          </m:r>
                          <m:ctrlPr>
                            <w:rPr>
                              <w:rFonts w:ascii="Cambria Math" w:hAnsi="Cambria Math"/>
                              <w:b/>
                              <w:bCs/>
                              <w:i/>
                              <w:color w:val="FF0000"/>
                            </w:rPr>
                          </m:ctrlP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ctrlPr>
                        <w:rPr>
                          <w:rFonts w:ascii="Cambria Math" w:hAnsi="Cambria Math"/>
                          <w:b/>
                          <w:bCs/>
                          <w:i/>
                          <w:color w:val="FF0000"/>
                        </w:rPr>
                      </m:ctrlPr>
                    </m:num>
                    <m:den>
                      <m:r>
                        <m:rPr>
                          <m:sty m:val="bi"/>
                        </m:rPr>
                        <w:rPr>
                          <w:rFonts w:ascii="Cambria Math" w:hAnsi="Cambria Math"/>
                          <w:color w:val="FF0000"/>
                        </w:rPr>
                        <m:t>4</m:t>
                      </m:r>
                      <m:ctrlPr>
                        <w:rPr>
                          <w:rFonts w:ascii="Cambria Math" w:hAnsi="Cambria Math"/>
                          <w:b/>
                          <w:bCs/>
                          <w:i/>
                          <w:color w:val="FF0000"/>
                        </w:rPr>
                      </m:ctrlPr>
                    </m:den>
                  </m:f>
                  <m:ctrlPr>
                    <w:rPr>
                      <w:rFonts w:ascii="Cambria Math" w:hAnsi="Cambria Math"/>
                      <w:b/>
                      <w:bCs/>
                      <w:i/>
                      <w:color w:val="FF0000"/>
                    </w:rPr>
                  </m:ctrlPr>
                </m:e>
              </m:d>
            </m:oMath>
            <w:r>
              <w:rPr>
                <w:rFonts w:ascii="Times" w:hAnsi="Times" w:eastAsia="Batang"/>
                <w:color w:val="FF0000"/>
                <w:sz w:val="20"/>
                <w:szCs w:val="24"/>
                <w:lang w:val="nl-NL"/>
              </w:rPr>
              <w:t xml:space="preserve">} </w:t>
            </w:r>
            <w:r>
              <w:rPr>
                <w:rFonts w:ascii="Times" w:hAnsi="Times" w:eastAsia="Batang"/>
                <w:sz w:val="20"/>
                <w:szCs w:val="24"/>
                <w:lang w:val="nl-NL"/>
              </w:rPr>
              <w:t>slots</w:t>
            </w:r>
          </w:p>
          <w:p>
            <w:pPr>
              <w:widowControl w:val="0"/>
              <w:numPr>
                <w:ilvl w:val="3"/>
                <w:numId w:val="28"/>
              </w:numPr>
              <w:overflowPunct w:val="0"/>
              <w:textAlignment w:val="baseline"/>
              <w:rPr>
                <w:rFonts w:ascii="Times" w:hAnsi="Times" w:eastAsia="Batang"/>
                <w:sz w:val="20"/>
                <w:szCs w:val="24"/>
              </w:rPr>
            </w:pPr>
            <w:r>
              <w:rPr>
                <w:rFonts w:ascii="Times" w:hAnsi="Times" w:eastAsia="Batang"/>
                <w:sz w:val="20"/>
                <w:szCs w:val="24"/>
              </w:rPr>
              <w:t>Note: There may be no need to introduce the term "X</w:t>
            </w:r>
            <w:r>
              <w:rPr>
                <w:rFonts w:ascii="Times" w:hAnsi="Times" w:eastAsia="Batang"/>
                <w:sz w:val="20"/>
                <w:szCs w:val="24"/>
                <w:vertAlign w:val="subscript"/>
              </w:rPr>
              <w:t>p</w:t>
            </w:r>
            <w:r>
              <w:rPr>
                <w:rFonts w:ascii="Times" w:hAnsi="Times" w:eastAsia="Batang"/>
                <w:sz w:val="20"/>
                <w:szCs w:val="24"/>
              </w:rPr>
              <w:t>" in the specifications</w:t>
            </w:r>
          </w:p>
          <w:p>
            <w:pPr>
              <w:widowControl w:val="0"/>
              <w:numPr>
                <w:ilvl w:val="2"/>
                <w:numId w:val="28"/>
              </w:numPr>
              <w:overflowPunct w:val="0"/>
              <w:textAlignment w:val="baseline"/>
              <w:rPr>
                <w:rFonts w:ascii="Times" w:hAnsi="Times" w:eastAsia="Batang"/>
                <w:sz w:val="20"/>
                <w:szCs w:val="24"/>
              </w:rPr>
            </w:pPr>
            <w:r>
              <w:rPr>
                <w:rFonts w:ascii="Times" w:hAnsi="Times" w:eastAsia="Batang"/>
                <w:sz w:val="20"/>
                <w:szCs w:val="24"/>
              </w:rPr>
              <w:t xml:space="preserve">The configured periodicity </w:t>
            </w:r>
            <w:r>
              <w:rPr>
                <w:rFonts w:ascii="Times" w:hAnsi="Times" w:eastAsia="Batang"/>
                <w:strike/>
                <w:color w:val="00B050"/>
                <w:sz w:val="20"/>
                <w:szCs w:val="24"/>
              </w:rPr>
              <w:t xml:space="preserve">at least for Group (1) SSs </w:t>
            </w:r>
            <w:r>
              <w:rPr>
                <w:rFonts w:ascii="Times" w:hAnsi="Times" w:eastAsia="Batang"/>
                <w:sz w:val="20"/>
                <w:szCs w:val="24"/>
              </w:rPr>
              <w:t>is restricted to be an integer multiple of Xs slots</w:t>
            </w:r>
          </w:p>
          <w:p>
            <w:pPr>
              <w:widowControl w:val="0"/>
              <w:numPr>
                <w:ilvl w:val="2"/>
                <w:numId w:val="28"/>
              </w:numPr>
              <w:overflowPunct w:val="0"/>
              <w:textAlignment w:val="baseline"/>
              <w:rPr>
                <w:rFonts w:ascii="Times" w:hAnsi="Times" w:eastAsia="Batang"/>
                <w:color w:val="FF0000"/>
                <w:sz w:val="20"/>
                <w:szCs w:val="24"/>
              </w:rPr>
            </w:pPr>
            <w:r>
              <w:rPr>
                <w:rFonts w:ascii="Times" w:hAnsi="Times" w:eastAsia="Batang"/>
                <w:color w:val="FF0000"/>
                <w:sz w:val="20"/>
                <w:szCs w:val="24"/>
              </w:rPr>
              <w:t>The configured offset</w:t>
            </w:r>
            <w:r>
              <w:rPr>
                <w:rFonts w:ascii="Times" w:hAnsi="Times" w:eastAsia="Batang"/>
                <w:color w:val="00B050"/>
                <w:sz w:val="20"/>
                <w:szCs w:val="24"/>
              </w:rPr>
              <w:t xml:space="preserve"> </w:t>
            </w:r>
            <w:r>
              <w:rPr>
                <w:rFonts w:ascii="Times" w:hAnsi="Times" w:eastAsia="Batang"/>
                <w:color w:val="FF0000"/>
                <w:sz w:val="20"/>
                <w:szCs w:val="24"/>
              </w:rPr>
              <w:t>is restricted to be an integer multiple of Xs slots</w:t>
            </w:r>
          </w:p>
          <w:p>
            <w:pPr>
              <w:widowControl w:val="0"/>
              <w:numPr>
                <w:ilvl w:val="2"/>
                <w:numId w:val="28"/>
              </w:numPr>
              <w:overflowPunct w:val="0"/>
              <w:textAlignment w:val="baseline"/>
              <w:rPr>
                <w:rFonts w:ascii="Times" w:hAnsi="Times" w:eastAsia="Batang"/>
                <w:strike/>
                <w:color w:val="FF0000"/>
                <w:sz w:val="20"/>
                <w:szCs w:val="24"/>
              </w:rPr>
            </w:pPr>
            <w:r>
              <w:rPr>
                <w:rFonts w:ascii="Times" w:hAnsi="Times" w:eastAsia="Batang"/>
                <w:strike/>
                <w:color w:val="FF0000"/>
                <w:sz w:val="20"/>
                <w:szCs w:val="24"/>
              </w:rPr>
              <w:t>FFS: details of offset</w:t>
            </w:r>
          </w:p>
          <w:p>
            <w:pPr>
              <w:widowControl w:val="0"/>
              <w:numPr>
                <w:ilvl w:val="1"/>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For </w:t>
            </w:r>
            <w:r>
              <w:rPr>
                <w:rFonts w:ascii="Times" w:hAnsi="Times" w:eastAsia="Batang"/>
                <w:i/>
                <w:iCs/>
                <w:color w:val="000000"/>
                <w:sz w:val="20"/>
                <w:szCs w:val="24"/>
              </w:rPr>
              <w:t>duration-r17</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The values represent slots</w:t>
            </w:r>
          </w:p>
          <w:p>
            <w:pPr>
              <w:widowControl w:val="0"/>
              <w:numPr>
                <w:ilvl w:val="2"/>
                <w:numId w:val="28"/>
              </w:numPr>
              <w:overflowPunct w:val="0"/>
              <w:textAlignment w:val="baseline"/>
              <w:rPr>
                <w:rFonts w:ascii="Times" w:hAnsi="Times" w:eastAsia="Batang"/>
                <w:color w:val="FF0000"/>
                <w:sz w:val="20"/>
                <w:szCs w:val="24"/>
              </w:rPr>
            </w:pPr>
            <w:r>
              <w:rPr>
                <w:rFonts w:ascii="Times" w:hAnsi="Times" w:eastAsia="Batang"/>
                <w:color w:val="000000"/>
                <w:sz w:val="20"/>
                <w:szCs w:val="24"/>
              </w:rPr>
              <w:t>The value range is {8, 12, …, 20476}</w:t>
            </w:r>
            <w:r>
              <w:rPr>
                <w:rFonts w:ascii="Times" w:hAnsi="Times" w:eastAsia="Batang"/>
                <w:strike/>
                <w:color w:val="FF0000"/>
                <w:sz w:val="20"/>
                <w:szCs w:val="24"/>
              </w:rPr>
              <w:t xml:space="preserve"> at least for Group (1) SSs</w:t>
            </w:r>
          </w:p>
          <w:p>
            <w:pPr>
              <w:widowControl w:val="0"/>
              <w:numPr>
                <w:ilvl w:val="3"/>
                <w:numId w:val="28"/>
              </w:numPr>
              <w:overflowPunct w:val="0"/>
              <w:textAlignment w:val="baseline"/>
              <w:rPr>
                <w:rFonts w:ascii="Times" w:hAnsi="Times" w:eastAsia="Batang"/>
                <w:color w:val="00B050"/>
                <w:sz w:val="20"/>
                <w:szCs w:val="24"/>
              </w:rPr>
            </w:pPr>
            <w:r>
              <w:rPr>
                <w:rFonts w:ascii="Times" w:hAnsi="Times"/>
                <w:color w:val="00B050"/>
                <w:sz w:val="20"/>
                <w:szCs w:val="24"/>
              </w:rPr>
              <w:t>Value of duration-r17 should be 4 if this field is absent</w:t>
            </w:r>
          </w:p>
          <w:p>
            <w:pPr>
              <w:widowControl w:val="0"/>
              <w:numPr>
                <w:ilvl w:val="2"/>
                <w:numId w:val="28"/>
              </w:numPr>
              <w:overflowPunct w:val="0"/>
              <w:textAlignment w:val="baseline"/>
              <w:rPr>
                <w:rFonts w:ascii="Times" w:hAnsi="Times" w:eastAsia="Batang"/>
                <w:sz w:val="20"/>
                <w:szCs w:val="24"/>
              </w:rPr>
            </w:pPr>
            <w:r>
              <w:rPr>
                <w:rFonts w:ascii="Times" w:hAnsi="Times" w:eastAsia="Batang"/>
                <w:color w:val="000000"/>
                <w:sz w:val="20"/>
                <w:szCs w:val="24"/>
              </w:rPr>
              <w:t>The configured duration is restricted to be an integer multiple of Xs slots</w:t>
            </w:r>
            <w:r>
              <w:rPr>
                <w:rFonts w:ascii="Times" w:hAnsi="Times" w:eastAsia="Batang"/>
                <w:sz w:val="20"/>
                <w:szCs w:val="24"/>
              </w:rPr>
              <w:t xml:space="preserve"> at least for Group (1) SSs</w:t>
            </w:r>
          </w:p>
          <w:p>
            <w:pPr>
              <w:widowControl w:val="0"/>
              <w:numPr>
                <w:ilvl w:val="2"/>
                <w:numId w:val="28"/>
              </w:numPr>
              <w:overflowPunct w:val="0"/>
              <w:textAlignment w:val="baseline"/>
              <w:rPr>
                <w:rFonts w:ascii="Times" w:hAnsi="Times" w:eastAsia="Batang"/>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pPr>
              <w:widowControl w:val="0"/>
              <w:numPr>
                <w:ilvl w:val="2"/>
                <w:numId w:val="28"/>
              </w:numPr>
              <w:overflowPunct w:val="0"/>
              <w:textAlignment w:val="baseline"/>
              <w:rPr>
                <w:rFonts w:ascii="Times" w:hAnsi="Times" w:eastAsia="Batang"/>
                <w:strike/>
                <w:color w:val="FF0000"/>
                <w:sz w:val="20"/>
                <w:szCs w:val="24"/>
              </w:rPr>
            </w:pPr>
            <w:r>
              <w:rPr>
                <w:rFonts w:ascii="Times" w:hAnsi="Times" w:eastAsia="Batang"/>
                <w:strike/>
                <w:color w:val="FF0000"/>
                <w:sz w:val="20"/>
                <w:szCs w:val="24"/>
              </w:rPr>
              <w:t xml:space="preserve">FFS: need to revise the definition of </w:t>
            </w:r>
            <w:r>
              <w:rPr>
                <w:rFonts w:ascii="Times" w:hAnsi="Times" w:eastAsia="Batang"/>
                <w:i/>
                <w:strike/>
                <w:color w:val="FF0000"/>
                <w:sz w:val="20"/>
                <w:szCs w:val="24"/>
              </w:rPr>
              <w:t>duration</w:t>
            </w:r>
          </w:p>
          <w:p>
            <w:pPr>
              <w:widowControl w:val="0"/>
              <w:numPr>
                <w:ilvl w:val="2"/>
                <w:numId w:val="28"/>
              </w:numPr>
              <w:overflowPunct w:val="0"/>
              <w:textAlignment w:val="baseline"/>
              <w:rPr>
                <w:rFonts w:ascii="Times" w:hAnsi="Times" w:eastAsia="Batang"/>
                <w:color w:val="00B050"/>
                <w:sz w:val="20"/>
                <w:szCs w:val="24"/>
              </w:rPr>
            </w:pPr>
            <w:r>
              <w:rPr>
                <w:rFonts w:ascii="Times" w:hAnsi="Times" w:eastAsia="Batang"/>
                <w:i/>
                <w:iCs/>
                <w:color w:val="00B050"/>
                <w:sz w:val="20"/>
                <w:szCs w:val="24"/>
              </w:rPr>
              <w:t>duration-r17</w:t>
            </w:r>
            <w:r>
              <w:rPr>
                <w:rFonts w:ascii="Times" w:hAnsi="Times" w:eastAsia="Batang"/>
                <w:color w:val="00B050"/>
                <w:sz w:val="20"/>
                <w:szCs w:val="24"/>
              </w:rPr>
              <w:t xml:space="preserve"> is the total number of slots in consecutive grou</w:t>
            </w:r>
            <w:r>
              <w:rPr>
                <w:rFonts w:ascii="Times" w:hAnsi="Times" w:eastAsia="Batang"/>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ctrlPr>
                    <w:rPr>
                      <w:rFonts w:ascii="Cambria Math" w:hAnsi="Cambria Math"/>
                      <w:color w:val="00B050"/>
                      <w:sz w:val="20"/>
                      <w:szCs w:val="20"/>
                    </w:rPr>
                  </m:ctrlPr>
                </m:e>
                <m:sub>
                  <m:r>
                    <m:rPr>
                      <m:sty m:val="p"/>
                    </m:rPr>
                    <w:rPr>
                      <w:rFonts w:ascii="Cambria Math" w:hAnsi="Cambria Math"/>
                      <w:color w:val="00B050"/>
                      <w:sz w:val="20"/>
                      <w:szCs w:val="20"/>
                    </w:rPr>
                    <m:t>s</m:t>
                  </m:r>
                  <m:ctrlPr>
                    <w:rPr>
                      <w:rFonts w:ascii="Cambria Math" w:hAnsi="Cambria Math"/>
                      <w:color w:val="00B050"/>
                      <w:sz w:val="20"/>
                      <w:szCs w:val="20"/>
                    </w:rPr>
                  </m:ctrlPr>
                </m:sub>
              </m:sSub>
            </m:oMath>
            <w:r>
              <w:rPr>
                <w:rFonts w:ascii="Times" w:hAnsi="Times" w:eastAsia="Batang"/>
                <w:color w:val="00B050"/>
                <w:sz w:val="20"/>
                <w:szCs w:val="20"/>
              </w:rPr>
              <w:t xml:space="preserve"> slots that </w:t>
            </w:r>
            <w:r>
              <w:rPr>
                <w:rFonts w:ascii="Times" w:hAnsi="Times" w:eastAsia="Batang"/>
                <w:color w:val="00B050"/>
                <w:sz w:val="20"/>
                <w:szCs w:val="24"/>
              </w:rPr>
              <w:t xml:space="preserve">a Search Space lasts in every occasion as given by </w:t>
            </w:r>
            <w:r>
              <w:rPr>
                <w:rFonts w:ascii="Times" w:hAnsi="Times" w:eastAsia="Batang"/>
                <w:i/>
                <w:iCs/>
                <w:color w:val="00B050"/>
                <w:sz w:val="20"/>
                <w:szCs w:val="24"/>
              </w:rPr>
              <w:t>monitoringPeriodicityAndOffset-r17</w:t>
            </w:r>
          </w:p>
          <w:p>
            <w:pPr>
              <w:widowControl w:val="0"/>
              <w:numPr>
                <w:ilvl w:val="0"/>
                <w:numId w:val="28"/>
              </w:numPr>
              <w:overflowPunct w:val="0"/>
              <w:textAlignment w:val="baseline"/>
              <w:rPr>
                <w:rFonts w:ascii="Times" w:hAnsi="Times" w:eastAsia="Batang"/>
                <w:sz w:val="20"/>
                <w:szCs w:val="24"/>
              </w:rPr>
            </w:pPr>
            <w:r>
              <w:rPr>
                <w:rFonts w:ascii="Times" w:hAnsi="Times" w:eastAsia="Batang"/>
                <w:i/>
                <w:iCs/>
                <w:sz w:val="20"/>
                <w:szCs w:val="24"/>
              </w:rPr>
              <w:t xml:space="preserve">monitoringSymbolsWithinSlot </w:t>
            </w:r>
            <w:r>
              <w:rPr>
                <w:rFonts w:ascii="Times" w:hAnsi="Times" w:eastAsia="Batang"/>
                <w:sz w:val="20"/>
                <w:szCs w:val="24"/>
              </w:rPr>
              <w:t>applies to each slot in a slot group configured for multi-slot PDCCH monitoring</w:t>
            </w:r>
          </w:p>
          <w:p>
            <w:pPr>
              <w:widowControl w:val="0"/>
              <w:numPr>
                <w:ilvl w:val="1"/>
                <w:numId w:val="28"/>
              </w:numPr>
              <w:overflowPunct w:val="0"/>
              <w:textAlignment w:val="baseline"/>
              <w:rPr>
                <w:rFonts w:ascii="Times" w:hAnsi="Times" w:eastAsia="Batang"/>
                <w:sz w:val="20"/>
                <w:szCs w:val="24"/>
              </w:rPr>
            </w:pPr>
            <w:r>
              <w:rPr>
                <w:rFonts w:ascii="Times" w:hAnsi="Times" w:eastAsia="Batang"/>
                <w:sz w:val="20"/>
                <w:szCs w:val="24"/>
              </w:rPr>
              <w:t>Note: This parameter can be directly re-used from earlier releases.</w:t>
            </w:r>
          </w:p>
          <w:p>
            <w:pPr>
              <w:widowControl w:val="0"/>
              <w:numPr>
                <w:ilvl w:val="0"/>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Introduce new parameter </w:t>
            </w:r>
            <w:r>
              <w:rPr>
                <w:rFonts w:ascii="Times" w:hAnsi="Times" w:eastAsia="Batang"/>
                <w:i/>
                <w:iCs/>
                <w:color w:val="000000"/>
                <w:sz w:val="20"/>
                <w:szCs w:val="24"/>
              </w:rPr>
              <w:t>monitoringSlotsWithinSlotGroup-r17</w:t>
            </w:r>
          </w:p>
          <w:p>
            <w:pPr>
              <w:widowControl w:val="0"/>
              <w:numPr>
                <w:ilvl w:val="1"/>
                <w:numId w:val="28"/>
              </w:numPr>
              <w:overflowPunct w:val="0"/>
              <w:textAlignment w:val="baseline"/>
              <w:rPr>
                <w:rFonts w:ascii="Times" w:hAnsi="Times" w:eastAsia="Batang"/>
                <w:strike/>
                <w:color w:val="000000"/>
                <w:sz w:val="20"/>
                <w:szCs w:val="24"/>
              </w:rPr>
            </w:pPr>
            <w:r>
              <w:rPr>
                <w:rFonts w:ascii="Times" w:hAnsi="Times" w:eastAsia="Batang"/>
                <w:strike/>
                <w:color w:val="FF0000"/>
                <w:sz w:val="20"/>
                <w:szCs w:val="24"/>
                <w:highlight w:val="darkYellow"/>
              </w:rPr>
              <w:t>Working assumption</w:t>
            </w:r>
            <w:r>
              <w:rPr>
                <w:rFonts w:ascii="Times" w:hAnsi="Times" w:eastAsia="Batang"/>
                <w:strike/>
                <w:color w:val="FF0000"/>
                <w:sz w:val="20"/>
                <w:szCs w:val="24"/>
              </w:rPr>
              <w:t>:</w:t>
            </w:r>
          </w:p>
          <w:p>
            <w:pPr>
              <w:widowControl w:val="0"/>
              <w:numPr>
                <w:ilvl w:val="2"/>
                <w:numId w:val="28"/>
              </w:numPr>
              <w:overflowPunct w:val="0"/>
              <w:textAlignment w:val="baseline"/>
              <w:rPr>
                <w:rFonts w:ascii="Times" w:hAnsi="Times" w:eastAsia="Batang"/>
                <w:strike/>
                <w:color w:val="000000"/>
                <w:sz w:val="20"/>
                <w:szCs w:val="24"/>
              </w:rPr>
            </w:pPr>
            <w:r>
              <w:rPr>
                <w:rFonts w:ascii="Times" w:hAnsi="Times" w:eastAsia="Batang"/>
                <w:strike/>
                <w:color w:val="FF0000"/>
                <w:sz w:val="20"/>
                <w:szCs w:val="24"/>
              </w:rPr>
              <w:t>The size is 8 bits</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FF0000"/>
                <w:sz w:val="20"/>
                <w:szCs w:val="24"/>
              </w:rPr>
              <w:t>The size is Xs bits, where Xs is either 4 or 8</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Each bit in </w:t>
            </w:r>
            <w:r>
              <w:rPr>
                <w:rFonts w:ascii="Times" w:hAnsi="Times" w:eastAsia="Batang"/>
                <w:i/>
                <w:iCs/>
                <w:color w:val="000000"/>
                <w:sz w:val="20"/>
                <w:szCs w:val="24"/>
              </w:rPr>
              <w:t>monitoringSlotsWithinSlotGroup-r17</w:t>
            </w:r>
            <w:r>
              <w:rPr>
                <w:rFonts w:ascii="Times" w:hAnsi="Times" w:eastAsia="Batang"/>
                <w:color w:val="000000"/>
                <w:sz w:val="20"/>
                <w:szCs w:val="24"/>
              </w:rPr>
              <w:t xml:space="preserve"> represents a slot in a slot group</w:t>
            </w:r>
          </w:p>
          <w:p>
            <w:pPr>
              <w:widowControl w:val="0"/>
              <w:numPr>
                <w:ilvl w:val="2"/>
                <w:numId w:val="28"/>
              </w:numPr>
              <w:overflowPunct w:val="0"/>
              <w:textAlignment w:val="baseline"/>
              <w:rPr>
                <w:rFonts w:ascii="Times" w:hAnsi="Times" w:eastAsia="Batang"/>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hAnsi="Times" w:eastAsia="Batang"/>
                <w:i/>
                <w:iCs/>
                <w:color w:val="FF0000"/>
                <w:sz w:val="20"/>
                <w:szCs w:val="24"/>
              </w:rPr>
              <w:t>duration-r17</w:t>
            </w:r>
            <w:r>
              <w:rPr>
                <w:rFonts w:ascii="Times" w:hAnsi="Times"/>
                <w:color w:val="FF0000"/>
                <w:sz w:val="20"/>
                <w:szCs w:val="24"/>
              </w:rPr>
              <w:t>.</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A slot in the slot group is configured for multi-slot PDCCH monitoring if the corresponding bit in the slot group is set to '1'</w:t>
            </w:r>
          </w:p>
          <w:p>
            <w:pPr>
              <w:widowControl w:val="0"/>
              <w:numPr>
                <w:ilvl w:val="3"/>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Note: Further configuration of the monitoring symbols in such a slot is done by </w:t>
            </w:r>
            <w:r>
              <w:rPr>
                <w:rFonts w:ascii="Times" w:hAnsi="Times" w:eastAsia="Batang"/>
                <w:i/>
                <w:iCs/>
                <w:color w:val="000000"/>
                <w:sz w:val="20"/>
                <w:szCs w:val="24"/>
              </w:rPr>
              <w:t>monitoringSymbolsWithinSlot</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The</w:t>
            </w:r>
            <w:r>
              <w:rPr>
                <w:rFonts w:hint="eastAsia" w:ascii="Times" w:hAnsi="Times" w:eastAsia="Batang"/>
                <w:color w:val="000000"/>
                <w:sz w:val="20"/>
                <w:szCs w:val="24"/>
              </w:rPr>
              <w:t xml:space="preserve"> </w:t>
            </w:r>
            <w:r>
              <w:rPr>
                <w:rFonts w:ascii="Times" w:hAnsi="Times" w:eastAsia="Batang"/>
                <w:color w:val="000000"/>
                <w:sz w:val="20"/>
                <w:szCs w:val="24"/>
              </w:rPr>
              <w:t>slo</w:t>
            </w:r>
            <w:r>
              <w:rPr>
                <w:rFonts w:ascii="Times" w:hAnsi="Times" w:eastAsia="Batang"/>
                <w:sz w:val="20"/>
                <w:szCs w:val="24"/>
              </w:rPr>
              <w:t>ts indicated in the bitmap sh</w:t>
            </w:r>
            <w:r>
              <w:rPr>
                <w:rFonts w:ascii="Times" w:hAnsi="Times" w:eastAsia="Batang"/>
                <w:color w:val="000000"/>
                <w:sz w:val="20"/>
                <w:szCs w:val="24"/>
              </w:rPr>
              <w:t>ould be consecutive</w:t>
            </w:r>
            <w:r>
              <w:rPr>
                <w:rFonts w:ascii="Times" w:hAnsi="Times" w:eastAsia="Batang"/>
                <w:sz w:val="20"/>
                <w:szCs w:val="24"/>
              </w:rPr>
              <w:t xml:space="preserve"> </w:t>
            </w:r>
            <w:r>
              <w:rPr>
                <w:rFonts w:ascii="Times" w:hAnsi="Times" w:eastAsia="Batang"/>
                <w:color w:val="00B050"/>
                <w:sz w:val="20"/>
                <w:szCs w:val="24"/>
              </w:rPr>
              <w:t xml:space="preserve">per slot group </w:t>
            </w:r>
            <w:r>
              <w:rPr>
                <w:rFonts w:ascii="Times" w:hAnsi="Times" w:eastAsia="Batang"/>
                <w:strike/>
                <w:color w:val="FF0000"/>
                <w:sz w:val="20"/>
                <w:szCs w:val="24"/>
              </w:rPr>
              <w:t xml:space="preserve">at least </w:t>
            </w:r>
            <w:r>
              <w:rPr>
                <w:rFonts w:ascii="Times" w:hAnsi="Times" w:eastAsia="Batang"/>
                <w:sz w:val="20"/>
                <w:szCs w:val="24"/>
              </w:rPr>
              <w:t>for Group (1) SSs</w:t>
            </w:r>
          </w:p>
          <w:p>
            <w:pPr>
              <w:widowControl w:val="0"/>
              <w:numPr>
                <w:ilvl w:val="2"/>
                <w:numId w:val="28"/>
              </w:numPr>
              <w:overflowPunct w:val="0"/>
              <w:textAlignment w:val="baseline"/>
              <w:rPr>
                <w:rFonts w:ascii="Times" w:hAnsi="Times" w:eastAsia="Batang"/>
                <w:color w:val="00B050"/>
                <w:sz w:val="20"/>
                <w:szCs w:val="24"/>
              </w:rPr>
            </w:pPr>
            <w:r>
              <w:rPr>
                <w:rFonts w:ascii="Times" w:hAnsi="Times" w:eastAsia="Batang"/>
                <w:color w:val="00B050"/>
                <w:sz w:val="20"/>
                <w:szCs w:val="24"/>
              </w:rPr>
              <w:t>The slots indicated in the bitmap are not restricted to be consecutive for Group (2) SSs</w:t>
            </w:r>
          </w:p>
          <w:p>
            <w:pPr>
              <w:widowControl w:val="0"/>
              <w:numPr>
                <w:ilvl w:val="2"/>
                <w:numId w:val="28"/>
              </w:numPr>
              <w:overflowPunct w:val="0"/>
              <w:textAlignment w:val="baseline"/>
              <w:rPr>
                <w:rFonts w:ascii="Times" w:hAnsi="Times" w:eastAsia="Batang"/>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ctrlPr>
                    <w:rPr>
                      <w:rFonts w:ascii="Cambria Math" w:hAnsi="Cambria Math"/>
                      <w:bCs/>
                      <w:i/>
                      <w:color w:val="FF0000"/>
                      <w:sz w:val="20"/>
                      <w:szCs w:val="20"/>
                    </w:rPr>
                  </m:ctrlPr>
                </m:e>
                <m:sub>
                  <m:r>
                    <w:rPr>
                      <w:rFonts w:ascii="Cambria Math" w:hAnsi="Cambria Math"/>
                      <w:color w:val="FF0000"/>
                      <w:sz w:val="20"/>
                      <w:szCs w:val="20"/>
                    </w:rPr>
                    <m:t>s</m:t>
                  </m:r>
                  <m:ctrlPr>
                    <w:rPr>
                      <w:rFonts w:ascii="Cambria Math" w:hAnsi="Cambria Math"/>
                      <w:bCs/>
                      <w:i/>
                      <w:color w:val="FF0000"/>
                      <w:sz w:val="20"/>
                      <w:szCs w:val="20"/>
                    </w:rPr>
                  </m:ctrlPr>
                </m:sub>
              </m:sSub>
            </m:oMath>
            <w:r>
              <w:rPr>
                <w:bCs/>
                <w:color w:val="FF0000"/>
                <w:sz w:val="20"/>
                <w:szCs w:val="20"/>
              </w:rPr>
              <w:t xml:space="preserve"> </w:t>
            </w:r>
            <w:r>
              <w:rPr>
                <w:rFonts w:ascii="Times" w:hAnsi="Times" w:eastAsia="Batang"/>
                <w:strike/>
                <w:color w:val="FF0000"/>
                <w:sz w:val="20"/>
                <w:szCs w:val="24"/>
              </w:rPr>
              <w:t xml:space="preserve">at least </w:t>
            </w:r>
            <w:r>
              <w:rPr>
                <w:rFonts w:ascii="Times" w:hAnsi="Times" w:eastAsia="Batang"/>
                <w:color w:val="FF0000"/>
                <w:sz w:val="20"/>
                <w:szCs w:val="24"/>
              </w:rPr>
              <w:t>for Group (1) SSs</w:t>
            </w:r>
          </w:p>
          <w:p>
            <w:pPr>
              <w:widowControl w:val="0"/>
              <w:numPr>
                <w:ilvl w:val="2"/>
                <w:numId w:val="28"/>
              </w:numPr>
              <w:overflowPunct w:val="0"/>
              <w:textAlignment w:val="baseline"/>
              <w:rPr>
                <w:rFonts w:ascii="Times" w:hAnsi="Times" w:eastAsia="Batang"/>
                <w:color w:val="00B050"/>
                <w:sz w:val="20"/>
                <w:szCs w:val="24"/>
              </w:rPr>
            </w:pPr>
            <w:r>
              <w:rPr>
                <w:rFonts w:ascii="Times" w:hAnsi="Times" w:eastAsia="Batang"/>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ctrlPr>
                    <w:rPr>
                      <w:rFonts w:ascii="Cambria Math" w:hAnsi="Cambria Math"/>
                      <w:bCs/>
                      <w:i/>
                      <w:color w:val="00B050"/>
                      <w:sz w:val="20"/>
                      <w:szCs w:val="20"/>
                    </w:rPr>
                  </m:ctrlPr>
                </m:e>
                <m:sub>
                  <m:r>
                    <w:rPr>
                      <w:rFonts w:ascii="Cambria Math" w:hAnsi="Cambria Math"/>
                      <w:color w:val="00B050"/>
                      <w:sz w:val="20"/>
                      <w:szCs w:val="20"/>
                    </w:rPr>
                    <m:t>s</m:t>
                  </m:r>
                  <m:ctrlPr>
                    <w:rPr>
                      <w:rFonts w:ascii="Cambria Math" w:hAnsi="Cambria Math"/>
                      <w:bCs/>
                      <w:i/>
                      <w:color w:val="00B050"/>
                      <w:sz w:val="20"/>
                      <w:szCs w:val="20"/>
                    </w:rPr>
                  </m:ctrlPr>
                </m:sub>
              </m:sSub>
            </m:oMath>
            <w:r>
              <w:rPr>
                <w:bCs/>
                <w:color w:val="00B050"/>
                <w:sz w:val="20"/>
                <w:szCs w:val="20"/>
              </w:rPr>
              <w:t xml:space="preserve"> </w:t>
            </w:r>
            <w:r>
              <w:rPr>
                <w:rFonts w:ascii="Times" w:hAnsi="Times" w:eastAsia="Batang"/>
                <w:color w:val="00B050"/>
                <w:sz w:val="20"/>
                <w:szCs w:val="24"/>
              </w:rPr>
              <w:t>for Group (2) SSs</w:t>
            </w:r>
          </w:p>
          <w:p>
            <w:pPr>
              <w:widowControl w:val="0"/>
              <w:numPr>
                <w:ilvl w:val="2"/>
                <w:numId w:val="28"/>
              </w:numPr>
              <w:overflowPunct w:val="0"/>
              <w:textAlignment w:val="baseline"/>
              <w:rPr>
                <w:rFonts w:ascii="Times" w:hAnsi="Times" w:eastAsia="Batang"/>
                <w:strike/>
                <w:color w:val="FF0000"/>
                <w:sz w:val="20"/>
                <w:szCs w:val="24"/>
              </w:rPr>
            </w:pPr>
            <w:r>
              <w:rPr>
                <w:rFonts w:ascii="Times" w:hAnsi="Times"/>
                <w:strike/>
                <w:color w:val="FF0000"/>
                <w:sz w:val="20"/>
                <w:szCs w:val="24"/>
              </w:rPr>
              <w:t>FFS: Applicable value if this field is absent</w:t>
            </w:r>
          </w:p>
        </w:tc>
      </w:tr>
    </w:tbl>
    <w:p>
      <w:pPr>
        <w:rPr>
          <w:lang w:eastAsia="zh-CN"/>
        </w:rPr>
      </w:pPr>
    </w:p>
    <w:p>
      <w:pPr>
        <w:rPr>
          <w:lang w:eastAsia="zh-CN"/>
        </w:rPr>
      </w:pPr>
    </w:p>
    <w:p>
      <w:pPr>
        <w:pStyle w:val="5"/>
      </w:pPr>
      <w:r>
        <w:t>Second round discussion</w:t>
      </w:r>
    </w:p>
    <w:p>
      <w:pPr>
        <w:rPr>
          <w:bCs/>
          <w:lang w:val="en-GB" w:eastAsia="zh-CN"/>
        </w:rPr>
      </w:pPr>
      <w:r>
        <w:rPr>
          <w:bCs/>
          <w:lang w:val="en-GB" w:eastAsia="zh-CN"/>
        </w:rPr>
        <w:t>In view of the first round discussion and online discussion, please continue discussion on the following proposal.</w:t>
      </w:r>
    </w:p>
    <w:p>
      <w:pPr>
        <w:rPr>
          <w:bCs/>
          <w:lang w:val="en-GB" w:eastAsia="zh-CN"/>
        </w:rPr>
      </w:pPr>
      <w:r>
        <w:rPr>
          <w:bCs/>
          <w:lang w:val="en-GB" w:eastAsia="zh-CN"/>
        </w:rPr>
        <w:t>Note that this second round discussion includes Group (2) aspects from A2-2, and should include any proposals for further limitations e.g. as per Interpretation #2 in Issue A2-2.</w:t>
      </w:r>
    </w:p>
    <w:p>
      <w:pPr>
        <w:rPr>
          <w:bCs/>
          <w:highlight w:val="cyan"/>
          <w:lang w:val="en-GB" w:eastAsia="zh-CN"/>
        </w:rPr>
      </w:pPr>
      <w:r>
        <w:rPr>
          <w:bCs/>
          <w:highlight w:val="cyan"/>
          <w:lang w:val="en-GB" w:eastAsia="zh-CN"/>
        </w:rPr>
        <w:t>Please note the following FL comments:</w:t>
      </w:r>
    </w:p>
    <w:p>
      <w:pPr>
        <w:pStyle w:val="82"/>
        <w:numPr>
          <w:ilvl w:val="0"/>
          <w:numId w:val="37"/>
        </w:numPr>
        <w:rPr>
          <w:rFonts w:ascii="Times New Roman" w:hAnsi="Times New Roman"/>
          <w:bCs/>
          <w:sz w:val="20"/>
          <w:szCs w:val="20"/>
          <w:highlight w:val="cyan"/>
          <w:lang w:val="en-GB" w:eastAsia="zh-CN"/>
        </w:rPr>
      </w:pPr>
      <w:r>
        <w:rPr>
          <w:rFonts w:ascii="Times New Roman" w:hAnsi="Times New Roman"/>
          <w:bCs/>
          <w:sz w:val="20"/>
          <w:szCs w:val="20"/>
          <w:highlight w:val="cyan"/>
          <w:lang w:val="en-GB" w:eastAsia="zh-CN"/>
        </w:rPr>
        <w:t xml:space="preserve">Keeping both "value range for the offset O is </w:t>
      </w:r>
      <w:r>
        <w:rPr>
          <w:rFonts w:ascii="Times New Roman" w:hAnsi="Times New Roman" w:eastAsia="Batang"/>
          <w:sz w:val="20"/>
          <w:szCs w:val="20"/>
          <w:highlight w:val="cyan"/>
          <w:lang w:val="nl-NL"/>
        </w:rPr>
        <w:t xml:space="preserve">{0, 4, 8,  …, </w:t>
      </w:r>
      <m:oMath>
        <m:r>
          <m:rPr>
            <m:sty m:val="bi"/>
          </m:rPr>
          <w:rPr>
            <w:rFonts w:ascii="Cambria Math" w:hAnsi="Cambria Math"/>
            <w:sz w:val="20"/>
            <w:szCs w:val="20"/>
            <w:highlight w:val="cyan"/>
          </w:rPr>
          <m:t>4</m:t>
        </m:r>
        <m:d>
          <m:dPr>
            <m:begChr m:val="⌊"/>
            <m:endChr m:val="⌋"/>
            <m:ctrlPr>
              <w:rPr>
                <w:rFonts w:ascii="Cambria Math" w:hAnsi="Cambria Math"/>
                <w:b/>
                <w:bCs/>
                <w:i/>
                <w:sz w:val="20"/>
                <w:szCs w:val="20"/>
                <w:highlight w:val="cyan"/>
              </w:rPr>
            </m:ctrlPr>
          </m:dPr>
          <m:e>
            <m:f>
              <m:fPr>
                <m:ctrlPr>
                  <w:rPr>
                    <w:rFonts w:ascii="Cambria Math" w:hAnsi="Cambria Math"/>
                    <w:b/>
                    <w:bCs/>
                    <w:i/>
                    <w:sz w:val="20"/>
                    <w:szCs w:val="20"/>
                    <w:highlight w:val="cyan"/>
                  </w:rPr>
                </m:ctrlPr>
              </m:fPr>
              <m:num>
                <m:r>
                  <m:rPr>
                    <m:sty m:val="bi"/>
                  </m:rPr>
                  <w:rPr>
                    <w:rFonts w:ascii="Cambria Math" w:hAnsi="Cambria Math"/>
                    <w:sz w:val="20"/>
                    <w:szCs w:val="20"/>
                    <w:highlight w:val="cyan"/>
                    <w:lang w:val="nl-NL"/>
                  </w:rPr>
                  <m:t>(</m:t>
                </m:r>
                <m:sSub>
                  <m:sSubPr>
                    <m:ctrlPr>
                      <w:rPr>
                        <w:rFonts w:ascii="Cambria Math" w:hAnsi="Cambria Math"/>
                        <w:b/>
                        <w:bCs/>
                        <w:i/>
                        <w:sz w:val="20"/>
                        <w:szCs w:val="20"/>
                        <w:highlight w:val="cyan"/>
                      </w:rPr>
                    </m:ctrlPr>
                  </m:sSubPr>
                  <m:e>
                    <m:r>
                      <m:rPr>
                        <m:sty m:val="bi"/>
                      </m:rPr>
                      <w:rPr>
                        <w:rFonts w:ascii="Cambria Math" w:hAnsi="Cambria Math"/>
                        <w:sz w:val="20"/>
                        <w:szCs w:val="20"/>
                        <w:highlight w:val="cyan"/>
                      </w:rPr>
                      <m:t>X</m:t>
                    </m:r>
                    <m:ctrlPr>
                      <w:rPr>
                        <w:rFonts w:ascii="Cambria Math" w:hAnsi="Cambria Math"/>
                        <w:b/>
                        <w:bCs/>
                        <w:i/>
                        <w:sz w:val="20"/>
                        <w:szCs w:val="20"/>
                        <w:highlight w:val="cyan"/>
                      </w:rPr>
                    </m:ctrlPr>
                  </m:e>
                  <m:sub>
                    <m:r>
                      <m:rPr>
                        <m:sty m:val="bi"/>
                      </m:rPr>
                      <w:rPr>
                        <w:rFonts w:ascii="Cambria Math" w:hAnsi="Cambria Math"/>
                        <w:sz w:val="20"/>
                        <w:szCs w:val="20"/>
                        <w:highlight w:val="cyan"/>
                      </w:rPr>
                      <m:t>p</m:t>
                    </m:r>
                    <m:ctrlPr>
                      <w:rPr>
                        <w:rFonts w:ascii="Cambria Math" w:hAnsi="Cambria Math"/>
                        <w:b/>
                        <w:bCs/>
                        <w:i/>
                        <w:sz w:val="20"/>
                        <w:szCs w:val="20"/>
                        <w:highlight w:val="cyan"/>
                      </w:rPr>
                    </m:ctrlPr>
                  </m:sub>
                </m:sSub>
                <m:r>
                  <m:rPr>
                    <m:sty m:val="bi"/>
                  </m:rPr>
                  <w:rPr>
                    <w:rFonts w:ascii="Cambria Math" w:hAnsi="Cambria Math"/>
                    <w:sz w:val="20"/>
                    <w:szCs w:val="20"/>
                    <w:highlight w:val="cyan"/>
                    <w:lang w:val="nl-NL"/>
                  </w:rPr>
                  <m:t>-</m:t>
                </m:r>
                <m:r>
                  <m:rPr>
                    <m:sty m:val="bi"/>
                  </m:rPr>
                  <w:rPr>
                    <w:rFonts w:ascii="Cambria Math" w:hAnsi="Cambria Math"/>
                    <w:sz w:val="20"/>
                    <w:szCs w:val="20"/>
                    <w:highlight w:val="cyan"/>
                  </w:rPr>
                  <m:t>1</m:t>
                </m:r>
                <m:r>
                  <m:rPr>
                    <m:sty m:val="bi"/>
                  </m:rPr>
                  <w:rPr>
                    <w:rFonts w:ascii="Cambria Math" w:hAnsi="Cambria Math"/>
                    <w:sz w:val="20"/>
                    <w:szCs w:val="20"/>
                    <w:highlight w:val="cyan"/>
                    <w:lang w:val="nl-NL"/>
                  </w:rPr>
                  <m:t>)</m:t>
                </m:r>
                <m:ctrlPr>
                  <w:rPr>
                    <w:rFonts w:ascii="Cambria Math" w:hAnsi="Cambria Math"/>
                    <w:b/>
                    <w:bCs/>
                    <w:i/>
                    <w:sz w:val="20"/>
                    <w:szCs w:val="20"/>
                    <w:highlight w:val="cyan"/>
                  </w:rPr>
                </m:ctrlPr>
              </m:num>
              <m:den>
                <m:r>
                  <m:rPr>
                    <m:sty m:val="bi"/>
                  </m:rPr>
                  <w:rPr>
                    <w:rFonts w:ascii="Cambria Math" w:hAnsi="Cambria Math"/>
                    <w:sz w:val="20"/>
                    <w:szCs w:val="20"/>
                    <w:highlight w:val="cyan"/>
                  </w:rPr>
                  <m:t>4</m:t>
                </m:r>
                <m:ctrlPr>
                  <w:rPr>
                    <w:rFonts w:ascii="Cambria Math" w:hAnsi="Cambria Math"/>
                    <w:b/>
                    <w:bCs/>
                    <w:i/>
                    <w:sz w:val="20"/>
                    <w:szCs w:val="20"/>
                    <w:highlight w:val="cyan"/>
                  </w:rPr>
                </m:ctrlPr>
              </m:den>
            </m:f>
            <m:ctrlPr>
              <w:rPr>
                <w:rFonts w:ascii="Cambria Math" w:hAnsi="Cambria Math"/>
                <w:b/>
                <w:bCs/>
                <w:i/>
                <w:sz w:val="20"/>
                <w:szCs w:val="20"/>
                <w:highlight w:val="cyan"/>
              </w:rPr>
            </m:ctrlPr>
          </m:e>
        </m:d>
      </m:oMath>
      <w:r>
        <w:rPr>
          <w:rFonts w:ascii="Times New Roman" w:hAnsi="Times New Roman" w:eastAsia="Batang"/>
          <w:sz w:val="20"/>
          <w:szCs w:val="20"/>
          <w:highlight w:val="cyan"/>
          <w:lang w:val="nl-NL"/>
        </w:rPr>
        <w:t>} slots" as well as "</w:t>
      </w:r>
      <w:r>
        <w:rPr>
          <w:rFonts w:ascii="Times New Roman" w:hAnsi="Times New Roman" w:eastAsia="Batang"/>
          <w:sz w:val="20"/>
          <w:szCs w:val="24"/>
          <w:highlight w:val="cyan"/>
        </w:rPr>
        <w:t>The configured offset is restricted to be an integer multiple of Xs slots</w:t>
      </w:r>
      <w:r>
        <w:rPr>
          <w:rFonts w:ascii="Times New Roman" w:hAnsi="Times New Roman" w:eastAsia="Batang"/>
          <w:sz w:val="20"/>
          <w:szCs w:val="20"/>
          <w:highlight w:val="cyan"/>
          <w:lang w:val="nl-NL"/>
        </w:rPr>
        <w:t>", since for Xs=8 not all the identified offset values are eligible. It is understood that the range expression is for convenience in the RAN1 agreement and not required to be refelected in this way in the RRC sheet for RAN2.</w:t>
      </w:r>
    </w:p>
    <w:p>
      <w:pPr>
        <w:numPr>
          <w:ilvl w:val="0"/>
          <w:numId w:val="28"/>
        </w:numPr>
        <w:overflowPunct w:val="0"/>
        <w:textAlignment w:val="baseline"/>
        <w:rPr>
          <w:rFonts w:ascii="Times" w:hAnsi="Times" w:eastAsia="Batang"/>
          <w:sz w:val="20"/>
          <w:szCs w:val="24"/>
          <w:highlight w:val="cyan"/>
        </w:rPr>
      </w:pPr>
      <w:r>
        <w:rPr>
          <w:bCs/>
          <w:sz w:val="20"/>
          <w:szCs w:val="20"/>
          <w:highlight w:val="cyan"/>
          <w:lang w:val="en-GB" w:eastAsia="zh-CN"/>
        </w:rPr>
        <w:t xml:space="preserve">For </w:t>
      </w:r>
      <w:r>
        <w:rPr>
          <w:rFonts w:ascii="Times" w:hAnsi="Times" w:eastAsia="Batang"/>
          <w:i/>
          <w:iCs/>
          <w:color w:val="000000"/>
          <w:sz w:val="20"/>
          <w:szCs w:val="24"/>
          <w:highlight w:val="cyan"/>
        </w:rPr>
        <w:t>monitoringSlotsWithinSlotGroup-r17</w:t>
      </w:r>
      <w:r>
        <w:rPr>
          <w:rFonts w:ascii="Times" w:hAnsi="Times" w:eastAsia="Batang"/>
          <w:color w:val="000000"/>
          <w:sz w:val="20"/>
          <w:szCs w:val="24"/>
          <w:highlight w:val="cyan"/>
        </w:rPr>
        <w:t xml:space="preserve"> </w:t>
      </w:r>
      <w:r>
        <w:rPr>
          <w:rFonts w:ascii="Times" w:hAnsi="Times" w:eastAsia="Batang"/>
          <w:sz w:val="20"/>
          <w:szCs w:val="24"/>
          <w:highlight w:val="cyan"/>
        </w:rPr>
        <w:t>where Xs is either 4 or 8, it is not necessary to make this number configurable, as the length is part of the ASN.1 encoding.</w:t>
      </w:r>
    </w:p>
    <w:p>
      <w:pPr>
        <w:numPr>
          <w:ilvl w:val="0"/>
          <w:numId w:val="28"/>
        </w:numPr>
        <w:overflowPunct w:val="0"/>
        <w:textAlignment w:val="baseline"/>
        <w:rPr>
          <w:rFonts w:ascii="Times" w:hAnsi="Times" w:eastAsia="Batang"/>
          <w:sz w:val="20"/>
          <w:szCs w:val="24"/>
          <w:highlight w:val="cyan"/>
        </w:rPr>
      </w:pPr>
      <w:r>
        <w:rPr>
          <w:rFonts w:ascii="Times" w:hAnsi="Times" w:eastAsia="Batang"/>
          <w:sz w:val="20"/>
          <w:szCs w:val="24"/>
          <w:highlight w:val="cyan"/>
        </w:rPr>
        <w:t>Removed some of the restrictions "at least for Group (1) SS" or clarified that a restriction applies only to Group (1) (=removing "at least") in order to harmonize Group (1) and Group (2) where it seems possible.</w:t>
      </w:r>
    </w:p>
    <w:p>
      <w:r>
        <w:rPr>
          <w:b/>
          <w:sz w:val="20"/>
          <w:szCs w:val="20"/>
          <w:highlight w:val="yellow"/>
          <w:u w:val="single"/>
        </w:rPr>
        <w:t>Proposal A2-1.1a:</w:t>
      </w:r>
      <w:r>
        <w:rPr>
          <w:b/>
          <w:sz w:val="20"/>
          <w:szCs w:val="20"/>
          <w:highlight w:val="yellow"/>
        </w:rPr>
        <w:t xml:space="preserve"> Revise the RAN1#107bis-e agreement as follows:</w:t>
      </w:r>
    </w:p>
    <w:tbl>
      <w:tblPr>
        <w:tblStyle w:val="55"/>
        <w:tblW w:w="1275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3" w:type="dxa"/>
            <w:vAlign w:val="center"/>
          </w:tcPr>
          <w:p>
            <w:pPr>
              <w:widowControl w:val="0"/>
              <w:spacing w:after="0"/>
              <w:rPr>
                <w:rFonts w:ascii="Times" w:hAnsi="Times" w:eastAsia="Batang"/>
                <w:sz w:val="20"/>
                <w:szCs w:val="24"/>
              </w:rPr>
            </w:pPr>
            <w:r>
              <w:rPr>
                <w:rFonts w:ascii="Times" w:hAnsi="Times" w:eastAsia="Batang"/>
                <w:sz w:val="20"/>
                <w:szCs w:val="24"/>
              </w:rPr>
              <w:t>For search space set configuration of multi-slot PDCCH monitoring:</w:t>
            </w:r>
          </w:p>
          <w:p>
            <w:pPr>
              <w:widowControl w:val="0"/>
              <w:numPr>
                <w:ilvl w:val="0"/>
                <w:numId w:val="28"/>
              </w:numPr>
              <w:overflowPunct w:val="0"/>
              <w:textAlignment w:val="baseline"/>
              <w:rPr>
                <w:rFonts w:ascii="Times" w:hAnsi="Times" w:eastAsia="Batang"/>
                <w:sz w:val="20"/>
                <w:szCs w:val="24"/>
              </w:rPr>
            </w:pPr>
            <w:r>
              <w:rPr>
                <w:rFonts w:hint="eastAsia" w:ascii="Times" w:hAnsi="Times" w:eastAsia="Batang"/>
                <w:i/>
                <w:iCs/>
                <w:sz w:val="20"/>
                <w:szCs w:val="24"/>
                <w:lang w:eastAsia="zh-CN"/>
              </w:rPr>
              <w:t>monitoringSlotPeriodicityAndOffset</w:t>
            </w:r>
            <w:r>
              <w:rPr>
                <w:rFonts w:ascii="Times" w:hAnsi="Times" w:eastAsia="Batang"/>
                <w:sz w:val="20"/>
                <w:szCs w:val="24"/>
                <w:lang w:eastAsia="zh-CN"/>
              </w:rPr>
              <w:t xml:space="preserve"> and</w:t>
            </w:r>
            <w:r>
              <w:rPr>
                <w:rFonts w:hint="eastAsia" w:ascii="Times" w:hAnsi="Times" w:eastAsia="Batang"/>
                <w:i/>
                <w:iCs/>
                <w:sz w:val="20"/>
                <w:lang w:eastAsia="zh-CN"/>
              </w:rPr>
              <w:t xml:space="preserve"> </w:t>
            </w:r>
            <w:r>
              <w:rPr>
                <w:rFonts w:hint="eastAsia" w:ascii="Times" w:hAnsi="Times" w:eastAsia="Batang"/>
                <w:i/>
                <w:iCs/>
                <w:sz w:val="20"/>
                <w:szCs w:val="24"/>
                <w:lang w:eastAsia="zh-CN"/>
              </w:rPr>
              <w:t>duration</w:t>
            </w:r>
            <w:r>
              <w:rPr>
                <w:rFonts w:hint="eastAsia" w:ascii="Times" w:hAnsi="Times" w:eastAsia="Batang"/>
                <w:i/>
                <w:iCs/>
                <w:sz w:val="20"/>
                <w:lang w:eastAsia="zh-CN"/>
              </w:rPr>
              <w:t xml:space="preserve"> </w:t>
            </w:r>
            <w:r>
              <w:rPr>
                <w:rFonts w:ascii="Times" w:hAnsi="Times" w:eastAsia="Batang"/>
                <w:sz w:val="20"/>
                <w:szCs w:val="24"/>
              </w:rPr>
              <w:t>are appended with "-r17", and</w:t>
            </w:r>
          </w:p>
          <w:p>
            <w:pPr>
              <w:widowControl w:val="0"/>
              <w:numPr>
                <w:ilvl w:val="1"/>
                <w:numId w:val="28"/>
              </w:numPr>
              <w:overflowPunct w:val="0"/>
              <w:textAlignment w:val="baseline"/>
              <w:rPr>
                <w:rFonts w:ascii="Times" w:hAnsi="Times" w:eastAsia="Batang"/>
                <w:sz w:val="20"/>
                <w:szCs w:val="24"/>
              </w:rPr>
            </w:pPr>
            <w:r>
              <w:rPr>
                <w:rFonts w:ascii="Times" w:hAnsi="Times" w:eastAsia="Batang"/>
                <w:i/>
                <w:iCs/>
                <w:sz w:val="20"/>
                <w:szCs w:val="24"/>
                <w:lang w:eastAsia="zh-CN"/>
              </w:rPr>
              <w:t xml:space="preserve">For </w:t>
            </w:r>
            <w:r>
              <w:rPr>
                <w:rFonts w:ascii="Times" w:hAnsi="Times" w:eastAsia="Batang"/>
                <w:i/>
                <w:iCs/>
                <w:sz w:val="20"/>
                <w:szCs w:val="24"/>
              </w:rPr>
              <w:t>monitoringPeriodicityAndOffset-r17</w:t>
            </w:r>
          </w:p>
          <w:p>
            <w:pPr>
              <w:widowControl w:val="0"/>
              <w:numPr>
                <w:ilvl w:val="2"/>
                <w:numId w:val="28"/>
              </w:numPr>
              <w:overflowPunct w:val="0"/>
              <w:textAlignment w:val="baseline"/>
              <w:rPr>
                <w:rFonts w:ascii="Times" w:hAnsi="Times" w:eastAsia="Batang"/>
                <w:sz w:val="20"/>
                <w:szCs w:val="24"/>
              </w:rPr>
            </w:pPr>
            <w:r>
              <w:rPr>
                <w:rFonts w:ascii="Times" w:hAnsi="Times" w:eastAsia="Batang"/>
                <w:sz w:val="20"/>
                <w:szCs w:val="24"/>
              </w:rPr>
              <w:t>The values represent slots</w:t>
            </w:r>
          </w:p>
          <w:p>
            <w:pPr>
              <w:widowControl w:val="0"/>
              <w:numPr>
                <w:ilvl w:val="2"/>
                <w:numId w:val="28"/>
              </w:numPr>
              <w:overflowPunct w:val="0"/>
              <w:textAlignment w:val="baseline"/>
              <w:rPr>
                <w:rFonts w:ascii="Times" w:hAnsi="Times" w:eastAsia="Batang"/>
                <w:sz w:val="20"/>
                <w:szCs w:val="24"/>
              </w:rPr>
            </w:pPr>
            <w:r>
              <w:rPr>
                <w:rFonts w:ascii="Times" w:hAnsi="Times" w:eastAsia="Batang"/>
                <w:sz w:val="20"/>
                <w:szCs w:val="24"/>
              </w:rPr>
              <w:t xml:space="preserve">Add periodicity values {32,64,128,5120,10240,20480} to the existing values in </w:t>
            </w:r>
            <w:r>
              <w:rPr>
                <w:rFonts w:hint="eastAsia" w:ascii="Times" w:hAnsi="Times" w:eastAsia="Batang"/>
                <w:i/>
                <w:iCs/>
                <w:sz w:val="20"/>
                <w:szCs w:val="24"/>
                <w:lang w:eastAsia="zh-CN"/>
              </w:rPr>
              <w:t>monitoringSlotPeriodicityAndOffset</w:t>
            </w:r>
          </w:p>
          <w:p>
            <w:pPr>
              <w:widowControl w:val="0"/>
              <w:numPr>
                <w:ilvl w:val="3"/>
                <w:numId w:val="28"/>
              </w:numPr>
              <w:overflowPunct w:val="0"/>
              <w:textAlignment w:val="baseline"/>
              <w:rPr>
                <w:rFonts w:ascii="Times" w:hAnsi="Times" w:eastAsia="Batang"/>
                <w:sz w:val="20"/>
                <w:szCs w:val="24"/>
              </w:rPr>
            </w:pPr>
            <w:r>
              <w:rPr>
                <w:rFonts w:ascii="Times" w:hAnsi="Times" w:eastAsia="Batang"/>
                <w:sz w:val="20"/>
                <w:szCs w:val="24"/>
              </w:rPr>
              <w:t>Note: Total list of supported periodicity values</w:t>
            </w:r>
            <w:r>
              <w:rPr>
                <w:rFonts w:ascii="Times" w:hAnsi="Times" w:eastAsia="Batang"/>
                <w:color w:val="00B050"/>
                <w:sz w:val="20"/>
                <w:szCs w:val="24"/>
              </w:rPr>
              <w:t xml:space="preserve"> for SCS 480kHz and 960kHz</w:t>
            </w:r>
            <w:r>
              <w:rPr>
                <w:rFonts w:ascii="Times" w:hAnsi="Times" w:eastAsia="Batang"/>
                <w:sz w:val="20"/>
                <w:szCs w:val="24"/>
              </w:rPr>
              <w:t>: {</w:t>
            </w:r>
            <w:r>
              <w:rPr>
                <w:rFonts w:ascii="Times" w:hAnsi="Times" w:eastAsia="Batang"/>
                <w:strike/>
                <w:color w:val="FF0000"/>
                <w:sz w:val="20"/>
                <w:szCs w:val="24"/>
              </w:rPr>
              <w:t>1,2,</w:t>
            </w:r>
            <w:r>
              <w:rPr>
                <w:rFonts w:ascii="Times" w:hAnsi="Times" w:eastAsia="Batang"/>
                <w:sz w:val="20"/>
                <w:szCs w:val="24"/>
              </w:rPr>
              <w:t>4,</w:t>
            </w:r>
            <w:r>
              <w:rPr>
                <w:rFonts w:ascii="Times" w:hAnsi="Times" w:eastAsia="Batang"/>
                <w:strike/>
                <w:color w:val="FF0000"/>
                <w:sz w:val="20"/>
                <w:szCs w:val="24"/>
              </w:rPr>
              <w:t>5,</w:t>
            </w:r>
            <w:r>
              <w:rPr>
                <w:rFonts w:ascii="Times" w:hAnsi="Times" w:eastAsia="Batang"/>
                <w:sz w:val="20"/>
                <w:szCs w:val="24"/>
              </w:rPr>
              <w:t>8,</w:t>
            </w:r>
            <w:r>
              <w:rPr>
                <w:rFonts w:ascii="Times" w:hAnsi="Times" w:eastAsia="Batang"/>
                <w:strike/>
                <w:color w:val="FF0000"/>
                <w:sz w:val="20"/>
                <w:szCs w:val="24"/>
              </w:rPr>
              <w:t>10,</w:t>
            </w:r>
            <w:r>
              <w:rPr>
                <w:rFonts w:ascii="Times" w:hAnsi="Times" w:eastAsia="Batang"/>
                <w:sz w:val="20"/>
                <w:szCs w:val="24"/>
              </w:rPr>
              <w:t>16,20,32,40,64,80,128,160,320,640,1280,2560,5120,10240,20480}</w:t>
            </w:r>
          </w:p>
          <w:p>
            <w:pPr>
              <w:widowControl w:val="0"/>
              <w:numPr>
                <w:ilvl w:val="2"/>
                <w:numId w:val="28"/>
              </w:numPr>
              <w:overflowPunct w:val="0"/>
              <w:textAlignment w:val="baseline"/>
              <w:rPr>
                <w:rFonts w:ascii="Times" w:hAnsi="Times" w:eastAsia="Batang"/>
                <w:sz w:val="20"/>
                <w:szCs w:val="24"/>
              </w:rPr>
            </w:pPr>
            <w:r>
              <w:rPr>
                <w:rFonts w:ascii="Times" w:hAnsi="Times" w:eastAsia="Batang"/>
                <w:sz w:val="20"/>
                <w:szCs w:val="24"/>
              </w:rPr>
              <w:t>For each periodicity value Xp</w:t>
            </w:r>
          </w:p>
          <w:p>
            <w:pPr>
              <w:widowControl w:val="0"/>
              <w:numPr>
                <w:ilvl w:val="3"/>
                <w:numId w:val="28"/>
              </w:numPr>
              <w:overflowPunct w:val="0"/>
              <w:textAlignment w:val="baseline"/>
              <w:rPr>
                <w:rFonts w:ascii="Times" w:hAnsi="Times" w:eastAsia="Batang"/>
                <w:sz w:val="20"/>
                <w:szCs w:val="24"/>
                <w:lang w:val="nl-NL"/>
              </w:rPr>
            </w:pPr>
            <w:r>
              <w:rPr>
                <w:rFonts w:ascii="Times" w:hAnsi="Times" w:eastAsia="Batang"/>
                <w:sz w:val="20"/>
                <w:szCs w:val="24"/>
              </w:rPr>
              <w:t xml:space="preserve">The value range for the offset O is </w:t>
            </w:r>
            <w:r>
              <w:rPr>
                <w:rFonts w:ascii="Times" w:hAnsi="Times" w:eastAsia="Batang"/>
                <w:strike/>
                <w:color w:val="FF0000"/>
                <w:sz w:val="20"/>
                <w:szCs w:val="24"/>
              </w:rPr>
              <w:t xml:space="preserve">{0 .. </w:t>
            </w:r>
            <w:r>
              <w:rPr>
                <w:rFonts w:ascii="Times" w:hAnsi="Times" w:eastAsia="Batang"/>
                <w:strike/>
                <w:color w:val="FF0000"/>
                <w:sz w:val="20"/>
                <w:szCs w:val="24"/>
                <w:lang w:val="nl-NL"/>
              </w:rPr>
              <w:t>Xp-1}</w:t>
            </w:r>
            <w:r>
              <w:rPr>
                <w:rFonts w:ascii="Times" w:hAnsi="Times" w:eastAsia="Batang"/>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ctrlPr>
                            <w:rPr>
                              <w:rFonts w:ascii="Cambria Math" w:hAnsi="Cambria Math"/>
                              <w:b/>
                              <w:bCs/>
                              <w:i/>
                              <w:color w:val="FF0000"/>
                            </w:rPr>
                          </m:ctrlPr>
                        </m:e>
                        <m:sub>
                          <m:r>
                            <m:rPr>
                              <m:sty m:val="bi"/>
                            </m:rPr>
                            <w:rPr>
                              <w:rFonts w:ascii="Cambria Math" w:hAnsi="Cambria Math"/>
                              <w:color w:val="FF0000"/>
                            </w:rPr>
                            <m:t>p</m:t>
                          </m:r>
                          <m:ctrlPr>
                            <w:rPr>
                              <w:rFonts w:ascii="Cambria Math" w:hAnsi="Cambria Math"/>
                              <w:b/>
                              <w:bCs/>
                              <w:i/>
                              <w:color w:val="FF0000"/>
                            </w:rPr>
                          </m:ctrlP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ctrlPr>
                        <w:rPr>
                          <w:rFonts w:ascii="Cambria Math" w:hAnsi="Cambria Math"/>
                          <w:b/>
                          <w:bCs/>
                          <w:i/>
                          <w:color w:val="FF0000"/>
                        </w:rPr>
                      </m:ctrlPr>
                    </m:num>
                    <m:den>
                      <m:r>
                        <m:rPr>
                          <m:sty m:val="bi"/>
                        </m:rPr>
                        <w:rPr>
                          <w:rFonts w:ascii="Cambria Math" w:hAnsi="Cambria Math"/>
                          <w:color w:val="FF0000"/>
                        </w:rPr>
                        <m:t>4</m:t>
                      </m:r>
                      <m:ctrlPr>
                        <w:rPr>
                          <w:rFonts w:ascii="Cambria Math" w:hAnsi="Cambria Math"/>
                          <w:b/>
                          <w:bCs/>
                          <w:i/>
                          <w:color w:val="FF0000"/>
                        </w:rPr>
                      </m:ctrlPr>
                    </m:den>
                  </m:f>
                  <m:ctrlPr>
                    <w:rPr>
                      <w:rFonts w:ascii="Cambria Math" w:hAnsi="Cambria Math"/>
                      <w:b/>
                      <w:bCs/>
                      <w:i/>
                      <w:color w:val="FF0000"/>
                    </w:rPr>
                  </m:ctrlPr>
                </m:e>
              </m:d>
            </m:oMath>
            <w:r>
              <w:rPr>
                <w:rFonts w:ascii="Times" w:hAnsi="Times" w:eastAsia="Batang"/>
                <w:color w:val="FF0000"/>
                <w:sz w:val="20"/>
                <w:szCs w:val="24"/>
                <w:lang w:val="nl-NL"/>
              </w:rPr>
              <w:t xml:space="preserve">} </w:t>
            </w:r>
            <w:r>
              <w:rPr>
                <w:rFonts w:ascii="Times" w:hAnsi="Times" w:eastAsia="Batang"/>
                <w:sz w:val="20"/>
                <w:szCs w:val="24"/>
                <w:lang w:val="nl-NL"/>
              </w:rPr>
              <w:t>slots</w:t>
            </w:r>
          </w:p>
          <w:p>
            <w:pPr>
              <w:widowControl w:val="0"/>
              <w:numPr>
                <w:ilvl w:val="3"/>
                <w:numId w:val="28"/>
              </w:numPr>
              <w:overflowPunct w:val="0"/>
              <w:textAlignment w:val="baseline"/>
              <w:rPr>
                <w:rFonts w:ascii="Times" w:hAnsi="Times" w:eastAsia="Batang"/>
                <w:sz w:val="20"/>
                <w:szCs w:val="24"/>
              </w:rPr>
            </w:pPr>
            <w:r>
              <w:rPr>
                <w:rFonts w:ascii="Times" w:hAnsi="Times" w:eastAsia="Batang"/>
                <w:sz w:val="20"/>
                <w:szCs w:val="24"/>
              </w:rPr>
              <w:t>Note: There may be no need to introduce the term "X</w:t>
            </w:r>
            <w:r>
              <w:rPr>
                <w:rFonts w:ascii="Times" w:hAnsi="Times" w:eastAsia="Batang"/>
                <w:sz w:val="20"/>
                <w:szCs w:val="24"/>
                <w:vertAlign w:val="subscript"/>
              </w:rPr>
              <w:t>p</w:t>
            </w:r>
            <w:r>
              <w:rPr>
                <w:rFonts w:ascii="Times" w:hAnsi="Times" w:eastAsia="Batang"/>
                <w:sz w:val="20"/>
                <w:szCs w:val="24"/>
              </w:rPr>
              <w:t>" in the specifications</w:t>
            </w:r>
          </w:p>
          <w:p>
            <w:pPr>
              <w:widowControl w:val="0"/>
              <w:numPr>
                <w:ilvl w:val="2"/>
                <w:numId w:val="28"/>
              </w:numPr>
              <w:overflowPunct w:val="0"/>
              <w:textAlignment w:val="baseline"/>
              <w:rPr>
                <w:rFonts w:ascii="Times" w:hAnsi="Times" w:eastAsia="Batang"/>
                <w:sz w:val="20"/>
                <w:szCs w:val="24"/>
              </w:rPr>
            </w:pPr>
            <w:r>
              <w:rPr>
                <w:rFonts w:ascii="Times" w:hAnsi="Times" w:eastAsia="Batang"/>
                <w:sz w:val="20"/>
                <w:szCs w:val="24"/>
              </w:rPr>
              <w:t xml:space="preserve">The configured periodicity </w:t>
            </w:r>
            <w:r>
              <w:rPr>
                <w:rFonts w:ascii="Times" w:hAnsi="Times" w:eastAsia="Batang"/>
                <w:strike/>
                <w:color w:val="00B050"/>
                <w:sz w:val="20"/>
                <w:szCs w:val="24"/>
              </w:rPr>
              <w:t xml:space="preserve">at least for Group (1) SSs </w:t>
            </w:r>
            <w:r>
              <w:rPr>
                <w:rFonts w:ascii="Times" w:hAnsi="Times" w:eastAsia="Batang"/>
                <w:sz w:val="20"/>
                <w:szCs w:val="24"/>
              </w:rPr>
              <w:t>is restricted to be an integer multiple of Xs slots</w:t>
            </w:r>
          </w:p>
          <w:p>
            <w:pPr>
              <w:widowControl w:val="0"/>
              <w:numPr>
                <w:ilvl w:val="2"/>
                <w:numId w:val="28"/>
              </w:numPr>
              <w:overflowPunct w:val="0"/>
              <w:textAlignment w:val="baseline"/>
              <w:rPr>
                <w:rFonts w:ascii="Times" w:hAnsi="Times" w:eastAsia="Batang"/>
                <w:color w:val="FF0000"/>
                <w:sz w:val="20"/>
                <w:szCs w:val="24"/>
              </w:rPr>
            </w:pPr>
            <w:r>
              <w:rPr>
                <w:rFonts w:ascii="Times" w:hAnsi="Times" w:eastAsia="Batang"/>
                <w:color w:val="FF0000"/>
                <w:sz w:val="20"/>
                <w:szCs w:val="24"/>
              </w:rPr>
              <w:t>The configured offset</w:t>
            </w:r>
            <w:r>
              <w:rPr>
                <w:rFonts w:ascii="Times" w:hAnsi="Times" w:eastAsia="Batang"/>
                <w:color w:val="00B050"/>
                <w:sz w:val="20"/>
                <w:szCs w:val="24"/>
              </w:rPr>
              <w:t xml:space="preserve"> </w:t>
            </w:r>
            <w:r>
              <w:rPr>
                <w:rFonts w:ascii="Times" w:hAnsi="Times" w:eastAsia="Batang"/>
                <w:color w:val="FF0000"/>
                <w:sz w:val="20"/>
                <w:szCs w:val="24"/>
              </w:rPr>
              <w:t>is restricted to be an integer multiple of Xs slots</w:t>
            </w:r>
          </w:p>
          <w:p>
            <w:pPr>
              <w:widowControl w:val="0"/>
              <w:numPr>
                <w:ilvl w:val="2"/>
                <w:numId w:val="28"/>
              </w:numPr>
              <w:overflowPunct w:val="0"/>
              <w:textAlignment w:val="baseline"/>
              <w:rPr>
                <w:rFonts w:ascii="Times" w:hAnsi="Times" w:eastAsia="Batang"/>
                <w:strike/>
                <w:color w:val="FF0000"/>
                <w:sz w:val="20"/>
                <w:szCs w:val="24"/>
              </w:rPr>
            </w:pPr>
            <w:r>
              <w:rPr>
                <w:rFonts w:ascii="Times" w:hAnsi="Times" w:eastAsia="Batang"/>
                <w:strike/>
                <w:color w:val="FF0000"/>
                <w:sz w:val="20"/>
                <w:szCs w:val="24"/>
              </w:rPr>
              <w:t>FFS: details of offset</w:t>
            </w:r>
          </w:p>
          <w:p>
            <w:pPr>
              <w:widowControl w:val="0"/>
              <w:numPr>
                <w:ilvl w:val="1"/>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For </w:t>
            </w:r>
            <w:r>
              <w:rPr>
                <w:rFonts w:ascii="Times" w:hAnsi="Times" w:eastAsia="Batang"/>
                <w:i/>
                <w:iCs/>
                <w:color w:val="000000"/>
                <w:sz w:val="20"/>
                <w:szCs w:val="24"/>
              </w:rPr>
              <w:t>duration-r17</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The values represent slots</w:t>
            </w:r>
          </w:p>
          <w:p>
            <w:pPr>
              <w:widowControl w:val="0"/>
              <w:numPr>
                <w:ilvl w:val="2"/>
                <w:numId w:val="28"/>
              </w:numPr>
              <w:overflowPunct w:val="0"/>
              <w:textAlignment w:val="baseline"/>
              <w:rPr>
                <w:rFonts w:ascii="Times" w:hAnsi="Times" w:eastAsia="Batang"/>
                <w:color w:val="FF0000"/>
                <w:sz w:val="20"/>
                <w:szCs w:val="24"/>
              </w:rPr>
            </w:pPr>
            <w:r>
              <w:rPr>
                <w:rFonts w:ascii="Times" w:hAnsi="Times" w:eastAsia="Batang"/>
                <w:color w:val="000000"/>
                <w:sz w:val="20"/>
                <w:szCs w:val="24"/>
              </w:rPr>
              <w:t>The value range is {8, 12, …, 20476}</w:t>
            </w:r>
            <w:r>
              <w:rPr>
                <w:rFonts w:ascii="Times" w:hAnsi="Times" w:eastAsia="Batang"/>
                <w:strike/>
                <w:color w:val="FF0000"/>
                <w:sz w:val="20"/>
                <w:szCs w:val="24"/>
              </w:rPr>
              <w:t xml:space="preserve"> at least for Group (1) SSs</w:t>
            </w:r>
          </w:p>
          <w:p>
            <w:pPr>
              <w:widowControl w:val="0"/>
              <w:numPr>
                <w:ilvl w:val="3"/>
                <w:numId w:val="28"/>
              </w:numPr>
              <w:overflowPunct w:val="0"/>
              <w:textAlignment w:val="baseline"/>
              <w:rPr>
                <w:rFonts w:ascii="Times" w:hAnsi="Times" w:eastAsia="Batang"/>
                <w:color w:val="00B050"/>
                <w:sz w:val="20"/>
                <w:szCs w:val="24"/>
              </w:rPr>
            </w:pPr>
            <w:r>
              <w:rPr>
                <w:rFonts w:ascii="Times" w:hAnsi="Times"/>
                <w:color w:val="00B050"/>
                <w:sz w:val="20"/>
                <w:szCs w:val="24"/>
              </w:rPr>
              <w:t>Value of duration-r17 should be 4 if this field is absent</w:t>
            </w:r>
          </w:p>
          <w:p>
            <w:pPr>
              <w:widowControl w:val="0"/>
              <w:numPr>
                <w:ilvl w:val="2"/>
                <w:numId w:val="28"/>
              </w:numPr>
              <w:overflowPunct w:val="0"/>
              <w:textAlignment w:val="baseline"/>
              <w:rPr>
                <w:rFonts w:ascii="Times" w:hAnsi="Times" w:eastAsia="Batang"/>
                <w:sz w:val="20"/>
                <w:szCs w:val="24"/>
              </w:rPr>
            </w:pPr>
            <w:r>
              <w:rPr>
                <w:rFonts w:ascii="Times" w:hAnsi="Times" w:eastAsia="Batang"/>
                <w:color w:val="000000"/>
                <w:sz w:val="20"/>
                <w:szCs w:val="24"/>
              </w:rPr>
              <w:t>The configured duration is restricted to be an integer multiple of Xs slots</w:t>
            </w:r>
            <w:r>
              <w:rPr>
                <w:rFonts w:ascii="Times" w:hAnsi="Times" w:eastAsia="Batang"/>
                <w:sz w:val="20"/>
                <w:szCs w:val="24"/>
              </w:rPr>
              <w:t xml:space="preserve"> at least for Group (1) SSs</w:t>
            </w:r>
          </w:p>
          <w:p>
            <w:pPr>
              <w:widowControl w:val="0"/>
              <w:numPr>
                <w:ilvl w:val="2"/>
                <w:numId w:val="28"/>
              </w:numPr>
              <w:overflowPunct w:val="0"/>
              <w:textAlignment w:val="baseline"/>
              <w:rPr>
                <w:rFonts w:ascii="Times" w:hAnsi="Times" w:eastAsia="Batang"/>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pPr>
              <w:widowControl w:val="0"/>
              <w:numPr>
                <w:ilvl w:val="2"/>
                <w:numId w:val="28"/>
              </w:numPr>
              <w:overflowPunct w:val="0"/>
              <w:textAlignment w:val="baseline"/>
              <w:rPr>
                <w:rFonts w:ascii="Times" w:hAnsi="Times" w:eastAsia="Batang"/>
                <w:strike/>
                <w:color w:val="FF0000"/>
                <w:sz w:val="20"/>
                <w:szCs w:val="24"/>
              </w:rPr>
            </w:pPr>
            <w:r>
              <w:rPr>
                <w:rFonts w:ascii="Times" w:hAnsi="Times" w:eastAsia="Batang"/>
                <w:strike/>
                <w:color w:val="FF0000"/>
                <w:sz w:val="20"/>
                <w:szCs w:val="24"/>
              </w:rPr>
              <w:t xml:space="preserve">FFS: need to revise the definition of </w:t>
            </w:r>
            <w:r>
              <w:rPr>
                <w:rFonts w:ascii="Times" w:hAnsi="Times" w:eastAsia="Batang"/>
                <w:i/>
                <w:strike/>
                <w:color w:val="FF0000"/>
                <w:sz w:val="20"/>
                <w:szCs w:val="24"/>
              </w:rPr>
              <w:t>duration</w:t>
            </w:r>
          </w:p>
          <w:p>
            <w:pPr>
              <w:widowControl w:val="0"/>
              <w:numPr>
                <w:ilvl w:val="2"/>
                <w:numId w:val="28"/>
              </w:numPr>
              <w:overflowPunct w:val="0"/>
              <w:textAlignment w:val="baseline"/>
              <w:rPr>
                <w:rFonts w:ascii="Times" w:hAnsi="Times" w:eastAsia="Batang"/>
                <w:color w:val="00B050"/>
                <w:sz w:val="20"/>
                <w:szCs w:val="24"/>
              </w:rPr>
            </w:pPr>
            <w:r>
              <w:rPr>
                <w:rFonts w:ascii="Times" w:hAnsi="Times" w:eastAsia="Batang"/>
                <w:i/>
                <w:iCs/>
                <w:color w:val="00B050"/>
                <w:sz w:val="20"/>
                <w:szCs w:val="24"/>
              </w:rPr>
              <w:t>duration-r17</w:t>
            </w:r>
            <w:r>
              <w:rPr>
                <w:rFonts w:ascii="Times" w:hAnsi="Times" w:eastAsia="Batang"/>
                <w:color w:val="00B050"/>
                <w:sz w:val="20"/>
                <w:szCs w:val="24"/>
              </w:rPr>
              <w:t xml:space="preserve"> is the total number of slots in consecutive grou</w:t>
            </w:r>
            <w:r>
              <w:rPr>
                <w:rFonts w:ascii="Times" w:hAnsi="Times" w:eastAsia="Batang"/>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ctrlPr>
                    <w:rPr>
                      <w:rFonts w:ascii="Cambria Math" w:hAnsi="Cambria Math"/>
                      <w:color w:val="00B050"/>
                      <w:sz w:val="20"/>
                      <w:szCs w:val="20"/>
                    </w:rPr>
                  </m:ctrlPr>
                </m:e>
                <m:sub>
                  <m:r>
                    <m:rPr>
                      <m:sty m:val="p"/>
                    </m:rPr>
                    <w:rPr>
                      <w:rFonts w:ascii="Cambria Math" w:hAnsi="Cambria Math"/>
                      <w:color w:val="00B050"/>
                      <w:sz w:val="20"/>
                      <w:szCs w:val="20"/>
                    </w:rPr>
                    <m:t>s</m:t>
                  </m:r>
                  <m:ctrlPr>
                    <w:rPr>
                      <w:rFonts w:ascii="Cambria Math" w:hAnsi="Cambria Math"/>
                      <w:color w:val="00B050"/>
                      <w:sz w:val="20"/>
                      <w:szCs w:val="20"/>
                    </w:rPr>
                  </m:ctrlPr>
                </m:sub>
              </m:sSub>
            </m:oMath>
            <w:r>
              <w:rPr>
                <w:rFonts w:ascii="Times" w:hAnsi="Times" w:eastAsia="Batang"/>
                <w:color w:val="00B050"/>
                <w:sz w:val="20"/>
                <w:szCs w:val="20"/>
              </w:rPr>
              <w:t xml:space="preserve"> slots that </w:t>
            </w:r>
            <w:r>
              <w:rPr>
                <w:rFonts w:ascii="Times" w:hAnsi="Times" w:eastAsia="Batang"/>
                <w:color w:val="00B050"/>
                <w:sz w:val="20"/>
                <w:szCs w:val="24"/>
              </w:rPr>
              <w:t xml:space="preserve">a Search Space lasts in every occasion as given by </w:t>
            </w:r>
            <w:r>
              <w:rPr>
                <w:rFonts w:ascii="Times" w:hAnsi="Times" w:eastAsia="Batang"/>
                <w:i/>
                <w:iCs/>
                <w:color w:val="00B050"/>
                <w:sz w:val="20"/>
                <w:szCs w:val="24"/>
              </w:rPr>
              <w:t>monitoringPeriodicityAndOffset-r17</w:t>
            </w:r>
          </w:p>
          <w:p>
            <w:pPr>
              <w:widowControl w:val="0"/>
              <w:numPr>
                <w:ilvl w:val="0"/>
                <w:numId w:val="28"/>
              </w:numPr>
              <w:overflowPunct w:val="0"/>
              <w:textAlignment w:val="baseline"/>
              <w:rPr>
                <w:rFonts w:ascii="Times" w:hAnsi="Times" w:eastAsia="Batang"/>
                <w:sz w:val="20"/>
                <w:szCs w:val="24"/>
              </w:rPr>
            </w:pPr>
            <w:r>
              <w:rPr>
                <w:rFonts w:ascii="Times" w:hAnsi="Times" w:eastAsia="Batang"/>
                <w:i/>
                <w:iCs/>
                <w:sz w:val="20"/>
                <w:szCs w:val="24"/>
              </w:rPr>
              <w:t xml:space="preserve">monitoringSymbolsWithinSlot </w:t>
            </w:r>
            <w:r>
              <w:rPr>
                <w:rFonts w:ascii="Times" w:hAnsi="Times" w:eastAsia="Batang"/>
                <w:sz w:val="20"/>
                <w:szCs w:val="24"/>
              </w:rPr>
              <w:t>applies to each slot in a slot group configured for multi-slot PDCCH monitoring</w:t>
            </w:r>
          </w:p>
          <w:p>
            <w:pPr>
              <w:widowControl w:val="0"/>
              <w:numPr>
                <w:ilvl w:val="1"/>
                <w:numId w:val="28"/>
              </w:numPr>
              <w:overflowPunct w:val="0"/>
              <w:textAlignment w:val="baseline"/>
              <w:rPr>
                <w:rFonts w:ascii="Times" w:hAnsi="Times" w:eastAsia="Batang"/>
                <w:sz w:val="20"/>
                <w:szCs w:val="24"/>
              </w:rPr>
            </w:pPr>
            <w:r>
              <w:rPr>
                <w:rFonts w:ascii="Times" w:hAnsi="Times" w:eastAsia="Batang"/>
                <w:sz w:val="20"/>
                <w:szCs w:val="24"/>
              </w:rPr>
              <w:t>Note: This parameter can be directly re-used from earlier releases.</w:t>
            </w:r>
          </w:p>
          <w:p>
            <w:pPr>
              <w:widowControl w:val="0"/>
              <w:numPr>
                <w:ilvl w:val="0"/>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Introduce new parameter </w:t>
            </w:r>
            <w:r>
              <w:rPr>
                <w:rFonts w:ascii="Times" w:hAnsi="Times" w:eastAsia="Batang"/>
                <w:i/>
                <w:iCs/>
                <w:color w:val="000000"/>
                <w:sz w:val="20"/>
                <w:szCs w:val="24"/>
              </w:rPr>
              <w:t>monitoringSlotsWithinSlotGroup-r17</w:t>
            </w:r>
          </w:p>
          <w:p>
            <w:pPr>
              <w:widowControl w:val="0"/>
              <w:numPr>
                <w:ilvl w:val="1"/>
                <w:numId w:val="28"/>
              </w:numPr>
              <w:overflowPunct w:val="0"/>
              <w:textAlignment w:val="baseline"/>
              <w:rPr>
                <w:rFonts w:ascii="Times" w:hAnsi="Times" w:eastAsia="Batang"/>
                <w:strike/>
                <w:color w:val="000000"/>
                <w:sz w:val="20"/>
                <w:szCs w:val="24"/>
              </w:rPr>
            </w:pPr>
            <w:r>
              <w:rPr>
                <w:rFonts w:ascii="Times" w:hAnsi="Times" w:eastAsia="Batang"/>
                <w:strike/>
                <w:color w:val="FF0000"/>
                <w:sz w:val="20"/>
                <w:szCs w:val="24"/>
                <w:highlight w:val="darkYellow"/>
              </w:rPr>
              <w:t>Working assumption</w:t>
            </w:r>
            <w:r>
              <w:rPr>
                <w:rFonts w:ascii="Times" w:hAnsi="Times" w:eastAsia="Batang"/>
                <w:strike/>
                <w:color w:val="FF0000"/>
                <w:sz w:val="20"/>
                <w:szCs w:val="24"/>
              </w:rPr>
              <w:t>:</w:t>
            </w:r>
          </w:p>
          <w:p>
            <w:pPr>
              <w:widowControl w:val="0"/>
              <w:numPr>
                <w:ilvl w:val="2"/>
                <w:numId w:val="28"/>
              </w:numPr>
              <w:overflowPunct w:val="0"/>
              <w:textAlignment w:val="baseline"/>
              <w:rPr>
                <w:rFonts w:ascii="Times" w:hAnsi="Times" w:eastAsia="Batang"/>
                <w:strike/>
                <w:color w:val="000000"/>
                <w:sz w:val="20"/>
                <w:szCs w:val="24"/>
              </w:rPr>
            </w:pPr>
            <w:r>
              <w:rPr>
                <w:rFonts w:ascii="Times" w:hAnsi="Times" w:eastAsia="Batang"/>
                <w:strike/>
                <w:color w:val="FF0000"/>
                <w:sz w:val="20"/>
                <w:szCs w:val="24"/>
              </w:rPr>
              <w:t>The size is 8 bits</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FF0000"/>
                <w:sz w:val="20"/>
                <w:szCs w:val="24"/>
              </w:rPr>
              <w:t>The size is Xs bits, where Xs is either 4 or 8</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Each bit in </w:t>
            </w:r>
            <w:r>
              <w:rPr>
                <w:rFonts w:ascii="Times" w:hAnsi="Times" w:eastAsia="Batang"/>
                <w:i/>
                <w:iCs/>
                <w:color w:val="000000"/>
                <w:sz w:val="20"/>
                <w:szCs w:val="24"/>
              </w:rPr>
              <w:t>monitoringSlotsWithinSlotGroup-r17</w:t>
            </w:r>
            <w:r>
              <w:rPr>
                <w:rFonts w:ascii="Times" w:hAnsi="Times" w:eastAsia="Batang"/>
                <w:color w:val="000000"/>
                <w:sz w:val="20"/>
                <w:szCs w:val="24"/>
              </w:rPr>
              <w:t xml:space="preserve"> represents a slot in a slot group</w:t>
            </w:r>
          </w:p>
          <w:p>
            <w:pPr>
              <w:widowControl w:val="0"/>
              <w:numPr>
                <w:ilvl w:val="2"/>
                <w:numId w:val="28"/>
              </w:numPr>
              <w:overflowPunct w:val="0"/>
              <w:textAlignment w:val="baseline"/>
              <w:rPr>
                <w:rFonts w:ascii="Times" w:hAnsi="Times" w:eastAsia="Batang"/>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hAnsi="Times" w:eastAsia="Batang"/>
                <w:i/>
                <w:iCs/>
                <w:color w:val="FF0000"/>
                <w:sz w:val="20"/>
                <w:szCs w:val="24"/>
              </w:rPr>
              <w:t>duration-r17</w:t>
            </w:r>
            <w:r>
              <w:rPr>
                <w:rFonts w:ascii="Times" w:hAnsi="Times"/>
                <w:color w:val="FF0000"/>
                <w:sz w:val="20"/>
                <w:szCs w:val="24"/>
              </w:rPr>
              <w:t>.</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A slot in the slot group is configured for multi-slot PDCCH monitoring if the corresponding bit in the slot group is set to '1'</w:t>
            </w:r>
          </w:p>
          <w:p>
            <w:pPr>
              <w:widowControl w:val="0"/>
              <w:numPr>
                <w:ilvl w:val="3"/>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Note: Further configuration of the monitoring symbols in such a slot is done by </w:t>
            </w:r>
            <w:r>
              <w:rPr>
                <w:rFonts w:ascii="Times" w:hAnsi="Times" w:eastAsia="Batang"/>
                <w:i/>
                <w:iCs/>
                <w:color w:val="000000"/>
                <w:sz w:val="20"/>
                <w:szCs w:val="24"/>
              </w:rPr>
              <w:t>monitoringSymbolsWithinSlot</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The</w:t>
            </w:r>
            <w:r>
              <w:rPr>
                <w:rFonts w:hint="eastAsia" w:ascii="Times" w:hAnsi="Times" w:eastAsia="Batang"/>
                <w:color w:val="000000"/>
                <w:sz w:val="20"/>
                <w:szCs w:val="24"/>
              </w:rPr>
              <w:t xml:space="preserve"> </w:t>
            </w:r>
            <w:r>
              <w:rPr>
                <w:rFonts w:ascii="Times" w:hAnsi="Times" w:eastAsia="Batang"/>
                <w:color w:val="000000"/>
                <w:sz w:val="20"/>
                <w:szCs w:val="24"/>
              </w:rPr>
              <w:t>slo</w:t>
            </w:r>
            <w:r>
              <w:rPr>
                <w:rFonts w:ascii="Times" w:hAnsi="Times" w:eastAsia="Batang"/>
                <w:sz w:val="20"/>
                <w:szCs w:val="24"/>
              </w:rPr>
              <w:t>ts indicated in the bitmap sh</w:t>
            </w:r>
            <w:r>
              <w:rPr>
                <w:rFonts w:ascii="Times" w:hAnsi="Times" w:eastAsia="Batang"/>
                <w:color w:val="000000"/>
                <w:sz w:val="20"/>
                <w:szCs w:val="24"/>
              </w:rPr>
              <w:t>ould be consecutive</w:t>
            </w:r>
            <w:r>
              <w:rPr>
                <w:rFonts w:ascii="Times" w:hAnsi="Times" w:eastAsia="Batang"/>
                <w:sz w:val="20"/>
                <w:szCs w:val="24"/>
              </w:rPr>
              <w:t xml:space="preserve"> </w:t>
            </w:r>
            <w:r>
              <w:rPr>
                <w:rFonts w:ascii="Times" w:hAnsi="Times" w:eastAsia="Batang"/>
                <w:color w:val="00B050"/>
                <w:sz w:val="20"/>
                <w:szCs w:val="24"/>
              </w:rPr>
              <w:t xml:space="preserve">per slot group </w:t>
            </w:r>
            <w:r>
              <w:rPr>
                <w:rFonts w:ascii="Times" w:hAnsi="Times" w:eastAsia="Batang"/>
                <w:strike/>
                <w:color w:val="FF0000"/>
                <w:sz w:val="20"/>
                <w:szCs w:val="24"/>
              </w:rPr>
              <w:t xml:space="preserve">at least </w:t>
            </w:r>
            <w:r>
              <w:rPr>
                <w:rFonts w:ascii="Times" w:hAnsi="Times" w:eastAsia="Batang"/>
                <w:sz w:val="20"/>
                <w:szCs w:val="24"/>
              </w:rPr>
              <w:t>for Group (1) SSs</w:t>
            </w:r>
          </w:p>
          <w:p>
            <w:pPr>
              <w:widowControl w:val="0"/>
              <w:numPr>
                <w:ilvl w:val="2"/>
                <w:numId w:val="28"/>
              </w:numPr>
              <w:overflowPunct w:val="0"/>
              <w:textAlignment w:val="baseline"/>
              <w:rPr>
                <w:rFonts w:ascii="Times" w:hAnsi="Times" w:eastAsia="Batang"/>
                <w:color w:val="00B050"/>
                <w:sz w:val="20"/>
                <w:szCs w:val="24"/>
              </w:rPr>
            </w:pPr>
            <w:r>
              <w:rPr>
                <w:rFonts w:ascii="Times" w:hAnsi="Times" w:eastAsia="Batang"/>
                <w:color w:val="00B050"/>
                <w:sz w:val="20"/>
                <w:szCs w:val="24"/>
              </w:rPr>
              <w:t>The slots indicated in the bitmap are not restricted to be consecutive for Group (2) SSs</w:t>
            </w:r>
          </w:p>
          <w:p>
            <w:pPr>
              <w:widowControl w:val="0"/>
              <w:numPr>
                <w:ilvl w:val="2"/>
                <w:numId w:val="28"/>
              </w:numPr>
              <w:overflowPunct w:val="0"/>
              <w:textAlignment w:val="baseline"/>
              <w:rPr>
                <w:rFonts w:ascii="Times" w:hAnsi="Times" w:eastAsia="Batang"/>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ctrlPr>
                    <w:rPr>
                      <w:rFonts w:ascii="Cambria Math" w:hAnsi="Cambria Math"/>
                      <w:bCs/>
                      <w:i/>
                      <w:color w:val="FF0000"/>
                      <w:sz w:val="20"/>
                      <w:szCs w:val="20"/>
                    </w:rPr>
                  </m:ctrlPr>
                </m:e>
                <m:sub>
                  <m:r>
                    <w:rPr>
                      <w:rFonts w:ascii="Cambria Math" w:hAnsi="Cambria Math"/>
                      <w:color w:val="FF0000"/>
                      <w:sz w:val="20"/>
                      <w:szCs w:val="20"/>
                    </w:rPr>
                    <m:t>s</m:t>
                  </m:r>
                  <m:ctrlPr>
                    <w:rPr>
                      <w:rFonts w:ascii="Cambria Math" w:hAnsi="Cambria Math"/>
                      <w:bCs/>
                      <w:i/>
                      <w:color w:val="FF0000"/>
                      <w:sz w:val="20"/>
                      <w:szCs w:val="20"/>
                    </w:rPr>
                  </m:ctrlPr>
                </m:sub>
              </m:sSub>
            </m:oMath>
            <w:r>
              <w:rPr>
                <w:bCs/>
                <w:color w:val="FF0000"/>
                <w:sz w:val="20"/>
                <w:szCs w:val="20"/>
              </w:rPr>
              <w:t xml:space="preserve"> </w:t>
            </w:r>
            <w:r>
              <w:rPr>
                <w:rFonts w:ascii="Times" w:hAnsi="Times" w:eastAsia="Batang"/>
                <w:strike/>
                <w:color w:val="FF0000"/>
                <w:sz w:val="20"/>
                <w:szCs w:val="24"/>
              </w:rPr>
              <w:t xml:space="preserve">at least </w:t>
            </w:r>
            <w:r>
              <w:rPr>
                <w:rFonts w:ascii="Times" w:hAnsi="Times" w:eastAsia="Batang"/>
                <w:color w:val="FF0000"/>
                <w:sz w:val="20"/>
                <w:szCs w:val="24"/>
              </w:rPr>
              <w:t>for Group (1) SSs</w:t>
            </w:r>
          </w:p>
          <w:p>
            <w:pPr>
              <w:widowControl w:val="0"/>
              <w:numPr>
                <w:ilvl w:val="2"/>
                <w:numId w:val="28"/>
              </w:numPr>
              <w:overflowPunct w:val="0"/>
              <w:textAlignment w:val="baseline"/>
              <w:rPr>
                <w:rFonts w:ascii="Times" w:hAnsi="Times" w:eastAsia="Batang"/>
                <w:color w:val="00B050"/>
                <w:sz w:val="20"/>
                <w:szCs w:val="24"/>
              </w:rPr>
            </w:pPr>
            <w:r>
              <w:rPr>
                <w:rFonts w:ascii="Times" w:hAnsi="Times" w:eastAsia="Batang"/>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ctrlPr>
                    <w:rPr>
                      <w:rFonts w:ascii="Cambria Math" w:hAnsi="Cambria Math"/>
                      <w:bCs/>
                      <w:i/>
                      <w:color w:val="00B050"/>
                      <w:sz w:val="20"/>
                      <w:szCs w:val="20"/>
                    </w:rPr>
                  </m:ctrlPr>
                </m:e>
                <m:sub>
                  <m:r>
                    <w:rPr>
                      <w:rFonts w:ascii="Cambria Math" w:hAnsi="Cambria Math"/>
                      <w:color w:val="00B050"/>
                      <w:sz w:val="20"/>
                      <w:szCs w:val="20"/>
                    </w:rPr>
                    <m:t>s</m:t>
                  </m:r>
                  <m:ctrlPr>
                    <w:rPr>
                      <w:rFonts w:ascii="Cambria Math" w:hAnsi="Cambria Math"/>
                      <w:bCs/>
                      <w:i/>
                      <w:color w:val="00B050"/>
                      <w:sz w:val="20"/>
                      <w:szCs w:val="20"/>
                    </w:rPr>
                  </m:ctrlPr>
                </m:sub>
              </m:sSub>
            </m:oMath>
            <w:r>
              <w:rPr>
                <w:bCs/>
                <w:color w:val="00B050"/>
                <w:sz w:val="20"/>
                <w:szCs w:val="20"/>
              </w:rPr>
              <w:t xml:space="preserve"> </w:t>
            </w:r>
            <w:r>
              <w:rPr>
                <w:rFonts w:ascii="Times" w:hAnsi="Times" w:eastAsia="Batang"/>
                <w:color w:val="00B050"/>
                <w:sz w:val="20"/>
                <w:szCs w:val="24"/>
              </w:rPr>
              <w:t>for Group (2) SSs</w:t>
            </w:r>
          </w:p>
          <w:p>
            <w:pPr>
              <w:widowControl w:val="0"/>
              <w:numPr>
                <w:ilvl w:val="2"/>
                <w:numId w:val="28"/>
              </w:numPr>
              <w:overflowPunct w:val="0"/>
              <w:textAlignment w:val="baseline"/>
              <w:rPr>
                <w:rFonts w:ascii="Times" w:hAnsi="Times" w:eastAsia="Batang"/>
                <w:strike/>
                <w:color w:val="FF0000"/>
                <w:sz w:val="20"/>
                <w:szCs w:val="24"/>
              </w:rPr>
            </w:pPr>
            <w:r>
              <w:rPr>
                <w:rFonts w:ascii="Times" w:hAnsi="Times"/>
                <w:strike/>
                <w:color w:val="FF0000"/>
                <w:sz w:val="20"/>
                <w:szCs w:val="24"/>
              </w:rPr>
              <w:t>FFS: Applicable value if this field is absent</w:t>
            </w:r>
          </w:p>
        </w:tc>
      </w:tr>
    </w:tbl>
    <w:p>
      <w:pPr>
        <w:rPr>
          <w:lang w:eastAsia="zh-CN"/>
        </w:rPr>
      </w:pPr>
    </w:p>
    <w:p>
      <w:bookmarkStart w:id="2" w:name="_Hlk96623942"/>
      <w:r>
        <w:rPr>
          <w:b/>
          <w:sz w:val="20"/>
          <w:szCs w:val="20"/>
          <w:highlight w:val="yellow"/>
          <w:u w:val="single"/>
        </w:rPr>
        <w:t>Proposal A2-1.1b (new):</w:t>
      </w:r>
      <w:r>
        <w:rPr>
          <w:b/>
          <w:sz w:val="20"/>
          <w:szCs w:val="20"/>
          <w:highlight w:val="yellow"/>
        </w:rPr>
        <w:t xml:space="preserve"> Revise the RAN1#107bis-e agreement as follows:</w:t>
      </w:r>
    </w:p>
    <w:tbl>
      <w:tblPr>
        <w:tblStyle w:val="55"/>
        <w:tblW w:w="1275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3" w:type="dxa"/>
            <w:vAlign w:val="center"/>
          </w:tcPr>
          <w:p>
            <w:pPr>
              <w:widowControl w:val="0"/>
              <w:spacing w:after="0"/>
              <w:rPr>
                <w:rFonts w:ascii="Times" w:hAnsi="Times" w:eastAsia="Batang"/>
                <w:sz w:val="20"/>
                <w:szCs w:val="24"/>
              </w:rPr>
            </w:pPr>
            <w:r>
              <w:rPr>
                <w:rFonts w:ascii="Times" w:hAnsi="Times" w:eastAsia="Batang"/>
                <w:sz w:val="20"/>
                <w:szCs w:val="24"/>
              </w:rPr>
              <w:t>For search space set configuration of multi-slot PDCCH monitoring:</w:t>
            </w:r>
          </w:p>
          <w:p>
            <w:pPr>
              <w:widowControl w:val="0"/>
              <w:numPr>
                <w:ilvl w:val="0"/>
                <w:numId w:val="28"/>
              </w:numPr>
              <w:overflowPunct w:val="0"/>
              <w:textAlignment w:val="baseline"/>
              <w:rPr>
                <w:rFonts w:ascii="Times" w:hAnsi="Times" w:eastAsia="Batang"/>
                <w:sz w:val="20"/>
                <w:szCs w:val="24"/>
              </w:rPr>
            </w:pPr>
            <w:r>
              <w:rPr>
                <w:rFonts w:hint="eastAsia" w:ascii="Times" w:hAnsi="Times" w:eastAsia="Batang"/>
                <w:i/>
                <w:iCs/>
                <w:sz w:val="20"/>
                <w:szCs w:val="24"/>
                <w:lang w:eastAsia="zh-CN"/>
              </w:rPr>
              <w:t>monitoringSlotPeriodicityAndOffset</w:t>
            </w:r>
            <w:r>
              <w:rPr>
                <w:rFonts w:ascii="Times" w:hAnsi="Times" w:eastAsia="Batang"/>
                <w:sz w:val="20"/>
                <w:szCs w:val="24"/>
                <w:lang w:eastAsia="zh-CN"/>
              </w:rPr>
              <w:t xml:space="preserve"> and</w:t>
            </w:r>
            <w:r>
              <w:rPr>
                <w:rFonts w:hint="eastAsia" w:ascii="Times" w:hAnsi="Times" w:eastAsia="Batang"/>
                <w:i/>
                <w:iCs/>
                <w:sz w:val="20"/>
                <w:lang w:eastAsia="zh-CN"/>
              </w:rPr>
              <w:t xml:space="preserve"> </w:t>
            </w:r>
            <w:r>
              <w:rPr>
                <w:rFonts w:hint="eastAsia" w:ascii="Times" w:hAnsi="Times" w:eastAsia="Batang"/>
                <w:i/>
                <w:iCs/>
                <w:sz w:val="20"/>
                <w:szCs w:val="24"/>
                <w:lang w:eastAsia="zh-CN"/>
              </w:rPr>
              <w:t>duration</w:t>
            </w:r>
            <w:r>
              <w:rPr>
                <w:rFonts w:hint="eastAsia" w:ascii="Times" w:hAnsi="Times" w:eastAsia="Batang"/>
                <w:i/>
                <w:iCs/>
                <w:sz w:val="20"/>
                <w:lang w:eastAsia="zh-CN"/>
              </w:rPr>
              <w:t xml:space="preserve"> </w:t>
            </w:r>
            <w:r>
              <w:rPr>
                <w:rFonts w:ascii="Times" w:hAnsi="Times" w:eastAsia="Batang"/>
                <w:sz w:val="20"/>
                <w:szCs w:val="24"/>
              </w:rPr>
              <w:t>are appended with "-r17", and</w:t>
            </w:r>
          </w:p>
          <w:p>
            <w:pPr>
              <w:widowControl w:val="0"/>
              <w:numPr>
                <w:ilvl w:val="1"/>
                <w:numId w:val="28"/>
              </w:numPr>
              <w:overflowPunct w:val="0"/>
              <w:textAlignment w:val="baseline"/>
              <w:rPr>
                <w:rFonts w:ascii="Times" w:hAnsi="Times" w:eastAsia="Batang"/>
                <w:sz w:val="20"/>
                <w:szCs w:val="24"/>
              </w:rPr>
            </w:pPr>
            <w:r>
              <w:rPr>
                <w:rFonts w:ascii="Times" w:hAnsi="Times" w:eastAsia="Batang"/>
                <w:i/>
                <w:iCs/>
                <w:sz w:val="20"/>
                <w:szCs w:val="24"/>
                <w:lang w:eastAsia="zh-CN"/>
              </w:rPr>
              <w:t xml:space="preserve">For </w:t>
            </w:r>
            <w:r>
              <w:rPr>
                <w:rFonts w:ascii="Times" w:hAnsi="Times" w:eastAsia="Batang"/>
                <w:i/>
                <w:iCs/>
                <w:sz w:val="20"/>
                <w:szCs w:val="24"/>
              </w:rPr>
              <w:t>monitoringPeriodicityAndOffset-r17</w:t>
            </w:r>
          </w:p>
          <w:p>
            <w:pPr>
              <w:widowControl w:val="0"/>
              <w:numPr>
                <w:ilvl w:val="2"/>
                <w:numId w:val="28"/>
              </w:numPr>
              <w:overflowPunct w:val="0"/>
              <w:textAlignment w:val="baseline"/>
              <w:rPr>
                <w:rFonts w:ascii="Times" w:hAnsi="Times" w:eastAsia="Batang"/>
                <w:sz w:val="20"/>
                <w:szCs w:val="24"/>
              </w:rPr>
            </w:pPr>
            <w:r>
              <w:rPr>
                <w:rFonts w:ascii="Times" w:hAnsi="Times" w:eastAsia="Batang"/>
                <w:sz w:val="20"/>
                <w:szCs w:val="24"/>
              </w:rPr>
              <w:t>The values represent slots</w:t>
            </w:r>
          </w:p>
          <w:p>
            <w:pPr>
              <w:widowControl w:val="0"/>
              <w:numPr>
                <w:ilvl w:val="2"/>
                <w:numId w:val="28"/>
              </w:numPr>
              <w:overflowPunct w:val="0"/>
              <w:textAlignment w:val="baseline"/>
              <w:rPr>
                <w:rFonts w:ascii="Times" w:hAnsi="Times" w:eastAsia="Batang"/>
                <w:sz w:val="20"/>
                <w:szCs w:val="24"/>
              </w:rPr>
            </w:pPr>
            <w:r>
              <w:rPr>
                <w:rFonts w:ascii="Times" w:hAnsi="Times" w:eastAsia="Batang"/>
                <w:sz w:val="20"/>
                <w:szCs w:val="24"/>
              </w:rPr>
              <w:t xml:space="preserve">Add periodicity values {32,64,128,5120,10240,20480} to the existing values in </w:t>
            </w:r>
            <w:r>
              <w:rPr>
                <w:rFonts w:hint="eastAsia" w:ascii="Times" w:hAnsi="Times" w:eastAsia="Batang"/>
                <w:i/>
                <w:iCs/>
                <w:sz w:val="20"/>
                <w:szCs w:val="24"/>
                <w:lang w:eastAsia="zh-CN"/>
              </w:rPr>
              <w:t>monitoringSlotPeriodicityAndOffset</w:t>
            </w:r>
          </w:p>
          <w:p>
            <w:pPr>
              <w:widowControl w:val="0"/>
              <w:numPr>
                <w:ilvl w:val="3"/>
                <w:numId w:val="28"/>
              </w:numPr>
              <w:overflowPunct w:val="0"/>
              <w:textAlignment w:val="baseline"/>
              <w:rPr>
                <w:rFonts w:ascii="Times" w:hAnsi="Times" w:eastAsia="Batang"/>
                <w:sz w:val="20"/>
                <w:szCs w:val="24"/>
              </w:rPr>
            </w:pPr>
            <w:r>
              <w:rPr>
                <w:rFonts w:ascii="Times" w:hAnsi="Times" w:eastAsia="Batang"/>
                <w:sz w:val="20"/>
                <w:szCs w:val="24"/>
              </w:rPr>
              <w:t>Note: Total list of supported periodicity values</w:t>
            </w:r>
            <w:r>
              <w:rPr>
                <w:rFonts w:ascii="Times" w:hAnsi="Times" w:eastAsia="Batang"/>
                <w:color w:val="00B050"/>
                <w:sz w:val="20"/>
                <w:szCs w:val="24"/>
              </w:rPr>
              <w:t xml:space="preserve"> for SCS 480kHz and 960kHz</w:t>
            </w:r>
            <w:r>
              <w:rPr>
                <w:rFonts w:ascii="Times" w:hAnsi="Times" w:eastAsia="Batang"/>
                <w:sz w:val="20"/>
                <w:szCs w:val="24"/>
              </w:rPr>
              <w:t>: {</w:t>
            </w:r>
            <w:r>
              <w:rPr>
                <w:rFonts w:ascii="Times" w:hAnsi="Times" w:eastAsia="Batang"/>
                <w:strike/>
                <w:color w:val="FF0000"/>
                <w:sz w:val="20"/>
                <w:szCs w:val="24"/>
              </w:rPr>
              <w:t>1,2,</w:t>
            </w:r>
            <w:r>
              <w:rPr>
                <w:rFonts w:ascii="Times" w:hAnsi="Times" w:eastAsia="Batang"/>
                <w:sz w:val="20"/>
                <w:szCs w:val="24"/>
              </w:rPr>
              <w:t>4,</w:t>
            </w:r>
            <w:r>
              <w:rPr>
                <w:rFonts w:ascii="Times" w:hAnsi="Times" w:eastAsia="Batang"/>
                <w:strike/>
                <w:color w:val="FF0000"/>
                <w:sz w:val="20"/>
                <w:szCs w:val="24"/>
              </w:rPr>
              <w:t>5,</w:t>
            </w:r>
            <w:r>
              <w:rPr>
                <w:rFonts w:ascii="Times" w:hAnsi="Times" w:eastAsia="Batang"/>
                <w:sz w:val="20"/>
                <w:szCs w:val="24"/>
              </w:rPr>
              <w:t>8,</w:t>
            </w:r>
            <w:r>
              <w:rPr>
                <w:rFonts w:ascii="Times" w:hAnsi="Times" w:eastAsia="Batang"/>
                <w:strike/>
                <w:color w:val="FF0000"/>
                <w:sz w:val="20"/>
                <w:szCs w:val="24"/>
              </w:rPr>
              <w:t>10,</w:t>
            </w:r>
            <w:r>
              <w:rPr>
                <w:rFonts w:ascii="Times" w:hAnsi="Times" w:eastAsia="Batang"/>
                <w:sz w:val="20"/>
                <w:szCs w:val="24"/>
              </w:rPr>
              <w:t>16,20,32,40,64,80,128,160,320,640,1280,2560,5120,10240,20480}</w:t>
            </w:r>
          </w:p>
          <w:p>
            <w:pPr>
              <w:widowControl w:val="0"/>
              <w:numPr>
                <w:ilvl w:val="2"/>
                <w:numId w:val="28"/>
              </w:numPr>
              <w:overflowPunct w:val="0"/>
              <w:textAlignment w:val="baseline"/>
              <w:rPr>
                <w:rFonts w:ascii="Times" w:hAnsi="Times" w:eastAsia="Batang"/>
                <w:sz w:val="20"/>
                <w:szCs w:val="24"/>
              </w:rPr>
            </w:pPr>
            <w:r>
              <w:rPr>
                <w:rFonts w:ascii="Times" w:hAnsi="Times" w:eastAsia="Batang"/>
                <w:sz w:val="20"/>
                <w:szCs w:val="24"/>
              </w:rPr>
              <w:t>For each periodicity value Xp</w:t>
            </w:r>
          </w:p>
          <w:p>
            <w:pPr>
              <w:widowControl w:val="0"/>
              <w:numPr>
                <w:ilvl w:val="3"/>
                <w:numId w:val="28"/>
              </w:numPr>
              <w:overflowPunct w:val="0"/>
              <w:textAlignment w:val="baseline"/>
              <w:rPr>
                <w:rFonts w:ascii="Times" w:hAnsi="Times" w:eastAsia="Batang"/>
                <w:sz w:val="20"/>
                <w:szCs w:val="24"/>
                <w:lang w:val="nl-NL"/>
              </w:rPr>
            </w:pPr>
            <w:r>
              <w:rPr>
                <w:rFonts w:ascii="Times" w:hAnsi="Times" w:eastAsia="Batang"/>
                <w:sz w:val="20"/>
                <w:szCs w:val="24"/>
              </w:rPr>
              <w:t xml:space="preserve">The value range for the offset O is </w:t>
            </w:r>
            <w:r>
              <w:rPr>
                <w:rFonts w:ascii="Times" w:hAnsi="Times" w:eastAsia="Batang"/>
                <w:strike/>
                <w:color w:val="FF0000"/>
                <w:sz w:val="20"/>
                <w:szCs w:val="24"/>
              </w:rPr>
              <w:t xml:space="preserve">{0 .. </w:t>
            </w:r>
            <w:r>
              <w:rPr>
                <w:rFonts w:ascii="Times" w:hAnsi="Times" w:eastAsia="Batang"/>
                <w:strike/>
                <w:color w:val="FF0000"/>
                <w:sz w:val="20"/>
                <w:szCs w:val="24"/>
                <w:lang w:val="nl-NL"/>
              </w:rPr>
              <w:t>Xp-1}</w:t>
            </w:r>
            <w:r>
              <w:rPr>
                <w:rFonts w:ascii="Times" w:hAnsi="Times" w:eastAsia="Batang"/>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ctrlPr>
                            <w:rPr>
                              <w:rFonts w:ascii="Cambria Math" w:hAnsi="Cambria Math"/>
                              <w:b/>
                              <w:bCs/>
                              <w:i/>
                              <w:color w:val="FF0000"/>
                            </w:rPr>
                          </m:ctrlPr>
                        </m:e>
                        <m:sub>
                          <m:r>
                            <m:rPr>
                              <m:sty m:val="bi"/>
                            </m:rPr>
                            <w:rPr>
                              <w:rFonts w:ascii="Cambria Math" w:hAnsi="Cambria Math"/>
                              <w:color w:val="FF0000"/>
                            </w:rPr>
                            <m:t>p</m:t>
                          </m:r>
                          <m:ctrlPr>
                            <w:rPr>
                              <w:rFonts w:ascii="Cambria Math" w:hAnsi="Cambria Math"/>
                              <w:b/>
                              <w:bCs/>
                              <w:i/>
                              <w:color w:val="FF0000"/>
                            </w:rPr>
                          </m:ctrlP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ctrlPr>
                        <w:rPr>
                          <w:rFonts w:ascii="Cambria Math" w:hAnsi="Cambria Math"/>
                          <w:b/>
                          <w:bCs/>
                          <w:i/>
                          <w:color w:val="FF0000"/>
                        </w:rPr>
                      </m:ctrlPr>
                    </m:num>
                    <m:den>
                      <m:r>
                        <m:rPr>
                          <m:sty m:val="bi"/>
                        </m:rPr>
                        <w:rPr>
                          <w:rFonts w:ascii="Cambria Math" w:hAnsi="Cambria Math"/>
                          <w:color w:val="FF0000"/>
                        </w:rPr>
                        <m:t>4</m:t>
                      </m:r>
                      <m:ctrlPr>
                        <w:rPr>
                          <w:rFonts w:ascii="Cambria Math" w:hAnsi="Cambria Math"/>
                          <w:b/>
                          <w:bCs/>
                          <w:i/>
                          <w:color w:val="FF0000"/>
                        </w:rPr>
                      </m:ctrlPr>
                    </m:den>
                  </m:f>
                  <m:ctrlPr>
                    <w:rPr>
                      <w:rFonts w:ascii="Cambria Math" w:hAnsi="Cambria Math"/>
                      <w:b/>
                      <w:bCs/>
                      <w:i/>
                      <w:color w:val="FF0000"/>
                    </w:rPr>
                  </m:ctrlPr>
                </m:e>
              </m:d>
            </m:oMath>
            <w:r>
              <w:rPr>
                <w:rFonts w:ascii="Times" w:hAnsi="Times" w:eastAsia="Batang"/>
                <w:color w:val="FF0000"/>
                <w:sz w:val="20"/>
                <w:szCs w:val="24"/>
                <w:lang w:val="nl-NL"/>
              </w:rPr>
              <w:t xml:space="preserve">} </w:t>
            </w:r>
            <w:r>
              <w:rPr>
                <w:rFonts w:ascii="Times" w:hAnsi="Times" w:eastAsia="Batang"/>
                <w:sz w:val="20"/>
                <w:szCs w:val="24"/>
                <w:lang w:val="nl-NL"/>
              </w:rPr>
              <w:t>slots</w:t>
            </w:r>
          </w:p>
          <w:p>
            <w:pPr>
              <w:widowControl w:val="0"/>
              <w:numPr>
                <w:ilvl w:val="3"/>
                <w:numId w:val="28"/>
              </w:numPr>
              <w:overflowPunct w:val="0"/>
              <w:textAlignment w:val="baseline"/>
              <w:rPr>
                <w:rFonts w:ascii="Times" w:hAnsi="Times" w:eastAsia="Batang"/>
                <w:sz w:val="20"/>
                <w:szCs w:val="24"/>
              </w:rPr>
            </w:pPr>
            <w:r>
              <w:rPr>
                <w:rFonts w:ascii="Times" w:hAnsi="Times" w:eastAsia="Batang"/>
                <w:sz w:val="20"/>
                <w:szCs w:val="24"/>
              </w:rPr>
              <w:t>Note: There may be no need to introduce the term "X</w:t>
            </w:r>
            <w:r>
              <w:rPr>
                <w:rFonts w:ascii="Times" w:hAnsi="Times" w:eastAsia="Batang"/>
                <w:sz w:val="20"/>
                <w:szCs w:val="24"/>
                <w:vertAlign w:val="subscript"/>
              </w:rPr>
              <w:t>p</w:t>
            </w:r>
            <w:r>
              <w:rPr>
                <w:rFonts w:ascii="Times" w:hAnsi="Times" w:eastAsia="Batang"/>
                <w:sz w:val="20"/>
                <w:szCs w:val="24"/>
              </w:rPr>
              <w:t>" in the specifications</w:t>
            </w:r>
          </w:p>
          <w:p>
            <w:pPr>
              <w:widowControl w:val="0"/>
              <w:numPr>
                <w:ilvl w:val="2"/>
                <w:numId w:val="28"/>
              </w:numPr>
              <w:overflowPunct w:val="0"/>
              <w:textAlignment w:val="baseline"/>
              <w:rPr>
                <w:rFonts w:ascii="Times" w:hAnsi="Times" w:eastAsia="Batang"/>
                <w:sz w:val="20"/>
                <w:szCs w:val="24"/>
              </w:rPr>
            </w:pPr>
            <w:r>
              <w:rPr>
                <w:rFonts w:ascii="Times" w:hAnsi="Times" w:eastAsia="Batang"/>
                <w:sz w:val="20"/>
                <w:szCs w:val="24"/>
              </w:rPr>
              <w:t xml:space="preserve">The configured periodicity </w:t>
            </w:r>
            <w:r>
              <w:rPr>
                <w:rFonts w:ascii="Times" w:hAnsi="Times" w:eastAsia="Batang"/>
                <w:strike/>
                <w:color w:val="00B050"/>
                <w:sz w:val="20"/>
                <w:szCs w:val="24"/>
              </w:rPr>
              <w:t xml:space="preserve">at least for Group (1) SSs </w:t>
            </w:r>
            <w:r>
              <w:rPr>
                <w:rFonts w:ascii="Times" w:hAnsi="Times" w:eastAsia="Batang"/>
                <w:sz w:val="20"/>
                <w:szCs w:val="24"/>
              </w:rPr>
              <w:t>is restricted to be an integer multiple of Xs slots</w:t>
            </w:r>
          </w:p>
          <w:p>
            <w:pPr>
              <w:widowControl w:val="0"/>
              <w:numPr>
                <w:ilvl w:val="2"/>
                <w:numId w:val="28"/>
              </w:numPr>
              <w:overflowPunct w:val="0"/>
              <w:textAlignment w:val="baseline"/>
              <w:rPr>
                <w:rFonts w:ascii="Times" w:hAnsi="Times" w:eastAsia="Batang"/>
                <w:color w:val="FF0000"/>
                <w:sz w:val="20"/>
                <w:szCs w:val="24"/>
              </w:rPr>
            </w:pPr>
            <w:r>
              <w:rPr>
                <w:rFonts w:ascii="Times" w:hAnsi="Times" w:eastAsia="Batang"/>
                <w:color w:val="FF0000"/>
                <w:sz w:val="20"/>
                <w:szCs w:val="24"/>
              </w:rPr>
              <w:t>The configured offset</w:t>
            </w:r>
            <w:r>
              <w:rPr>
                <w:rFonts w:ascii="Times" w:hAnsi="Times" w:eastAsia="Batang"/>
                <w:color w:val="00B050"/>
                <w:sz w:val="20"/>
                <w:szCs w:val="24"/>
              </w:rPr>
              <w:t xml:space="preserve"> </w:t>
            </w:r>
            <w:r>
              <w:rPr>
                <w:rFonts w:ascii="Times" w:hAnsi="Times" w:eastAsia="Batang"/>
                <w:color w:val="FF0000"/>
                <w:sz w:val="20"/>
                <w:szCs w:val="24"/>
              </w:rPr>
              <w:t>is restricted to be an integer multiple of Xs slots</w:t>
            </w:r>
          </w:p>
          <w:p>
            <w:pPr>
              <w:widowControl w:val="0"/>
              <w:numPr>
                <w:ilvl w:val="2"/>
                <w:numId w:val="28"/>
              </w:numPr>
              <w:overflowPunct w:val="0"/>
              <w:textAlignment w:val="baseline"/>
              <w:rPr>
                <w:rFonts w:ascii="Times" w:hAnsi="Times" w:eastAsia="Batang"/>
                <w:strike/>
                <w:color w:val="FF0000"/>
                <w:sz w:val="20"/>
                <w:szCs w:val="24"/>
              </w:rPr>
            </w:pPr>
            <w:r>
              <w:rPr>
                <w:rFonts w:ascii="Times" w:hAnsi="Times" w:eastAsia="Batang"/>
                <w:strike/>
                <w:color w:val="FF0000"/>
                <w:sz w:val="20"/>
                <w:szCs w:val="24"/>
              </w:rPr>
              <w:t>FFS: details of offset</w:t>
            </w:r>
          </w:p>
          <w:p>
            <w:pPr>
              <w:widowControl w:val="0"/>
              <w:numPr>
                <w:ilvl w:val="1"/>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For </w:t>
            </w:r>
            <w:r>
              <w:rPr>
                <w:rFonts w:ascii="Times" w:hAnsi="Times" w:eastAsia="Batang"/>
                <w:i/>
                <w:iCs/>
                <w:color w:val="000000"/>
                <w:sz w:val="20"/>
                <w:szCs w:val="24"/>
              </w:rPr>
              <w:t>duration-r17</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The values represent slots</w:t>
            </w:r>
          </w:p>
          <w:p>
            <w:pPr>
              <w:widowControl w:val="0"/>
              <w:numPr>
                <w:ilvl w:val="2"/>
                <w:numId w:val="28"/>
              </w:numPr>
              <w:overflowPunct w:val="0"/>
              <w:textAlignment w:val="baseline"/>
              <w:rPr>
                <w:rFonts w:ascii="Times" w:hAnsi="Times" w:eastAsia="Batang"/>
                <w:color w:val="FF0000"/>
                <w:sz w:val="20"/>
                <w:szCs w:val="24"/>
              </w:rPr>
            </w:pPr>
            <w:r>
              <w:rPr>
                <w:rFonts w:ascii="Times" w:hAnsi="Times" w:eastAsia="Batang"/>
                <w:color w:val="000000"/>
                <w:sz w:val="20"/>
                <w:szCs w:val="24"/>
              </w:rPr>
              <w:t>The value range is {8, 12, …, 20476}</w:t>
            </w:r>
            <w:r>
              <w:rPr>
                <w:rFonts w:ascii="Times" w:hAnsi="Times" w:eastAsia="Batang"/>
                <w:strike/>
                <w:color w:val="FF0000"/>
                <w:sz w:val="20"/>
                <w:szCs w:val="24"/>
              </w:rPr>
              <w:t xml:space="preserve"> at least for Group (1) SSs</w:t>
            </w:r>
          </w:p>
          <w:p>
            <w:pPr>
              <w:widowControl w:val="0"/>
              <w:numPr>
                <w:ilvl w:val="3"/>
                <w:numId w:val="28"/>
              </w:numPr>
              <w:overflowPunct w:val="0"/>
              <w:textAlignment w:val="baseline"/>
              <w:rPr>
                <w:rFonts w:ascii="Times" w:hAnsi="Times" w:eastAsia="Batang"/>
                <w:color w:val="00B050"/>
                <w:sz w:val="20"/>
                <w:szCs w:val="20"/>
              </w:rPr>
            </w:pP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applies the length of the slot group size in slots, except for DCI format 2_0.</w:t>
            </w:r>
          </w:p>
          <w:p>
            <w:pPr>
              <w:widowControl w:val="0"/>
              <w:numPr>
                <w:ilvl w:val="2"/>
                <w:numId w:val="28"/>
              </w:numPr>
              <w:overflowPunct w:val="0"/>
              <w:textAlignment w:val="baseline"/>
              <w:rPr>
                <w:rFonts w:ascii="Times" w:hAnsi="Times" w:eastAsia="Batang"/>
                <w:sz w:val="20"/>
                <w:szCs w:val="24"/>
              </w:rPr>
            </w:pPr>
            <w:r>
              <w:rPr>
                <w:rFonts w:ascii="Times" w:hAnsi="Times" w:eastAsia="Batang"/>
                <w:color w:val="000000"/>
                <w:sz w:val="20"/>
                <w:szCs w:val="24"/>
              </w:rPr>
              <w:t>The configured duration is restricted to be an integer multiple of Xs slots</w:t>
            </w:r>
            <w:r>
              <w:rPr>
                <w:rFonts w:ascii="Times" w:hAnsi="Times" w:eastAsia="Batang"/>
                <w:strike/>
                <w:color w:val="FF0000"/>
                <w:sz w:val="20"/>
                <w:szCs w:val="24"/>
              </w:rPr>
              <w:t xml:space="preserve"> at least for Group (1) SSs</w:t>
            </w:r>
          </w:p>
          <w:p>
            <w:pPr>
              <w:widowControl w:val="0"/>
              <w:numPr>
                <w:ilvl w:val="2"/>
                <w:numId w:val="28"/>
              </w:numPr>
              <w:overflowPunct w:val="0"/>
              <w:textAlignment w:val="baseline"/>
              <w:rPr>
                <w:rFonts w:ascii="Times" w:hAnsi="Times" w:eastAsia="Batang"/>
                <w:strike/>
                <w:color w:val="FF0000"/>
                <w:sz w:val="20"/>
                <w:szCs w:val="24"/>
              </w:rPr>
            </w:pPr>
            <w:r>
              <w:rPr>
                <w:rFonts w:ascii="Times" w:hAnsi="Times"/>
                <w:strike/>
                <w:color w:val="FF0000"/>
                <w:sz w:val="20"/>
                <w:szCs w:val="24"/>
              </w:rPr>
              <w:t xml:space="preserve">This field indicates the number of consecutive slots where a </w:t>
            </w:r>
            <w:r>
              <w:rPr>
                <w:rFonts w:ascii="Times" w:hAnsi="Times"/>
                <w:i/>
                <w:iCs/>
                <w:strike/>
                <w:color w:val="FF0000"/>
                <w:sz w:val="20"/>
                <w:szCs w:val="24"/>
              </w:rPr>
              <w:t>SearchSpace</w:t>
            </w:r>
            <w:r>
              <w:rPr>
                <w:rFonts w:ascii="Times" w:hAnsi="Times"/>
                <w:strike/>
                <w:color w:val="FF0000"/>
                <w:sz w:val="20"/>
                <w:szCs w:val="24"/>
              </w:rPr>
              <w:t xml:space="preserve"> exists.</w:t>
            </w:r>
          </w:p>
          <w:p>
            <w:pPr>
              <w:widowControl w:val="0"/>
              <w:numPr>
                <w:ilvl w:val="2"/>
                <w:numId w:val="28"/>
              </w:numPr>
              <w:overflowPunct w:val="0"/>
              <w:textAlignment w:val="baseline"/>
              <w:rPr>
                <w:rFonts w:ascii="Times" w:hAnsi="Times" w:eastAsia="Batang"/>
                <w:strike/>
                <w:color w:val="FF0000"/>
                <w:sz w:val="20"/>
                <w:szCs w:val="24"/>
              </w:rPr>
            </w:pPr>
            <w:r>
              <w:rPr>
                <w:rFonts w:ascii="Times" w:hAnsi="Times" w:eastAsia="Batang"/>
                <w:strike/>
                <w:color w:val="FF0000"/>
                <w:sz w:val="20"/>
                <w:szCs w:val="24"/>
              </w:rPr>
              <w:t xml:space="preserve">FFS: need to revise the definition of </w:t>
            </w:r>
            <w:r>
              <w:rPr>
                <w:rFonts w:ascii="Times" w:hAnsi="Times" w:eastAsia="Batang"/>
                <w:i/>
                <w:strike/>
                <w:color w:val="FF0000"/>
                <w:sz w:val="20"/>
                <w:szCs w:val="24"/>
              </w:rPr>
              <w:t>duration</w:t>
            </w:r>
          </w:p>
          <w:p>
            <w:pPr>
              <w:widowControl w:val="0"/>
              <w:numPr>
                <w:ilvl w:val="2"/>
                <w:numId w:val="28"/>
              </w:numPr>
              <w:overflowPunct w:val="0"/>
              <w:textAlignment w:val="baseline"/>
              <w:rPr>
                <w:rFonts w:ascii="Times" w:hAnsi="Times" w:eastAsia="Batang"/>
                <w:color w:val="00B050"/>
                <w:sz w:val="20"/>
                <w:szCs w:val="24"/>
              </w:rPr>
            </w:pPr>
            <w:r>
              <w:rPr>
                <w:rFonts w:ascii="Times" w:hAnsi="Times" w:eastAsia="Batang"/>
                <w:i/>
                <w:iCs/>
                <w:color w:val="00B050"/>
                <w:sz w:val="20"/>
                <w:szCs w:val="24"/>
              </w:rPr>
              <w:t>duration-r17</w:t>
            </w:r>
            <w:r>
              <w:rPr>
                <w:rFonts w:ascii="Times" w:hAnsi="Times" w:eastAsia="Batang"/>
                <w:color w:val="00B050"/>
                <w:sz w:val="20"/>
                <w:szCs w:val="24"/>
              </w:rPr>
              <w:t xml:space="preserve"> is the total number of slots in consecutive grou</w:t>
            </w:r>
            <w:r>
              <w:rPr>
                <w:rFonts w:ascii="Times" w:hAnsi="Times" w:eastAsia="Batang"/>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ctrlPr>
                    <w:rPr>
                      <w:rFonts w:ascii="Cambria Math" w:hAnsi="Cambria Math"/>
                      <w:color w:val="00B050"/>
                      <w:sz w:val="20"/>
                      <w:szCs w:val="20"/>
                    </w:rPr>
                  </m:ctrlPr>
                </m:e>
                <m:sub>
                  <m:r>
                    <m:rPr>
                      <m:sty m:val="p"/>
                    </m:rPr>
                    <w:rPr>
                      <w:rFonts w:ascii="Cambria Math" w:hAnsi="Cambria Math"/>
                      <w:color w:val="00B050"/>
                      <w:sz w:val="20"/>
                      <w:szCs w:val="20"/>
                    </w:rPr>
                    <m:t>s</m:t>
                  </m:r>
                  <m:ctrlPr>
                    <w:rPr>
                      <w:rFonts w:ascii="Cambria Math" w:hAnsi="Cambria Math"/>
                      <w:color w:val="00B050"/>
                      <w:sz w:val="20"/>
                      <w:szCs w:val="20"/>
                    </w:rPr>
                  </m:ctrlPr>
                </m:sub>
              </m:sSub>
            </m:oMath>
            <w:r>
              <w:rPr>
                <w:rFonts w:ascii="Times" w:hAnsi="Times" w:eastAsia="Batang"/>
                <w:color w:val="00B050"/>
                <w:sz w:val="20"/>
                <w:szCs w:val="20"/>
              </w:rPr>
              <w:t xml:space="preserve"> slots that </w:t>
            </w:r>
            <w:r>
              <w:rPr>
                <w:rFonts w:ascii="Times" w:hAnsi="Times" w:eastAsia="Batang"/>
                <w:color w:val="00B050"/>
                <w:sz w:val="20"/>
                <w:szCs w:val="24"/>
              </w:rPr>
              <w:t xml:space="preserve">a Search Space lasts in every occasion as given by </w:t>
            </w:r>
            <w:r>
              <w:rPr>
                <w:rFonts w:ascii="Times" w:hAnsi="Times" w:eastAsia="Batang"/>
                <w:i/>
                <w:iCs/>
                <w:color w:val="00B050"/>
                <w:sz w:val="20"/>
                <w:szCs w:val="24"/>
              </w:rPr>
              <w:t>monitoringPeriodicityAndOffset-r17</w:t>
            </w:r>
          </w:p>
          <w:p>
            <w:pPr>
              <w:widowControl w:val="0"/>
              <w:numPr>
                <w:ilvl w:val="0"/>
                <w:numId w:val="28"/>
              </w:numPr>
              <w:overflowPunct w:val="0"/>
              <w:textAlignment w:val="baseline"/>
              <w:rPr>
                <w:rFonts w:ascii="Times" w:hAnsi="Times" w:eastAsia="Batang"/>
                <w:sz w:val="20"/>
                <w:szCs w:val="24"/>
              </w:rPr>
            </w:pPr>
            <w:r>
              <w:rPr>
                <w:rFonts w:ascii="Times" w:hAnsi="Times" w:eastAsia="Batang"/>
                <w:i/>
                <w:iCs/>
                <w:sz w:val="20"/>
                <w:szCs w:val="24"/>
              </w:rPr>
              <w:t xml:space="preserve">monitoringSymbolsWithinSlot </w:t>
            </w:r>
            <w:r>
              <w:rPr>
                <w:rFonts w:ascii="Times" w:hAnsi="Times" w:eastAsia="Batang"/>
                <w:sz w:val="20"/>
                <w:szCs w:val="24"/>
              </w:rPr>
              <w:t>applies to each slot in a slot group configured for multi-slot PDCCH monitoring</w:t>
            </w:r>
          </w:p>
          <w:p>
            <w:pPr>
              <w:widowControl w:val="0"/>
              <w:numPr>
                <w:ilvl w:val="1"/>
                <w:numId w:val="28"/>
              </w:numPr>
              <w:overflowPunct w:val="0"/>
              <w:textAlignment w:val="baseline"/>
              <w:rPr>
                <w:rFonts w:ascii="Times" w:hAnsi="Times" w:eastAsia="Batang"/>
                <w:sz w:val="20"/>
                <w:szCs w:val="24"/>
              </w:rPr>
            </w:pPr>
            <w:r>
              <w:rPr>
                <w:rFonts w:ascii="Times" w:hAnsi="Times" w:eastAsia="Batang"/>
                <w:sz w:val="20"/>
                <w:szCs w:val="24"/>
              </w:rPr>
              <w:t>Note: This parameter can be directly re-used from earlier releases.</w:t>
            </w:r>
          </w:p>
          <w:p>
            <w:pPr>
              <w:widowControl w:val="0"/>
              <w:numPr>
                <w:ilvl w:val="0"/>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Introduce new parameter </w:t>
            </w:r>
            <w:r>
              <w:rPr>
                <w:rFonts w:ascii="Times" w:hAnsi="Times" w:eastAsia="Batang"/>
                <w:i/>
                <w:iCs/>
                <w:color w:val="000000"/>
                <w:sz w:val="20"/>
                <w:szCs w:val="24"/>
              </w:rPr>
              <w:t>monitoringSlotsWithinSlotGroup-r17</w:t>
            </w:r>
          </w:p>
          <w:p>
            <w:pPr>
              <w:widowControl w:val="0"/>
              <w:numPr>
                <w:ilvl w:val="1"/>
                <w:numId w:val="28"/>
              </w:numPr>
              <w:overflowPunct w:val="0"/>
              <w:textAlignment w:val="baseline"/>
              <w:rPr>
                <w:rFonts w:ascii="Times" w:hAnsi="Times" w:eastAsia="Batang"/>
                <w:strike/>
                <w:color w:val="000000"/>
                <w:sz w:val="20"/>
                <w:szCs w:val="24"/>
              </w:rPr>
            </w:pPr>
            <w:r>
              <w:rPr>
                <w:rFonts w:ascii="Times" w:hAnsi="Times" w:eastAsia="Batang"/>
                <w:strike/>
                <w:color w:val="FF0000"/>
                <w:sz w:val="20"/>
                <w:szCs w:val="24"/>
                <w:highlight w:val="darkYellow"/>
              </w:rPr>
              <w:t>Working assumption</w:t>
            </w:r>
            <w:r>
              <w:rPr>
                <w:rFonts w:ascii="Times" w:hAnsi="Times" w:eastAsia="Batang"/>
                <w:strike/>
                <w:color w:val="FF0000"/>
                <w:sz w:val="20"/>
                <w:szCs w:val="24"/>
              </w:rPr>
              <w:t>:</w:t>
            </w:r>
          </w:p>
          <w:p>
            <w:pPr>
              <w:widowControl w:val="0"/>
              <w:numPr>
                <w:ilvl w:val="2"/>
                <w:numId w:val="28"/>
              </w:numPr>
              <w:overflowPunct w:val="0"/>
              <w:textAlignment w:val="baseline"/>
              <w:rPr>
                <w:rFonts w:ascii="Times" w:hAnsi="Times" w:eastAsia="Batang"/>
                <w:strike/>
                <w:color w:val="000000"/>
                <w:sz w:val="20"/>
                <w:szCs w:val="24"/>
              </w:rPr>
            </w:pPr>
            <w:r>
              <w:rPr>
                <w:rFonts w:ascii="Times" w:hAnsi="Times" w:eastAsia="Batang"/>
                <w:strike/>
                <w:color w:val="FF0000"/>
                <w:sz w:val="20"/>
                <w:szCs w:val="24"/>
              </w:rPr>
              <w:t>The size is 8 bits</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FF0000"/>
                <w:sz w:val="20"/>
                <w:szCs w:val="24"/>
              </w:rPr>
              <w:t>The size is Xs bits, where Xs is either 4 or 8</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Each bit in </w:t>
            </w:r>
            <w:r>
              <w:rPr>
                <w:rFonts w:ascii="Times" w:hAnsi="Times" w:eastAsia="Batang"/>
                <w:i/>
                <w:iCs/>
                <w:color w:val="000000"/>
                <w:sz w:val="20"/>
                <w:szCs w:val="24"/>
              </w:rPr>
              <w:t>monitoringSlotsWithinSlotGroup-r17</w:t>
            </w:r>
            <w:r>
              <w:rPr>
                <w:rFonts w:ascii="Times" w:hAnsi="Times" w:eastAsia="Batang"/>
                <w:color w:val="000000"/>
                <w:sz w:val="20"/>
                <w:szCs w:val="24"/>
              </w:rPr>
              <w:t xml:space="preserve"> represents a slot in a slot group</w:t>
            </w:r>
          </w:p>
          <w:p>
            <w:pPr>
              <w:widowControl w:val="0"/>
              <w:numPr>
                <w:ilvl w:val="2"/>
                <w:numId w:val="28"/>
              </w:numPr>
              <w:overflowPunct w:val="0"/>
              <w:textAlignment w:val="baseline"/>
              <w:rPr>
                <w:rFonts w:ascii="Times" w:hAnsi="Times" w:eastAsia="Batang"/>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hAnsi="Times" w:eastAsia="Batang"/>
                <w:i/>
                <w:iCs/>
                <w:color w:val="FF0000"/>
                <w:sz w:val="20"/>
                <w:szCs w:val="24"/>
              </w:rPr>
              <w:t>duration-r17</w:t>
            </w:r>
            <w:r>
              <w:rPr>
                <w:rFonts w:ascii="Times" w:hAnsi="Times"/>
                <w:color w:val="FF0000"/>
                <w:sz w:val="20"/>
                <w:szCs w:val="24"/>
              </w:rPr>
              <w:t>.</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A slot in the slot group is configured for multi-slot PDCCH monitoring if the corresponding bit in the slot group is set to '1'</w:t>
            </w:r>
          </w:p>
          <w:p>
            <w:pPr>
              <w:widowControl w:val="0"/>
              <w:numPr>
                <w:ilvl w:val="3"/>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Note: Further configuration of the monitoring symbols in such a slot is done by </w:t>
            </w:r>
            <w:r>
              <w:rPr>
                <w:rFonts w:ascii="Times" w:hAnsi="Times" w:eastAsia="Batang"/>
                <w:i/>
                <w:iCs/>
                <w:color w:val="000000"/>
                <w:sz w:val="20"/>
                <w:szCs w:val="24"/>
              </w:rPr>
              <w:t>monitoringSymbolsWithinSlot</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The</w:t>
            </w:r>
            <w:r>
              <w:rPr>
                <w:rFonts w:hint="eastAsia" w:ascii="Times" w:hAnsi="Times" w:eastAsia="Batang"/>
                <w:color w:val="000000"/>
                <w:sz w:val="20"/>
                <w:szCs w:val="24"/>
              </w:rPr>
              <w:t xml:space="preserve"> </w:t>
            </w:r>
            <w:r>
              <w:rPr>
                <w:rFonts w:ascii="Times" w:hAnsi="Times" w:eastAsia="Batang"/>
                <w:color w:val="000000"/>
                <w:sz w:val="20"/>
                <w:szCs w:val="24"/>
              </w:rPr>
              <w:t>slo</w:t>
            </w:r>
            <w:r>
              <w:rPr>
                <w:rFonts w:ascii="Times" w:hAnsi="Times" w:eastAsia="Batang"/>
                <w:sz w:val="20"/>
                <w:szCs w:val="24"/>
              </w:rPr>
              <w:t>ts indicated in the bitmap sh</w:t>
            </w:r>
            <w:r>
              <w:rPr>
                <w:rFonts w:ascii="Times" w:hAnsi="Times" w:eastAsia="Batang"/>
                <w:color w:val="000000"/>
                <w:sz w:val="20"/>
                <w:szCs w:val="24"/>
              </w:rPr>
              <w:t>ould be consecutive</w:t>
            </w:r>
            <w:r>
              <w:rPr>
                <w:rFonts w:ascii="Times" w:hAnsi="Times" w:eastAsia="Batang"/>
                <w:sz w:val="20"/>
                <w:szCs w:val="24"/>
              </w:rPr>
              <w:t xml:space="preserve"> </w:t>
            </w:r>
            <w:r>
              <w:rPr>
                <w:rFonts w:ascii="Times" w:hAnsi="Times" w:eastAsia="Batang"/>
                <w:color w:val="00B050"/>
                <w:sz w:val="20"/>
                <w:szCs w:val="24"/>
              </w:rPr>
              <w:t xml:space="preserve">per slot group </w:t>
            </w:r>
            <w:r>
              <w:rPr>
                <w:rFonts w:ascii="Times" w:hAnsi="Times" w:eastAsia="Batang"/>
                <w:strike/>
                <w:color w:val="FF0000"/>
                <w:sz w:val="20"/>
                <w:szCs w:val="24"/>
              </w:rPr>
              <w:t xml:space="preserve">at least </w:t>
            </w:r>
            <w:r>
              <w:rPr>
                <w:rFonts w:ascii="Times" w:hAnsi="Times" w:eastAsia="Batang"/>
                <w:sz w:val="20"/>
                <w:szCs w:val="24"/>
              </w:rPr>
              <w:t>for Group (1) SSs</w:t>
            </w:r>
          </w:p>
          <w:p>
            <w:pPr>
              <w:widowControl w:val="0"/>
              <w:numPr>
                <w:ilvl w:val="2"/>
                <w:numId w:val="28"/>
              </w:numPr>
              <w:overflowPunct w:val="0"/>
              <w:textAlignment w:val="baseline"/>
              <w:rPr>
                <w:rFonts w:ascii="Times" w:hAnsi="Times" w:eastAsia="Batang"/>
                <w:color w:val="00B050"/>
                <w:sz w:val="20"/>
                <w:szCs w:val="24"/>
              </w:rPr>
            </w:pPr>
            <w:r>
              <w:rPr>
                <w:rFonts w:ascii="Times" w:hAnsi="Times" w:eastAsia="Batang"/>
                <w:color w:val="00B050"/>
                <w:sz w:val="20"/>
                <w:szCs w:val="24"/>
              </w:rPr>
              <w:t>The slots indicated in the bitmap are not restricted to be consecutive for Group (2) SSs</w:t>
            </w:r>
          </w:p>
          <w:p>
            <w:pPr>
              <w:widowControl w:val="0"/>
              <w:numPr>
                <w:ilvl w:val="2"/>
                <w:numId w:val="28"/>
              </w:numPr>
              <w:overflowPunct w:val="0"/>
              <w:textAlignment w:val="baseline"/>
              <w:rPr>
                <w:rFonts w:ascii="Times" w:hAnsi="Times" w:eastAsia="Batang"/>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ctrlPr>
                    <w:rPr>
                      <w:rFonts w:ascii="Cambria Math" w:hAnsi="Cambria Math"/>
                      <w:bCs/>
                      <w:i/>
                      <w:color w:val="FF0000"/>
                      <w:sz w:val="20"/>
                      <w:szCs w:val="20"/>
                    </w:rPr>
                  </m:ctrlPr>
                </m:e>
                <m:sub>
                  <m:r>
                    <w:rPr>
                      <w:rFonts w:ascii="Cambria Math" w:hAnsi="Cambria Math"/>
                      <w:color w:val="FF0000"/>
                      <w:sz w:val="20"/>
                      <w:szCs w:val="20"/>
                    </w:rPr>
                    <m:t>s</m:t>
                  </m:r>
                  <m:ctrlPr>
                    <w:rPr>
                      <w:rFonts w:ascii="Cambria Math" w:hAnsi="Cambria Math"/>
                      <w:bCs/>
                      <w:i/>
                      <w:color w:val="FF0000"/>
                      <w:sz w:val="20"/>
                      <w:szCs w:val="20"/>
                    </w:rPr>
                  </m:ctrlPr>
                </m:sub>
              </m:sSub>
            </m:oMath>
            <w:r>
              <w:rPr>
                <w:bCs/>
                <w:color w:val="FF0000"/>
                <w:sz w:val="20"/>
                <w:szCs w:val="20"/>
              </w:rPr>
              <w:t xml:space="preserve"> </w:t>
            </w:r>
            <w:r>
              <w:rPr>
                <w:rFonts w:ascii="Times" w:hAnsi="Times" w:eastAsia="Batang"/>
                <w:strike/>
                <w:color w:val="FF0000"/>
                <w:sz w:val="20"/>
                <w:szCs w:val="24"/>
              </w:rPr>
              <w:t xml:space="preserve">at least </w:t>
            </w:r>
            <w:r>
              <w:rPr>
                <w:rFonts w:ascii="Times" w:hAnsi="Times" w:eastAsia="Batang"/>
                <w:color w:val="FF0000"/>
                <w:sz w:val="20"/>
                <w:szCs w:val="24"/>
              </w:rPr>
              <w:t>for Group (1) SSs</w:t>
            </w:r>
          </w:p>
          <w:p>
            <w:pPr>
              <w:widowControl w:val="0"/>
              <w:numPr>
                <w:ilvl w:val="2"/>
                <w:numId w:val="28"/>
              </w:numPr>
              <w:overflowPunct w:val="0"/>
              <w:textAlignment w:val="baseline"/>
              <w:rPr>
                <w:rFonts w:ascii="Times" w:hAnsi="Times" w:eastAsia="Batang"/>
                <w:color w:val="00B050"/>
                <w:sz w:val="20"/>
                <w:szCs w:val="24"/>
              </w:rPr>
            </w:pPr>
            <w:r>
              <w:rPr>
                <w:rFonts w:ascii="Times" w:hAnsi="Times" w:eastAsia="Batang"/>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ctrlPr>
                    <w:rPr>
                      <w:rFonts w:ascii="Cambria Math" w:hAnsi="Cambria Math"/>
                      <w:bCs/>
                      <w:i/>
                      <w:color w:val="00B050"/>
                      <w:sz w:val="20"/>
                      <w:szCs w:val="20"/>
                    </w:rPr>
                  </m:ctrlPr>
                </m:e>
                <m:sub>
                  <m:r>
                    <w:rPr>
                      <w:rFonts w:ascii="Cambria Math" w:hAnsi="Cambria Math"/>
                      <w:color w:val="00B050"/>
                      <w:sz w:val="20"/>
                      <w:szCs w:val="20"/>
                    </w:rPr>
                    <m:t>s</m:t>
                  </m:r>
                  <m:ctrlPr>
                    <w:rPr>
                      <w:rFonts w:ascii="Cambria Math" w:hAnsi="Cambria Math"/>
                      <w:bCs/>
                      <w:i/>
                      <w:color w:val="00B050"/>
                      <w:sz w:val="20"/>
                      <w:szCs w:val="20"/>
                    </w:rPr>
                  </m:ctrlPr>
                </m:sub>
              </m:sSub>
            </m:oMath>
            <w:r>
              <w:rPr>
                <w:bCs/>
                <w:color w:val="00B050"/>
                <w:sz w:val="20"/>
                <w:szCs w:val="20"/>
              </w:rPr>
              <w:t xml:space="preserve"> </w:t>
            </w:r>
            <w:r>
              <w:rPr>
                <w:rFonts w:ascii="Times" w:hAnsi="Times" w:eastAsia="Batang"/>
                <w:color w:val="00B050"/>
                <w:sz w:val="20"/>
                <w:szCs w:val="24"/>
              </w:rPr>
              <w:t>for Group (2) SSs</w:t>
            </w:r>
          </w:p>
          <w:p>
            <w:pPr>
              <w:widowControl w:val="0"/>
              <w:numPr>
                <w:ilvl w:val="2"/>
                <w:numId w:val="28"/>
              </w:numPr>
              <w:overflowPunct w:val="0"/>
              <w:textAlignment w:val="baseline"/>
              <w:rPr>
                <w:rFonts w:ascii="Times" w:hAnsi="Times" w:eastAsia="Batang"/>
                <w:strike/>
                <w:color w:val="FF0000"/>
                <w:sz w:val="20"/>
                <w:szCs w:val="24"/>
              </w:rPr>
            </w:pPr>
            <w:r>
              <w:rPr>
                <w:rFonts w:ascii="Times" w:hAnsi="Times"/>
                <w:strike/>
                <w:color w:val="FF0000"/>
                <w:sz w:val="20"/>
                <w:szCs w:val="24"/>
              </w:rPr>
              <w:t>FFS: Applicable value if this field is absent</w:t>
            </w:r>
          </w:p>
        </w:tc>
      </w:tr>
      <w:bookmarkEnd w:id="2"/>
    </w:tbl>
    <w:p>
      <w:pPr>
        <w:rPr>
          <w:lang w:eastAsia="zh-CN"/>
        </w:rPr>
      </w:pPr>
    </w:p>
    <w:p>
      <w:pPr>
        <w:rPr>
          <w:sz w:val="20"/>
          <w:szCs w:val="20"/>
          <w:lang w:eastAsia="zh-CN"/>
        </w:rPr>
      </w:pPr>
      <w:r>
        <w:rPr>
          <w:sz w:val="20"/>
          <w:szCs w:val="20"/>
          <w:highlight w:val="yellow"/>
          <w:lang w:eastAsia="zh-CN"/>
        </w:rPr>
        <w:t>Please comment whether this proposal is agreeable.</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FFFF" w:themeFill="background1"/>
            <w:vAlign w:val="center"/>
          </w:tcPr>
          <w:p>
            <w:pPr>
              <w:widowControl w:val="0"/>
              <w:rPr>
                <w:lang w:eastAsia="zh-CN"/>
              </w:rPr>
            </w:pPr>
            <w:r>
              <w:rPr>
                <w:lang w:eastAsia="zh-CN"/>
              </w:rPr>
              <w:t>Huawei, Hisilicon</w:t>
            </w:r>
          </w:p>
        </w:tc>
        <w:tc>
          <w:tcPr>
            <w:tcW w:w="12176" w:type="dxa"/>
            <w:shd w:val="clear" w:color="auto" w:fill="FFFFFF" w:themeFill="background1"/>
            <w:vAlign w:val="center"/>
          </w:tcPr>
          <w:p>
            <w:pPr>
              <w:widowControl w:val="0"/>
              <w:rPr>
                <w:lang w:eastAsia="zh-CN"/>
              </w:rPr>
            </w:pPr>
            <w:r>
              <w:rPr>
                <w:lang w:eastAsia="zh-CN"/>
              </w:rPr>
              <w:t>Mostly Ok but still some changes are necessary as follows:</w:t>
            </w:r>
          </w:p>
          <w:p>
            <w:pPr>
              <w:pStyle w:val="82"/>
              <w:widowControl w:val="0"/>
              <w:numPr>
                <w:ilvl w:val="0"/>
                <w:numId w:val="38"/>
              </w:numPr>
              <w:rPr>
                <w:lang w:eastAsia="zh-CN"/>
              </w:rPr>
            </w:pPr>
            <w:r>
              <w:rPr>
                <w:lang w:eastAsia="zh-CN"/>
              </w:rPr>
              <w:t>For duration-17, two definitions are provided. We think definition in “b” and not “a” is correct.</w:t>
            </w:r>
          </w:p>
          <w:p>
            <w:pPr>
              <w:pStyle w:val="82"/>
              <w:widowControl w:val="0"/>
              <w:numPr>
                <w:ilvl w:val="1"/>
                <w:numId w:val="38"/>
              </w:numPr>
              <w:rPr>
                <w:strike/>
                <w:lang w:eastAsia="zh-CN"/>
              </w:rPr>
            </w:pPr>
            <w:r>
              <w:rPr>
                <w:strike/>
                <w:lang w:eastAsia="zh-CN"/>
              </w:rPr>
              <w:t>“</w:t>
            </w:r>
            <w:r>
              <w:rPr>
                <w:rFonts w:ascii="Times" w:hAnsi="Times"/>
                <w:strike/>
                <w:color w:val="FF0000"/>
                <w:sz w:val="20"/>
                <w:szCs w:val="24"/>
              </w:rPr>
              <w:t xml:space="preserve">This field indicates the number of consecutive slots where a </w:t>
            </w:r>
            <w:r>
              <w:rPr>
                <w:rFonts w:ascii="Times" w:hAnsi="Times"/>
                <w:i/>
                <w:iCs/>
                <w:strike/>
                <w:color w:val="FF0000"/>
                <w:sz w:val="20"/>
                <w:szCs w:val="24"/>
              </w:rPr>
              <w:t>SearchSpace</w:t>
            </w:r>
            <w:r>
              <w:rPr>
                <w:rFonts w:ascii="Times" w:hAnsi="Times"/>
                <w:strike/>
                <w:color w:val="FF0000"/>
                <w:sz w:val="20"/>
                <w:szCs w:val="24"/>
              </w:rPr>
              <w:t xml:space="preserve"> exists.” </w:t>
            </w:r>
          </w:p>
          <w:p>
            <w:pPr>
              <w:widowControl w:val="0"/>
              <w:numPr>
                <w:ilvl w:val="1"/>
                <w:numId w:val="38"/>
              </w:numPr>
              <w:overflowPunct w:val="0"/>
              <w:textAlignment w:val="baseline"/>
              <w:rPr>
                <w:rFonts w:ascii="Times" w:hAnsi="Times" w:eastAsia="Batang"/>
                <w:color w:val="00B050"/>
                <w:sz w:val="20"/>
                <w:szCs w:val="24"/>
              </w:rPr>
            </w:pPr>
            <w:r>
              <w:rPr>
                <w:rFonts w:ascii="Times" w:hAnsi="Times" w:eastAsia="Batang"/>
                <w:i/>
                <w:iCs/>
                <w:color w:val="00B050"/>
                <w:sz w:val="20"/>
                <w:szCs w:val="24"/>
              </w:rPr>
              <w:t>duration-r17</w:t>
            </w:r>
            <w:r>
              <w:rPr>
                <w:rFonts w:ascii="Times" w:hAnsi="Times" w:eastAsia="Batang"/>
                <w:color w:val="00B050"/>
                <w:sz w:val="20"/>
                <w:szCs w:val="24"/>
              </w:rPr>
              <w:t xml:space="preserve"> is the total number of slots in consecutive grou</w:t>
            </w:r>
            <w:r>
              <w:rPr>
                <w:rFonts w:ascii="Times" w:hAnsi="Times" w:eastAsia="Batang"/>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ctrlPr>
                    <w:rPr>
                      <w:rFonts w:ascii="Cambria Math" w:hAnsi="Cambria Math"/>
                      <w:color w:val="00B050"/>
                      <w:sz w:val="20"/>
                      <w:szCs w:val="20"/>
                    </w:rPr>
                  </m:ctrlPr>
                </m:e>
                <m:sub>
                  <m:r>
                    <m:rPr>
                      <m:sty m:val="p"/>
                    </m:rPr>
                    <w:rPr>
                      <w:rFonts w:ascii="Cambria Math" w:hAnsi="Cambria Math"/>
                      <w:color w:val="00B050"/>
                      <w:sz w:val="20"/>
                      <w:szCs w:val="20"/>
                    </w:rPr>
                    <m:t>s</m:t>
                  </m:r>
                  <m:ctrlPr>
                    <w:rPr>
                      <w:rFonts w:ascii="Cambria Math" w:hAnsi="Cambria Math"/>
                      <w:color w:val="00B050"/>
                      <w:sz w:val="20"/>
                      <w:szCs w:val="20"/>
                    </w:rPr>
                  </m:ctrlPr>
                </m:sub>
              </m:sSub>
            </m:oMath>
            <w:r>
              <w:rPr>
                <w:rFonts w:ascii="Times" w:hAnsi="Times" w:eastAsia="Batang"/>
                <w:color w:val="00B050"/>
                <w:sz w:val="20"/>
                <w:szCs w:val="20"/>
              </w:rPr>
              <w:t xml:space="preserve"> slots that </w:t>
            </w:r>
            <w:r>
              <w:rPr>
                <w:rFonts w:ascii="Times" w:hAnsi="Times" w:eastAsia="Batang"/>
                <w:color w:val="00B050"/>
                <w:sz w:val="20"/>
                <w:szCs w:val="24"/>
              </w:rPr>
              <w:t xml:space="preserve">a Search Space lasts in every occasion as given by </w:t>
            </w:r>
            <w:r>
              <w:rPr>
                <w:rFonts w:ascii="Times" w:hAnsi="Times" w:eastAsia="Batang"/>
                <w:i/>
                <w:iCs/>
                <w:color w:val="00B050"/>
                <w:sz w:val="20"/>
                <w:szCs w:val="24"/>
              </w:rPr>
              <w:t>monitoringPeriodicityAndOffset-r17</w:t>
            </w:r>
          </w:p>
          <w:p>
            <w:pPr>
              <w:widowControl w:val="0"/>
              <w:numPr>
                <w:ilvl w:val="0"/>
                <w:numId w:val="38"/>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“At least for Group (1) SSs” in “The configured duration is restricted to be an integer multiple of Xs slots at least for Group (1) SSs” needs to be removed because, according to the updated the definition of duration, “duration-r17 is the total number of slots in consecutive groups of </w:t>
            </w:r>
            <m:oMath>
              <m:sSub>
                <m:sSubPr>
                  <m:ctrlPr>
                    <w:rPr>
                      <w:rFonts w:ascii="Cambria Math" w:hAnsi="Cambria Math" w:eastAsia="Batang"/>
                      <w:color w:val="000000"/>
                      <w:sz w:val="20"/>
                      <w:szCs w:val="24"/>
                    </w:rPr>
                  </m:ctrlPr>
                </m:sSubPr>
                <m:e>
                  <m:r>
                    <m:rPr>
                      <m:sty m:val="p"/>
                    </m:rPr>
                    <w:rPr>
                      <w:rFonts w:ascii="Cambria Math" w:hAnsi="Cambria Math" w:eastAsia="Batang"/>
                      <w:color w:val="000000"/>
                      <w:sz w:val="20"/>
                      <w:szCs w:val="24"/>
                    </w:rPr>
                    <m:t>X</m:t>
                  </m:r>
                  <m:ctrlPr>
                    <w:rPr>
                      <w:rFonts w:ascii="Cambria Math" w:hAnsi="Cambria Math" w:eastAsia="Batang"/>
                      <w:color w:val="000000"/>
                      <w:sz w:val="20"/>
                      <w:szCs w:val="24"/>
                    </w:rPr>
                  </m:ctrlPr>
                </m:e>
                <m:sub>
                  <m:r>
                    <m:rPr>
                      <m:sty m:val="p"/>
                    </m:rPr>
                    <w:rPr>
                      <w:rFonts w:ascii="Cambria Math" w:hAnsi="Cambria Math" w:eastAsia="Batang"/>
                      <w:color w:val="000000"/>
                      <w:sz w:val="20"/>
                      <w:szCs w:val="24"/>
                    </w:rPr>
                    <m:t>s</m:t>
                  </m:r>
                  <m:ctrlPr>
                    <w:rPr>
                      <w:rFonts w:ascii="Cambria Math" w:hAnsi="Cambria Math" w:eastAsia="Batang"/>
                      <w:color w:val="000000"/>
                      <w:sz w:val="20"/>
                      <w:szCs w:val="24"/>
                    </w:rPr>
                  </m:ctrlPr>
                </m:sub>
              </m:sSub>
            </m:oMath>
            <w:r>
              <w:rPr>
                <w:rFonts w:ascii="Times" w:hAnsi="Times" w:eastAsia="Batang"/>
                <w:color w:val="000000"/>
                <w:sz w:val="20"/>
                <w:szCs w:val="24"/>
              </w:rPr>
              <w:t xml:space="preserve"> slots” for both Group (1) and Group (2) SS and, moreover, value range of duration is {8, 12, …, 20476} (multiple of Xs). Therefore we suggest the following change:</w:t>
            </w:r>
          </w:p>
          <w:p>
            <w:pPr>
              <w:widowControl w:val="0"/>
              <w:numPr>
                <w:ilvl w:val="1"/>
                <w:numId w:val="38"/>
              </w:numPr>
              <w:overflowPunct w:val="0"/>
              <w:textAlignment w:val="baseline"/>
              <w:rPr>
                <w:rFonts w:ascii="Times" w:hAnsi="Times" w:eastAsia="Batang"/>
                <w:sz w:val="20"/>
                <w:szCs w:val="24"/>
              </w:rPr>
            </w:pPr>
            <w:r>
              <w:rPr>
                <w:rFonts w:ascii="Times" w:hAnsi="Times" w:eastAsia="Batang"/>
                <w:color w:val="000000"/>
                <w:sz w:val="20"/>
                <w:szCs w:val="24"/>
              </w:rPr>
              <w:t>The configured duration is restricted to be an integer multiple of Xs slots</w:t>
            </w:r>
            <w:r>
              <w:rPr>
                <w:rFonts w:ascii="Times" w:hAnsi="Times" w:eastAsia="Batang"/>
                <w:sz w:val="20"/>
                <w:szCs w:val="24"/>
              </w:rPr>
              <w:t xml:space="preserve"> </w:t>
            </w:r>
            <w:r>
              <w:rPr>
                <w:rFonts w:ascii="Times" w:hAnsi="Times" w:eastAsia="Batang"/>
                <w:strike/>
                <w:sz w:val="20"/>
                <w:szCs w:val="24"/>
              </w:rPr>
              <w:t>at least for Group (1) SSs</w:t>
            </w:r>
          </w:p>
          <w:p>
            <w:pPr>
              <w:widowControl w:val="0"/>
              <w:numPr>
                <w:ilvl w:val="0"/>
                <w:numId w:val="38"/>
              </w:numPr>
              <w:overflowPunct w:val="0"/>
              <w:textAlignment w:val="baseline"/>
              <w:rPr>
                <w:rFonts w:ascii="Times" w:hAnsi="Times" w:eastAsia="Batang"/>
                <w:sz w:val="20"/>
                <w:szCs w:val="24"/>
              </w:rPr>
            </w:pPr>
            <w:r>
              <w:rPr>
                <w:rFonts w:ascii="Times" w:hAnsi="Times" w:eastAsia="Batang"/>
                <w:sz w:val="20"/>
                <w:szCs w:val="24"/>
              </w:rPr>
              <w:t xml:space="preserve">We suggest to add the following note: </w:t>
            </w:r>
          </w:p>
          <w:p>
            <w:pPr>
              <w:widowControl w:val="0"/>
              <w:numPr>
                <w:ilvl w:val="1"/>
                <w:numId w:val="38"/>
              </w:numPr>
              <w:overflowPunct w:val="0"/>
              <w:textAlignment w:val="baseline"/>
              <w:rPr>
                <w:rFonts w:ascii="Times" w:hAnsi="Times" w:eastAsia="Batang"/>
                <w:sz w:val="20"/>
                <w:szCs w:val="24"/>
              </w:rPr>
            </w:pPr>
            <w:r>
              <w:rPr>
                <w:rFonts w:ascii="Times" w:hAnsi="Times" w:eastAsia="Batang"/>
                <w:sz w:val="20"/>
                <w:szCs w:val="24"/>
              </w:rPr>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is independent from the size of </w:t>
            </w:r>
            <w:r>
              <w:rPr>
                <w:rFonts w:ascii="Times" w:hAnsi="Times" w:eastAsia="Batang"/>
                <w:i/>
                <w:iCs/>
                <w:color w:val="000000"/>
                <w:sz w:val="20"/>
                <w:szCs w:val="24"/>
              </w:rPr>
              <w:t>monitoringSlotsWithinSlotGroup-r17.</w:t>
            </w:r>
          </w:p>
          <w:p>
            <w:pPr>
              <w:widowControl w:val="0"/>
              <w:overflowPunct w:val="0"/>
              <w:textAlignment w:val="baseline"/>
              <w:rPr>
                <w:rFonts w:ascii="Times" w:hAnsi="Times" w:eastAsia="Batang"/>
                <w:sz w:val="20"/>
                <w:szCs w:val="24"/>
              </w:rPr>
            </w:pPr>
            <w:r>
              <w:rPr>
                <w:rFonts w:ascii="Times" w:hAnsi="Times" w:eastAsia="Batang"/>
                <w:iCs/>
                <w:color w:val="000000"/>
                <w:sz w:val="20"/>
                <w:szCs w:val="24"/>
              </w:rPr>
              <w:t>So, put together, we suggest the following update on A2-1.1a</w:t>
            </w:r>
          </w:p>
          <w:p>
            <w:pPr>
              <w:widowControl w:val="0"/>
            </w:pPr>
            <w:r>
              <w:rPr>
                <w:b/>
                <w:sz w:val="20"/>
                <w:szCs w:val="20"/>
                <w:u w:val="single"/>
              </w:rPr>
              <w:t xml:space="preserve">Proposal A2-1.1a </w:t>
            </w:r>
            <w:r>
              <w:rPr>
                <w:b/>
                <w:sz w:val="20"/>
                <w:szCs w:val="20"/>
                <w:u w:val="single"/>
                <w:shd w:val="clear" w:color="auto" w:fill="00B0F0"/>
              </w:rPr>
              <w:t>(modified):</w:t>
            </w:r>
            <w:r>
              <w:rPr>
                <w:b/>
                <w:sz w:val="20"/>
                <w:szCs w:val="20"/>
                <w:u w:val="single"/>
              </w:rPr>
              <w:t xml:space="preserve"> </w:t>
            </w:r>
            <w:r>
              <w:rPr>
                <w:b/>
                <w:sz w:val="20"/>
                <w:szCs w:val="20"/>
              </w:rPr>
              <w:t>Revise the RAN1#107bis-e agreement as follows:</w:t>
            </w:r>
          </w:p>
          <w:tbl>
            <w:tblPr>
              <w:tblStyle w:val="55"/>
              <w:tblW w:w="1275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753" w:type="dxa"/>
                  <w:vAlign w:val="center"/>
                </w:tcPr>
                <w:p>
                  <w:pPr>
                    <w:widowControl w:val="0"/>
                    <w:spacing w:after="0"/>
                    <w:rPr>
                      <w:rFonts w:ascii="Times" w:hAnsi="Times" w:eastAsia="Batang"/>
                      <w:sz w:val="20"/>
                      <w:szCs w:val="24"/>
                    </w:rPr>
                  </w:pPr>
                  <w:r>
                    <w:rPr>
                      <w:rFonts w:ascii="Times" w:hAnsi="Times" w:eastAsia="Batang"/>
                      <w:sz w:val="20"/>
                      <w:szCs w:val="24"/>
                    </w:rPr>
                    <w:t>For search space set configuration of multi-slot PDCCH monitoring:</w:t>
                  </w:r>
                </w:p>
                <w:p>
                  <w:pPr>
                    <w:widowControl w:val="0"/>
                    <w:numPr>
                      <w:ilvl w:val="0"/>
                      <w:numId w:val="28"/>
                    </w:numPr>
                    <w:overflowPunct w:val="0"/>
                    <w:textAlignment w:val="baseline"/>
                    <w:rPr>
                      <w:rFonts w:ascii="Times" w:hAnsi="Times" w:eastAsia="Batang"/>
                      <w:sz w:val="20"/>
                      <w:szCs w:val="24"/>
                    </w:rPr>
                  </w:pPr>
                  <w:r>
                    <w:rPr>
                      <w:rFonts w:hint="eastAsia" w:ascii="Times" w:hAnsi="Times" w:eastAsia="Batang"/>
                      <w:i/>
                      <w:iCs/>
                      <w:sz w:val="20"/>
                      <w:szCs w:val="24"/>
                      <w:lang w:eastAsia="zh-CN"/>
                    </w:rPr>
                    <w:t>monitoringSlotPeriodicityAndOffset</w:t>
                  </w:r>
                  <w:r>
                    <w:rPr>
                      <w:rFonts w:ascii="Times" w:hAnsi="Times" w:eastAsia="Batang"/>
                      <w:sz w:val="20"/>
                      <w:szCs w:val="24"/>
                      <w:lang w:eastAsia="zh-CN"/>
                    </w:rPr>
                    <w:t xml:space="preserve"> and</w:t>
                  </w:r>
                  <w:r>
                    <w:rPr>
                      <w:rFonts w:hint="eastAsia" w:ascii="Times" w:hAnsi="Times" w:eastAsia="Batang"/>
                      <w:i/>
                      <w:iCs/>
                      <w:sz w:val="20"/>
                      <w:lang w:eastAsia="zh-CN"/>
                    </w:rPr>
                    <w:t xml:space="preserve"> </w:t>
                  </w:r>
                  <w:r>
                    <w:rPr>
                      <w:rFonts w:hint="eastAsia" w:ascii="Times" w:hAnsi="Times" w:eastAsia="Batang"/>
                      <w:i/>
                      <w:iCs/>
                      <w:sz w:val="20"/>
                      <w:szCs w:val="24"/>
                      <w:lang w:eastAsia="zh-CN"/>
                    </w:rPr>
                    <w:t>duration</w:t>
                  </w:r>
                  <w:r>
                    <w:rPr>
                      <w:rFonts w:hint="eastAsia" w:ascii="Times" w:hAnsi="Times" w:eastAsia="Batang"/>
                      <w:i/>
                      <w:iCs/>
                      <w:sz w:val="20"/>
                      <w:lang w:eastAsia="zh-CN"/>
                    </w:rPr>
                    <w:t xml:space="preserve"> </w:t>
                  </w:r>
                  <w:r>
                    <w:rPr>
                      <w:rFonts w:ascii="Times" w:hAnsi="Times" w:eastAsia="Batang"/>
                      <w:sz w:val="20"/>
                      <w:szCs w:val="24"/>
                    </w:rPr>
                    <w:t>are appended with "-r17", and</w:t>
                  </w:r>
                </w:p>
                <w:p>
                  <w:pPr>
                    <w:widowControl w:val="0"/>
                    <w:numPr>
                      <w:ilvl w:val="1"/>
                      <w:numId w:val="28"/>
                    </w:numPr>
                    <w:overflowPunct w:val="0"/>
                    <w:textAlignment w:val="baseline"/>
                    <w:rPr>
                      <w:rFonts w:ascii="Times" w:hAnsi="Times" w:eastAsia="Batang"/>
                      <w:sz w:val="20"/>
                      <w:szCs w:val="24"/>
                    </w:rPr>
                  </w:pPr>
                  <w:r>
                    <w:rPr>
                      <w:rFonts w:ascii="Times" w:hAnsi="Times" w:eastAsia="Batang"/>
                      <w:i/>
                      <w:iCs/>
                      <w:sz w:val="20"/>
                      <w:szCs w:val="24"/>
                      <w:lang w:eastAsia="zh-CN"/>
                    </w:rPr>
                    <w:t xml:space="preserve">For </w:t>
                  </w:r>
                  <w:r>
                    <w:rPr>
                      <w:rFonts w:ascii="Times" w:hAnsi="Times" w:eastAsia="Batang"/>
                      <w:i/>
                      <w:iCs/>
                      <w:sz w:val="20"/>
                      <w:szCs w:val="24"/>
                    </w:rPr>
                    <w:t>monitoringPeriodicityAndOffset-r17</w:t>
                  </w:r>
                </w:p>
                <w:p>
                  <w:pPr>
                    <w:widowControl w:val="0"/>
                    <w:numPr>
                      <w:ilvl w:val="2"/>
                      <w:numId w:val="28"/>
                    </w:numPr>
                    <w:overflowPunct w:val="0"/>
                    <w:textAlignment w:val="baseline"/>
                    <w:rPr>
                      <w:rFonts w:ascii="Times" w:hAnsi="Times" w:eastAsia="Batang"/>
                      <w:sz w:val="20"/>
                      <w:szCs w:val="24"/>
                    </w:rPr>
                  </w:pPr>
                  <w:r>
                    <w:rPr>
                      <w:rFonts w:ascii="Times" w:hAnsi="Times" w:eastAsia="Batang"/>
                      <w:sz w:val="20"/>
                      <w:szCs w:val="24"/>
                    </w:rPr>
                    <w:t>The values represent slots</w:t>
                  </w:r>
                </w:p>
                <w:p>
                  <w:pPr>
                    <w:widowControl w:val="0"/>
                    <w:numPr>
                      <w:ilvl w:val="2"/>
                      <w:numId w:val="28"/>
                    </w:numPr>
                    <w:overflowPunct w:val="0"/>
                    <w:textAlignment w:val="baseline"/>
                    <w:rPr>
                      <w:rFonts w:ascii="Times" w:hAnsi="Times" w:eastAsia="Batang"/>
                      <w:sz w:val="20"/>
                      <w:szCs w:val="24"/>
                    </w:rPr>
                  </w:pPr>
                  <w:r>
                    <w:rPr>
                      <w:rFonts w:ascii="Times" w:hAnsi="Times" w:eastAsia="Batang"/>
                      <w:sz w:val="20"/>
                      <w:szCs w:val="24"/>
                    </w:rPr>
                    <w:t xml:space="preserve">Add periodicity values {32,64,128,5120,10240,20480} to the existing values in </w:t>
                  </w:r>
                  <w:r>
                    <w:rPr>
                      <w:rFonts w:hint="eastAsia" w:ascii="Times" w:hAnsi="Times" w:eastAsia="Batang"/>
                      <w:i/>
                      <w:iCs/>
                      <w:sz w:val="20"/>
                      <w:szCs w:val="24"/>
                      <w:lang w:eastAsia="zh-CN"/>
                    </w:rPr>
                    <w:t>monitoringSlotPeriodicityAndOffset</w:t>
                  </w:r>
                </w:p>
                <w:p>
                  <w:pPr>
                    <w:widowControl w:val="0"/>
                    <w:numPr>
                      <w:ilvl w:val="3"/>
                      <w:numId w:val="28"/>
                    </w:numPr>
                    <w:overflowPunct w:val="0"/>
                    <w:textAlignment w:val="baseline"/>
                    <w:rPr>
                      <w:rFonts w:ascii="Times" w:hAnsi="Times" w:eastAsia="Batang"/>
                      <w:sz w:val="20"/>
                      <w:szCs w:val="24"/>
                    </w:rPr>
                  </w:pPr>
                  <w:r>
                    <w:rPr>
                      <w:rFonts w:ascii="Times" w:hAnsi="Times" w:eastAsia="Batang"/>
                      <w:sz w:val="20"/>
                      <w:szCs w:val="24"/>
                    </w:rPr>
                    <w:t>Note: Total list of supported periodicity values</w:t>
                  </w:r>
                  <w:r>
                    <w:rPr>
                      <w:rFonts w:ascii="Times" w:hAnsi="Times" w:eastAsia="Batang"/>
                      <w:color w:val="00B050"/>
                      <w:sz w:val="20"/>
                      <w:szCs w:val="24"/>
                    </w:rPr>
                    <w:t xml:space="preserve"> for SCS 480kHz and 960kHz</w:t>
                  </w:r>
                  <w:r>
                    <w:rPr>
                      <w:rFonts w:ascii="Times" w:hAnsi="Times" w:eastAsia="Batang"/>
                      <w:sz w:val="20"/>
                      <w:szCs w:val="24"/>
                    </w:rPr>
                    <w:t>: {</w:t>
                  </w:r>
                  <w:r>
                    <w:rPr>
                      <w:rFonts w:ascii="Times" w:hAnsi="Times" w:eastAsia="Batang"/>
                      <w:strike/>
                      <w:color w:val="FF0000"/>
                      <w:sz w:val="20"/>
                      <w:szCs w:val="24"/>
                    </w:rPr>
                    <w:t>1,2,</w:t>
                  </w:r>
                  <w:r>
                    <w:rPr>
                      <w:rFonts w:ascii="Times" w:hAnsi="Times" w:eastAsia="Batang"/>
                      <w:sz w:val="20"/>
                      <w:szCs w:val="24"/>
                    </w:rPr>
                    <w:t>4,</w:t>
                  </w:r>
                  <w:r>
                    <w:rPr>
                      <w:rFonts w:ascii="Times" w:hAnsi="Times" w:eastAsia="Batang"/>
                      <w:strike/>
                      <w:color w:val="FF0000"/>
                      <w:sz w:val="20"/>
                      <w:szCs w:val="24"/>
                    </w:rPr>
                    <w:t>5,</w:t>
                  </w:r>
                  <w:r>
                    <w:rPr>
                      <w:rFonts w:ascii="Times" w:hAnsi="Times" w:eastAsia="Batang"/>
                      <w:sz w:val="20"/>
                      <w:szCs w:val="24"/>
                    </w:rPr>
                    <w:t>8,</w:t>
                  </w:r>
                  <w:r>
                    <w:rPr>
                      <w:rFonts w:ascii="Times" w:hAnsi="Times" w:eastAsia="Batang"/>
                      <w:strike/>
                      <w:color w:val="FF0000"/>
                      <w:sz w:val="20"/>
                      <w:szCs w:val="24"/>
                    </w:rPr>
                    <w:t>10,</w:t>
                  </w:r>
                  <w:r>
                    <w:rPr>
                      <w:rFonts w:ascii="Times" w:hAnsi="Times" w:eastAsia="Batang"/>
                      <w:sz w:val="20"/>
                      <w:szCs w:val="24"/>
                    </w:rPr>
                    <w:t>16,20,32,40,64,80,128,160,320,640,1280,2560,5120,10240,20480}</w:t>
                  </w:r>
                </w:p>
                <w:p>
                  <w:pPr>
                    <w:widowControl w:val="0"/>
                    <w:numPr>
                      <w:ilvl w:val="2"/>
                      <w:numId w:val="28"/>
                    </w:numPr>
                    <w:overflowPunct w:val="0"/>
                    <w:textAlignment w:val="baseline"/>
                    <w:rPr>
                      <w:rFonts w:ascii="Times" w:hAnsi="Times" w:eastAsia="Batang"/>
                      <w:sz w:val="20"/>
                      <w:szCs w:val="24"/>
                    </w:rPr>
                  </w:pPr>
                  <w:r>
                    <w:rPr>
                      <w:rFonts w:ascii="Times" w:hAnsi="Times" w:eastAsia="Batang"/>
                      <w:sz w:val="20"/>
                      <w:szCs w:val="24"/>
                    </w:rPr>
                    <w:t>For each periodicity value Xp</w:t>
                  </w:r>
                </w:p>
                <w:p>
                  <w:pPr>
                    <w:widowControl w:val="0"/>
                    <w:numPr>
                      <w:ilvl w:val="3"/>
                      <w:numId w:val="28"/>
                    </w:numPr>
                    <w:overflowPunct w:val="0"/>
                    <w:textAlignment w:val="baseline"/>
                    <w:rPr>
                      <w:rFonts w:ascii="Times" w:hAnsi="Times" w:eastAsia="Batang"/>
                      <w:sz w:val="20"/>
                      <w:szCs w:val="24"/>
                      <w:lang w:val="nl-NL"/>
                    </w:rPr>
                  </w:pPr>
                  <w:r>
                    <w:rPr>
                      <w:rFonts w:ascii="Times" w:hAnsi="Times" w:eastAsia="Batang"/>
                      <w:sz w:val="20"/>
                      <w:szCs w:val="24"/>
                    </w:rPr>
                    <w:t xml:space="preserve">The value range for the offset O is </w:t>
                  </w:r>
                  <w:r>
                    <w:rPr>
                      <w:rFonts w:ascii="Times" w:hAnsi="Times" w:eastAsia="Batang"/>
                      <w:strike/>
                      <w:color w:val="FF0000"/>
                      <w:sz w:val="20"/>
                      <w:szCs w:val="24"/>
                    </w:rPr>
                    <w:t xml:space="preserve">{0 .. </w:t>
                  </w:r>
                  <w:r>
                    <w:rPr>
                      <w:rFonts w:ascii="Times" w:hAnsi="Times" w:eastAsia="Batang"/>
                      <w:strike/>
                      <w:color w:val="FF0000"/>
                      <w:sz w:val="20"/>
                      <w:szCs w:val="24"/>
                      <w:lang w:val="nl-NL"/>
                    </w:rPr>
                    <w:t>Xp-1}</w:t>
                  </w:r>
                  <w:r>
                    <w:rPr>
                      <w:rFonts w:ascii="Times" w:hAnsi="Times" w:eastAsia="Batang"/>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ctrlPr>
                                  <w:rPr>
                                    <w:rFonts w:ascii="Cambria Math" w:hAnsi="Cambria Math"/>
                                    <w:b/>
                                    <w:bCs/>
                                    <w:i/>
                                    <w:color w:val="FF0000"/>
                                  </w:rPr>
                                </m:ctrlPr>
                              </m:e>
                              <m:sub>
                                <m:r>
                                  <m:rPr>
                                    <m:sty m:val="bi"/>
                                  </m:rPr>
                                  <w:rPr>
                                    <w:rFonts w:ascii="Cambria Math" w:hAnsi="Cambria Math"/>
                                    <w:color w:val="FF0000"/>
                                  </w:rPr>
                                  <m:t>p</m:t>
                                </m:r>
                                <m:ctrlPr>
                                  <w:rPr>
                                    <w:rFonts w:ascii="Cambria Math" w:hAnsi="Cambria Math"/>
                                    <w:b/>
                                    <w:bCs/>
                                    <w:i/>
                                    <w:color w:val="FF0000"/>
                                  </w:rPr>
                                </m:ctrlP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ctrlPr>
                              <w:rPr>
                                <w:rFonts w:ascii="Cambria Math" w:hAnsi="Cambria Math"/>
                                <w:b/>
                                <w:bCs/>
                                <w:i/>
                                <w:color w:val="FF0000"/>
                              </w:rPr>
                            </m:ctrlPr>
                          </m:num>
                          <m:den>
                            <m:r>
                              <m:rPr>
                                <m:sty m:val="bi"/>
                              </m:rPr>
                              <w:rPr>
                                <w:rFonts w:ascii="Cambria Math" w:hAnsi="Cambria Math"/>
                                <w:color w:val="FF0000"/>
                              </w:rPr>
                              <m:t>4</m:t>
                            </m:r>
                            <m:ctrlPr>
                              <w:rPr>
                                <w:rFonts w:ascii="Cambria Math" w:hAnsi="Cambria Math"/>
                                <w:b/>
                                <w:bCs/>
                                <w:i/>
                                <w:color w:val="FF0000"/>
                              </w:rPr>
                            </m:ctrlPr>
                          </m:den>
                        </m:f>
                        <m:ctrlPr>
                          <w:rPr>
                            <w:rFonts w:ascii="Cambria Math" w:hAnsi="Cambria Math"/>
                            <w:b/>
                            <w:bCs/>
                            <w:i/>
                            <w:color w:val="FF0000"/>
                          </w:rPr>
                        </m:ctrlPr>
                      </m:e>
                    </m:d>
                  </m:oMath>
                  <w:r>
                    <w:rPr>
                      <w:rFonts w:ascii="Times" w:hAnsi="Times" w:eastAsia="Batang"/>
                      <w:color w:val="FF0000"/>
                      <w:sz w:val="20"/>
                      <w:szCs w:val="24"/>
                      <w:lang w:val="nl-NL"/>
                    </w:rPr>
                    <w:t xml:space="preserve">} </w:t>
                  </w:r>
                  <w:r>
                    <w:rPr>
                      <w:rFonts w:ascii="Times" w:hAnsi="Times" w:eastAsia="Batang"/>
                      <w:sz w:val="20"/>
                      <w:szCs w:val="24"/>
                      <w:lang w:val="nl-NL"/>
                    </w:rPr>
                    <w:t>slots</w:t>
                  </w:r>
                </w:p>
                <w:p>
                  <w:pPr>
                    <w:widowControl w:val="0"/>
                    <w:numPr>
                      <w:ilvl w:val="3"/>
                      <w:numId w:val="28"/>
                    </w:numPr>
                    <w:overflowPunct w:val="0"/>
                    <w:textAlignment w:val="baseline"/>
                    <w:rPr>
                      <w:rFonts w:ascii="Times" w:hAnsi="Times" w:eastAsia="Batang"/>
                      <w:sz w:val="20"/>
                      <w:szCs w:val="24"/>
                    </w:rPr>
                  </w:pPr>
                  <w:r>
                    <w:rPr>
                      <w:rFonts w:ascii="Times" w:hAnsi="Times" w:eastAsia="Batang"/>
                      <w:sz w:val="20"/>
                      <w:szCs w:val="24"/>
                    </w:rPr>
                    <w:t>Note: There may be no need to introduce the term "X</w:t>
                  </w:r>
                  <w:r>
                    <w:rPr>
                      <w:rFonts w:ascii="Times" w:hAnsi="Times" w:eastAsia="Batang"/>
                      <w:sz w:val="20"/>
                      <w:szCs w:val="24"/>
                      <w:vertAlign w:val="subscript"/>
                    </w:rPr>
                    <w:t>p</w:t>
                  </w:r>
                  <w:r>
                    <w:rPr>
                      <w:rFonts w:ascii="Times" w:hAnsi="Times" w:eastAsia="Batang"/>
                      <w:sz w:val="20"/>
                      <w:szCs w:val="24"/>
                    </w:rPr>
                    <w:t>" in the specifications</w:t>
                  </w:r>
                </w:p>
                <w:p>
                  <w:pPr>
                    <w:widowControl w:val="0"/>
                    <w:numPr>
                      <w:ilvl w:val="2"/>
                      <w:numId w:val="28"/>
                    </w:numPr>
                    <w:overflowPunct w:val="0"/>
                    <w:textAlignment w:val="baseline"/>
                    <w:rPr>
                      <w:rFonts w:ascii="Times" w:hAnsi="Times" w:eastAsia="Batang"/>
                      <w:sz w:val="20"/>
                      <w:szCs w:val="24"/>
                    </w:rPr>
                  </w:pPr>
                  <w:r>
                    <w:rPr>
                      <w:rFonts w:ascii="Times" w:hAnsi="Times" w:eastAsia="Batang"/>
                      <w:sz w:val="20"/>
                      <w:szCs w:val="24"/>
                    </w:rPr>
                    <w:t xml:space="preserve">The configured periodicity </w:t>
                  </w:r>
                  <w:r>
                    <w:rPr>
                      <w:rFonts w:ascii="Times" w:hAnsi="Times" w:eastAsia="Batang"/>
                      <w:strike/>
                      <w:color w:val="00B050"/>
                      <w:sz w:val="20"/>
                      <w:szCs w:val="24"/>
                    </w:rPr>
                    <w:t xml:space="preserve">at least for Group (1) SSs </w:t>
                  </w:r>
                  <w:r>
                    <w:rPr>
                      <w:rFonts w:ascii="Times" w:hAnsi="Times" w:eastAsia="Batang"/>
                      <w:sz w:val="20"/>
                      <w:szCs w:val="24"/>
                    </w:rPr>
                    <w:t>is restricted to be an integer multiple of Xs slots</w:t>
                  </w:r>
                </w:p>
                <w:p>
                  <w:pPr>
                    <w:widowControl w:val="0"/>
                    <w:numPr>
                      <w:ilvl w:val="2"/>
                      <w:numId w:val="28"/>
                    </w:numPr>
                    <w:overflowPunct w:val="0"/>
                    <w:textAlignment w:val="baseline"/>
                    <w:rPr>
                      <w:rFonts w:ascii="Times" w:hAnsi="Times" w:eastAsia="Batang"/>
                      <w:color w:val="FF0000"/>
                      <w:sz w:val="20"/>
                      <w:szCs w:val="24"/>
                    </w:rPr>
                  </w:pPr>
                  <w:r>
                    <w:rPr>
                      <w:rFonts w:ascii="Times" w:hAnsi="Times" w:eastAsia="Batang"/>
                      <w:color w:val="FF0000"/>
                      <w:sz w:val="20"/>
                      <w:szCs w:val="24"/>
                    </w:rPr>
                    <w:t>The configured offset</w:t>
                  </w:r>
                  <w:r>
                    <w:rPr>
                      <w:rFonts w:ascii="Times" w:hAnsi="Times" w:eastAsia="Batang"/>
                      <w:color w:val="00B050"/>
                      <w:sz w:val="20"/>
                      <w:szCs w:val="24"/>
                    </w:rPr>
                    <w:t xml:space="preserve"> </w:t>
                  </w:r>
                  <w:r>
                    <w:rPr>
                      <w:rFonts w:ascii="Times" w:hAnsi="Times" w:eastAsia="Batang"/>
                      <w:color w:val="FF0000"/>
                      <w:sz w:val="20"/>
                      <w:szCs w:val="24"/>
                    </w:rPr>
                    <w:t>is restricted to be an integer multiple of Xs slots</w:t>
                  </w:r>
                </w:p>
                <w:p>
                  <w:pPr>
                    <w:widowControl w:val="0"/>
                    <w:numPr>
                      <w:ilvl w:val="2"/>
                      <w:numId w:val="28"/>
                    </w:numPr>
                    <w:overflowPunct w:val="0"/>
                    <w:textAlignment w:val="baseline"/>
                    <w:rPr>
                      <w:rFonts w:ascii="Times" w:hAnsi="Times" w:eastAsia="Batang"/>
                      <w:strike/>
                      <w:color w:val="FF0000"/>
                      <w:sz w:val="20"/>
                      <w:szCs w:val="24"/>
                    </w:rPr>
                  </w:pPr>
                  <w:r>
                    <w:rPr>
                      <w:rFonts w:ascii="Times" w:hAnsi="Times" w:eastAsia="Batang"/>
                      <w:strike/>
                      <w:color w:val="FF0000"/>
                      <w:sz w:val="20"/>
                      <w:szCs w:val="24"/>
                    </w:rPr>
                    <w:t>FFS: details of offset</w:t>
                  </w:r>
                </w:p>
                <w:p>
                  <w:pPr>
                    <w:widowControl w:val="0"/>
                    <w:numPr>
                      <w:ilvl w:val="1"/>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For </w:t>
                  </w:r>
                  <w:r>
                    <w:rPr>
                      <w:rFonts w:ascii="Times" w:hAnsi="Times" w:eastAsia="Batang"/>
                      <w:i/>
                      <w:iCs/>
                      <w:color w:val="000000"/>
                      <w:sz w:val="20"/>
                      <w:szCs w:val="24"/>
                    </w:rPr>
                    <w:t>duration-r17</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The values represent slots</w:t>
                  </w:r>
                </w:p>
                <w:p>
                  <w:pPr>
                    <w:widowControl w:val="0"/>
                    <w:numPr>
                      <w:ilvl w:val="2"/>
                      <w:numId w:val="28"/>
                    </w:numPr>
                    <w:overflowPunct w:val="0"/>
                    <w:textAlignment w:val="baseline"/>
                    <w:rPr>
                      <w:rFonts w:ascii="Times" w:hAnsi="Times" w:eastAsia="Batang"/>
                      <w:color w:val="FF0000"/>
                      <w:sz w:val="20"/>
                      <w:szCs w:val="24"/>
                    </w:rPr>
                  </w:pPr>
                  <w:r>
                    <w:rPr>
                      <w:rFonts w:ascii="Times" w:hAnsi="Times" w:eastAsia="Batang"/>
                      <w:color w:val="000000"/>
                      <w:sz w:val="20"/>
                      <w:szCs w:val="24"/>
                    </w:rPr>
                    <w:t>The value range is {8, 12, …, 20476}</w:t>
                  </w:r>
                  <w:r>
                    <w:rPr>
                      <w:rFonts w:ascii="Times" w:hAnsi="Times" w:eastAsia="Batang"/>
                      <w:strike/>
                      <w:color w:val="FF0000"/>
                      <w:sz w:val="20"/>
                      <w:szCs w:val="24"/>
                    </w:rPr>
                    <w:t xml:space="preserve"> at least for Group (1) SSs</w:t>
                  </w:r>
                </w:p>
                <w:p>
                  <w:pPr>
                    <w:widowControl w:val="0"/>
                    <w:numPr>
                      <w:ilvl w:val="3"/>
                      <w:numId w:val="28"/>
                    </w:numPr>
                    <w:overflowPunct w:val="0"/>
                    <w:textAlignment w:val="baseline"/>
                    <w:rPr>
                      <w:rFonts w:ascii="Times" w:hAnsi="Times" w:eastAsia="Batang"/>
                      <w:color w:val="00B050"/>
                      <w:sz w:val="20"/>
                      <w:szCs w:val="24"/>
                    </w:rPr>
                  </w:pPr>
                  <w:r>
                    <w:rPr>
                      <w:rFonts w:ascii="Times" w:hAnsi="Times"/>
                      <w:color w:val="00B050"/>
                      <w:sz w:val="20"/>
                      <w:szCs w:val="24"/>
                    </w:rPr>
                    <w:t>Value of duration-r17 should be 4 if this field is absent</w:t>
                  </w:r>
                </w:p>
                <w:p>
                  <w:pPr>
                    <w:widowControl w:val="0"/>
                    <w:numPr>
                      <w:ilvl w:val="2"/>
                      <w:numId w:val="28"/>
                    </w:numPr>
                    <w:overflowPunct w:val="0"/>
                    <w:textAlignment w:val="baseline"/>
                    <w:rPr>
                      <w:rFonts w:ascii="Times" w:hAnsi="Times" w:eastAsia="Batang"/>
                      <w:sz w:val="20"/>
                      <w:szCs w:val="24"/>
                    </w:rPr>
                  </w:pPr>
                  <w:r>
                    <w:rPr>
                      <w:rFonts w:ascii="Times" w:hAnsi="Times" w:eastAsia="Batang"/>
                      <w:color w:val="000000"/>
                      <w:sz w:val="20"/>
                      <w:szCs w:val="24"/>
                    </w:rPr>
                    <w:t>The configured duration is restricted to be an integer multiple of Xs slots</w:t>
                  </w:r>
                  <w:r>
                    <w:rPr>
                      <w:rFonts w:ascii="Times" w:hAnsi="Times" w:eastAsia="Batang"/>
                      <w:sz w:val="20"/>
                      <w:szCs w:val="24"/>
                    </w:rPr>
                    <w:t xml:space="preserve"> </w:t>
                  </w:r>
                  <w:r>
                    <w:rPr>
                      <w:rFonts w:ascii="Times" w:hAnsi="Times" w:eastAsia="Batang"/>
                      <w:strike/>
                      <w:sz w:val="20"/>
                      <w:szCs w:val="24"/>
                      <w:shd w:val="clear" w:color="auto" w:fill="00B0F0"/>
                    </w:rPr>
                    <w:t>at least for Group (1) SSs</w:t>
                  </w:r>
                </w:p>
                <w:p>
                  <w:pPr>
                    <w:widowControl w:val="0"/>
                    <w:numPr>
                      <w:ilvl w:val="2"/>
                      <w:numId w:val="28"/>
                    </w:numPr>
                    <w:shd w:val="clear" w:color="auto" w:fill="00B0F0"/>
                    <w:overflowPunct w:val="0"/>
                    <w:textAlignment w:val="baseline"/>
                    <w:rPr>
                      <w:rFonts w:ascii="Times" w:hAnsi="Times" w:eastAsia="Batang"/>
                      <w:strike/>
                      <w:color w:val="FF0000"/>
                      <w:sz w:val="20"/>
                      <w:szCs w:val="24"/>
                    </w:rPr>
                  </w:pPr>
                  <w:r>
                    <w:rPr>
                      <w:rFonts w:ascii="Times" w:hAnsi="Times"/>
                      <w:strike/>
                      <w:color w:val="FF0000"/>
                      <w:sz w:val="20"/>
                      <w:szCs w:val="24"/>
                    </w:rPr>
                    <w:t xml:space="preserve">This field indicates the number of consecutive slots where a </w:t>
                  </w:r>
                  <w:r>
                    <w:rPr>
                      <w:rFonts w:ascii="Times" w:hAnsi="Times"/>
                      <w:i/>
                      <w:iCs/>
                      <w:strike/>
                      <w:color w:val="FF0000"/>
                      <w:sz w:val="20"/>
                      <w:szCs w:val="24"/>
                    </w:rPr>
                    <w:t>SearchSpace</w:t>
                  </w:r>
                  <w:r>
                    <w:rPr>
                      <w:rFonts w:ascii="Times" w:hAnsi="Times"/>
                      <w:strike/>
                      <w:color w:val="FF0000"/>
                      <w:sz w:val="20"/>
                      <w:szCs w:val="24"/>
                    </w:rPr>
                    <w:t xml:space="preserve"> exists.</w:t>
                  </w:r>
                </w:p>
                <w:p>
                  <w:pPr>
                    <w:widowControl w:val="0"/>
                    <w:numPr>
                      <w:ilvl w:val="2"/>
                      <w:numId w:val="28"/>
                    </w:numPr>
                    <w:overflowPunct w:val="0"/>
                    <w:textAlignment w:val="baseline"/>
                    <w:rPr>
                      <w:rFonts w:ascii="Times" w:hAnsi="Times" w:eastAsia="Batang"/>
                      <w:strike/>
                      <w:color w:val="FF0000"/>
                      <w:sz w:val="20"/>
                      <w:szCs w:val="24"/>
                    </w:rPr>
                  </w:pPr>
                  <w:r>
                    <w:rPr>
                      <w:rFonts w:ascii="Times" w:hAnsi="Times" w:eastAsia="Batang"/>
                      <w:strike/>
                      <w:color w:val="FF0000"/>
                      <w:sz w:val="20"/>
                      <w:szCs w:val="24"/>
                    </w:rPr>
                    <w:t xml:space="preserve">FFS: need to revise the definition of </w:t>
                  </w:r>
                  <w:r>
                    <w:rPr>
                      <w:rFonts w:ascii="Times" w:hAnsi="Times" w:eastAsia="Batang"/>
                      <w:i/>
                      <w:strike/>
                      <w:color w:val="FF0000"/>
                      <w:sz w:val="20"/>
                      <w:szCs w:val="24"/>
                    </w:rPr>
                    <w:t>duration</w:t>
                  </w:r>
                </w:p>
                <w:p>
                  <w:pPr>
                    <w:widowControl w:val="0"/>
                    <w:numPr>
                      <w:ilvl w:val="2"/>
                      <w:numId w:val="28"/>
                    </w:numPr>
                    <w:overflowPunct w:val="0"/>
                    <w:textAlignment w:val="baseline"/>
                    <w:rPr>
                      <w:rFonts w:ascii="Times" w:hAnsi="Times" w:eastAsia="Batang"/>
                      <w:color w:val="00B050"/>
                      <w:sz w:val="20"/>
                      <w:szCs w:val="24"/>
                    </w:rPr>
                  </w:pPr>
                  <w:r>
                    <w:rPr>
                      <w:rFonts w:ascii="Times" w:hAnsi="Times" w:eastAsia="Batang"/>
                      <w:i/>
                      <w:iCs/>
                      <w:color w:val="00B050"/>
                      <w:sz w:val="20"/>
                      <w:szCs w:val="24"/>
                    </w:rPr>
                    <w:t>duration-r17</w:t>
                  </w:r>
                  <w:r>
                    <w:rPr>
                      <w:rFonts w:ascii="Times" w:hAnsi="Times" w:eastAsia="Batang"/>
                      <w:color w:val="00B050"/>
                      <w:sz w:val="20"/>
                      <w:szCs w:val="24"/>
                    </w:rPr>
                    <w:t xml:space="preserve"> is the total number of slots in consecutive grou</w:t>
                  </w:r>
                  <w:r>
                    <w:rPr>
                      <w:rFonts w:ascii="Times" w:hAnsi="Times" w:eastAsia="Batang"/>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ctrlPr>
                          <w:rPr>
                            <w:rFonts w:ascii="Cambria Math" w:hAnsi="Cambria Math"/>
                            <w:color w:val="00B050"/>
                            <w:sz w:val="20"/>
                            <w:szCs w:val="20"/>
                          </w:rPr>
                        </m:ctrlPr>
                      </m:e>
                      <m:sub>
                        <m:r>
                          <m:rPr>
                            <m:sty m:val="p"/>
                          </m:rPr>
                          <w:rPr>
                            <w:rFonts w:ascii="Cambria Math" w:hAnsi="Cambria Math"/>
                            <w:color w:val="00B050"/>
                            <w:sz w:val="20"/>
                            <w:szCs w:val="20"/>
                          </w:rPr>
                          <m:t>s</m:t>
                        </m:r>
                        <m:ctrlPr>
                          <w:rPr>
                            <w:rFonts w:ascii="Cambria Math" w:hAnsi="Cambria Math"/>
                            <w:color w:val="00B050"/>
                            <w:sz w:val="20"/>
                            <w:szCs w:val="20"/>
                          </w:rPr>
                        </m:ctrlPr>
                      </m:sub>
                    </m:sSub>
                  </m:oMath>
                  <w:r>
                    <w:rPr>
                      <w:rFonts w:ascii="Times" w:hAnsi="Times" w:eastAsia="Batang"/>
                      <w:color w:val="00B050"/>
                      <w:sz w:val="20"/>
                      <w:szCs w:val="20"/>
                    </w:rPr>
                    <w:t xml:space="preserve"> slots that </w:t>
                  </w:r>
                  <w:r>
                    <w:rPr>
                      <w:rFonts w:ascii="Times" w:hAnsi="Times" w:eastAsia="Batang"/>
                      <w:color w:val="00B050"/>
                      <w:sz w:val="20"/>
                      <w:szCs w:val="24"/>
                    </w:rPr>
                    <w:t xml:space="preserve">a Search Space lasts in every occasion as given by </w:t>
                  </w:r>
                  <w:r>
                    <w:rPr>
                      <w:rFonts w:ascii="Times" w:hAnsi="Times" w:eastAsia="Batang"/>
                      <w:i/>
                      <w:iCs/>
                      <w:color w:val="00B050"/>
                      <w:sz w:val="20"/>
                      <w:szCs w:val="24"/>
                    </w:rPr>
                    <w:t>monitoringPeriodicityAndOffset-r17</w:t>
                  </w:r>
                </w:p>
                <w:p>
                  <w:pPr>
                    <w:widowControl w:val="0"/>
                    <w:numPr>
                      <w:ilvl w:val="0"/>
                      <w:numId w:val="28"/>
                    </w:numPr>
                    <w:overflowPunct w:val="0"/>
                    <w:textAlignment w:val="baseline"/>
                    <w:rPr>
                      <w:rFonts w:ascii="Times" w:hAnsi="Times" w:eastAsia="Batang"/>
                      <w:sz w:val="20"/>
                      <w:szCs w:val="24"/>
                    </w:rPr>
                  </w:pPr>
                  <w:r>
                    <w:rPr>
                      <w:rFonts w:ascii="Times" w:hAnsi="Times" w:eastAsia="Batang"/>
                      <w:i/>
                      <w:iCs/>
                      <w:sz w:val="20"/>
                      <w:szCs w:val="24"/>
                    </w:rPr>
                    <w:t xml:space="preserve">monitoringSymbolsWithinSlot </w:t>
                  </w:r>
                  <w:r>
                    <w:rPr>
                      <w:rFonts w:ascii="Times" w:hAnsi="Times" w:eastAsia="Batang"/>
                      <w:sz w:val="20"/>
                      <w:szCs w:val="24"/>
                    </w:rPr>
                    <w:t>applies to each slot in a slot group configured for multi-slot PDCCH monitoring</w:t>
                  </w:r>
                </w:p>
                <w:p>
                  <w:pPr>
                    <w:widowControl w:val="0"/>
                    <w:numPr>
                      <w:ilvl w:val="1"/>
                      <w:numId w:val="28"/>
                    </w:numPr>
                    <w:overflowPunct w:val="0"/>
                    <w:textAlignment w:val="baseline"/>
                    <w:rPr>
                      <w:rFonts w:ascii="Times" w:hAnsi="Times" w:eastAsia="Batang"/>
                      <w:sz w:val="20"/>
                      <w:szCs w:val="24"/>
                    </w:rPr>
                  </w:pPr>
                  <w:r>
                    <w:rPr>
                      <w:rFonts w:ascii="Times" w:hAnsi="Times" w:eastAsia="Batang"/>
                      <w:sz w:val="20"/>
                      <w:szCs w:val="24"/>
                    </w:rPr>
                    <w:t>Note: This parameter can be directly re-used from earlier releases.</w:t>
                  </w:r>
                </w:p>
                <w:p>
                  <w:pPr>
                    <w:widowControl w:val="0"/>
                    <w:numPr>
                      <w:ilvl w:val="0"/>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Introduce new parameter </w:t>
                  </w:r>
                  <w:r>
                    <w:rPr>
                      <w:rFonts w:ascii="Times" w:hAnsi="Times" w:eastAsia="Batang"/>
                      <w:i/>
                      <w:iCs/>
                      <w:color w:val="000000"/>
                      <w:sz w:val="20"/>
                      <w:szCs w:val="24"/>
                    </w:rPr>
                    <w:t>monitoringSlotsWithinSlotGroup-r17</w:t>
                  </w:r>
                </w:p>
                <w:p>
                  <w:pPr>
                    <w:widowControl w:val="0"/>
                    <w:numPr>
                      <w:ilvl w:val="1"/>
                      <w:numId w:val="28"/>
                    </w:numPr>
                    <w:overflowPunct w:val="0"/>
                    <w:textAlignment w:val="baseline"/>
                    <w:rPr>
                      <w:rFonts w:ascii="Times" w:hAnsi="Times" w:eastAsia="Batang"/>
                      <w:strike/>
                      <w:color w:val="000000"/>
                      <w:sz w:val="20"/>
                      <w:szCs w:val="24"/>
                    </w:rPr>
                  </w:pPr>
                  <w:r>
                    <w:rPr>
                      <w:rFonts w:ascii="Times" w:hAnsi="Times" w:eastAsia="Batang"/>
                      <w:strike/>
                      <w:color w:val="FF0000"/>
                      <w:sz w:val="20"/>
                      <w:szCs w:val="24"/>
                      <w:highlight w:val="darkYellow"/>
                    </w:rPr>
                    <w:t>Working assumption</w:t>
                  </w:r>
                  <w:r>
                    <w:rPr>
                      <w:rFonts w:ascii="Times" w:hAnsi="Times" w:eastAsia="Batang"/>
                      <w:strike/>
                      <w:color w:val="FF0000"/>
                      <w:sz w:val="20"/>
                      <w:szCs w:val="24"/>
                    </w:rPr>
                    <w:t>:</w:t>
                  </w:r>
                </w:p>
                <w:p>
                  <w:pPr>
                    <w:widowControl w:val="0"/>
                    <w:numPr>
                      <w:ilvl w:val="2"/>
                      <w:numId w:val="28"/>
                    </w:numPr>
                    <w:overflowPunct w:val="0"/>
                    <w:textAlignment w:val="baseline"/>
                    <w:rPr>
                      <w:rFonts w:ascii="Times" w:hAnsi="Times" w:eastAsia="Batang"/>
                      <w:strike/>
                      <w:color w:val="000000"/>
                      <w:sz w:val="20"/>
                      <w:szCs w:val="24"/>
                    </w:rPr>
                  </w:pPr>
                  <w:r>
                    <w:rPr>
                      <w:rFonts w:ascii="Times" w:hAnsi="Times" w:eastAsia="Batang"/>
                      <w:strike/>
                      <w:color w:val="FF0000"/>
                      <w:sz w:val="20"/>
                      <w:szCs w:val="24"/>
                    </w:rPr>
                    <w:t>The size is 8 bits</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FF0000"/>
                      <w:sz w:val="20"/>
                      <w:szCs w:val="24"/>
                    </w:rPr>
                    <w:t>The size is Xs bits, where Xs is either 4 or 8</w:t>
                  </w:r>
                </w:p>
                <w:p>
                  <w:pPr>
                    <w:widowControl w:val="0"/>
                    <w:numPr>
                      <w:ilvl w:val="2"/>
                      <w:numId w:val="28"/>
                    </w:numPr>
                    <w:shd w:val="clear" w:color="auto" w:fill="00B0F0"/>
                    <w:overflowPunct w:val="0"/>
                    <w:textAlignment w:val="baseline"/>
                    <w:rPr>
                      <w:rFonts w:ascii="Times" w:hAnsi="Times" w:eastAsia="Batang"/>
                      <w:color w:val="000000"/>
                      <w:sz w:val="20"/>
                      <w:szCs w:val="24"/>
                    </w:rPr>
                  </w:pPr>
                  <w:r>
                    <w:rPr>
                      <w:rFonts w:ascii="Times" w:hAnsi="Times" w:eastAsia="Batang"/>
                      <w:sz w:val="20"/>
                      <w:szCs w:val="24"/>
                    </w:rPr>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is independent from the size of </w:t>
                  </w:r>
                  <w:r>
                    <w:rPr>
                      <w:rFonts w:ascii="Times" w:hAnsi="Times" w:eastAsia="Batang"/>
                      <w:i/>
                      <w:iCs/>
                      <w:color w:val="000000"/>
                      <w:sz w:val="20"/>
                      <w:szCs w:val="24"/>
                    </w:rPr>
                    <w:t>monitoringSlotsWithinSlotGroup-r17</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Each bit in </w:t>
                  </w:r>
                  <w:r>
                    <w:rPr>
                      <w:rFonts w:ascii="Times" w:hAnsi="Times" w:eastAsia="Batang"/>
                      <w:i/>
                      <w:iCs/>
                      <w:color w:val="000000"/>
                      <w:sz w:val="20"/>
                      <w:szCs w:val="24"/>
                    </w:rPr>
                    <w:t>monitoringSlotsWithinSlotGroup-r17</w:t>
                  </w:r>
                  <w:r>
                    <w:rPr>
                      <w:rFonts w:ascii="Times" w:hAnsi="Times" w:eastAsia="Batang"/>
                      <w:color w:val="000000"/>
                      <w:sz w:val="20"/>
                      <w:szCs w:val="24"/>
                    </w:rPr>
                    <w:t xml:space="preserve"> represents a slot in a slot group</w:t>
                  </w:r>
                </w:p>
                <w:p>
                  <w:pPr>
                    <w:widowControl w:val="0"/>
                    <w:numPr>
                      <w:ilvl w:val="2"/>
                      <w:numId w:val="28"/>
                    </w:numPr>
                    <w:overflowPunct w:val="0"/>
                    <w:textAlignment w:val="baseline"/>
                    <w:rPr>
                      <w:rFonts w:ascii="Times" w:hAnsi="Times" w:eastAsia="Batang"/>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hAnsi="Times" w:eastAsia="Batang"/>
                      <w:i/>
                      <w:iCs/>
                      <w:color w:val="FF0000"/>
                      <w:sz w:val="20"/>
                      <w:szCs w:val="24"/>
                    </w:rPr>
                    <w:t>duration-r17</w:t>
                  </w:r>
                  <w:r>
                    <w:rPr>
                      <w:rFonts w:ascii="Times" w:hAnsi="Times"/>
                      <w:color w:val="FF0000"/>
                      <w:sz w:val="20"/>
                      <w:szCs w:val="24"/>
                    </w:rPr>
                    <w:t>.</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A slot in the slot group is configured for multi-slot PDCCH monitoring if the corresponding bit in the slot group is set to '1'</w:t>
                  </w:r>
                </w:p>
                <w:p>
                  <w:pPr>
                    <w:widowControl w:val="0"/>
                    <w:numPr>
                      <w:ilvl w:val="3"/>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Note: Further configuration of the monitoring symbols in such a slot is done by </w:t>
                  </w:r>
                  <w:r>
                    <w:rPr>
                      <w:rFonts w:ascii="Times" w:hAnsi="Times" w:eastAsia="Batang"/>
                      <w:i/>
                      <w:iCs/>
                      <w:color w:val="000000"/>
                      <w:sz w:val="20"/>
                      <w:szCs w:val="24"/>
                    </w:rPr>
                    <w:t>monitoringSymbolsWithinSlot</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The</w:t>
                  </w:r>
                  <w:r>
                    <w:rPr>
                      <w:rFonts w:hint="eastAsia" w:ascii="Times" w:hAnsi="Times" w:eastAsia="Batang"/>
                      <w:color w:val="000000"/>
                      <w:sz w:val="20"/>
                      <w:szCs w:val="24"/>
                    </w:rPr>
                    <w:t xml:space="preserve"> </w:t>
                  </w:r>
                  <w:r>
                    <w:rPr>
                      <w:rFonts w:ascii="Times" w:hAnsi="Times" w:eastAsia="Batang"/>
                      <w:color w:val="000000"/>
                      <w:sz w:val="20"/>
                      <w:szCs w:val="24"/>
                    </w:rPr>
                    <w:t>slo</w:t>
                  </w:r>
                  <w:r>
                    <w:rPr>
                      <w:rFonts w:ascii="Times" w:hAnsi="Times" w:eastAsia="Batang"/>
                      <w:sz w:val="20"/>
                      <w:szCs w:val="24"/>
                    </w:rPr>
                    <w:t>ts indicated in the bitmap sh</w:t>
                  </w:r>
                  <w:r>
                    <w:rPr>
                      <w:rFonts w:ascii="Times" w:hAnsi="Times" w:eastAsia="Batang"/>
                      <w:color w:val="000000"/>
                      <w:sz w:val="20"/>
                      <w:szCs w:val="24"/>
                    </w:rPr>
                    <w:t>ould be consecutive</w:t>
                  </w:r>
                  <w:r>
                    <w:rPr>
                      <w:rFonts w:ascii="Times" w:hAnsi="Times" w:eastAsia="Batang"/>
                      <w:sz w:val="20"/>
                      <w:szCs w:val="24"/>
                    </w:rPr>
                    <w:t xml:space="preserve"> </w:t>
                  </w:r>
                  <w:r>
                    <w:rPr>
                      <w:rFonts w:ascii="Times" w:hAnsi="Times" w:eastAsia="Batang"/>
                      <w:color w:val="00B050"/>
                      <w:sz w:val="20"/>
                      <w:szCs w:val="24"/>
                    </w:rPr>
                    <w:t xml:space="preserve">per slot group </w:t>
                  </w:r>
                  <w:r>
                    <w:rPr>
                      <w:rFonts w:ascii="Times" w:hAnsi="Times" w:eastAsia="Batang"/>
                      <w:strike/>
                      <w:color w:val="FF0000"/>
                      <w:sz w:val="20"/>
                      <w:szCs w:val="24"/>
                    </w:rPr>
                    <w:t xml:space="preserve">at least </w:t>
                  </w:r>
                  <w:r>
                    <w:rPr>
                      <w:rFonts w:ascii="Times" w:hAnsi="Times" w:eastAsia="Batang"/>
                      <w:sz w:val="20"/>
                      <w:szCs w:val="24"/>
                    </w:rPr>
                    <w:t>for Group (1) SSs</w:t>
                  </w:r>
                </w:p>
                <w:p>
                  <w:pPr>
                    <w:widowControl w:val="0"/>
                    <w:numPr>
                      <w:ilvl w:val="2"/>
                      <w:numId w:val="28"/>
                    </w:numPr>
                    <w:overflowPunct w:val="0"/>
                    <w:textAlignment w:val="baseline"/>
                    <w:rPr>
                      <w:rFonts w:ascii="Times" w:hAnsi="Times" w:eastAsia="Batang"/>
                      <w:color w:val="00B050"/>
                      <w:sz w:val="20"/>
                      <w:szCs w:val="24"/>
                    </w:rPr>
                  </w:pPr>
                  <w:r>
                    <w:rPr>
                      <w:rFonts w:ascii="Times" w:hAnsi="Times" w:eastAsia="Batang"/>
                      <w:color w:val="00B050"/>
                      <w:sz w:val="20"/>
                      <w:szCs w:val="24"/>
                    </w:rPr>
                    <w:t>The slots indicated in the bitmap are not restricted to be consecutive for Group (2) SSs</w:t>
                  </w:r>
                </w:p>
                <w:p>
                  <w:pPr>
                    <w:widowControl w:val="0"/>
                    <w:numPr>
                      <w:ilvl w:val="2"/>
                      <w:numId w:val="28"/>
                    </w:numPr>
                    <w:overflowPunct w:val="0"/>
                    <w:textAlignment w:val="baseline"/>
                    <w:rPr>
                      <w:rFonts w:ascii="Times" w:hAnsi="Times" w:eastAsia="Batang"/>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ctrlPr>
                          <w:rPr>
                            <w:rFonts w:ascii="Cambria Math" w:hAnsi="Cambria Math"/>
                            <w:bCs/>
                            <w:i/>
                            <w:color w:val="FF0000"/>
                            <w:sz w:val="20"/>
                            <w:szCs w:val="20"/>
                          </w:rPr>
                        </m:ctrlPr>
                      </m:e>
                      <m:sub>
                        <m:r>
                          <w:rPr>
                            <w:rFonts w:ascii="Cambria Math" w:hAnsi="Cambria Math"/>
                            <w:color w:val="FF0000"/>
                            <w:sz w:val="20"/>
                            <w:szCs w:val="20"/>
                          </w:rPr>
                          <m:t>s</m:t>
                        </m:r>
                        <m:ctrlPr>
                          <w:rPr>
                            <w:rFonts w:ascii="Cambria Math" w:hAnsi="Cambria Math"/>
                            <w:bCs/>
                            <w:i/>
                            <w:color w:val="FF0000"/>
                            <w:sz w:val="20"/>
                            <w:szCs w:val="20"/>
                          </w:rPr>
                        </m:ctrlPr>
                      </m:sub>
                    </m:sSub>
                  </m:oMath>
                  <w:r>
                    <w:rPr>
                      <w:bCs/>
                      <w:color w:val="FF0000"/>
                      <w:sz w:val="20"/>
                      <w:szCs w:val="20"/>
                    </w:rPr>
                    <w:t xml:space="preserve"> </w:t>
                  </w:r>
                  <w:r>
                    <w:rPr>
                      <w:rFonts w:ascii="Times" w:hAnsi="Times" w:eastAsia="Batang"/>
                      <w:strike/>
                      <w:color w:val="FF0000"/>
                      <w:sz w:val="20"/>
                      <w:szCs w:val="24"/>
                    </w:rPr>
                    <w:t xml:space="preserve">at least </w:t>
                  </w:r>
                  <w:r>
                    <w:rPr>
                      <w:rFonts w:ascii="Times" w:hAnsi="Times" w:eastAsia="Batang"/>
                      <w:color w:val="FF0000"/>
                      <w:sz w:val="20"/>
                      <w:szCs w:val="24"/>
                    </w:rPr>
                    <w:t>for Group (1) SSs</w:t>
                  </w:r>
                </w:p>
                <w:p>
                  <w:pPr>
                    <w:widowControl w:val="0"/>
                    <w:numPr>
                      <w:ilvl w:val="2"/>
                      <w:numId w:val="28"/>
                    </w:numPr>
                    <w:overflowPunct w:val="0"/>
                    <w:textAlignment w:val="baseline"/>
                    <w:rPr>
                      <w:rFonts w:ascii="Times" w:hAnsi="Times" w:eastAsia="Batang"/>
                      <w:color w:val="00B050"/>
                      <w:sz w:val="20"/>
                      <w:szCs w:val="24"/>
                    </w:rPr>
                  </w:pPr>
                  <w:r>
                    <w:rPr>
                      <w:rFonts w:ascii="Times" w:hAnsi="Times" w:eastAsia="Batang"/>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ctrlPr>
                          <w:rPr>
                            <w:rFonts w:ascii="Cambria Math" w:hAnsi="Cambria Math"/>
                            <w:bCs/>
                            <w:i/>
                            <w:color w:val="00B050"/>
                            <w:sz w:val="20"/>
                            <w:szCs w:val="20"/>
                          </w:rPr>
                        </m:ctrlPr>
                      </m:e>
                      <m:sub>
                        <m:r>
                          <w:rPr>
                            <w:rFonts w:ascii="Cambria Math" w:hAnsi="Cambria Math"/>
                            <w:color w:val="00B050"/>
                            <w:sz w:val="20"/>
                            <w:szCs w:val="20"/>
                          </w:rPr>
                          <m:t>s</m:t>
                        </m:r>
                        <m:ctrlPr>
                          <w:rPr>
                            <w:rFonts w:ascii="Cambria Math" w:hAnsi="Cambria Math"/>
                            <w:bCs/>
                            <w:i/>
                            <w:color w:val="00B050"/>
                            <w:sz w:val="20"/>
                            <w:szCs w:val="20"/>
                          </w:rPr>
                        </m:ctrlPr>
                      </m:sub>
                    </m:sSub>
                  </m:oMath>
                  <w:r>
                    <w:rPr>
                      <w:bCs/>
                      <w:color w:val="00B050"/>
                      <w:sz w:val="20"/>
                      <w:szCs w:val="20"/>
                    </w:rPr>
                    <w:t xml:space="preserve"> </w:t>
                  </w:r>
                  <w:r>
                    <w:rPr>
                      <w:rFonts w:ascii="Times" w:hAnsi="Times" w:eastAsia="Batang"/>
                      <w:color w:val="00B050"/>
                      <w:sz w:val="20"/>
                      <w:szCs w:val="24"/>
                    </w:rPr>
                    <w:t>for Group (2) SSs</w:t>
                  </w:r>
                </w:p>
                <w:p>
                  <w:pPr>
                    <w:widowControl w:val="0"/>
                    <w:numPr>
                      <w:ilvl w:val="2"/>
                      <w:numId w:val="28"/>
                    </w:numPr>
                    <w:overflowPunct w:val="0"/>
                    <w:textAlignment w:val="baseline"/>
                    <w:rPr>
                      <w:rFonts w:ascii="Times" w:hAnsi="Times" w:eastAsia="Batang"/>
                      <w:strike/>
                      <w:color w:val="FF0000"/>
                      <w:sz w:val="20"/>
                      <w:szCs w:val="24"/>
                    </w:rPr>
                  </w:pPr>
                  <w:r>
                    <w:rPr>
                      <w:rFonts w:ascii="Times" w:hAnsi="Times"/>
                      <w:strike/>
                      <w:color w:val="FF0000"/>
                      <w:sz w:val="20"/>
                      <w:szCs w:val="24"/>
                    </w:rPr>
                    <w:t>FFS: Applicable value if this field is absent</w:t>
                  </w:r>
                </w:p>
              </w:tc>
            </w:tr>
          </w:tbl>
          <w:p>
            <w:pPr>
              <w:widowControl w:val="0"/>
              <w:overflowPunct w:val="0"/>
              <w:ind w:left="720"/>
              <w:textAlignment w:val="baseline"/>
              <w:rPr>
                <w:rFonts w:ascii="Times" w:hAnsi="Times" w:eastAsia="Batang"/>
                <w:sz w:val="20"/>
                <w:szCs w:val="24"/>
              </w:rPr>
            </w:pPr>
          </w:p>
          <w:p>
            <w:pPr>
              <w:widowControl w:val="0"/>
              <w:overflowPunct w:val="0"/>
              <w:textAlignment w:val="baseline"/>
              <w:rPr>
                <w:lang w:eastAsia="zh-CN"/>
              </w:rPr>
            </w:pPr>
            <w:r>
              <w:rPr>
                <w:rFonts w:ascii="Times" w:hAnsi="Times" w:eastAsia="Batang"/>
                <w:sz w:val="20"/>
                <w:szCs w:val="24"/>
              </w:rPr>
              <w:t>Moderator: Your modifications look fine to me, I would like to hear a few more comments before consolidating to a revised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lang w:eastAsia="zh-CN"/>
              </w:rPr>
              <w:t xml:space="preserve">We are generally ok with Proposal A2-1.1a except for the default value of </w:t>
            </w:r>
            <w:r>
              <w:rPr>
                <w:rFonts w:hint="eastAsia"/>
                <w:i/>
                <w:iCs/>
                <w:lang w:eastAsia="zh-CN"/>
              </w:rPr>
              <w:t>duration-r17</w:t>
            </w:r>
            <w:r>
              <w:rPr>
                <w:rFonts w:hint="eastAsia"/>
                <w:lang w:eastAsia="zh-CN"/>
              </w:rPr>
              <w:t>.</w:t>
            </w:r>
          </w:p>
          <w:p>
            <w:pPr>
              <w:widowControl w:val="0"/>
              <w:rPr>
                <w:sz w:val="21"/>
                <w:szCs w:val="21"/>
                <w:lang w:eastAsia="zh-CN"/>
              </w:rPr>
            </w:pPr>
            <w:r>
              <w:rPr>
                <w:sz w:val="21"/>
                <w:szCs w:val="21"/>
                <w:lang w:eastAsia="zh-CN"/>
              </w:rPr>
              <w:t xml:space="preserve">In the curren specification of TS 38.331 for </w:t>
            </w:r>
            <w:r>
              <w:rPr>
                <w:i/>
                <w:iCs/>
                <w:sz w:val="21"/>
                <w:szCs w:val="21"/>
                <w:lang w:eastAsia="zh-CN"/>
              </w:rPr>
              <w:t>duration</w:t>
            </w:r>
            <w:r>
              <w:rPr>
                <w:rFonts w:hint="eastAsia"/>
                <w:sz w:val="21"/>
                <w:szCs w:val="21"/>
                <w:lang w:eastAsia="zh-CN"/>
              </w:rPr>
              <w:t xml:space="preserve">: </w:t>
            </w:r>
            <w:r>
              <w:rPr>
                <w:sz w:val="21"/>
                <w:szCs w:val="21"/>
                <w:lang w:eastAsia="zh-CN"/>
              </w:rPr>
              <w:t>“</w:t>
            </w:r>
            <w:r>
              <w:rPr>
                <w:sz w:val="21"/>
                <w:szCs w:val="21"/>
                <w:lang w:eastAsia="sv-SE"/>
              </w:rPr>
              <w:t xml:space="preserve"> If the field is absent, the UE applies the value 1 slot, except for DCI format 2_0</w:t>
            </w:r>
            <w:r>
              <w:rPr>
                <w:sz w:val="21"/>
                <w:szCs w:val="21"/>
                <w:lang w:eastAsia="zh-CN"/>
              </w:rPr>
              <w:t xml:space="preserve">”. </w:t>
            </w:r>
          </w:p>
          <w:p>
            <w:pPr>
              <w:widowControl w:val="0"/>
              <w:rPr>
                <w:sz w:val="21"/>
                <w:szCs w:val="21"/>
                <w:lang w:eastAsia="zh-CN"/>
              </w:rPr>
            </w:pPr>
            <w:r>
              <w:rPr>
                <w:sz w:val="21"/>
                <w:szCs w:val="21"/>
                <w:lang w:eastAsia="zh-CN"/>
              </w:rPr>
              <w:t xml:space="preserve">We </w:t>
            </w:r>
            <w:r>
              <w:rPr>
                <w:rFonts w:hint="eastAsia"/>
                <w:sz w:val="21"/>
                <w:szCs w:val="21"/>
                <w:lang w:eastAsia="zh-CN"/>
              </w:rPr>
              <w:t>can</w:t>
            </w:r>
            <w:r>
              <w:rPr>
                <w:sz w:val="21"/>
                <w:szCs w:val="21"/>
                <w:lang w:eastAsia="zh-CN"/>
              </w:rPr>
              <w:t xml:space="preserve"> extend this description</w:t>
            </w:r>
            <w:r>
              <w:rPr>
                <w:rFonts w:hint="eastAsia"/>
                <w:sz w:val="21"/>
                <w:szCs w:val="21"/>
                <w:lang w:eastAsia="zh-CN"/>
              </w:rPr>
              <w:t xml:space="preserve"> from one slot to one slot group</w:t>
            </w:r>
            <w:r>
              <w:rPr>
                <w:sz w:val="21"/>
                <w:szCs w:val="21"/>
                <w:lang w:eastAsia="zh-CN"/>
              </w:rPr>
              <w:t xml:space="preserve"> for </w:t>
            </w:r>
            <w:r>
              <w:rPr>
                <w:i/>
                <w:iCs/>
                <w:sz w:val="21"/>
                <w:szCs w:val="21"/>
                <w:lang w:eastAsia="zh-CN"/>
              </w:rPr>
              <w:t>duration-r17</w:t>
            </w:r>
            <w:r>
              <w:rPr>
                <w:sz w:val="21"/>
                <w:szCs w:val="21"/>
                <w:lang w:eastAsia="zh-CN"/>
              </w:rPr>
              <w:t>: “</w:t>
            </w:r>
            <w:r>
              <w:rPr>
                <w:color w:val="FF0000"/>
                <w:sz w:val="21"/>
                <w:szCs w:val="21"/>
                <w:lang w:eastAsia="zh-CN"/>
              </w:rPr>
              <w:t xml:space="preserve">If </w:t>
            </w:r>
            <w:r>
              <w:rPr>
                <w:i/>
                <w:iCs/>
                <w:color w:val="FF0000"/>
                <w:sz w:val="21"/>
                <w:szCs w:val="21"/>
                <w:lang w:eastAsia="zh-CN"/>
              </w:rPr>
              <w:t>duration-r17</w:t>
            </w:r>
            <w:r>
              <w:rPr>
                <w:color w:val="FF0000"/>
                <w:sz w:val="21"/>
                <w:szCs w:val="21"/>
                <w:lang w:eastAsia="zh-CN"/>
              </w:rPr>
              <w:t xml:space="preserve"> is absent, the UE applies the value</w:t>
            </w:r>
            <w:r>
              <w:rPr>
                <w:rFonts w:hint="eastAsia"/>
                <w:color w:val="FF0000"/>
                <w:sz w:val="21"/>
                <w:szCs w:val="21"/>
                <w:lang w:eastAsia="zh-CN"/>
              </w:rPr>
              <w:t xml:space="preserve"> of</w:t>
            </w:r>
            <w:r>
              <w:rPr>
                <w:color w:val="FF0000"/>
                <w:sz w:val="21"/>
                <w:szCs w:val="21"/>
                <w:lang w:eastAsia="zh-CN"/>
              </w:rPr>
              <w:t xml:space="preserve"> </w:t>
            </w:r>
            <w:r>
              <w:rPr>
                <w:rFonts w:hint="eastAsia"/>
                <w:color w:val="FF0000"/>
                <w:sz w:val="21"/>
                <w:szCs w:val="21"/>
                <w:lang w:eastAsia="zh-CN"/>
              </w:rPr>
              <w:t>Xs</w:t>
            </w:r>
            <w:r>
              <w:rPr>
                <w:color w:val="FF0000"/>
                <w:sz w:val="21"/>
                <w:szCs w:val="21"/>
                <w:lang w:eastAsia="zh-CN"/>
              </w:rPr>
              <w:t xml:space="preserve"> slots , except for DCI format 2_0.</w:t>
            </w:r>
            <w:r>
              <w:rPr>
                <w:rFonts w:hint="eastAsia"/>
                <w:color w:val="FF0000"/>
                <w:sz w:val="21"/>
                <w:szCs w:val="21"/>
                <w:lang w:eastAsia="zh-CN"/>
              </w:rPr>
              <w:t xml:space="preserve"> </w:t>
            </w:r>
            <w:r>
              <w:rPr>
                <w:rFonts w:ascii="Times" w:hAnsi="Times" w:eastAsia="Batang"/>
                <w:color w:val="FF0000"/>
                <w:sz w:val="20"/>
                <w:szCs w:val="24"/>
              </w:rPr>
              <w:t xml:space="preserve"> Xs is either 4 or 8</w:t>
            </w:r>
            <w:r>
              <w:rPr>
                <w:sz w:val="21"/>
                <w:szCs w:val="21"/>
                <w:lang w:eastAsia="zh-CN"/>
              </w:rPr>
              <w:t>”</w:t>
            </w:r>
            <w:r>
              <w:rPr>
                <w:rFonts w:hint="eastAsia"/>
                <w:sz w:val="21"/>
                <w:szCs w:val="21"/>
                <w:lang w:eastAsia="zh-CN"/>
              </w:rPr>
              <w:t xml:space="preserve">. This can also align </w:t>
            </w:r>
            <w:r>
              <w:rPr>
                <w:i/>
                <w:iCs/>
                <w:sz w:val="21"/>
                <w:szCs w:val="21"/>
                <w:lang w:eastAsia="zh-CN"/>
              </w:rPr>
              <w:t>duration-r17</w:t>
            </w:r>
            <w:r>
              <w:rPr>
                <w:sz w:val="21"/>
                <w:szCs w:val="21"/>
                <w:lang w:eastAsia="zh-CN"/>
              </w:rPr>
              <w:t>’</w:t>
            </w:r>
            <w:r>
              <w:rPr>
                <w:rFonts w:hint="eastAsia"/>
                <w:sz w:val="21"/>
                <w:szCs w:val="21"/>
                <w:lang w:eastAsia="zh-CN"/>
              </w:rPr>
              <w:t xml:space="preserve">s default value with the size of </w:t>
            </w:r>
            <w:r>
              <w:rPr>
                <w:rFonts w:hint="eastAsia"/>
                <w:i/>
                <w:iCs/>
                <w:sz w:val="21"/>
                <w:szCs w:val="21"/>
                <w:lang w:eastAsia="zh-CN"/>
              </w:rPr>
              <w:t>monitoringSlotsWithinSlotGroup-r17</w:t>
            </w:r>
            <w:r>
              <w:rPr>
                <w:rFonts w:hint="eastAsia"/>
                <w:sz w:val="21"/>
                <w:szCs w:val="21"/>
                <w:lang w:eastAsia="zh-CN"/>
              </w:rPr>
              <w:t xml:space="preserve">.  </w:t>
            </w:r>
          </w:p>
          <w:p>
            <w:pPr>
              <w:widowControl w:val="0"/>
              <w:overflowPunct w:val="0"/>
              <w:textAlignment w:val="baseline"/>
              <w:rPr>
                <w:rFonts w:ascii="Times" w:hAnsi="Times" w:eastAsia="Batang"/>
                <w:color w:val="00B0F0"/>
                <w:sz w:val="20"/>
                <w:szCs w:val="24"/>
              </w:rPr>
            </w:pPr>
          </w:p>
          <w:p>
            <w:pPr>
              <w:widowControl w:val="0"/>
              <w:overflowPunct w:val="0"/>
              <w:textAlignment w:val="baseline"/>
              <w:rPr>
                <w:rFonts w:ascii="Times" w:hAnsi="Times" w:eastAsia="Batang"/>
                <w:color w:val="00B0F0"/>
                <w:sz w:val="20"/>
                <w:szCs w:val="24"/>
              </w:rPr>
            </w:pPr>
            <w:r>
              <w:rPr>
                <w:rFonts w:ascii="Times" w:hAnsi="Times" w:eastAsia="Batang"/>
                <w:sz w:val="20"/>
                <w:szCs w:val="24"/>
              </w:rPr>
              <w:t>Moderator: Your modification looks generally fine to me, though I think in that case it would be better to refer to the slot group size explicitly: "</w:t>
            </w:r>
            <w:r>
              <w:rPr>
                <w:color w:val="FF0000"/>
                <w:sz w:val="21"/>
                <w:szCs w:val="21"/>
                <w:lang w:eastAsia="zh-CN"/>
              </w:rPr>
              <w:t xml:space="preserve">If </w:t>
            </w:r>
            <w:r>
              <w:rPr>
                <w:i/>
                <w:iCs/>
                <w:color w:val="FF0000"/>
                <w:sz w:val="21"/>
                <w:szCs w:val="21"/>
                <w:lang w:eastAsia="zh-CN"/>
              </w:rPr>
              <w:t>duration-r17</w:t>
            </w:r>
            <w:r>
              <w:rPr>
                <w:color w:val="FF0000"/>
                <w:sz w:val="21"/>
                <w:szCs w:val="21"/>
                <w:lang w:eastAsia="zh-CN"/>
              </w:rPr>
              <w:t xml:space="preserve"> is absent, the UE applies the</w:t>
            </w:r>
            <w:r>
              <w:rPr>
                <w:color w:val="00B050"/>
                <w:sz w:val="21"/>
                <w:szCs w:val="21"/>
                <w:lang w:eastAsia="zh-CN"/>
              </w:rPr>
              <w:t xml:space="preserve"> length of the slot group size in </w:t>
            </w:r>
            <w:r>
              <w:rPr>
                <w:color w:val="FF0000"/>
                <w:sz w:val="21"/>
                <w:szCs w:val="21"/>
                <w:lang w:eastAsia="zh-CN"/>
              </w:rPr>
              <w:t>slots, except for DCI format 2_0.</w:t>
            </w:r>
            <w:r>
              <w:rPr>
                <w:rFonts w:ascii="Times" w:hAnsi="Times" w:eastAsia="Batang"/>
                <w:sz w:val="20"/>
                <w:szCs w:val="24"/>
              </w:rPr>
              <w:t>". Will that be ok?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MediaTek</w:t>
            </w:r>
          </w:p>
        </w:tc>
        <w:tc>
          <w:tcPr>
            <w:tcW w:w="12176" w:type="dxa"/>
            <w:vAlign w:val="center"/>
          </w:tcPr>
          <w:p>
            <w:pPr>
              <w:widowControl w:val="0"/>
              <w:rPr>
                <w:lang w:eastAsia="zh-CN"/>
              </w:rPr>
            </w:pPr>
            <w:r>
              <w:rPr>
                <w:lang w:eastAsia="zh-CN"/>
              </w:rPr>
              <w:t>Thanks to Moderator’s efforts for providing consolidated proposal. We still have following comments</w:t>
            </w:r>
          </w:p>
          <w:p>
            <w:pPr>
              <w:widowControl w:val="0"/>
              <w:rPr>
                <w:lang w:eastAsia="zh-CN"/>
              </w:rPr>
            </w:pPr>
            <w:r>
              <w:rPr>
                <w:u w:val="single"/>
                <w:lang w:eastAsia="zh-CN"/>
              </w:rPr>
              <w:t>Comment1</w:t>
            </w:r>
            <w:r>
              <w:rPr>
                <w:lang w:eastAsia="zh-CN"/>
              </w:rPr>
              <w:t>: the following bullet is applied to both 480kHz and 960kHz? Should it be 8 for 960kHz?</w:t>
            </w:r>
          </w:p>
          <w:p>
            <w:pPr>
              <w:widowControl w:val="0"/>
              <w:numPr>
                <w:ilvl w:val="3"/>
                <w:numId w:val="28"/>
              </w:numPr>
              <w:overflowPunct w:val="0"/>
              <w:textAlignment w:val="baseline"/>
              <w:rPr>
                <w:rFonts w:ascii="Times" w:hAnsi="Times" w:eastAsia="Batang"/>
                <w:color w:val="00B050"/>
                <w:sz w:val="20"/>
                <w:szCs w:val="24"/>
              </w:rPr>
            </w:pPr>
            <w:r>
              <w:rPr>
                <w:rFonts w:ascii="Times" w:hAnsi="Times"/>
                <w:color w:val="00B050"/>
                <w:sz w:val="20"/>
                <w:szCs w:val="24"/>
              </w:rPr>
              <w:t>Value of duration-r17 should be 4 if this field is absent</w:t>
            </w:r>
          </w:p>
          <w:p>
            <w:pPr>
              <w:widowControl w:val="0"/>
              <w:rPr>
                <w:rFonts w:ascii="Times" w:hAnsi="Times" w:eastAsia="Batang"/>
                <w:sz w:val="20"/>
                <w:szCs w:val="24"/>
              </w:rPr>
            </w:pPr>
            <w:r>
              <w:rPr>
                <w:rFonts w:ascii="Times" w:hAnsi="Times" w:eastAsia="Batang"/>
                <w:sz w:val="20"/>
                <w:szCs w:val="24"/>
              </w:rPr>
              <w:t>Moderator: Please see my comment to ZTE with suggestion above, I think it can resolve your comment 1?</w:t>
            </w:r>
          </w:p>
          <w:p>
            <w:pPr>
              <w:widowControl w:val="0"/>
            </w:pPr>
            <w:r>
              <w:rPr>
                <w:u w:val="single"/>
              </w:rPr>
              <w:t>Comment2</w:t>
            </w:r>
            <w:r>
              <w:t>: do we need the following two bullets or we only need the last bullet?</w:t>
            </w:r>
          </w:p>
          <w:p>
            <w:pPr>
              <w:widowControl w:val="0"/>
              <w:numPr>
                <w:ilvl w:val="2"/>
                <w:numId w:val="28"/>
              </w:numPr>
              <w:overflowPunct w:val="0"/>
              <w:textAlignment w:val="baseline"/>
              <w:rPr>
                <w:rFonts w:ascii="Times" w:hAnsi="Times" w:eastAsia="Batang"/>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pPr>
              <w:widowControl w:val="0"/>
              <w:numPr>
                <w:ilvl w:val="2"/>
                <w:numId w:val="28"/>
              </w:numPr>
              <w:overflowPunct w:val="0"/>
              <w:textAlignment w:val="baseline"/>
              <w:rPr>
                <w:rFonts w:ascii="Times" w:hAnsi="Times" w:eastAsia="Batang"/>
                <w:strike/>
                <w:color w:val="FF0000"/>
                <w:sz w:val="20"/>
                <w:szCs w:val="24"/>
              </w:rPr>
            </w:pPr>
            <w:r>
              <w:rPr>
                <w:rFonts w:ascii="Times" w:hAnsi="Times" w:eastAsia="Batang"/>
                <w:strike/>
                <w:color w:val="FF0000"/>
                <w:sz w:val="20"/>
                <w:szCs w:val="24"/>
              </w:rPr>
              <w:t xml:space="preserve">FFS: need to revise the definition of </w:t>
            </w:r>
            <w:r>
              <w:rPr>
                <w:rFonts w:ascii="Times" w:hAnsi="Times" w:eastAsia="Batang"/>
                <w:i/>
                <w:strike/>
                <w:color w:val="FF0000"/>
                <w:sz w:val="20"/>
                <w:szCs w:val="24"/>
              </w:rPr>
              <w:t>duration</w:t>
            </w:r>
          </w:p>
          <w:p>
            <w:pPr>
              <w:widowControl w:val="0"/>
              <w:numPr>
                <w:ilvl w:val="2"/>
                <w:numId w:val="28"/>
              </w:numPr>
              <w:overflowPunct w:val="0"/>
              <w:textAlignment w:val="baseline"/>
              <w:rPr>
                <w:rFonts w:ascii="Times" w:hAnsi="Times" w:eastAsia="Batang"/>
                <w:color w:val="00B050"/>
                <w:sz w:val="20"/>
                <w:szCs w:val="24"/>
              </w:rPr>
            </w:pPr>
            <w:r>
              <w:rPr>
                <w:rFonts w:ascii="Times" w:hAnsi="Times" w:eastAsia="Batang"/>
                <w:i/>
                <w:iCs/>
                <w:color w:val="00B050"/>
                <w:sz w:val="20"/>
                <w:szCs w:val="24"/>
              </w:rPr>
              <w:t>duration-r17</w:t>
            </w:r>
            <w:r>
              <w:rPr>
                <w:rFonts w:ascii="Times" w:hAnsi="Times" w:eastAsia="Batang"/>
                <w:color w:val="00B050"/>
                <w:sz w:val="20"/>
                <w:szCs w:val="24"/>
              </w:rPr>
              <w:t xml:space="preserve"> is the total number of slots in consecutive grou</w:t>
            </w:r>
            <w:r>
              <w:rPr>
                <w:rFonts w:ascii="Times" w:hAnsi="Times" w:eastAsia="Batang"/>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ctrlPr>
                    <w:rPr>
                      <w:rFonts w:ascii="Cambria Math" w:hAnsi="Cambria Math"/>
                      <w:color w:val="00B050"/>
                      <w:sz w:val="20"/>
                      <w:szCs w:val="20"/>
                    </w:rPr>
                  </m:ctrlPr>
                </m:e>
                <m:sub>
                  <m:r>
                    <m:rPr>
                      <m:sty m:val="p"/>
                    </m:rPr>
                    <w:rPr>
                      <w:rFonts w:ascii="Cambria Math" w:hAnsi="Cambria Math"/>
                      <w:color w:val="00B050"/>
                      <w:sz w:val="20"/>
                      <w:szCs w:val="20"/>
                    </w:rPr>
                    <m:t>s</m:t>
                  </m:r>
                  <m:ctrlPr>
                    <w:rPr>
                      <w:rFonts w:ascii="Cambria Math" w:hAnsi="Cambria Math"/>
                      <w:color w:val="00B050"/>
                      <w:sz w:val="20"/>
                      <w:szCs w:val="20"/>
                    </w:rPr>
                  </m:ctrlPr>
                </m:sub>
              </m:sSub>
            </m:oMath>
            <w:r>
              <w:rPr>
                <w:rFonts w:ascii="Times" w:hAnsi="Times" w:eastAsia="Batang"/>
                <w:color w:val="00B050"/>
                <w:sz w:val="20"/>
                <w:szCs w:val="20"/>
              </w:rPr>
              <w:t xml:space="preserve"> slots that </w:t>
            </w:r>
            <w:r>
              <w:rPr>
                <w:rFonts w:ascii="Times" w:hAnsi="Times" w:eastAsia="Batang"/>
                <w:color w:val="00B050"/>
                <w:sz w:val="20"/>
                <w:szCs w:val="24"/>
              </w:rPr>
              <w:t xml:space="preserve">a Search Space lasts in every occasion as given by </w:t>
            </w:r>
            <w:r>
              <w:rPr>
                <w:rFonts w:ascii="Times" w:hAnsi="Times" w:eastAsia="Batang"/>
                <w:i/>
                <w:iCs/>
                <w:color w:val="00B050"/>
                <w:sz w:val="20"/>
                <w:szCs w:val="24"/>
              </w:rPr>
              <w:t>monitoringPeriodicityAndOffset-r17</w:t>
            </w:r>
          </w:p>
          <w:p>
            <w:pPr>
              <w:widowControl w:val="0"/>
              <w:rPr>
                <w:rFonts w:ascii="Times" w:hAnsi="Times" w:eastAsia="Batang"/>
                <w:sz w:val="20"/>
                <w:szCs w:val="24"/>
              </w:rPr>
            </w:pPr>
            <w:r>
              <w:rPr>
                <w:rFonts w:ascii="Times" w:hAnsi="Times" w:eastAsia="Batang"/>
                <w:sz w:val="20"/>
                <w:szCs w:val="24"/>
              </w:rPr>
              <w:t>Moderator: As commented to Huawei above, it seems fine to remove "This field indicates the number of consecutive slots where a SearchSpace exists."</w:t>
            </w:r>
          </w:p>
          <w:p>
            <w:pPr>
              <w:widowControl w:val="0"/>
              <w:rPr>
                <w:rFonts w:ascii="Times" w:hAnsi="Times" w:eastAsia="Batang"/>
                <w:color w:val="000000"/>
                <w:sz w:val="20"/>
                <w:szCs w:val="24"/>
              </w:rPr>
            </w:pPr>
            <w:r>
              <w:rPr>
                <w:u w:val="single"/>
              </w:rPr>
              <w:t>comment 3</w:t>
            </w:r>
            <w:r>
              <w:t xml:space="preserve">: regarding the bit-width of </w:t>
            </w:r>
            <w:r>
              <w:rPr>
                <w:rFonts w:ascii="Times" w:hAnsi="Times" w:eastAsia="Batang"/>
                <w:i/>
                <w:iCs/>
                <w:color w:val="000000"/>
                <w:sz w:val="20"/>
                <w:szCs w:val="24"/>
              </w:rPr>
              <w:t xml:space="preserve">monitoringSlotsWithinSlotGroup-r17, </w:t>
            </w:r>
            <w:r>
              <w:rPr>
                <w:rFonts w:ascii="Times" w:hAnsi="Times" w:eastAsia="Batang"/>
                <w:color w:val="000000"/>
                <w:sz w:val="20"/>
                <w:szCs w:val="24"/>
              </w:rPr>
              <w:t xml:space="preserve">we still have question on the implication to Issue A1-3, where we provided our view to Ericsson’s example. As for Qualcomm’s comment, </w:t>
            </w:r>
          </w:p>
          <w:p>
            <w:pPr>
              <w:widowControl w:val="0"/>
              <w:rPr>
                <w:i/>
                <w:iCs/>
                <w:lang w:eastAsia="zh-CN"/>
              </w:rPr>
            </w:pPr>
            <w:r>
              <w:rPr>
                <w:i/>
                <w:iCs/>
                <w:lang w:eastAsia="zh-CN"/>
              </w:rPr>
              <w:t>Note that the implicit indication of Xs is per SS set and separated from the discussion in A1-3. For example, even if a BWP is determined to use (Xs,Ys) = (4,1) according to Proposal A1-3.1, at least one SS set in the BWP may be configured with an 8-bit bitmap, while others are with a 4-bit bitmap.</w:t>
            </w:r>
          </w:p>
          <w:p>
            <w:pPr>
              <w:widowControl w:val="0"/>
            </w:pPr>
          </w:p>
          <w:p>
            <w:pPr>
              <w:widowControl w:val="0"/>
            </w:pPr>
            <w:r>
              <w:t>We have different views on it and we are open to discuss. To us, there are two fundamental questions</w:t>
            </w:r>
          </w:p>
          <w:p>
            <w:pPr>
              <w:widowControl w:val="0"/>
            </w:pPr>
            <w:r>
              <w:t>Q1:whether the SS sets in a BWP can be associated with different slot-group sizes?</w:t>
            </w:r>
          </w:p>
          <w:p>
            <w:pPr>
              <w:widowControl w:val="0"/>
            </w:pPr>
            <w:r>
              <w:t>Based on the agreement we made (shown below), our understanding is all of the SS sets in a BWP should be associated with the same slot-group definition, i.e., slot-group size Xs is fixed for all the SS sets in a BWP. Otherwise, BD/CCE budget might have definitions for different SS set associated with different slot-group size. We hope this is a common understanding. If so, then we can discuss the Q2 below</w:t>
            </w:r>
          </w:p>
          <w:p>
            <w:pPr>
              <w:widowControl w:val="0"/>
            </w:pPr>
          </w:p>
          <w:p>
            <w:pPr>
              <w:widowControl w:val="0"/>
            </w:pPr>
            <w:r>
              <w:t>Q2: whether the SS sets in a BWP can have different bit-width of monitoringSlotsWithinSlotGroup-r17?</w:t>
            </w:r>
          </w:p>
          <w:p>
            <w:pPr>
              <w:widowControl w:val="0"/>
            </w:pPr>
            <w:r>
              <w:t xml:space="preserve">Our view is  all of the SS sets in a BWP should have the same bit-width of monitoringSlotsWithinSlotGroup-r17. In Qualcomm’s example, if all the SS sets in a BWP are associated with slot-group of Xs=4 slots, allowing 8 bits in monitoringSlotsWithinSlotGroup-r17 with (10000000) for one SS set seems to be optimization for configuration flexibility, which is not essential at this stage. Also, the meaning of “monitoringSlotsWithinSlotGroup” is the indication of monitoring slots within a slot group and having 8 bit for a slot group of size 4 is a little bit confusing to us.  </w:t>
            </w:r>
          </w:p>
          <w:p>
            <w:pPr>
              <w:widowControl w:val="0"/>
            </w:pPr>
          </w:p>
          <w:p>
            <w:pPr>
              <w:widowControl w:val="0"/>
              <w:rPr>
                <w:lang w:eastAsia="zh-CN"/>
              </w:rPr>
            </w:pPr>
            <w:r>
              <w:rPr>
                <w:highlight w:val="green"/>
                <w:lang w:eastAsia="zh-CN"/>
              </w:rPr>
              <w:t>Agreement:</w:t>
            </w:r>
          </w:p>
          <w:p>
            <w:pPr>
              <w:widowControl w:val="0"/>
              <w:numPr>
                <w:ilvl w:val="0"/>
                <w:numId w:val="22"/>
              </w:numPr>
              <w:autoSpaceDE/>
              <w:autoSpaceDN/>
              <w:adjustRightInd/>
              <w:snapToGrid/>
              <w:spacing w:after="0" w:line="240" w:lineRule="auto"/>
              <w:rPr>
                <w:b/>
                <w:bCs/>
                <w:lang w:eastAsia="zh-CN"/>
              </w:rPr>
            </w:pPr>
            <w:r>
              <w:rPr>
                <w:lang w:eastAsia="zh-CN"/>
              </w:rPr>
              <w:t>Multi-slot PDCCH monitoring is based on slots within a slot group</w:t>
            </w:r>
          </w:p>
          <w:p>
            <w:pPr>
              <w:widowControl w:val="0"/>
              <w:numPr>
                <w:ilvl w:val="1"/>
                <w:numId w:val="22"/>
              </w:numPr>
              <w:autoSpaceDE/>
              <w:autoSpaceDN/>
              <w:adjustRightInd/>
              <w:snapToGrid/>
              <w:spacing w:after="0" w:line="240" w:lineRule="auto"/>
              <w:rPr>
                <w:lang w:eastAsia="zh-CN"/>
              </w:rPr>
            </w:pPr>
            <w:r>
              <w:rPr>
                <w:lang w:eastAsia="zh-CN"/>
              </w:rPr>
              <w:t>Each slot group consists of X consecutive slots</w:t>
            </w:r>
          </w:p>
          <w:p>
            <w:pPr>
              <w:widowControl w:val="0"/>
              <w:numPr>
                <w:ilvl w:val="2"/>
                <w:numId w:val="22"/>
              </w:numPr>
              <w:autoSpaceDE/>
              <w:autoSpaceDN/>
              <w:adjustRightInd/>
              <w:snapToGrid/>
              <w:spacing w:after="0" w:line="240" w:lineRule="auto"/>
              <w:rPr>
                <w:lang w:eastAsia="zh-CN"/>
              </w:rPr>
            </w:pPr>
            <w:r>
              <w:rPr>
                <w:lang w:eastAsia="zh-CN"/>
              </w:rPr>
              <w:t>Slot groups are consecutive and non-overlapping</w:t>
            </w:r>
          </w:p>
          <w:p>
            <w:pPr>
              <w:widowControl w:val="0"/>
              <w:numPr>
                <w:ilvl w:val="2"/>
                <w:numId w:val="22"/>
              </w:numPr>
              <w:autoSpaceDE/>
              <w:autoSpaceDN/>
              <w:adjustRightInd/>
              <w:snapToGrid/>
              <w:spacing w:after="0" w:line="240" w:lineRule="auto"/>
              <w:rPr>
                <w:lang w:eastAsia="zh-CN"/>
              </w:rPr>
            </w:pPr>
            <w:r>
              <w:rPr>
                <w:lang w:eastAsia="zh-CN"/>
              </w:rPr>
              <w:t>The start of the first slot group in a subframe is aligned with the subframe boundary</w:t>
            </w:r>
          </w:p>
          <w:p>
            <w:pPr>
              <w:widowControl w:val="0"/>
              <w:numPr>
                <w:ilvl w:val="2"/>
                <w:numId w:val="22"/>
              </w:numPr>
              <w:autoSpaceDE/>
              <w:autoSpaceDN/>
              <w:adjustRightInd/>
              <w:snapToGrid/>
              <w:spacing w:after="0" w:line="240" w:lineRule="auto"/>
              <w:rPr>
                <w:lang w:eastAsia="zh-CN"/>
              </w:rPr>
            </w:pPr>
            <w:r>
              <w:rPr>
                <w:lang w:eastAsia="zh-CN"/>
              </w:rPr>
              <w:t>The start of each slot group is aligned with a slot boundary</w:t>
            </w:r>
          </w:p>
          <w:p>
            <w:pPr>
              <w:widowControl w:val="0"/>
              <w:numPr>
                <w:ilvl w:val="2"/>
                <w:numId w:val="22"/>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pPr>
              <w:widowControl w:val="0"/>
              <w:rPr>
                <w:b/>
              </w:rPr>
            </w:pPr>
            <w:r>
              <w:t xml:space="preserve"> </w:t>
            </w:r>
            <w:r>
              <w:rPr>
                <w:b/>
                <w:highlight w:val="green"/>
              </w:rPr>
              <w:t>Agreement</w:t>
            </w:r>
          </w:p>
          <w:p>
            <w:pPr>
              <w:pStyle w:val="82"/>
              <w:widowControl w:val="0"/>
              <w:numPr>
                <w:ilvl w:val="0"/>
                <w:numId w:val="22"/>
              </w:numPr>
            </w:pPr>
            <w:r>
              <w:t xml:space="preserve">For Group (1) SS: </w:t>
            </w:r>
            <w:r>
              <w:rPr>
                <w:lang w:eastAsia="zh-CN"/>
              </w:rPr>
              <w:t>Type 1 CSS with dedicated RRC configuration and type 3 CSS, UE specific SS</w:t>
            </w:r>
          </w:p>
          <w:p>
            <w:pPr>
              <w:pStyle w:val="82"/>
              <w:widowControl w:val="0"/>
              <w:numPr>
                <w:ilvl w:val="1"/>
                <w:numId w:val="22"/>
              </w:numPr>
            </w:pPr>
            <w:r>
              <w:t>A SS is monitored within Y consecutive slots within a slot group of X slots</w:t>
            </w:r>
          </w:p>
          <w:p>
            <w:pPr>
              <w:pStyle w:val="82"/>
              <w:widowControl w:val="0"/>
              <w:numPr>
                <w:ilvl w:val="1"/>
                <w:numId w:val="22"/>
              </w:numPr>
            </w:pPr>
            <w:r>
              <w:t>The Y consecutive slots can be located anywhere within the slot group of X slots</w:t>
            </w:r>
          </w:p>
          <w:p>
            <w:pPr>
              <w:pStyle w:val="82"/>
              <w:widowControl w:val="0"/>
              <w:numPr>
                <w:ilvl w:val="2"/>
                <w:numId w:val="22"/>
              </w:numPr>
            </w:pPr>
            <w:r>
              <w:t>Note: There is no requirement to align the Y consecutive slots across UEs or with slot n0</w:t>
            </w:r>
          </w:p>
          <w:p>
            <w:pPr>
              <w:pStyle w:val="82"/>
              <w:widowControl w:val="0"/>
              <w:numPr>
                <w:ilvl w:val="1"/>
                <w:numId w:val="22"/>
              </w:numPr>
            </w:pPr>
            <w:r>
              <w:t>The location of the Y consecutive slots within the slot group of X slots is maintained across different slot groups</w:t>
            </w:r>
          </w:p>
          <w:p>
            <w:pPr>
              <w:pStyle w:val="82"/>
              <w:widowControl w:val="0"/>
              <w:numPr>
                <w:ilvl w:val="1"/>
                <w:numId w:val="22"/>
              </w:numPr>
              <w:rPr>
                <w:highlight w:val="yellow"/>
              </w:rPr>
            </w:pPr>
            <w:r>
              <w:rPr>
                <w:highlight w:val="yellow"/>
              </w:rPr>
              <w:t>BD attempts for all Group (1) SSs are restricted to fall within the same Y consecutive slots</w:t>
            </w:r>
          </w:p>
          <w:p>
            <w:pPr>
              <w:widowControl w:val="0"/>
            </w:pPr>
          </w:p>
          <w:p>
            <w:pPr>
              <w:widowControl w:val="0"/>
            </w:pPr>
          </w:p>
          <w:p>
            <w:pPr>
              <w:widowControl w:val="0"/>
              <w:rPr>
                <w:highlight w:val="yellow"/>
              </w:rPr>
            </w:pPr>
            <w:r>
              <w:rPr>
                <w:highlight w:val="yellow"/>
                <w:u w:val="single"/>
              </w:rPr>
              <w:t>Comment 4</w:t>
            </w:r>
            <w:r>
              <w:rPr>
                <w:highlight w:val="yellow"/>
              </w:rPr>
              <w:t>: regarding the added bullet</w:t>
            </w:r>
          </w:p>
          <w:p>
            <w:pPr>
              <w:widowControl w:val="0"/>
              <w:numPr>
                <w:ilvl w:val="2"/>
                <w:numId w:val="28"/>
              </w:numPr>
              <w:overflowPunct w:val="0"/>
              <w:textAlignment w:val="baseline"/>
              <w:rPr>
                <w:rFonts w:ascii="Times" w:hAnsi="Times" w:eastAsia="Batang"/>
                <w:color w:val="00B050"/>
                <w:sz w:val="20"/>
                <w:szCs w:val="24"/>
                <w:highlight w:val="yellow"/>
              </w:rPr>
            </w:pPr>
            <w:r>
              <w:rPr>
                <w:rFonts w:ascii="Times" w:hAnsi="Times" w:eastAsia="Batang"/>
                <w:color w:val="00B050"/>
                <w:sz w:val="20"/>
                <w:szCs w:val="24"/>
                <w:highlight w:val="yellow"/>
              </w:rPr>
              <w:t>The slots indicated in the bitmap are not restricted to be consecutive for Group (2) SSs</w:t>
            </w:r>
          </w:p>
          <w:p>
            <w:pPr>
              <w:widowControl w:val="0"/>
              <w:rPr>
                <w:lang w:eastAsia="zh-CN"/>
              </w:rPr>
            </w:pPr>
            <w:r>
              <w:rPr>
                <w:highlight w:val="yellow"/>
              </w:rPr>
              <w:t>We still prefer to remove it and apply the same restriction as Group(1) SSs on Group(2) SSs to exploit improvement on UE power consumption, which is more aligned to FG 3-1, in our view. However, we are open to discuss this aspect.</w:t>
            </w:r>
            <w: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 xml:space="preserve">On </w:t>
            </w:r>
            <w:r>
              <w:rPr>
                <w:i/>
                <w:iCs/>
                <w:lang w:eastAsia="zh-CN"/>
              </w:rPr>
              <w:t>monitoringSlotsWithinSlotGroup-r17</w:t>
            </w:r>
          </w:p>
          <w:p>
            <w:pPr>
              <w:widowControl w:val="0"/>
              <w:rPr>
                <w:lang w:eastAsia="zh-CN"/>
              </w:rPr>
            </w:pPr>
            <w:r>
              <w:rPr>
                <w:lang w:eastAsia="zh-CN"/>
              </w:rPr>
              <w:t xml:space="preserve">One clarification question for the SCS 960kHz. Is it allowed to configure </w:t>
            </w:r>
            <w:r>
              <w:rPr>
                <w:i/>
                <w:iCs/>
                <w:lang w:eastAsia="zh-CN"/>
              </w:rPr>
              <w:t>monitoringSlotsWithinSlotGroup-r17</w:t>
            </w:r>
            <w:r>
              <w:rPr>
                <w:lang w:eastAsia="zh-CN"/>
              </w:rPr>
              <w:t xml:space="preserve"> with two non-consecutive blocks of ‘1’s in the 8-bit bitmap? E.g. ‘1100,1100’. This effectively means Xs=4 for the active combination (Xs, Ys). An related question is whether periodicity 4 is allowed in the SS set configuration for SCS 960kHz. Note: periodicity 4 for 960kHz means the absolute periodicity of half slot length of 120kHz. We are fine to allow such flexibity. On the other hand, it is also OK if majority companies don’t want to have such configurations. </w:t>
            </w:r>
          </w:p>
          <w:p>
            <w:pPr>
              <w:widowControl w:val="0"/>
              <w:rPr>
                <w:lang w:eastAsia="zh-CN"/>
              </w:rPr>
            </w:pPr>
            <w:r>
              <w:rPr>
                <w:lang w:eastAsia="zh-CN"/>
              </w:rPr>
              <w:t>Assuming two non-consecutive blocks of ‘1’s is not allowed for</w:t>
            </w:r>
            <w:r>
              <w:rPr>
                <w:i/>
                <w:iCs/>
                <w:lang w:eastAsia="zh-CN"/>
              </w:rPr>
              <w:t xml:space="preserve"> monitoringSlotsWithinSlotGroup-r17</w:t>
            </w:r>
            <w:r>
              <w:rPr>
                <w:lang w:eastAsia="zh-CN"/>
              </w:rPr>
              <w:t xml:space="preserve">, it would be reasonable to not allow periodicity 4 for 960kHz. Note: Such limitation doesn’t necessarily mean Xs=8 for the active combiantion (Xs, Ys). For example, the first SS set has bitmap ‘1000,0000’ and the second SS set has bitmap ‘0000,1000’, the combined PDCCH MOs of the two SS sets make a slot group size of Xs=4 </w:t>
            </w:r>
          </w:p>
          <w:p>
            <w:pPr>
              <w:widowControl w:val="0"/>
              <w:rPr>
                <w:rFonts w:ascii="Times" w:hAnsi="Times" w:eastAsia="Batang"/>
                <w:sz w:val="20"/>
                <w:szCs w:val="20"/>
              </w:rPr>
            </w:pPr>
            <w:r>
              <w:rPr>
                <w:rFonts w:ascii="Times" w:hAnsi="Times" w:eastAsia="Batang"/>
                <w:sz w:val="20"/>
                <w:szCs w:val="20"/>
              </w:rPr>
              <w:t xml:space="preserve">Moderator: My understanding is that if the size of </w:t>
            </w:r>
            <w:r>
              <w:rPr>
                <w:i/>
                <w:iCs/>
                <w:sz w:val="20"/>
                <w:szCs w:val="20"/>
                <w:lang w:eastAsia="zh-CN"/>
              </w:rPr>
              <w:t>monitoringSlotsWithinSlotGroup-r17</w:t>
            </w:r>
            <w:r>
              <w:rPr>
                <w:sz w:val="20"/>
                <w:szCs w:val="20"/>
                <w:lang w:eastAsia="zh-CN"/>
              </w:rPr>
              <w:t xml:space="preserve"> is equivalent to Xs=8, a bitmap like '11001100' is not supported </w:t>
            </w:r>
            <w:r>
              <w:rPr>
                <w:sz w:val="20"/>
                <w:szCs w:val="20"/>
                <w:u w:val="single"/>
                <w:lang w:eastAsia="zh-CN"/>
              </w:rPr>
              <w:t>for a Group (1) SS</w:t>
            </w:r>
            <w:r>
              <w:rPr>
                <w:sz w:val="20"/>
                <w:szCs w:val="20"/>
                <w:lang w:eastAsia="zh-CN"/>
              </w:rPr>
              <w:t>.</w:t>
            </w:r>
          </w:p>
          <w:p>
            <w:pPr>
              <w:widowControl w:val="0"/>
              <w:rPr>
                <w:lang w:eastAsia="zh-CN"/>
              </w:rPr>
            </w:pPr>
          </w:p>
          <w:p>
            <w:pPr>
              <w:widowControl w:val="0"/>
              <w:rPr>
                <w:lang w:eastAsia="zh-CN"/>
              </w:rPr>
            </w:pPr>
            <w:r>
              <w:rPr>
                <w:highlight w:val="yellow"/>
                <w:lang w:eastAsia="zh-CN"/>
              </w:rPr>
              <w:t>On limitation for Group (2) SS</w:t>
            </w:r>
          </w:p>
          <w:p>
            <w:pPr>
              <w:widowControl w:val="0"/>
              <w:rPr>
                <w:lang w:eastAsia="zh-CN"/>
              </w:rPr>
            </w:pPr>
            <w:r>
              <w:rPr>
                <w:lang w:eastAsia="zh-CN"/>
              </w:rPr>
              <w:t>Though there is no consecensus on the clarification of ‘any of’ in FG 3-1, it is clarified in the GTW session that the limitation on Group (2) can continue. Per moderator’s request, we provide our comments here.</w:t>
            </w:r>
          </w:p>
          <w:p>
            <w:pPr>
              <w:widowControl w:val="0"/>
              <w:rPr>
                <w:lang w:eastAsia="zh-CN"/>
              </w:rPr>
            </w:pPr>
            <w:r>
              <w:rPr>
                <w:lang w:eastAsia="zh-CN"/>
              </w:rPr>
              <w:t xml:space="preserve">The BD/CCE budget for a slot group is rather small. Particularly, the number of CCE is quite limited. If there is one or more TDMed MOs for Group (2) SS in a slot or slot group, it is likely to consume all BD/CCE budget, which blocks any Group (1) SS sets in the slto group. </w:t>
            </w:r>
          </w:p>
          <w:p>
            <w:pPr>
              <w:pStyle w:val="82"/>
              <w:widowControl w:val="0"/>
              <w:numPr>
                <w:ilvl w:val="0"/>
                <w:numId w:val="39"/>
              </w:numPr>
              <w:rPr>
                <w:highlight w:val="yellow"/>
                <w:lang w:eastAsia="zh-CN"/>
              </w:rPr>
            </w:pPr>
            <w:r>
              <w:rPr>
                <w:highlight w:val="yellow"/>
                <w:lang w:eastAsia="zh-CN"/>
              </w:rPr>
              <w:t xml:space="preserve">We prefer to clarify the multiple Group (2) SS sets configured in the same slot have to be within the same span (interpretation #2), which allows the different PDCCH to share CCE estimation. Further, in a slot configured with both Group (1) and (2) SS sets, the maximum number of non-overlap spans should be still 2 to align with the same complexity in the agreement of Group (1) SS. </w:t>
            </w:r>
          </w:p>
          <w:p>
            <w:pPr>
              <w:pStyle w:val="82"/>
              <w:widowControl w:val="0"/>
              <w:numPr>
                <w:ilvl w:val="0"/>
                <w:numId w:val="39"/>
              </w:numPr>
              <w:rPr>
                <w:highlight w:val="yellow"/>
                <w:lang w:eastAsia="zh-CN"/>
              </w:rPr>
            </w:pPr>
            <w:r>
              <w:rPr>
                <w:highlight w:val="yellow"/>
                <w:lang w:eastAsia="zh-CN"/>
              </w:rPr>
              <w:t xml:space="preserve">Then, in slot group level, we prefer to allow the simultaneous configuration of Group (2) SS sets in all/multiple slots in the slot group. note: this doesn’t mean UE has to monitor all configured MOs of Group (2) SS sets  </w:t>
            </w:r>
          </w:p>
          <w:p>
            <w:pPr>
              <w:widowControl w:val="0"/>
              <w:rPr>
                <w:rFonts w:ascii="Times" w:hAnsi="Times" w:eastAsia="Batang"/>
                <w:sz w:val="20"/>
                <w:szCs w:val="20"/>
                <w:highlight w:val="cyan"/>
              </w:rPr>
            </w:pPr>
          </w:p>
          <w:p>
            <w:pPr>
              <w:widowControl w:val="0"/>
              <w:rPr>
                <w:lang w:eastAsia="zh-CN"/>
              </w:rPr>
            </w:pPr>
            <w:r>
              <w:rPr>
                <w:rFonts w:ascii="Times" w:hAnsi="Times" w:eastAsia="Batang"/>
                <w:sz w:val="20"/>
                <w:szCs w:val="20"/>
              </w:rPr>
              <w:t xml:space="preserve">Moderator: If I understand your point correctly, the problem occurs as a function of the SS configuration. So can gNB be aware that a specific configuration will consume the BD/CCE budget as you say, and take that into account in its choice of SS configuration?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overflowPunct w:val="0"/>
              <w:textAlignment w:val="baseline"/>
              <w:rPr>
                <w:rFonts w:ascii="Times" w:hAnsi="Times"/>
                <w:color w:val="FF0000"/>
              </w:rPr>
            </w:pPr>
            <w:r>
              <w:rPr>
                <w:lang w:eastAsia="zh-CN"/>
              </w:rPr>
              <w:t>Comment 1: We agree to remove “</w:t>
            </w:r>
            <w:r>
              <w:rPr>
                <w:rFonts w:ascii="Times" w:hAnsi="Times"/>
                <w:color w:val="FF0000"/>
              </w:rPr>
              <w:t xml:space="preserve">This field indicates the number of consecutive slots where a </w:t>
            </w:r>
            <w:r>
              <w:rPr>
                <w:rFonts w:ascii="Times" w:hAnsi="Times"/>
                <w:i/>
                <w:iCs/>
                <w:color w:val="FF0000"/>
              </w:rPr>
              <w:t>SearchSpace</w:t>
            </w:r>
            <w:r>
              <w:rPr>
                <w:rFonts w:ascii="Times" w:hAnsi="Times"/>
                <w:color w:val="FF0000"/>
              </w:rPr>
              <w:t xml:space="preserve"> exists</w:t>
            </w:r>
            <w:r>
              <w:rPr>
                <w:rFonts w:ascii="Times" w:hAnsi="Times"/>
              </w:rPr>
              <w:t>”.</w:t>
            </w:r>
          </w:p>
          <w:p>
            <w:pPr>
              <w:widowControl w:val="0"/>
              <w:rPr>
                <w:lang w:eastAsia="zh-CN"/>
              </w:rPr>
            </w:pPr>
            <w:r>
              <w:rPr>
                <w:rFonts w:ascii="Times" w:hAnsi="Times"/>
              </w:rPr>
              <w:t>Comment 2: To respond to MediaTek’s comment: Our understanding is the Xs values for different SS in a BWP can be different from the gNB’s point of view (e.g. the SS configuration), but the UE determines a single value of Xs when monitoring the PDCCH based on all the SS configurations. In this sense, it doesn’t go against the agreement.</w:t>
            </w:r>
            <w:r>
              <w:rPr>
                <w:rFonts w:ascii="Times" w:hAnsi="Times"/>
                <w:sz w:val="20"/>
                <w:szCs w:val="24"/>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overflowPunct w:val="0"/>
              <w:textAlignment w:val="baseline"/>
              <w:rPr>
                <w:lang w:eastAsia="zh-CN"/>
              </w:rPr>
            </w:pPr>
            <w:r>
              <w:rPr>
                <w:lang w:eastAsia="zh-CN"/>
              </w:rPr>
              <w:t>Given the online discussion are we concluding that for multi-slot monitoring</w:t>
            </w:r>
          </w:p>
          <w:p>
            <w:pPr>
              <w:pStyle w:val="82"/>
              <w:widowControl w:val="0"/>
              <w:numPr>
                <w:ilvl w:val="0"/>
                <w:numId w:val="40"/>
              </w:numPr>
              <w:overflowPunct w:val="0"/>
              <w:textAlignment w:val="baseline"/>
              <w:rPr>
                <w:lang w:eastAsia="zh-CN"/>
              </w:rPr>
            </w:pPr>
            <w:r>
              <w:rPr>
                <w:lang w:val="en-GB" w:eastAsia="zh-CN"/>
              </w:rPr>
              <w:t xml:space="preserve">all configured Group (2) SS sets are limited to be within a single span of three consecutive OFDM symbols across multiple slots within a slot grouop or </w:t>
            </w:r>
          </w:p>
          <w:p>
            <w:pPr>
              <w:pStyle w:val="82"/>
              <w:widowControl w:val="0"/>
              <w:numPr>
                <w:ilvl w:val="0"/>
                <w:numId w:val="40"/>
              </w:numPr>
              <w:overflowPunct w:val="0"/>
              <w:textAlignment w:val="baseline"/>
              <w:rPr>
                <w:lang w:eastAsia="zh-CN"/>
              </w:rPr>
            </w:pPr>
            <w:r>
              <w:rPr>
                <w:lang w:val="en-GB" w:eastAsia="zh-CN"/>
              </w:rPr>
              <w:t xml:space="preserve">each configured Group (2) SS sets is limited to be within its own single span of three consecutive OFDM symbols across multiple slots within a slot group </w:t>
            </w:r>
          </w:p>
          <w:p>
            <w:pPr>
              <w:widowControl w:val="0"/>
              <w:overflowPunct w:val="0"/>
              <w:textAlignment w:val="baseline"/>
              <w:rPr>
                <w:lang w:eastAsia="zh-CN"/>
              </w:rPr>
            </w:pPr>
          </w:p>
          <w:p>
            <w:pPr>
              <w:widowControl w:val="0"/>
              <w:overflowPunct w:val="0"/>
              <w:textAlignment w:val="baseline"/>
              <w:rPr>
                <w:lang w:val="en-GB" w:eastAsia="zh-CN"/>
              </w:rPr>
            </w:pPr>
            <w:r>
              <w:rPr>
                <w:lang w:eastAsia="zh-CN"/>
              </w:rPr>
              <w:t xml:space="preserve">the impact of (b) on UE power savings (especially for Type 1 CSS without </w:t>
            </w:r>
            <w:r>
              <w:rPr>
                <w:lang w:val="en-GB" w:eastAsia="zh-CN"/>
              </w:rPr>
              <w:t>dedicated RRC configuration when used in a RAR) can be quite negative.</w:t>
            </w:r>
          </w:p>
          <w:p>
            <w:pPr>
              <w:widowControl w:val="0"/>
              <w:rPr>
                <w:rFonts w:ascii="Times" w:hAnsi="Times" w:eastAsia="Batang"/>
                <w:sz w:val="20"/>
                <w:szCs w:val="20"/>
              </w:rPr>
            </w:pPr>
            <w:r>
              <w:rPr>
                <w:rFonts w:ascii="Times" w:hAnsi="Times" w:eastAsia="Batang"/>
                <w:sz w:val="20"/>
                <w:szCs w:val="20"/>
              </w:rPr>
              <w:t>Moderator: Unless we can agree on an additional restriction for Group (2) SSs (e.g. as suggested by Intel's comment), my understanding is that (b) is the case. Then UE power saving may still be possible if the Group (2) SS is such that (a) is fulfilled, but the implementation would need to be ready for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Moderator</w:t>
            </w:r>
          </w:p>
        </w:tc>
        <w:tc>
          <w:tcPr>
            <w:tcW w:w="12176" w:type="dxa"/>
            <w:vAlign w:val="center"/>
          </w:tcPr>
          <w:p>
            <w:pPr>
              <w:widowControl w:val="0"/>
              <w:overflowPunct w:val="0"/>
              <w:textAlignment w:val="baseline"/>
              <w:rPr>
                <w:lang w:eastAsia="zh-CN"/>
              </w:rPr>
            </w:pPr>
            <w:r>
              <w:rPr>
                <w:lang w:eastAsia="zh-CN"/>
              </w:rPr>
              <w:t xml:space="preserve">I have added Proposal A2-1.1b to reflect Huawei's (except the Note for </w:t>
            </w:r>
            <w:r>
              <w:rPr>
                <w:rFonts w:eastAsia="Batang"/>
                <w:i/>
                <w:iCs/>
                <w:color w:val="000000"/>
              </w:rPr>
              <w:t>monitoringSlotsWithinSlotGroup-r17</w:t>
            </w:r>
            <w:r>
              <w:rPr>
                <w:lang w:eastAsia="zh-CN"/>
              </w:rPr>
              <w:t>), ZTE's and some of Mediatek's suggestions. I would like to hear more views particularly on:</w:t>
            </w:r>
          </w:p>
          <w:p>
            <w:pPr>
              <w:pStyle w:val="82"/>
              <w:widowControl w:val="0"/>
              <w:numPr>
                <w:ilvl w:val="0"/>
                <w:numId w:val="26"/>
              </w:numPr>
              <w:overflowPunct w:val="0"/>
              <w:textAlignment w:val="baseline"/>
              <w:rPr>
                <w:lang w:eastAsia="zh-CN"/>
              </w:rPr>
            </w:pPr>
            <w:r>
              <w:rPr>
                <w:lang w:eastAsia="zh-CN"/>
              </w:rPr>
              <w:t xml:space="preserve">MediaTek's </w:t>
            </w:r>
            <w:r>
              <w:t>Comment 4.</w:t>
            </w:r>
          </w:p>
          <w:p>
            <w:pPr>
              <w:pStyle w:val="82"/>
              <w:widowControl w:val="0"/>
              <w:numPr>
                <w:ilvl w:val="0"/>
                <w:numId w:val="26"/>
              </w:numPr>
              <w:overflowPunct w:val="0"/>
              <w:textAlignment w:val="baseline"/>
              <w:rPr>
                <w:lang w:eastAsia="zh-CN"/>
              </w:rPr>
            </w:pPr>
            <w:r>
              <w:rPr>
                <w:lang w:eastAsia="zh-CN"/>
              </w:rPr>
              <w:t>Intel's suggestion after "On limitation for Group (2) SS"</w:t>
            </w:r>
          </w:p>
          <w:p>
            <w:pPr>
              <w:widowControl w:val="0"/>
              <w:overflowPunct w:val="0"/>
              <w:textAlignment w:val="baseline"/>
              <w:rPr>
                <w:lang w:eastAsia="zh-CN"/>
              </w:rPr>
            </w:pPr>
            <w:r>
              <w:rPr>
                <w:lang w:eastAsia="zh-CN"/>
              </w:rPr>
              <w:t xml:space="preserve">I took the liberty of highlighting them above in </w:t>
            </w:r>
            <w:r>
              <w:rPr>
                <w:highlight w:val="yellow"/>
                <w:lang w:eastAsia="zh-CN"/>
              </w:rPr>
              <w:t>yellow</w:t>
            </w:r>
            <w:r>
              <w:rPr>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Qualcomm</w:t>
            </w:r>
          </w:p>
        </w:tc>
        <w:tc>
          <w:tcPr>
            <w:tcW w:w="12176" w:type="dxa"/>
            <w:vAlign w:val="center"/>
          </w:tcPr>
          <w:p>
            <w:pPr>
              <w:widowControl w:val="0"/>
              <w:overflowPunct w:val="0"/>
              <w:textAlignment w:val="baseline"/>
              <w:rPr>
                <w:lang w:eastAsia="zh-CN"/>
              </w:rPr>
            </w:pPr>
            <w:r>
              <w:rPr>
                <w:lang w:eastAsia="zh-CN"/>
              </w:rPr>
              <w:t>Comment 1: Default value of duration-r17</w:t>
            </w:r>
          </w:p>
          <w:p>
            <w:pPr>
              <w:widowControl w:val="0"/>
              <w:overflowPunct w:val="0"/>
              <w:textAlignment w:val="baseline"/>
              <w:rPr>
                <w:lang w:eastAsia="zh-CN"/>
              </w:rPr>
            </w:pPr>
            <w:r>
              <w:rPr>
                <w:lang w:eastAsia="zh-CN"/>
              </w:rPr>
              <w:t>As ZTE and MediaTek commented, the default value should be 4 for 480 kHz and 8 for 960 kHz.</w:t>
            </w:r>
          </w:p>
          <w:p>
            <w:pPr>
              <w:widowControl w:val="0"/>
              <w:overflowPunct w:val="0"/>
              <w:textAlignment w:val="baseline"/>
              <w:rPr>
                <w:lang w:eastAsia="zh-CN"/>
              </w:rPr>
            </w:pPr>
            <w:r>
              <w:rPr>
                <w:lang w:eastAsia="zh-CN"/>
              </w:rPr>
              <w:t xml:space="preserve">Comment 2 </w:t>
            </w:r>
            <w:r>
              <w:rPr>
                <w:highlight w:val="cyan"/>
                <w:lang w:eastAsia="zh-CN"/>
              </w:rPr>
              <w:t>(also response to MediaTek)</w:t>
            </w:r>
            <w:r>
              <w:rPr>
                <w:lang w:eastAsia="zh-CN"/>
              </w:rPr>
              <w:t xml:space="preserve">: As we commented for Proposal A1-3.1a, a UE capability value Xs is unique for a BWP, but SS sets within the BWP can be configured with any bitmap size of </w:t>
            </w:r>
            <w:r>
              <w:rPr>
                <w:i/>
                <w:iCs/>
                <w:lang w:eastAsia="zh-CN"/>
              </w:rPr>
              <w:t>monitoringSlotWithinSlotGroup</w:t>
            </w:r>
            <w:r>
              <w:rPr>
                <w:lang w:eastAsia="zh-CN"/>
              </w:rPr>
              <w:t xml:space="preserve"> (4 or 8) as long as it is compatible with the Xs value. This would be clear from the examples we provided in Proposal A1-3.1a. In that sense the following sentences would be confusing:</w:t>
            </w:r>
          </w:p>
          <w:p>
            <w:pPr>
              <w:widowControl w:val="0"/>
              <w:numPr>
                <w:ilvl w:val="2"/>
                <w:numId w:val="28"/>
              </w:numPr>
              <w:overflowPunct w:val="0"/>
              <w:textAlignment w:val="baseline"/>
              <w:rPr>
                <w:rFonts w:ascii="Times" w:hAnsi="Times" w:eastAsia="Batang"/>
                <w:color w:val="00B050"/>
                <w:sz w:val="20"/>
                <w:szCs w:val="24"/>
              </w:rPr>
            </w:pPr>
            <w:r>
              <w:rPr>
                <w:rFonts w:ascii="Times" w:hAnsi="Times" w:eastAsia="Batang"/>
                <w:i/>
                <w:iCs/>
                <w:color w:val="00B050"/>
                <w:sz w:val="20"/>
                <w:szCs w:val="24"/>
              </w:rPr>
              <w:t>duration-r17</w:t>
            </w:r>
            <w:r>
              <w:rPr>
                <w:rFonts w:ascii="Times" w:hAnsi="Times" w:eastAsia="Batang"/>
                <w:color w:val="00B050"/>
                <w:sz w:val="20"/>
                <w:szCs w:val="24"/>
              </w:rPr>
              <w:t xml:space="preserve"> is the total number of slots in consecutive grou</w:t>
            </w:r>
            <w:r>
              <w:rPr>
                <w:rFonts w:ascii="Times" w:hAnsi="Times" w:eastAsia="Batang"/>
                <w:color w:val="00B050"/>
                <w:sz w:val="20"/>
                <w:szCs w:val="20"/>
              </w:rPr>
              <w:t xml:space="preserve">ps of </w:t>
            </w:r>
            <m:oMath>
              <m:sSub>
                <m:sSubPr>
                  <m:ctrlPr>
                    <w:rPr>
                      <w:rFonts w:ascii="Cambria Math" w:hAnsi="Cambria Math"/>
                      <w:color w:val="00B050"/>
                      <w:sz w:val="20"/>
                      <w:szCs w:val="20"/>
                      <w:highlight w:val="yellow"/>
                    </w:rPr>
                  </m:ctrlPr>
                </m:sSubPr>
                <m:e>
                  <m:r>
                    <m:rPr>
                      <m:sty m:val="p"/>
                    </m:rPr>
                    <w:rPr>
                      <w:rFonts w:ascii="Cambria Math" w:hAnsi="Cambria Math"/>
                      <w:color w:val="00B050"/>
                      <w:sz w:val="20"/>
                      <w:szCs w:val="20"/>
                      <w:highlight w:val="yellow"/>
                    </w:rPr>
                    <m:t>X</m:t>
                  </m:r>
                  <m:ctrlPr>
                    <w:rPr>
                      <w:rFonts w:ascii="Cambria Math" w:hAnsi="Cambria Math"/>
                      <w:color w:val="00B050"/>
                      <w:sz w:val="20"/>
                      <w:szCs w:val="20"/>
                      <w:highlight w:val="yellow"/>
                    </w:rPr>
                  </m:ctrlPr>
                </m:e>
                <m:sub>
                  <m:r>
                    <m:rPr>
                      <m:sty m:val="p"/>
                    </m:rPr>
                    <w:rPr>
                      <w:rFonts w:ascii="Cambria Math" w:hAnsi="Cambria Math"/>
                      <w:color w:val="00B050"/>
                      <w:sz w:val="20"/>
                      <w:szCs w:val="20"/>
                      <w:highlight w:val="yellow"/>
                    </w:rPr>
                    <m:t>s</m:t>
                  </m:r>
                  <m:ctrlPr>
                    <w:rPr>
                      <w:rFonts w:ascii="Cambria Math" w:hAnsi="Cambria Math"/>
                      <w:color w:val="00B050"/>
                      <w:sz w:val="20"/>
                      <w:szCs w:val="20"/>
                      <w:highlight w:val="yellow"/>
                    </w:rPr>
                  </m:ctrlPr>
                </m:sub>
              </m:sSub>
            </m:oMath>
            <w:r>
              <w:rPr>
                <w:rFonts w:ascii="Times" w:hAnsi="Times" w:eastAsia="Batang"/>
                <w:color w:val="00B050"/>
                <w:sz w:val="20"/>
                <w:szCs w:val="20"/>
                <w:highlight w:val="yellow"/>
              </w:rPr>
              <w:t xml:space="preserve"> slots</w:t>
            </w:r>
            <w:r>
              <w:rPr>
                <w:rFonts w:ascii="Times" w:hAnsi="Times" w:eastAsia="Batang"/>
                <w:color w:val="00B050"/>
                <w:sz w:val="20"/>
                <w:szCs w:val="20"/>
              </w:rPr>
              <w:t xml:space="preserve"> that </w:t>
            </w:r>
            <w:r>
              <w:rPr>
                <w:rFonts w:ascii="Times" w:hAnsi="Times" w:eastAsia="Batang"/>
                <w:color w:val="00B050"/>
                <w:sz w:val="20"/>
                <w:szCs w:val="24"/>
              </w:rPr>
              <w:t xml:space="preserve">a Search Space lasts in every occasion as given by </w:t>
            </w:r>
            <w:r>
              <w:rPr>
                <w:rFonts w:ascii="Times" w:hAnsi="Times" w:eastAsia="Batang"/>
                <w:i/>
                <w:iCs/>
                <w:color w:val="00B050"/>
                <w:sz w:val="20"/>
                <w:szCs w:val="24"/>
              </w:rPr>
              <w:t>monitoringPeriodicityAndOffset-r17</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FF0000"/>
                <w:sz w:val="20"/>
                <w:szCs w:val="24"/>
              </w:rPr>
              <w:t xml:space="preserve">The size is </w:t>
            </w:r>
            <w:r>
              <w:rPr>
                <w:rFonts w:ascii="Times" w:hAnsi="Times" w:eastAsia="Batang"/>
                <w:color w:val="FF0000"/>
                <w:sz w:val="20"/>
                <w:szCs w:val="24"/>
                <w:highlight w:val="yellow"/>
              </w:rPr>
              <w:t>Xs bits</w:t>
            </w:r>
            <w:r>
              <w:rPr>
                <w:rFonts w:ascii="Times" w:hAnsi="Times" w:eastAsia="Batang"/>
                <w:color w:val="FF0000"/>
                <w:sz w:val="20"/>
                <w:szCs w:val="24"/>
              </w:rPr>
              <w:t>, where Xs is either 4 or 8</w:t>
            </w:r>
          </w:p>
          <w:p>
            <w:pPr>
              <w:widowControl w:val="0"/>
              <w:overflowPunct w:val="0"/>
              <w:textAlignment w:val="baseline"/>
              <w:rPr>
                <w:lang w:eastAsia="zh-CN"/>
              </w:rPr>
            </w:pPr>
            <w:r>
              <w:rPr>
                <w:lang w:eastAsia="zh-CN"/>
              </w:rPr>
              <w:t>As we commented above, the UE capability Xs and the bitmap size should be distinguished. As such, the following changes are suggested:</w:t>
            </w:r>
          </w:p>
          <w:p>
            <w:pPr>
              <w:widowControl w:val="0"/>
              <w:numPr>
                <w:ilvl w:val="2"/>
                <w:numId w:val="28"/>
              </w:numPr>
              <w:overflowPunct w:val="0"/>
              <w:textAlignment w:val="baseline"/>
              <w:rPr>
                <w:rFonts w:ascii="Times" w:hAnsi="Times" w:eastAsia="Batang"/>
                <w:color w:val="00B050"/>
                <w:sz w:val="20"/>
                <w:szCs w:val="24"/>
              </w:rPr>
            </w:pPr>
            <w:r>
              <w:rPr>
                <w:rFonts w:ascii="Times" w:hAnsi="Times" w:eastAsia="Batang"/>
                <w:i/>
                <w:iCs/>
                <w:color w:val="00B050"/>
                <w:sz w:val="20"/>
                <w:szCs w:val="24"/>
              </w:rPr>
              <w:t>duration-r17</w:t>
            </w:r>
            <w:r>
              <w:rPr>
                <w:rFonts w:ascii="Times" w:hAnsi="Times" w:eastAsia="Batang"/>
                <w:color w:val="00B050"/>
                <w:sz w:val="20"/>
                <w:szCs w:val="24"/>
              </w:rPr>
              <w:t xml:space="preserve"> is the total number of slots in consecutive grou</w:t>
            </w:r>
            <w:r>
              <w:rPr>
                <w:rFonts w:ascii="Times" w:hAnsi="Times" w:eastAsia="Batang"/>
                <w:color w:val="00B050"/>
                <w:sz w:val="20"/>
                <w:szCs w:val="20"/>
              </w:rPr>
              <w:t xml:space="preserve">ps of </w:t>
            </w:r>
            <w:r>
              <w:rPr>
                <w:rFonts w:ascii="Times" w:hAnsi="Times" w:eastAsia="Batang"/>
                <w:color w:val="0070C0"/>
                <w:sz w:val="20"/>
                <w:szCs w:val="20"/>
              </w:rPr>
              <w:t>X</w:t>
            </w:r>
            <w:r>
              <w:rPr>
                <w:rFonts w:ascii="Times" w:hAnsi="Times" w:eastAsia="Batang"/>
                <w:color w:val="00B050"/>
                <w:sz w:val="20"/>
                <w:szCs w:val="20"/>
              </w:rPr>
              <w:t xml:space="preserve"> slots</w:t>
            </w:r>
            <w:r>
              <w:rPr>
                <w:rFonts w:ascii="Times" w:hAnsi="Times" w:eastAsia="Batang"/>
                <w:color w:val="0070C0"/>
                <w:sz w:val="20"/>
                <w:szCs w:val="20"/>
              </w:rPr>
              <w:t xml:space="preserve">, where X is the number of bits in </w:t>
            </w:r>
            <w:r>
              <w:rPr>
                <w:rFonts w:ascii="Times" w:hAnsi="Times" w:eastAsia="Batang"/>
                <w:i/>
                <w:iCs/>
                <w:color w:val="0070C0"/>
                <w:sz w:val="20"/>
                <w:szCs w:val="20"/>
              </w:rPr>
              <w:t>monitoringSlotWithinSlotGroup-r17,</w:t>
            </w:r>
            <w:r>
              <w:rPr>
                <w:rFonts w:ascii="Times" w:hAnsi="Times" w:eastAsia="Batang"/>
                <w:color w:val="00B050"/>
                <w:sz w:val="20"/>
                <w:szCs w:val="20"/>
              </w:rPr>
              <w:t xml:space="preserve"> that </w:t>
            </w:r>
            <w:r>
              <w:rPr>
                <w:rFonts w:ascii="Times" w:hAnsi="Times" w:eastAsia="Batang"/>
                <w:color w:val="00B050"/>
                <w:sz w:val="20"/>
                <w:szCs w:val="24"/>
              </w:rPr>
              <w:t xml:space="preserve">a Search Space lasts in every occasion as given by </w:t>
            </w:r>
            <w:r>
              <w:rPr>
                <w:rFonts w:ascii="Times" w:hAnsi="Times" w:eastAsia="Batang"/>
                <w:i/>
                <w:iCs/>
                <w:color w:val="00B050"/>
                <w:sz w:val="20"/>
                <w:szCs w:val="24"/>
              </w:rPr>
              <w:t>monitoringPeriodicityAndOffset-r17</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FF0000"/>
                <w:sz w:val="20"/>
                <w:szCs w:val="24"/>
              </w:rPr>
              <w:t xml:space="preserve">The size is X bits, where </w:t>
            </w:r>
            <w:r>
              <w:rPr>
                <w:rFonts w:ascii="Times" w:hAnsi="Times" w:eastAsia="Batang"/>
                <w:color w:val="0070C0"/>
                <w:sz w:val="20"/>
                <w:szCs w:val="24"/>
              </w:rPr>
              <w:t>X</w:t>
            </w:r>
            <w:r>
              <w:rPr>
                <w:rFonts w:ascii="Times" w:hAnsi="Times" w:eastAsia="Batang"/>
                <w:color w:val="FF0000"/>
                <w:sz w:val="20"/>
                <w:szCs w:val="24"/>
              </w:rPr>
              <w:t xml:space="preserve"> is either 4 or 8</w:t>
            </w:r>
          </w:p>
          <w:p>
            <w:pPr>
              <w:widowControl w:val="0"/>
              <w:overflowPunct w:val="0"/>
              <w:textAlignment w:val="baseline"/>
              <w:rPr>
                <w:lang w:eastAsia="zh-CN"/>
              </w:rPr>
            </w:pPr>
            <w:r>
              <w:rPr>
                <w:lang w:eastAsia="zh-CN"/>
              </w:rPr>
              <w:t>Comment 3: The discussion in A2-2 has not been concluded, although majority companies support Interpretation#2. Then, the following two bullets are not consistent with Interpretation#2, and seems premature at this stage:</w:t>
            </w:r>
          </w:p>
          <w:p>
            <w:pPr>
              <w:widowControl w:val="0"/>
              <w:numPr>
                <w:ilvl w:val="2"/>
                <w:numId w:val="28"/>
              </w:numPr>
              <w:overflowPunct w:val="0"/>
              <w:textAlignment w:val="baseline"/>
              <w:rPr>
                <w:rFonts w:ascii="Times" w:hAnsi="Times" w:eastAsia="Batang"/>
                <w:color w:val="00B050"/>
                <w:sz w:val="20"/>
                <w:szCs w:val="24"/>
              </w:rPr>
            </w:pPr>
            <w:r>
              <w:rPr>
                <w:rFonts w:ascii="Times" w:hAnsi="Times" w:eastAsia="Batang"/>
                <w:color w:val="00B050"/>
                <w:sz w:val="20"/>
                <w:szCs w:val="24"/>
              </w:rPr>
              <w:t>The slots indicated in the bitmap are not restricted to be consecutive for Group (2) SSs</w:t>
            </w:r>
          </w:p>
          <w:p>
            <w:pPr>
              <w:widowControl w:val="0"/>
              <w:numPr>
                <w:ilvl w:val="2"/>
                <w:numId w:val="28"/>
              </w:numPr>
              <w:overflowPunct w:val="0"/>
              <w:textAlignment w:val="baseline"/>
              <w:rPr>
                <w:rFonts w:ascii="Times" w:hAnsi="Times" w:eastAsia="Batang"/>
                <w:color w:val="00B050"/>
                <w:sz w:val="20"/>
                <w:szCs w:val="24"/>
              </w:rPr>
            </w:pPr>
            <w:r>
              <w:rPr>
                <w:rFonts w:ascii="Times" w:hAnsi="Times" w:eastAsia="Batang"/>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ctrlPr>
                    <w:rPr>
                      <w:rFonts w:ascii="Cambria Math" w:hAnsi="Cambria Math"/>
                      <w:bCs/>
                      <w:i/>
                      <w:color w:val="00B050"/>
                      <w:sz w:val="20"/>
                      <w:szCs w:val="20"/>
                    </w:rPr>
                  </m:ctrlPr>
                </m:e>
                <m:sub>
                  <m:r>
                    <w:rPr>
                      <w:rFonts w:ascii="Cambria Math" w:hAnsi="Cambria Math"/>
                      <w:color w:val="00B050"/>
                      <w:sz w:val="20"/>
                      <w:szCs w:val="20"/>
                    </w:rPr>
                    <m:t>s</m:t>
                  </m:r>
                  <m:ctrlPr>
                    <w:rPr>
                      <w:rFonts w:ascii="Cambria Math" w:hAnsi="Cambria Math"/>
                      <w:bCs/>
                      <w:i/>
                      <w:color w:val="00B050"/>
                      <w:sz w:val="20"/>
                      <w:szCs w:val="20"/>
                    </w:rPr>
                  </m:ctrlPr>
                </m:sub>
              </m:sSub>
            </m:oMath>
            <w:r>
              <w:rPr>
                <w:bCs/>
                <w:color w:val="00B050"/>
                <w:sz w:val="20"/>
                <w:szCs w:val="20"/>
              </w:rPr>
              <w:t xml:space="preserve"> </w:t>
            </w:r>
            <w:r>
              <w:rPr>
                <w:rFonts w:ascii="Times" w:hAnsi="Times" w:eastAsia="Batang"/>
                <w:color w:val="00B050"/>
                <w:sz w:val="20"/>
                <w:szCs w:val="24"/>
              </w:rPr>
              <w:t>for Group (2) SSs</w:t>
            </w:r>
          </w:p>
          <w:p>
            <w:pPr>
              <w:widowControl w:val="0"/>
              <w:overflowPunct w:val="0"/>
              <w:textAlignment w:val="baseline"/>
              <w:rPr>
                <w:lang w:eastAsia="zh-CN"/>
              </w:rPr>
            </w:pPr>
            <w:r>
              <w:rPr>
                <w:lang w:eastAsia="zh-CN"/>
              </w:rPr>
              <w:t>The above two bullets actually follow Interpretation#1. Thus, if these two bullets are agreed, it will close the door to any further discussion on Interpretation#2.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sz w:val="20"/>
                <w:lang w:eastAsia="zh-CN"/>
              </w:rPr>
              <w:t>Ericsson</w:t>
            </w:r>
          </w:p>
        </w:tc>
        <w:tc>
          <w:tcPr>
            <w:tcW w:w="12176" w:type="dxa"/>
            <w:vAlign w:val="center"/>
          </w:tcPr>
          <w:p>
            <w:pPr>
              <w:widowControl w:val="0"/>
              <w:overflowPunct w:val="0"/>
              <w:textAlignment w:val="baseline"/>
              <w:rPr>
                <w:sz w:val="20"/>
                <w:lang w:eastAsia="zh-CN"/>
              </w:rPr>
            </w:pPr>
            <w:r>
              <w:rPr>
                <w:sz w:val="20"/>
                <w:lang w:eastAsia="zh-CN"/>
              </w:rPr>
              <w:t>Support Proposal A2-1.1b if the following comments are addressed.</w:t>
            </w:r>
          </w:p>
          <w:p>
            <w:pPr>
              <w:widowControl w:val="0"/>
              <w:overflowPunct w:val="0"/>
              <w:textAlignment w:val="baseline"/>
              <w:rPr>
                <w:sz w:val="20"/>
                <w:u w:val="single"/>
                <w:lang w:eastAsia="zh-CN"/>
              </w:rPr>
            </w:pPr>
          </w:p>
          <w:p>
            <w:pPr>
              <w:widowControl w:val="0"/>
              <w:overflowPunct w:val="0"/>
              <w:textAlignment w:val="baseline"/>
              <w:rPr>
                <w:sz w:val="20"/>
                <w:u w:val="single"/>
                <w:lang w:eastAsia="zh-CN"/>
              </w:rPr>
            </w:pPr>
            <w:r>
              <w:rPr>
                <w:sz w:val="20"/>
                <w:u w:val="single"/>
                <w:lang w:eastAsia="zh-CN"/>
              </w:rPr>
              <w:t>Comment #1</w:t>
            </w:r>
          </w:p>
          <w:p>
            <w:pPr>
              <w:widowControl w:val="0"/>
              <w:overflowPunct w:val="0"/>
              <w:textAlignment w:val="baseline"/>
              <w:rPr>
                <w:sz w:val="20"/>
                <w:lang w:eastAsia="zh-CN"/>
              </w:rPr>
            </w:pPr>
            <w:r>
              <w:rPr>
                <w:sz w:val="20"/>
                <w:lang w:eastAsia="zh-CN"/>
              </w:rPr>
              <w:t xml:space="preserve">As we commented earlier, we are fine to restrict periodicity, offset, and duration to all be integer multiples of Xs for both Group(1) and Group(2) as long as the following bullets remain for the </w:t>
            </w:r>
            <w:r>
              <w:rPr>
                <w:i/>
                <w:iCs/>
                <w:sz w:val="20"/>
                <w:lang w:eastAsia="zh-CN"/>
              </w:rPr>
              <w:t>monitoringSlotsWithinSlotGroup</w:t>
            </w:r>
            <w:r>
              <w:rPr>
                <w:sz w:val="20"/>
                <w:lang w:eastAsia="zh-CN"/>
              </w:rPr>
              <w:t xml:space="preserve"> bitmap</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FF0000"/>
                <w:sz w:val="20"/>
                <w:szCs w:val="24"/>
              </w:rPr>
              <w:t>The size is Xs bits, where Xs is either 4 or 8</w:t>
            </w:r>
          </w:p>
          <w:p>
            <w:pPr>
              <w:widowControl w:val="0"/>
              <w:numPr>
                <w:ilvl w:val="2"/>
                <w:numId w:val="28"/>
              </w:numPr>
              <w:overflowPunct w:val="0"/>
              <w:textAlignment w:val="baseline"/>
              <w:rPr>
                <w:rFonts w:ascii="Times" w:hAnsi="Times" w:eastAsia="Batang"/>
                <w:color w:val="00B050"/>
                <w:sz w:val="20"/>
                <w:szCs w:val="24"/>
              </w:rPr>
            </w:pPr>
            <w:r>
              <w:rPr>
                <w:rFonts w:ascii="Times" w:hAnsi="Times" w:eastAsia="Batang"/>
                <w:color w:val="00B050"/>
                <w:sz w:val="20"/>
                <w:szCs w:val="24"/>
              </w:rPr>
              <w:t>The slots indicated in the bitmap are not restricted to be consecutive for Group (2) SSs</w:t>
            </w:r>
          </w:p>
          <w:p>
            <w:pPr>
              <w:widowControl w:val="0"/>
              <w:numPr>
                <w:ilvl w:val="2"/>
                <w:numId w:val="28"/>
              </w:numPr>
              <w:overflowPunct w:val="0"/>
              <w:textAlignment w:val="baseline"/>
              <w:rPr>
                <w:rFonts w:ascii="Times" w:hAnsi="Times" w:eastAsia="Batang"/>
                <w:color w:val="00B050"/>
                <w:sz w:val="20"/>
                <w:szCs w:val="24"/>
              </w:rPr>
            </w:pPr>
            <w:r>
              <w:rPr>
                <w:rFonts w:ascii="Times" w:hAnsi="Times" w:eastAsia="Batang"/>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ctrlPr>
                    <w:rPr>
                      <w:rFonts w:ascii="Cambria Math" w:hAnsi="Cambria Math"/>
                      <w:bCs/>
                      <w:i/>
                      <w:color w:val="00B050"/>
                      <w:sz w:val="20"/>
                      <w:szCs w:val="20"/>
                    </w:rPr>
                  </m:ctrlPr>
                </m:e>
                <m:sub>
                  <m:r>
                    <w:rPr>
                      <w:rFonts w:ascii="Cambria Math" w:hAnsi="Cambria Math"/>
                      <w:color w:val="00B050"/>
                      <w:sz w:val="20"/>
                      <w:szCs w:val="20"/>
                    </w:rPr>
                    <m:t>s</m:t>
                  </m:r>
                  <m:ctrlPr>
                    <w:rPr>
                      <w:rFonts w:ascii="Cambria Math" w:hAnsi="Cambria Math"/>
                      <w:bCs/>
                      <w:i/>
                      <w:color w:val="00B050"/>
                      <w:sz w:val="20"/>
                      <w:szCs w:val="20"/>
                    </w:rPr>
                  </m:ctrlPr>
                </m:sub>
              </m:sSub>
            </m:oMath>
            <w:r>
              <w:rPr>
                <w:bCs/>
                <w:color w:val="00B050"/>
                <w:sz w:val="20"/>
                <w:szCs w:val="20"/>
              </w:rPr>
              <w:t xml:space="preserve"> </w:t>
            </w:r>
            <w:r>
              <w:rPr>
                <w:rFonts w:ascii="Times" w:hAnsi="Times" w:eastAsia="Batang"/>
                <w:color w:val="00B050"/>
                <w:sz w:val="20"/>
                <w:szCs w:val="24"/>
              </w:rPr>
              <w:t>for Group (2) SSs</w:t>
            </w:r>
          </w:p>
          <w:p>
            <w:pPr>
              <w:widowControl w:val="0"/>
              <w:overflowPunct w:val="0"/>
              <w:textAlignment w:val="baseline"/>
              <w:rPr>
                <w:sz w:val="20"/>
                <w:lang w:eastAsia="zh-CN"/>
              </w:rPr>
            </w:pPr>
            <w:r>
              <w:rPr>
                <w:sz w:val="20"/>
                <w:lang w:eastAsia="zh-CN"/>
              </w:rPr>
              <w:t>We do not agree that the above two bullets in green close the door on Interpreation #1 vs. #2 mentioned by Qualcomm above. These bullets are fully consistent with the agreement from last meeting that the UE is mandatorily supports monitoring of Group (2) SSs within each of the Xs slots of a slot group. Which symbols within each of those slots (Interpreation #1 vs. #2) is a separate discussion.</w:t>
            </w:r>
          </w:p>
          <w:p>
            <w:pPr>
              <w:widowControl w:val="0"/>
              <w:autoSpaceDE/>
              <w:autoSpaceDN/>
              <w:adjustRightInd/>
              <w:snapToGrid/>
              <w:spacing w:after="0" w:line="240" w:lineRule="auto"/>
              <w:ind w:left="567"/>
              <w:rPr>
                <w:rFonts w:eastAsia="Batang"/>
                <w:b/>
                <w:sz w:val="20"/>
                <w:szCs w:val="20"/>
                <w:lang w:val="en-GB"/>
              </w:rPr>
            </w:pPr>
            <w:r>
              <w:rPr>
                <w:rFonts w:eastAsia="Batang"/>
                <w:b/>
                <w:sz w:val="20"/>
                <w:szCs w:val="20"/>
                <w:highlight w:val="green"/>
                <w:lang w:val="en-GB"/>
              </w:rPr>
              <w:t>Agreement</w:t>
            </w:r>
          </w:p>
          <w:p>
            <w:pPr>
              <w:widowControl w:val="0"/>
              <w:autoSpaceDE/>
              <w:autoSpaceDN/>
              <w:adjustRightInd/>
              <w:snapToGrid/>
              <w:spacing w:after="0" w:line="240" w:lineRule="auto"/>
              <w:ind w:left="567"/>
              <w:rPr>
                <w:rFonts w:eastAsia="Batang"/>
                <w:sz w:val="20"/>
                <w:szCs w:val="20"/>
                <w:lang w:eastAsia="zh-CN"/>
              </w:rPr>
            </w:pPr>
            <w:r>
              <w:rPr>
                <w:rFonts w:eastAsia="Batang"/>
                <w:sz w:val="20"/>
                <w:szCs w:val="20"/>
                <w:lang w:eastAsia="zh-CN"/>
              </w:rPr>
              <w:t>Clarify earlier agreement as follows:</w:t>
            </w:r>
          </w:p>
          <w:p>
            <w:pPr>
              <w:widowControl w:val="0"/>
              <w:numPr>
                <w:ilvl w:val="0"/>
                <w:numId w:val="30"/>
              </w:numPr>
              <w:overflowPunct w:val="0"/>
              <w:autoSpaceDE/>
              <w:autoSpaceDN/>
              <w:adjustRightInd/>
              <w:snapToGrid/>
              <w:spacing w:after="0" w:line="252" w:lineRule="auto"/>
              <w:ind w:left="1340"/>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within each of the Xs slots of a slot-group</w:t>
            </w:r>
            <w:r>
              <w:rPr>
                <w:rFonts w:eastAsia="Batang"/>
                <w:sz w:val="20"/>
                <w:szCs w:val="20"/>
                <w:lang w:eastAsia="zh-CN"/>
              </w:rPr>
              <w:t>, such that:</w:t>
            </w:r>
          </w:p>
          <w:p>
            <w:pPr>
              <w:widowControl w:val="0"/>
              <w:numPr>
                <w:ilvl w:val="1"/>
                <w:numId w:val="30"/>
              </w:numPr>
              <w:overflowPunct w:val="0"/>
              <w:autoSpaceDE/>
              <w:autoSpaceDN/>
              <w:adjustRightInd/>
              <w:snapToGrid/>
              <w:spacing w:after="0" w:line="252" w:lineRule="auto"/>
              <w:ind w:left="2060"/>
              <w:jc w:val="both"/>
              <w:rPr>
                <w:rFonts w:eastAsia="Batang"/>
                <w:sz w:val="20"/>
                <w:szCs w:val="20"/>
                <w:lang w:eastAsia="zh-CN"/>
              </w:rPr>
            </w:pPr>
            <w:r>
              <w:rPr>
                <w:rFonts w:eastAsia="Batang"/>
                <w:sz w:val="20"/>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pPr>
              <w:widowControl w:val="0"/>
              <w:overflowPunct w:val="0"/>
              <w:textAlignment w:val="baseline"/>
              <w:rPr>
                <w:sz w:val="20"/>
                <w:lang w:eastAsia="zh-CN"/>
              </w:rPr>
            </w:pPr>
          </w:p>
          <w:p>
            <w:pPr>
              <w:widowControl w:val="0"/>
              <w:overflowPunct w:val="0"/>
              <w:textAlignment w:val="baseline"/>
              <w:rPr>
                <w:sz w:val="20"/>
                <w:u w:val="single"/>
                <w:lang w:eastAsia="zh-CN"/>
              </w:rPr>
            </w:pPr>
            <w:r>
              <w:rPr>
                <w:sz w:val="20"/>
                <w:u w:val="single"/>
                <w:lang w:eastAsia="zh-CN"/>
              </w:rPr>
              <w:t>Comment #2</w:t>
            </w:r>
          </w:p>
          <w:p>
            <w:pPr>
              <w:widowControl w:val="0"/>
              <w:overflowPunct w:val="0"/>
              <w:textAlignment w:val="baseline"/>
              <w:rPr>
                <w:sz w:val="20"/>
                <w:lang w:eastAsia="zh-CN"/>
              </w:rPr>
            </w:pPr>
            <w:r>
              <w:rPr>
                <w:sz w:val="20"/>
                <w:lang w:eastAsia="zh-CN"/>
              </w:rPr>
              <w:t xml:space="preserve">Regarding our earlier comment about the </w:t>
            </w:r>
            <w:r>
              <w:rPr>
                <w:i/>
                <w:iCs/>
                <w:sz w:val="20"/>
                <w:lang w:eastAsia="zh-CN"/>
              </w:rPr>
              <w:t>monitoringSlotsWithinSlotGroup</w:t>
            </w:r>
            <w:r>
              <w:rPr>
                <w:sz w:val="20"/>
                <w:lang w:eastAsia="zh-CN"/>
              </w:rPr>
              <w:t xml:space="preserve"> bitmap being configurable as 4 or 8, what we meant is that RAN2 will most likely implement the bitmap using the CHOICE syntax in ASN.1:</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hAnsi="Courier New" w:eastAsia="Times New Roman"/>
                <w:sz w:val="16"/>
                <w:szCs w:val="20"/>
                <w:lang w:val="en-GB" w:eastAsia="en-GB"/>
              </w:rPr>
            </w:pPr>
            <w:r>
              <w:rPr>
                <w:rFonts w:ascii="Courier New" w:hAnsi="Courier New" w:eastAsia="Times New Roman"/>
                <w:sz w:val="16"/>
                <w:szCs w:val="20"/>
                <w:lang w:val="en-GB" w:eastAsia="en-GB"/>
              </w:rPr>
              <w:t xml:space="preserve">    monitoringSlotsWithinSlotGroup-r17        CHOICE {</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hAnsi="Courier New" w:eastAsia="Times New Roman"/>
                <w:sz w:val="16"/>
                <w:szCs w:val="20"/>
                <w:lang w:val="en-GB" w:eastAsia="en-GB"/>
              </w:rPr>
            </w:pPr>
            <w:r>
              <w:rPr>
                <w:rFonts w:ascii="Courier New" w:hAnsi="Courier New" w:eastAsia="Times New Roman"/>
                <w:sz w:val="16"/>
                <w:szCs w:val="20"/>
                <w:lang w:val="en-GB" w:eastAsia="en-GB"/>
              </w:rPr>
              <w:t xml:space="preserve">        xs4                               BIT STRING (SIZE (4)),</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hAnsi="Courier New" w:eastAsia="Times New Roman"/>
                <w:sz w:val="16"/>
                <w:szCs w:val="20"/>
                <w:lang w:val="en-GB" w:eastAsia="en-GB"/>
              </w:rPr>
            </w:pPr>
            <w:r>
              <w:rPr>
                <w:rFonts w:ascii="Courier New" w:hAnsi="Courier New" w:eastAsia="Times New Roman"/>
                <w:sz w:val="16"/>
                <w:szCs w:val="20"/>
                <w:lang w:val="en-GB" w:eastAsia="en-GB"/>
              </w:rPr>
              <w:t xml:space="preserve">        xs8                               BIT STRING (SIZE (8))</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hAnsi="Courier New" w:eastAsia="Times New Roman"/>
                <w:sz w:val="16"/>
                <w:szCs w:val="20"/>
                <w:lang w:val="en-GB" w:eastAsia="en-GB"/>
              </w:rPr>
            </w:pPr>
            <w:r>
              <w:rPr>
                <w:rFonts w:ascii="Courier New" w:hAnsi="Courier New" w:eastAsia="Times New Roman"/>
                <w:sz w:val="16"/>
                <w:szCs w:val="20"/>
                <w:lang w:val="en-GB" w:eastAsia="en-GB"/>
              </w:rPr>
              <w:t xml:space="preserve">    }</w:t>
            </w:r>
          </w:p>
          <w:p>
            <w:pPr>
              <w:widowControl w:val="0"/>
              <w:overflowPunct w:val="0"/>
              <w:textAlignment w:val="baseline"/>
              <w:rPr>
                <w:sz w:val="20"/>
                <w:lang w:eastAsia="zh-CN"/>
              </w:rPr>
            </w:pPr>
          </w:p>
          <w:p>
            <w:pPr>
              <w:widowControl w:val="0"/>
              <w:overflowPunct w:val="0"/>
              <w:textAlignment w:val="baseline"/>
              <w:rPr>
                <w:sz w:val="20"/>
                <w:lang w:eastAsia="zh-CN"/>
              </w:rPr>
            </w:pPr>
            <w:r>
              <w:rPr>
                <w:sz w:val="20"/>
                <w:lang w:eastAsia="zh-CN"/>
              </w:rPr>
              <w:t xml:space="preserve">Hence, we still prefer </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FF0000"/>
                <w:sz w:val="20"/>
                <w:szCs w:val="24"/>
              </w:rPr>
              <w:t xml:space="preserve">The size is Xs bits, where </w:t>
            </w:r>
            <w:r>
              <w:rPr>
                <w:rFonts w:ascii="Times" w:hAnsi="Times" w:eastAsia="Batang"/>
                <w:strike/>
                <w:color w:val="0070C0"/>
                <w:sz w:val="20"/>
                <w:szCs w:val="24"/>
              </w:rPr>
              <w:t>Xs</w:t>
            </w:r>
            <w:r>
              <w:rPr>
                <w:rFonts w:ascii="Times" w:hAnsi="Times" w:eastAsia="Batang"/>
                <w:color w:val="FF0000"/>
                <w:sz w:val="20"/>
                <w:szCs w:val="24"/>
              </w:rPr>
              <w:t xml:space="preserve"> </w:t>
            </w:r>
            <w:r>
              <w:rPr>
                <w:rFonts w:ascii="Times" w:hAnsi="Times" w:eastAsia="Batang"/>
                <w:color w:val="0070C0"/>
                <w:sz w:val="20"/>
                <w:szCs w:val="24"/>
              </w:rPr>
              <w:t xml:space="preserve">the size </w:t>
            </w:r>
            <w:r>
              <w:rPr>
                <w:rFonts w:ascii="Times" w:hAnsi="Times" w:eastAsia="Batang"/>
                <w:color w:val="FF0000"/>
                <w:sz w:val="20"/>
                <w:szCs w:val="24"/>
              </w:rPr>
              <w:t xml:space="preserve">is </w:t>
            </w:r>
            <w:r>
              <w:rPr>
                <w:rFonts w:ascii="Times" w:hAnsi="Times" w:eastAsia="Batang"/>
                <w:color w:val="0070C0"/>
                <w:sz w:val="20"/>
                <w:szCs w:val="24"/>
              </w:rPr>
              <w:t xml:space="preserve">configured as </w:t>
            </w:r>
            <w:r>
              <w:rPr>
                <w:rFonts w:ascii="Times" w:hAnsi="Times" w:eastAsia="Batang"/>
                <w:color w:val="FF0000"/>
                <w:sz w:val="20"/>
                <w:szCs w:val="24"/>
              </w:rPr>
              <w:t>either 4 or 8</w:t>
            </w:r>
          </w:p>
          <w:p>
            <w:pPr>
              <w:widowControl w:val="0"/>
              <w:overflowPunct w:val="0"/>
              <w:textAlignment w:val="baseline"/>
              <w:rPr>
                <w:sz w:val="20"/>
                <w:lang w:eastAsia="zh-CN"/>
              </w:rPr>
            </w:pPr>
            <w:r>
              <w:rPr>
                <w:sz w:val="20"/>
                <w:lang w:eastAsia="zh-CN"/>
              </w:rPr>
              <w:t>Furthermore, we think the note suggested by Huawei in their comment 3 would be good to add to establish common understanding.</w:t>
            </w:r>
          </w:p>
          <w:p>
            <w:pPr>
              <w:widowControl/>
              <w:numPr>
                <w:ilvl w:val="2"/>
                <w:numId w:val="28"/>
              </w:numPr>
              <w:overflowPunct w:val="0"/>
              <w:textAlignment w:val="baseline"/>
              <w:rPr>
                <w:rFonts w:ascii="Times" w:hAnsi="Times" w:eastAsia="Batang"/>
                <w:color w:val="000000"/>
                <w:sz w:val="20"/>
                <w:szCs w:val="24"/>
              </w:rPr>
            </w:pPr>
            <w:r>
              <w:rPr>
                <w:rFonts w:ascii="Times" w:hAnsi="Times" w:eastAsia="Batang"/>
                <w:sz w:val="20"/>
                <w:szCs w:val="24"/>
              </w:rPr>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is independent from the size of </w:t>
            </w:r>
            <w:r>
              <w:rPr>
                <w:rFonts w:ascii="Times" w:hAnsi="Times" w:eastAsia="Batang"/>
                <w:i/>
                <w:iCs/>
                <w:color w:val="000000"/>
                <w:sz w:val="20"/>
                <w:szCs w:val="24"/>
              </w:rPr>
              <w:t>monitoringSlotsWithinSlotGroup-r17</w:t>
            </w:r>
          </w:p>
          <w:p>
            <w:pPr>
              <w:widowControl w:val="0"/>
              <w:overflowPunct w:val="0"/>
              <w:textAlignment w:val="baseline"/>
              <w:rPr>
                <w:sz w:val="20"/>
                <w:u w:val="single"/>
                <w:lang w:eastAsia="zh-CN"/>
              </w:rPr>
            </w:pPr>
            <w:r>
              <w:rPr>
                <w:sz w:val="20"/>
                <w:u w:val="single"/>
                <w:lang w:eastAsia="zh-CN"/>
              </w:rPr>
              <w:t>Comment #3</w:t>
            </w:r>
          </w:p>
          <w:p>
            <w:pPr>
              <w:widowControl w:val="0"/>
              <w:overflowPunct w:val="0"/>
              <w:textAlignment w:val="baseline"/>
              <w:rPr>
                <w:sz w:val="20"/>
                <w:lang w:eastAsia="zh-CN"/>
              </w:rPr>
            </w:pPr>
            <w:r>
              <w:rPr>
                <w:sz w:val="20"/>
                <w:lang w:eastAsia="zh-CN"/>
              </w:rPr>
              <w:t xml:space="preserve">We think that the default value if </w:t>
            </w:r>
            <w:r>
              <w:rPr>
                <w:i/>
                <w:iCs/>
                <w:sz w:val="20"/>
                <w:lang w:eastAsia="zh-CN"/>
              </w:rPr>
              <w:t>duration-r17</w:t>
            </w:r>
            <w:r>
              <w:rPr>
                <w:sz w:val="20"/>
                <w:lang w:eastAsia="zh-CN"/>
              </w:rPr>
              <w:t xml:space="preserve"> is absent should be tied to the length of the </w:t>
            </w:r>
            <w:r>
              <w:rPr>
                <w:i/>
                <w:iCs/>
                <w:sz w:val="20"/>
                <w:lang w:eastAsia="zh-CN"/>
              </w:rPr>
              <w:t>monitoringSlotsWithinSlotGroup</w:t>
            </w:r>
            <w:r>
              <w:rPr>
                <w:sz w:val="20"/>
                <w:lang w:eastAsia="zh-CN"/>
              </w:rPr>
              <w:t xml:space="preserve"> bitmap since that is what determines the configured value of Xs. Also, it is not clear what "except for DCI format 2_0" means. Does it mean there is no default duration for DCI 2_0?</w:t>
            </w:r>
          </w:p>
          <w:p>
            <w:pPr>
              <w:widowControl w:val="0"/>
              <w:numPr>
                <w:ilvl w:val="3"/>
                <w:numId w:val="28"/>
              </w:numPr>
              <w:overflowPunct w:val="0"/>
              <w:textAlignment w:val="baseline"/>
              <w:rPr>
                <w:rFonts w:ascii="Times" w:hAnsi="Times" w:eastAsia="Batang"/>
                <w:color w:val="00B050"/>
                <w:sz w:val="20"/>
                <w:szCs w:val="20"/>
              </w:rPr>
            </w:pP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w:t>
            </w:r>
            <w:r>
              <w:rPr>
                <w:rFonts w:ascii="Times" w:hAnsi="Times" w:eastAsia="Batang"/>
                <w:color w:val="0070C0"/>
                <w:sz w:val="20"/>
                <w:szCs w:val="24"/>
              </w:rPr>
              <w:t xml:space="preserve">assumes the duration in slots is equal to the length of the bitmap </w:t>
            </w:r>
            <w:r>
              <w:rPr>
                <w:rFonts w:ascii="Times" w:hAnsi="Times" w:eastAsia="Batang"/>
                <w:i/>
                <w:iCs/>
                <w:color w:val="0070C0"/>
                <w:sz w:val="20"/>
                <w:szCs w:val="24"/>
              </w:rPr>
              <w:t>monitoringSlotsWithinSlotGroup</w:t>
            </w:r>
            <w:r>
              <w:rPr>
                <w:rFonts w:ascii="Times" w:hAnsi="Times" w:eastAsia="Batang"/>
                <w:color w:val="0070C0"/>
                <w:sz w:val="20"/>
                <w:szCs w:val="24"/>
              </w:rPr>
              <w:t xml:space="preserve"> </w:t>
            </w:r>
            <w:r>
              <w:rPr>
                <w:strike/>
                <w:color w:val="00B050"/>
                <w:sz w:val="20"/>
                <w:szCs w:val="20"/>
                <w:lang w:eastAsia="zh-CN"/>
              </w:rPr>
              <w:t>applies the length of the slot group size in slots</w:t>
            </w:r>
            <w:r>
              <w:rPr>
                <w:color w:val="00B050"/>
                <w:sz w:val="20"/>
                <w:szCs w:val="20"/>
                <w:lang w:eastAsia="zh-CN"/>
              </w:rPr>
              <w:t>, except for DCI format 2_0.</w:t>
            </w:r>
          </w:p>
          <w:p>
            <w:pPr>
              <w:widowControl w:val="0"/>
              <w:overflowPunct w:val="0"/>
              <w:textAlignment w:val="baseline"/>
              <w:rPr>
                <w:sz w:val="20"/>
                <w:lang w:eastAsia="zh-CN"/>
              </w:rPr>
            </w:pPr>
          </w:p>
          <w:p>
            <w:pPr>
              <w:widowControl w:val="0"/>
              <w:overflowPunct w:val="0"/>
              <w:textAlignment w:val="baseline"/>
              <w:rPr>
                <w:sz w:val="20"/>
                <w:u w:val="single"/>
                <w:lang w:eastAsia="zh-CN"/>
              </w:rPr>
            </w:pPr>
            <w:r>
              <w:rPr>
                <w:sz w:val="20"/>
                <w:u w:val="single"/>
                <w:lang w:eastAsia="zh-CN"/>
              </w:rPr>
              <w:t>Comment #4</w:t>
            </w:r>
          </w:p>
          <w:p>
            <w:pPr>
              <w:widowControl w:val="0"/>
              <w:overflowPunct w:val="0"/>
              <w:textAlignment w:val="baseline"/>
              <w:rPr>
                <w:sz w:val="20"/>
                <w:lang w:eastAsia="zh-CN"/>
              </w:rPr>
            </w:pPr>
            <w:r>
              <w:rPr>
                <w:sz w:val="20"/>
                <w:lang w:eastAsia="zh-CN"/>
              </w:rPr>
              <w:t xml:space="preserve">For clarity, we suggest the following change to the description of </w:t>
            </w:r>
            <w:r>
              <w:rPr>
                <w:i/>
                <w:iCs/>
                <w:sz w:val="20"/>
                <w:lang w:eastAsia="zh-CN"/>
              </w:rPr>
              <w:t>duration-r17</w:t>
            </w:r>
          </w:p>
          <w:p>
            <w:pPr>
              <w:widowControl w:val="0"/>
              <w:overflowPunct w:val="0"/>
              <w:textAlignment w:val="baseline"/>
              <w:rPr>
                <w:lang w:eastAsia="zh-CN"/>
              </w:rPr>
            </w:pPr>
            <w:r>
              <w:rPr>
                <w:rFonts w:ascii="Times" w:hAnsi="Times" w:eastAsia="Batang"/>
                <w:i/>
                <w:iCs/>
                <w:color w:val="00B050"/>
                <w:sz w:val="20"/>
                <w:szCs w:val="24"/>
              </w:rPr>
              <w:t>duration-r17</w:t>
            </w:r>
            <w:r>
              <w:rPr>
                <w:rFonts w:ascii="Times" w:hAnsi="Times" w:eastAsia="Batang"/>
                <w:color w:val="00B050"/>
                <w:sz w:val="20"/>
                <w:szCs w:val="24"/>
              </w:rPr>
              <w:t xml:space="preserve"> is the total number of slots in consecutive grou</w:t>
            </w:r>
            <w:r>
              <w:rPr>
                <w:rFonts w:ascii="Times" w:hAnsi="Times" w:eastAsia="Batang"/>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ctrlPr>
                    <w:rPr>
                      <w:rFonts w:ascii="Cambria Math" w:hAnsi="Cambria Math"/>
                      <w:color w:val="00B050"/>
                      <w:sz w:val="20"/>
                      <w:szCs w:val="20"/>
                    </w:rPr>
                  </m:ctrlPr>
                </m:e>
                <m:sub>
                  <m:r>
                    <m:rPr>
                      <m:sty m:val="p"/>
                    </m:rPr>
                    <w:rPr>
                      <w:rFonts w:ascii="Cambria Math" w:hAnsi="Cambria Math"/>
                      <w:color w:val="00B050"/>
                      <w:sz w:val="20"/>
                      <w:szCs w:val="20"/>
                    </w:rPr>
                    <m:t>s</m:t>
                  </m:r>
                  <m:ctrlPr>
                    <w:rPr>
                      <w:rFonts w:ascii="Cambria Math" w:hAnsi="Cambria Math"/>
                      <w:color w:val="00B050"/>
                      <w:sz w:val="20"/>
                      <w:szCs w:val="20"/>
                    </w:rPr>
                  </m:ctrlPr>
                </m:sub>
              </m:sSub>
            </m:oMath>
            <w:r>
              <w:rPr>
                <w:rFonts w:ascii="Times" w:hAnsi="Times" w:eastAsia="Batang"/>
                <w:color w:val="00B050"/>
                <w:sz w:val="20"/>
                <w:szCs w:val="20"/>
              </w:rPr>
              <w:t xml:space="preserve"> slots that </w:t>
            </w:r>
            <w:r>
              <w:rPr>
                <w:rFonts w:ascii="Times" w:hAnsi="Times" w:eastAsia="Batang"/>
                <w:color w:val="00B050"/>
                <w:sz w:val="20"/>
                <w:szCs w:val="24"/>
              </w:rPr>
              <w:t xml:space="preserve">a Search Space lasts in every </w:t>
            </w:r>
            <w:r>
              <w:rPr>
                <w:rFonts w:ascii="Times" w:hAnsi="Times" w:eastAsia="Batang"/>
                <w:color w:val="0070C0"/>
                <w:sz w:val="20"/>
                <w:szCs w:val="24"/>
              </w:rPr>
              <w:t xml:space="preserve">period </w:t>
            </w:r>
            <w:r>
              <w:rPr>
                <w:rFonts w:ascii="Times" w:hAnsi="Times" w:eastAsia="Batang"/>
                <w:strike/>
                <w:color w:val="0070C0"/>
                <w:sz w:val="20"/>
                <w:szCs w:val="24"/>
              </w:rPr>
              <w:t xml:space="preserve">occasion </w:t>
            </w:r>
            <w:r>
              <w:rPr>
                <w:rFonts w:ascii="Times" w:hAnsi="Times" w:eastAsia="Batang"/>
                <w:color w:val="00B050"/>
                <w:sz w:val="20"/>
                <w:szCs w:val="24"/>
              </w:rPr>
              <w:t xml:space="preserve">as given by </w:t>
            </w:r>
            <w:r>
              <w:rPr>
                <w:rFonts w:ascii="Times" w:hAnsi="Times" w:eastAsia="Batang"/>
                <w:i/>
                <w:iCs/>
                <w:color w:val="00B050"/>
                <w:sz w:val="20"/>
                <w:szCs w:val="24"/>
              </w:rPr>
              <w:t>monitoringPeriodicityAndOffset-r17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lang w:eastAsia="zh-CN"/>
              </w:rPr>
              <w:t>LG Electronics</w:t>
            </w:r>
          </w:p>
        </w:tc>
        <w:tc>
          <w:tcPr>
            <w:tcW w:w="12176" w:type="dxa"/>
            <w:vAlign w:val="center"/>
          </w:tcPr>
          <w:p>
            <w:pPr>
              <w:widowControl w:val="0"/>
              <w:rPr>
                <w:lang w:eastAsia="zh-CN"/>
              </w:rPr>
            </w:pPr>
            <w:r>
              <w:rPr>
                <w:lang w:eastAsia="zh-CN"/>
              </w:rPr>
              <w:t xml:space="preserve">We are generally fine with Proposal A2-1.1b, but still have some comments for </w:t>
            </w:r>
            <w:r>
              <w:rPr>
                <w:i/>
                <w:lang w:eastAsia="zh-CN"/>
              </w:rPr>
              <w:t>duration-r17</w:t>
            </w:r>
            <w:r>
              <w:rPr>
                <w:lang w:eastAsia="zh-CN"/>
              </w:rPr>
              <w:t>.</w:t>
            </w:r>
          </w:p>
          <w:p>
            <w:pPr>
              <w:pStyle w:val="82"/>
              <w:widowControl w:val="0"/>
              <w:numPr>
                <w:ilvl w:val="0"/>
                <w:numId w:val="41"/>
              </w:numPr>
              <w:rPr>
                <w:lang w:eastAsia="zh-CN"/>
              </w:rPr>
            </w:pPr>
            <w:r>
              <w:rPr>
                <w:lang w:eastAsia="zh-CN"/>
              </w:rPr>
              <w:t xml:space="preserve">Value of </w:t>
            </w:r>
            <w:r>
              <w:rPr>
                <w:i/>
                <w:lang w:eastAsia="zh-CN"/>
              </w:rPr>
              <w:t>duration-r17</w:t>
            </w:r>
            <w:r>
              <w:rPr>
                <w:lang w:eastAsia="zh-CN"/>
              </w:rPr>
              <w:t xml:space="preserve"> should be 4 for 480 kHz or 8 for 960 kHz, if this field is absent. But, we are also OK with the FL’s revised version in Proposal A2-1.1b, i.e., “</w:t>
            </w: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applies the length of the slot group size in slots, except for DCI format 2_0</w:t>
            </w:r>
            <w:r>
              <w:rPr>
                <w:lang w:eastAsia="zh-CN"/>
              </w:rPr>
              <w:t xml:space="preserve">” </w:t>
            </w:r>
          </w:p>
          <w:p>
            <w:pPr>
              <w:pStyle w:val="82"/>
              <w:widowControl w:val="0"/>
              <w:numPr>
                <w:ilvl w:val="0"/>
                <w:numId w:val="41"/>
              </w:numPr>
              <w:rPr>
                <w:lang w:eastAsia="zh-CN"/>
              </w:rPr>
            </w:pPr>
            <w:r>
              <w:rPr>
                <w:lang w:eastAsia="zh-CN"/>
              </w:rPr>
              <w:t xml:space="preserve">One more thing we need to add for duration-r17 is “the maximum valid duration”. We propose to add the following restriction as a sub-bullet: </w:t>
            </w:r>
          </w:p>
          <w:p>
            <w:pPr>
              <w:pStyle w:val="82"/>
              <w:widowControl w:val="0"/>
              <w:numPr>
                <w:ilvl w:val="1"/>
                <w:numId w:val="41"/>
              </w:numPr>
              <w:rPr>
                <w:lang w:eastAsia="zh-CN"/>
              </w:rPr>
            </w:pPr>
            <w:r>
              <w:rPr>
                <w:lang w:eastAsia="zh-CN"/>
              </w:rPr>
              <w:t xml:space="preserve">The maximum valid duration is Xp-Xs (where, Xs is either 4 or 8, and Xp is given in the </w:t>
            </w:r>
            <w:r>
              <w:rPr>
                <w:i/>
                <w:lang w:eastAsia="zh-CN"/>
              </w:rPr>
              <w:t>monitoringSlotPeriodicityAndOffset-r17</w:t>
            </w:r>
            <w:r>
              <w:rPr>
                <w:lang w:eastAsia="zh-CN"/>
              </w:rPr>
              <w:t>).</w:t>
            </w:r>
          </w:p>
          <w:p>
            <w:pPr>
              <w:widowControl w:val="0"/>
              <w:rPr>
                <w:lang w:eastAsia="zh-CN"/>
              </w:rPr>
            </w:pPr>
          </w:p>
          <w:p>
            <w:pPr>
              <w:widowControl w:val="0"/>
              <w:overflowPunct w:val="0"/>
              <w:textAlignment w:val="baseline"/>
              <w:rPr>
                <w:lang w:eastAsia="zh-CN"/>
              </w:rPr>
            </w:pPr>
            <w:r>
              <w:rPr>
                <w:lang w:eastAsia="zh-CN"/>
              </w:rPr>
              <w:t xml:space="preserve">Regarding MediaTek’s comments, </w:t>
            </w:r>
          </w:p>
          <w:p>
            <w:pPr>
              <w:pStyle w:val="82"/>
              <w:widowControl w:val="0"/>
              <w:numPr>
                <w:ilvl w:val="0"/>
                <w:numId w:val="42"/>
              </w:numPr>
              <w:overflowPunct w:val="0"/>
              <w:textAlignment w:val="baseline"/>
              <w:rPr>
                <w:lang w:eastAsia="zh-CN"/>
              </w:rPr>
            </w:pPr>
            <w:r>
              <w:rPr>
                <w:lang w:eastAsia="zh-CN"/>
              </w:rPr>
              <w:t xml:space="preserve">For Comment 3, we believe Q1 is important and should be clarified first. Moreover, Q1 is relavant with some other issues such as (1) the last Note in Proposal A1-3.1a and (2) SSSG switching in Proposal A2-6.1. We have the same understanding with MediaTek. </w:t>
            </w:r>
          </w:p>
          <w:p>
            <w:pPr>
              <w:pStyle w:val="82"/>
              <w:widowControl w:val="0"/>
              <w:numPr>
                <w:ilvl w:val="0"/>
                <w:numId w:val="42"/>
              </w:numPr>
              <w:overflowPunct w:val="0"/>
              <w:textAlignment w:val="baseline"/>
              <w:rPr>
                <w:lang w:eastAsia="zh-CN"/>
              </w:rPr>
            </w:pPr>
            <w:r>
              <w:rPr>
                <w:lang w:eastAsia="zh-CN"/>
              </w:rPr>
              <w:t>For Comment 4, we also prefer to apply the common restriction of the bitmap on both Group(1) and Group(2) like all other parameters.</w:t>
            </w:r>
            <w:r>
              <w:t xml:space="preserve"> (i.e., w</w:t>
            </w:r>
            <w:r>
              <w:rPr>
                <w:lang w:eastAsia="zh-CN"/>
              </w:rPr>
              <w:t>hether to restrict consecutive '1's, and, whether to restrict the number of ‘1’s in the bitmap)</w:t>
            </w:r>
          </w:p>
          <w:p>
            <w:pPr>
              <w:widowControl w:val="0"/>
              <w:overflowPunct w:val="0"/>
              <w:textAlignment w:val="baseline"/>
              <w:rPr>
                <w:lang w:eastAsia="zh-CN"/>
              </w:rPr>
            </w:pPr>
          </w:p>
          <w:p>
            <w:pPr>
              <w:widowControl w:val="0"/>
              <w:overflowPunct w:val="0"/>
              <w:textAlignment w:val="baseline"/>
              <w:rPr>
                <w:lang w:eastAsia="zh-CN"/>
              </w:rPr>
            </w:pPr>
            <w:r>
              <w:rPr>
                <w:lang w:eastAsia="zh-CN"/>
              </w:rPr>
              <w:t xml:space="preserve">Regarding Intel’s suggestion, </w:t>
            </w:r>
          </w:p>
          <w:p>
            <w:pPr>
              <w:pStyle w:val="82"/>
              <w:widowControl w:val="0"/>
              <w:numPr>
                <w:ilvl w:val="0"/>
                <w:numId w:val="43"/>
              </w:numPr>
              <w:overflowPunct w:val="0"/>
              <w:textAlignment w:val="baseline"/>
              <w:rPr>
                <w:lang w:eastAsia="zh-CN"/>
              </w:rPr>
            </w:pPr>
            <w:r>
              <w:rPr>
                <w:lang w:eastAsia="zh-CN"/>
              </w:rPr>
              <w:t>Basically our understanding is Interpretation#2 which is based on the previous agreement on Case 1-2 as we excerpted in the first round discussion of the issue A2-2. Therefore, in slot group level, even if the gNB can configures Group(2) SS sets in multiple slots within a slot group, it seems reasonable to limit the number of monitoring slots monitored by the UE.</w:t>
            </w:r>
          </w:p>
          <w:p>
            <w:pPr>
              <w:widowControl w:val="0"/>
              <w:overflowPunct w:val="0"/>
              <w:textAlignment w:val="baseline"/>
              <w:rPr>
                <w:sz w:val="20"/>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overflowPunct w:val="0"/>
              <w:textAlignment w:val="baseline"/>
              <w:rPr>
                <w:lang w:eastAsia="zh-CN"/>
              </w:rPr>
            </w:pPr>
            <w:r>
              <w:rPr>
                <w:lang w:eastAsia="zh-CN"/>
              </w:rPr>
              <w:t xml:space="preserve">About MTK’s </w:t>
            </w:r>
            <w:r>
              <w:rPr>
                <w:rFonts w:hint="eastAsia"/>
                <w:lang w:eastAsia="zh-CN"/>
              </w:rPr>
              <w:t>comment</w:t>
            </w:r>
            <w:r>
              <w:rPr>
                <w:lang w:eastAsia="zh-CN"/>
              </w:rPr>
              <w:t xml:space="preserve"> 4 </w:t>
            </w:r>
            <w:r>
              <w:rPr>
                <w:rFonts w:hint="eastAsia"/>
                <w:lang w:eastAsia="zh-CN"/>
              </w:rPr>
              <w:t>and</w:t>
            </w:r>
            <w:r>
              <w:rPr>
                <w:lang w:eastAsia="zh-CN"/>
              </w:rPr>
              <w:t xml:space="preserve"> </w:t>
            </w:r>
            <w:r>
              <w:rPr>
                <w:rFonts w:hint="eastAsia"/>
                <w:lang w:eastAsia="zh-CN"/>
              </w:rPr>
              <w:t>Intel</w:t>
            </w:r>
            <w:r>
              <w:rPr>
                <w:lang w:eastAsia="zh-CN"/>
              </w:rPr>
              <w:t>’s suggestion for “On limitation for Group (2) SS”, we understand the intention is to have some degree of restriction on G</w:t>
            </w:r>
            <w:r>
              <w:rPr>
                <w:rFonts w:hint="eastAsia"/>
                <w:lang w:eastAsia="zh-CN"/>
              </w:rPr>
              <w:t>(</w:t>
            </w:r>
            <w:r>
              <w:rPr>
                <w:lang w:eastAsia="zh-CN"/>
              </w:rPr>
              <w:t>2) SS, Previously we already had a agreement that “For Group (2) SS: Type 1 CSS without dedicated RRC configuration and type 0, 0A, and 2 CSS</w:t>
            </w:r>
            <w:r>
              <w:rPr>
                <w:rFonts w:hint="eastAsia"/>
                <w:lang w:eastAsia="zh-CN"/>
              </w:rPr>
              <w:t xml:space="preserve"> </w:t>
            </w:r>
            <w:r>
              <w:rPr>
                <w:lang w:eastAsia="zh-CN"/>
              </w:rPr>
              <w:t xml:space="preserve">SS monitoring locations can be anywhere within a slot group of X slots”, </w:t>
            </w:r>
            <w:r>
              <w:rPr>
                <w:rFonts w:hint="eastAsia"/>
                <w:lang w:eastAsia="zh-CN"/>
              </w:rPr>
              <w:t>the</w:t>
            </w:r>
            <w:r>
              <w:rPr>
                <w:lang w:eastAsia="zh-CN"/>
              </w:rPr>
              <w:t xml:space="preserve"> above restriction seems reverts previous agreements.  </w:t>
            </w:r>
          </w:p>
          <w:p>
            <w:pPr>
              <w:widowControl w:val="0"/>
              <w:overflowPunct w:val="0"/>
              <w:textAlignment w:val="baseline"/>
              <w:rPr>
                <w:lang w:eastAsia="zh-CN"/>
              </w:rPr>
            </w:pPr>
            <w:r>
              <w:rPr>
                <w:lang w:eastAsia="zh-CN"/>
              </w:rPr>
              <w:t>But we think some restriction is also reasonable to reduce UE complexity and are more prefer to take Intel’s suggestion.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MediaTek</w:t>
            </w:r>
          </w:p>
        </w:tc>
        <w:tc>
          <w:tcPr>
            <w:tcW w:w="12176" w:type="dxa"/>
            <w:vAlign w:val="center"/>
          </w:tcPr>
          <w:p>
            <w:pPr>
              <w:widowControl w:val="0"/>
              <w:rPr>
                <w:color w:val="000000"/>
              </w:rPr>
            </w:pPr>
            <w:r>
              <w:rPr>
                <w:lang w:eastAsia="zh-CN"/>
              </w:rPr>
              <w:t xml:space="preserve">(similar comment in A1-3)Thanks to Qualcomm and Ericssson’s reply. As pointed out by Qualcomm, the confusion comes from the definition of “Xs”.  Xs was used as slot-group size in previous agreements and Xs is used as the bitmap length of </w:t>
            </w:r>
            <w:r>
              <w:rPr>
                <w:i/>
                <w:iCs/>
                <w:color w:val="000000"/>
              </w:rPr>
              <w:t>monitoringSlotsWithinSlotGroup-r17</w:t>
            </w:r>
            <w:r>
              <w:rPr>
                <w:lang w:eastAsia="zh-CN"/>
              </w:rPr>
              <w:t xml:space="preserve">. However, even with this clarification, we still have similar question as LG and Intel. To avoid confusion, assuming Xs means “effective” slot-group size and X means the bitmap length of </w:t>
            </w:r>
            <w:r>
              <w:rPr>
                <w:i/>
                <w:iCs/>
                <w:color w:val="000000"/>
              </w:rPr>
              <w:t>monitoringSlotsWithinSlotGroup-r17</w:t>
            </w:r>
            <w:r>
              <w:rPr>
                <w:bCs/>
                <w:lang w:eastAsia="zh-CN"/>
              </w:rPr>
              <w:t xml:space="preserve"> . </w:t>
            </w:r>
            <w:r>
              <w:rPr>
                <w:lang w:eastAsia="zh-CN"/>
              </w:rPr>
              <w:t xml:space="preserve">For example, if gNB only configure one SS set and gNB would like to configure (Xs=4,Ys=1), can gNB use X=8 and </w:t>
            </w:r>
            <w:r>
              <w:rPr>
                <w:i/>
                <w:iCs/>
                <w:color w:val="000000"/>
              </w:rPr>
              <w:t xml:space="preserve">monitoringSlotsWithinSlotGroup-r17=(10001000) </w:t>
            </w:r>
            <w:r>
              <w:rPr>
                <w:color w:val="000000"/>
              </w:rPr>
              <w:t>(this is a similar question asked by Intel) or (10000000)</w:t>
            </w:r>
            <w:r>
              <w:rPr>
                <w:lang w:eastAsia="zh-CN"/>
              </w:rPr>
              <w:t xml:space="preserve">? If the configuration is allowed, then the definition of duration-r17 and  </w:t>
            </w:r>
            <w:r>
              <w:rPr>
                <w:i/>
                <w:iCs/>
                <w:color w:val="000000"/>
              </w:rPr>
              <w:t xml:space="preserve">monitoringSlotsWithinSlotGroup-r17 </w:t>
            </w:r>
            <w:r>
              <w:rPr>
                <w:color w:val="000000"/>
              </w:rPr>
              <w:t>should be modified as Qualcomm pointed out. If the configuration is not allowed, then there is a relation between Xs and X. Either way, we should not include the following note for now. We hope this clarifies our view.</w:t>
            </w:r>
          </w:p>
          <w:p>
            <w:pPr>
              <w:pStyle w:val="82"/>
              <w:widowControl w:val="0"/>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ctrlPr>
                    <w:rPr>
                      <w:rFonts w:ascii="Cambria Math" w:hAnsi="Cambria Math"/>
                      <w:bCs/>
                      <w:iCs/>
                      <w:sz w:val="20"/>
                      <w:szCs w:val="20"/>
                    </w:rPr>
                  </m:ctrlPr>
                </m:e>
                <m:sub>
                  <m:r>
                    <m:rPr>
                      <m:sty m:val="p"/>
                    </m:rPr>
                    <w:rPr>
                      <w:rFonts w:ascii="Cambria Math" w:hAnsi="Cambria Math"/>
                      <w:sz w:val="20"/>
                      <w:szCs w:val="20"/>
                    </w:rPr>
                    <m:t>s</m:t>
                  </m:r>
                  <m:ctrlPr>
                    <w:rPr>
                      <w:rFonts w:ascii="Cambria Math" w:hAnsi="Cambria Math"/>
                      <w:bCs/>
                      <w:iCs/>
                      <w:sz w:val="20"/>
                      <w:szCs w:val="20"/>
                    </w:rPr>
                  </m:ctrlP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pPr>
              <w:widowControl w:val="0"/>
              <w:rPr>
                <w:lang w:eastAsia="zh-CN"/>
              </w:rPr>
            </w:pPr>
          </w:p>
          <w:p>
            <w:pPr>
              <w:widowControl w:val="0"/>
              <w:overflowPunct w:val="0"/>
              <w:textAlignment w:val="baseline"/>
              <w:rPr>
                <w:lang w:eastAsia="zh-CN"/>
              </w:rPr>
            </w:pPr>
            <w:r>
              <w:rPr>
                <w:lang w:eastAsia="zh-CN"/>
              </w:rPr>
              <w:t>Based on the above, we prefer to align Xs=X, which is simpler and can save us some efforts for further discussion. However, if Xs=X can cause any issue, we are open to discuss other option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rFonts w:eastAsia="MS Mincho"/>
                <w:lang w:eastAsia="ja-JP"/>
              </w:rPr>
            </w:pPr>
            <w:r>
              <w:rPr>
                <w:rFonts w:eastAsia="MS Mincho"/>
                <w:lang w:eastAsia="ja-JP"/>
              </w:rPr>
              <w:t>We support this proposal in general.</w:t>
            </w:r>
          </w:p>
          <w:p>
            <w:pPr>
              <w:widowControl w:val="0"/>
              <w:rPr>
                <w:rFonts w:ascii="Times" w:hAnsi="Times" w:eastAsia="MS Mincho"/>
                <w:strike/>
                <w:color w:val="FF0000"/>
                <w:sz w:val="20"/>
                <w:szCs w:val="24"/>
                <w:lang w:eastAsia="ja-JP"/>
              </w:rPr>
            </w:pPr>
            <w:r>
              <w:rPr>
                <w:rFonts w:eastAsia="MS Mincho"/>
                <w:lang w:eastAsia="ja-JP"/>
              </w:rPr>
              <w:t xml:space="preserve">For </w:t>
            </w:r>
            <w:r>
              <w:rPr>
                <w:rFonts w:eastAsia="MS Mincho"/>
                <w:i/>
                <w:iCs/>
                <w:lang w:eastAsia="ja-JP"/>
              </w:rPr>
              <w:t>duration-r17</w:t>
            </w:r>
            <w:r>
              <w:rPr>
                <w:rFonts w:eastAsia="MS Mincho"/>
                <w:lang w:eastAsia="ja-JP"/>
              </w:rPr>
              <w:t xml:space="preserve">, we think the current definition is not precice since </w:t>
            </w:r>
            <w:r>
              <w:rPr>
                <w:rFonts w:eastAsia="MS Mincho"/>
                <w:i/>
                <w:iCs/>
                <w:lang w:eastAsia="ja-JP"/>
              </w:rPr>
              <w:t>SearchSpace</w:t>
            </w:r>
            <w:r>
              <w:rPr>
                <w:rFonts w:eastAsia="MS Mincho"/>
                <w:lang w:eastAsia="ja-JP"/>
              </w:rPr>
              <w:t xml:space="preserve"> may not be configured to all the slots indicated by this field. Thus, we suggest following modification;</w:t>
            </w:r>
          </w:p>
          <w:p>
            <w:pPr>
              <w:widowControl w:val="0"/>
              <w:numPr>
                <w:ilvl w:val="2"/>
                <w:numId w:val="28"/>
              </w:numPr>
              <w:overflowPunct w:val="0"/>
              <w:textAlignment w:val="baseline"/>
              <w:rPr>
                <w:rFonts w:ascii="Times" w:hAnsi="Times" w:eastAsia="Batang"/>
                <w:strike/>
                <w:color w:val="FF0000"/>
                <w:sz w:val="20"/>
                <w:szCs w:val="24"/>
              </w:rPr>
            </w:pPr>
            <w:r>
              <w:rPr>
                <w:rFonts w:ascii="Times" w:hAnsi="Times" w:eastAsia="Batang"/>
                <w:i/>
                <w:iCs/>
                <w:color w:val="00B050"/>
                <w:sz w:val="20"/>
                <w:szCs w:val="24"/>
              </w:rPr>
              <w:t>duration-r17</w:t>
            </w:r>
            <w:r>
              <w:rPr>
                <w:rFonts w:ascii="Times" w:hAnsi="Times" w:eastAsia="Batang"/>
                <w:color w:val="00B050"/>
                <w:sz w:val="20"/>
                <w:szCs w:val="24"/>
              </w:rPr>
              <w:t xml:space="preserve"> is the total number of slots in consecutive grou</w:t>
            </w:r>
            <w:r>
              <w:rPr>
                <w:rFonts w:ascii="Times" w:hAnsi="Times" w:eastAsia="Batang"/>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ctrlPr>
                    <w:rPr>
                      <w:rFonts w:ascii="Cambria Math" w:hAnsi="Cambria Math"/>
                      <w:color w:val="00B050"/>
                      <w:sz w:val="20"/>
                      <w:szCs w:val="20"/>
                    </w:rPr>
                  </m:ctrlPr>
                </m:e>
                <m:sub>
                  <m:r>
                    <m:rPr>
                      <m:sty m:val="p"/>
                    </m:rPr>
                    <w:rPr>
                      <w:rFonts w:ascii="Cambria Math" w:hAnsi="Cambria Math"/>
                      <w:color w:val="00B050"/>
                      <w:sz w:val="20"/>
                      <w:szCs w:val="20"/>
                    </w:rPr>
                    <m:t>s</m:t>
                  </m:r>
                  <m:ctrlPr>
                    <w:rPr>
                      <w:rFonts w:ascii="Cambria Math" w:hAnsi="Cambria Math"/>
                      <w:color w:val="00B050"/>
                      <w:sz w:val="20"/>
                      <w:szCs w:val="20"/>
                    </w:rPr>
                  </m:ctrlPr>
                </m:sub>
              </m:sSub>
            </m:oMath>
            <w:r>
              <w:rPr>
                <w:rFonts w:ascii="Times" w:hAnsi="Times" w:eastAsia="Batang"/>
                <w:color w:val="00B050"/>
                <w:sz w:val="20"/>
                <w:szCs w:val="20"/>
              </w:rPr>
              <w:t xml:space="preserve"> slots that </w:t>
            </w:r>
            <w:r>
              <w:rPr>
                <w:rFonts w:ascii="Times" w:hAnsi="Times" w:eastAsia="Batang"/>
                <w:color w:val="00B050"/>
                <w:sz w:val="20"/>
                <w:szCs w:val="24"/>
              </w:rPr>
              <w:t xml:space="preserve">a Search Space </w:t>
            </w:r>
            <w:r>
              <w:rPr>
                <w:rFonts w:ascii="Times" w:hAnsi="Times" w:eastAsia="Batang"/>
                <w:color w:val="0070C0"/>
                <w:sz w:val="20"/>
                <w:szCs w:val="24"/>
              </w:rPr>
              <w:t>can exists</w:t>
            </w:r>
            <w:r>
              <w:rPr>
                <w:rFonts w:ascii="Times" w:hAnsi="Times" w:eastAsia="Batang"/>
                <w:color w:val="00B050"/>
                <w:sz w:val="20"/>
                <w:szCs w:val="24"/>
              </w:rPr>
              <w:t xml:space="preserve"> </w:t>
            </w:r>
            <w:r>
              <w:rPr>
                <w:rFonts w:ascii="Times" w:hAnsi="Times" w:eastAsia="Batang"/>
                <w:strike/>
                <w:color w:val="0070C0"/>
                <w:sz w:val="20"/>
                <w:szCs w:val="24"/>
              </w:rPr>
              <w:t>lasts</w:t>
            </w:r>
            <w:r>
              <w:rPr>
                <w:rFonts w:ascii="Times" w:hAnsi="Times" w:eastAsia="Batang"/>
                <w:color w:val="00B050"/>
                <w:sz w:val="20"/>
                <w:szCs w:val="24"/>
              </w:rPr>
              <w:t xml:space="preserve"> in every occasion as given by </w:t>
            </w:r>
            <w:r>
              <w:rPr>
                <w:rFonts w:ascii="Times" w:hAnsi="Times" w:eastAsia="Batang"/>
                <w:i/>
                <w:iCs/>
                <w:color w:val="00B050"/>
                <w:sz w:val="20"/>
                <w:szCs w:val="24"/>
              </w:rPr>
              <w:t>monitoringPeriodicityAndOffset-r17</w:t>
            </w:r>
          </w:p>
          <w:p>
            <w:pPr>
              <w:widowControl w:val="0"/>
              <w:rPr>
                <w:rFonts w:eastAsia="MS Mincho"/>
                <w:lang w:eastAsia="ja-JP"/>
              </w:rPr>
            </w:pPr>
          </w:p>
          <w:p>
            <w:pPr>
              <w:widowControl w:val="0"/>
              <w:rPr>
                <w:lang w:eastAsia="zh-CN"/>
              </w:rPr>
            </w:pPr>
            <w:r>
              <w:rPr>
                <w:rFonts w:eastAsia="MS Mincho"/>
                <w:lang w:eastAsia="ja-JP"/>
              </w:rPr>
              <w:t xml:space="preserve">For </w:t>
            </w:r>
            <w:r>
              <w:rPr>
                <w:rFonts w:ascii="Times" w:hAnsi="Times" w:eastAsia="Batang"/>
                <w:i/>
                <w:iCs/>
                <w:color w:val="000000"/>
                <w:sz w:val="20"/>
                <w:szCs w:val="24"/>
              </w:rPr>
              <w:t>monitoringSlotsWithinSlotGroup-r17</w:t>
            </w:r>
            <w:r>
              <w:rPr>
                <w:rFonts w:eastAsia="MS Mincho"/>
                <w:lang w:eastAsia="ja-JP"/>
              </w:rPr>
              <w:t>, we share the similar view with FL that it is not necessary to make bitwidth configurable.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lang w:eastAsia="zh-CN"/>
              </w:rPr>
              <w:t>Apple</w:t>
            </w:r>
          </w:p>
        </w:tc>
        <w:tc>
          <w:tcPr>
            <w:tcW w:w="12176" w:type="dxa"/>
            <w:vAlign w:val="center"/>
          </w:tcPr>
          <w:p>
            <w:pPr>
              <w:widowControl w:val="0"/>
              <w:rPr>
                <w:lang w:eastAsia="zh-CN"/>
              </w:rPr>
            </w:pPr>
            <w:r>
              <w:rPr>
                <w:lang w:eastAsia="zh-CN"/>
              </w:rPr>
              <w:t>Baesd on the discussions so far, we support the following</w:t>
            </w:r>
          </w:p>
          <w:p>
            <w:pPr>
              <w:pStyle w:val="82"/>
              <w:widowControl w:val="0"/>
              <w:numPr>
                <w:ilvl w:val="0"/>
                <w:numId w:val="44"/>
              </w:numPr>
              <w:rPr>
                <w:lang w:eastAsia="zh-CN"/>
              </w:rPr>
            </w:pPr>
            <w:r>
              <w:rPr>
                <w:lang w:eastAsia="zh-CN"/>
              </w:rPr>
              <w:t>Based on interpretation #2, all the CSSs are configured in the same span of 3 symbols for the slots.</w:t>
            </w:r>
          </w:p>
          <w:p>
            <w:pPr>
              <w:pStyle w:val="82"/>
              <w:widowControl w:val="0"/>
              <w:numPr>
                <w:ilvl w:val="0"/>
                <w:numId w:val="44"/>
              </w:numPr>
              <w:rPr>
                <w:lang w:eastAsia="zh-CN"/>
              </w:rPr>
            </w:pPr>
            <w:r>
              <w:rPr>
                <w:lang w:eastAsia="zh-CN"/>
              </w:rPr>
              <w:t xml:space="preserve">As Intel/LG has mentioned, even if the gNB configures Group (2) SSs set in multiple slots in a slot group, the # of slots the UE has to monitor is limited (to 1 ideally). This could be set up as an UE capability if there is resistance to setting it to a specific value. Alternatively, MTK’s suggestion to use the same restriction  as the Group (1) SS could also work. </w:t>
            </w:r>
          </w:p>
          <w:p>
            <w:pPr>
              <w:widowControl w:val="0"/>
              <w:overflowPunct w:val="0"/>
              <w:textAlignment w:val="baseline"/>
              <w:rPr>
                <w:lang w:eastAsia="zh-CN"/>
              </w:rPr>
            </w:pPr>
          </w:p>
          <w:p>
            <w:pPr>
              <w:widowControl w:val="0"/>
              <w:rPr>
                <w:lang w:eastAsia="zh-CN"/>
              </w:rPr>
            </w:pPr>
            <w:r>
              <w:rPr>
                <w:lang w:eastAsia="zh-CN"/>
              </w:rPr>
              <w:t xml:space="preserve">As has been mentioned, the current agreement is such that </w:t>
            </w:r>
            <w:r>
              <w:rPr>
                <w:lang w:val="en-GB" w:eastAsia="zh-CN"/>
              </w:rPr>
              <w:t>each configured Group (2) SS sets is limited to be within its own single span of three consecutive OFDM symbols across multiple slots within a slot group and any implementation has to be dimensioned for this, negating the entire design effort for Group (1) SSs.</w:t>
            </w:r>
            <w:r>
              <w:rPr>
                <w:lang w:eastAsia="zh-CN"/>
              </w:rPr>
              <w:t xml:space="preserve"> </w:t>
            </w:r>
          </w:p>
          <w:p>
            <w:pPr>
              <w:widowControl w:val="0"/>
              <w:rPr>
                <w:lang w:eastAsia="zh-CN"/>
              </w:rPr>
            </w:pPr>
          </w:p>
          <w:p>
            <w:pPr>
              <w:widowControl w:val="0"/>
              <w:rPr>
                <w:lang w:eastAsia="zh-CN"/>
              </w:rPr>
            </w:pPr>
            <w:r>
              <w:rPr>
                <w:lang w:eastAsia="zh-CN"/>
              </w:rPr>
              <w:t xml:space="preserve">In this case as QC has mentioned, the following bullets should be removed: </w:t>
            </w:r>
          </w:p>
          <w:p>
            <w:pPr>
              <w:widowControl w:val="0"/>
              <w:numPr>
                <w:ilvl w:val="0"/>
                <w:numId w:val="28"/>
              </w:numPr>
              <w:overflowPunct w:val="0"/>
              <w:textAlignment w:val="baseline"/>
              <w:rPr>
                <w:rFonts w:ascii="Times" w:hAnsi="Times" w:eastAsia="Batang"/>
                <w:color w:val="000000" w:themeColor="text1"/>
                <w:sz w:val="20"/>
                <w:szCs w:val="24"/>
                <w14:textFill>
                  <w14:solidFill>
                    <w14:schemeClr w14:val="tx1"/>
                  </w14:solidFill>
                </w14:textFill>
              </w:rPr>
            </w:pPr>
            <w:r>
              <w:rPr>
                <w:rFonts w:ascii="Times" w:hAnsi="Times" w:eastAsia="Batang"/>
                <w:color w:val="000000" w:themeColor="text1"/>
                <w:sz w:val="20"/>
                <w:szCs w:val="24"/>
                <w14:textFill>
                  <w14:solidFill>
                    <w14:schemeClr w14:val="tx1"/>
                  </w14:solidFill>
                </w14:textFill>
              </w:rPr>
              <w:t>The slots indicated in the bitmap are not restricted to be consecutive for Group (2) SSs</w:t>
            </w:r>
          </w:p>
          <w:p>
            <w:pPr>
              <w:widowControl w:val="0"/>
              <w:numPr>
                <w:ilvl w:val="0"/>
                <w:numId w:val="28"/>
              </w:numPr>
              <w:overflowPunct w:val="0"/>
              <w:textAlignment w:val="baseline"/>
              <w:rPr>
                <w:rFonts w:ascii="Times" w:hAnsi="Times" w:eastAsia="Batang"/>
                <w:color w:val="000000" w:themeColor="text1"/>
                <w:sz w:val="20"/>
                <w:szCs w:val="24"/>
                <w14:textFill>
                  <w14:solidFill>
                    <w14:schemeClr w14:val="tx1"/>
                  </w14:solidFill>
                </w14:textFill>
              </w:rPr>
            </w:pPr>
            <w:r>
              <w:rPr>
                <w:rFonts w:ascii="Times" w:hAnsi="Times" w:eastAsia="Batang"/>
                <w:color w:val="000000" w:themeColor="text1"/>
                <w:sz w:val="20"/>
                <w:szCs w:val="24"/>
                <w14:textFill>
                  <w14:solidFill>
                    <w14:schemeClr w14:val="tx1"/>
                  </w14:solidFill>
                </w14:textFill>
              </w:rPr>
              <w:t xml:space="preserve">The number of 1s in </w:t>
            </w:r>
            <w:r>
              <w:rPr>
                <w:rFonts w:ascii="Times" w:hAnsi="Times"/>
                <w:i/>
                <w:iCs/>
                <w:color w:val="000000" w:themeColor="text1"/>
                <w:sz w:val="20"/>
                <w:szCs w:val="24"/>
                <w14:textFill>
                  <w14:solidFill>
                    <w14:schemeClr w14:val="tx1"/>
                  </w14:solidFill>
                </w14:textFill>
              </w:rPr>
              <w:t>monitoringSlotsWithinSlotGroup-r17</w:t>
            </w:r>
            <w:r>
              <w:rPr>
                <w:bCs/>
                <w:color w:val="000000" w:themeColor="text1"/>
                <w:sz w:val="20"/>
                <w:szCs w:val="20"/>
                <w14:textFill>
                  <w14:solidFill>
                    <w14:schemeClr w14:val="tx1"/>
                  </w14:solidFill>
                </w14:textFill>
              </w:rPr>
              <w:t xml:space="preserve"> can be up to </w:t>
            </w:r>
            <m:oMath>
              <m:sSub>
                <m:sSubPr>
                  <m:ctrlPr>
                    <w:rPr>
                      <w:rFonts w:ascii="Cambria Math" w:hAnsi="Cambria Math"/>
                      <w:bCs/>
                      <w:i/>
                      <w:color w:val="000000" w:themeColor="text1"/>
                      <w:sz w:val="20"/>
                      <w:szCs w:val="20"/>
                      <w14:textFill>
                        <w14:solidFill>
                          <w14:schemeClr w14:val="tx1"/>
                        </w14:solidFill>
                      </w14:textFill>
                    </w:rPr>
                  </m:ctrlPr>
                </m:sSubPr>
                <m:e>
                  <m:r>
                    <w:rPr>
                      <w:rFonts w:ascii="Cambria Math" w:hAnsi="Cambria Math"/>
                      <w:color w:val="000000" w:themeColor="text1"/>
                      <w:sz w:val="20"/>
                      <w:szCs w:val="20"/>
                      <w14:textFill>
                        <w14:solidFill>
                          <w14:schemeClr w14:val="tx1"/>
                        </w14:solidFill>
                      </w14:textFill>
                    </w:rPr>
                    <m:t>X</m:t>
                  </m:r>
                  <m:ctrlPr>
                    <w:rPr>
                      <w:rFonts w:ascii="Cambria Math" w:hAnsi="Cambria Math"/>
                      <w:bCs/>
                      <w:i/>
                      <w:color w:val="000000" w:themeColor="text1"/>
                      <w:sz w:val="20"/>
                      <w:szCs w:val="20"/>
                      <w14:textFill>
                        <w14:solidFill>
                          <w14:schemeClr w14:val="tx1"/>
                        </w14:solidFill>
                      </w14:textFill>
                    </w:rPr>
                  </m:ctrlPr>
                </m:e>
                <m:sub>
                  <m:r>
                    <w:rPr>
                      <w:rFonts w:ascii="Cambria Math" w:hAnsi="Cambria Math"/>
                      <w:color w:val="000000" w:themeColor="text1"/>
                      <w:sz w:val="20"/>
                      <w:szCs w:val="20"/>
                      <w14:textFill>
                        <w14:solidFill>
                          <w14:schemeClr w14:val="tx1"/>
                        </w14:solidFill>
                      </w14:textFill>
                    </w:rPr>
                    <m:t>s</m:t>
                  </m:r>
                  <m:ctrlPr>
                    <w:rPr>
                      <w:rFonts w:ascii="Cambria Math" w:hAnsi="Cambria Math"/>
                      <w:bCs/>
                      <w:i/>
                      <w:color w:val="000000" w:themeColor="text1"/>
                      <w:sz w:val="20"/>
                      <w:szCs w:val="20"/>
                      <w14:textFill>
                        <w14:solidFill>
                          <w14:schemeClr w14:val="tx1"/>
                        </w14:solidFill>
                      </w14:textFill>
                    </w:rPr>
                  </m:ctrlPr>
                </m:sub>
              </m:sSub>
            </m:oMath>
            <w:r>
              <w:rPr>
                <w:bCs/>
                <w:color w:val="000000" w:themeColor="text1"/>
                <w:sz w:val="20"/>
                <w:szCs w:val="20"/>
                <w14:textFill>
                  <w14:solidFill>
                    <w14:schemeClr w14:val="tx1"/>
                  </w14:solidFill>
                </w14:textFill>
              </w:rPr>
              <w:t xml:space="preserve"> </w:t>
            </w:r>
            <w:r>
              <w:rPr>
                <w:rFonts w:ascii="Times" w:hAnsi="Times" w:eastAsia="Batang"/>
                <w:color w:val="000000" w:themeColor="text1"/>
                <w:sz w:val="20"/>
                <w:szCs w:val="24"/>
                <w14:textFill>
                  <w14:solidFill>
                    <w14:schemeClr w14:val="tx1"/>
                  </w14:solidFill>
                </w14:textFill>
              </w:rPr>
              <w:t>for Group (2) SSs</w:t>
            </w:r>
          </w:p>
          <w:p>
            <w:pPr>
              <w:widowControl w:val="0"/>
              <w:rPr>
                <w:rFonts w:eastAsia="MS Mincho"/>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eastAsia="MS Mincho"/>
                <w:lang w:eastAsia="ja-JP"/>
              </w:rPr>
              <w:t>LG Electronics2</w:t>
            </w:r>
          </w:p>
        </w:tc>
        <w:tc>
          <w:tcPr>
            <w:tcW w:w="12176" w:type="dxa"/>
            <w:vAlign w:val="center"/>
          </w:tcPr>
          <w:p>
            <w:pPr>
              <w:widowControl w:val="0"/>
              <w:rPr>
                <w:rFonts w:eastAsia="MS Mincho"/>
                <w:lang w:eastAsia="ja-JP"/>
              </w:rPr>
            </w:pPr>
            <w:r>
              <w:rPr>
                <w:rFonts w:eastAsia="MS Mincho"/>
                <w:lang w:eastAsia="ja-JP"/>
              </w:rPr>
              <w:t>We can support NTT DOCOMO’s suggestion with further modification to clarify which slot is valid monitoring slot as belows,</w:t>
            </w:r>
          </w:p>
          <w:p>
            <w:pPr>
              <w:widowControl/>
              <w:numPr>
                <w:ilvl w:val="2"/>
                <w:numId w:val="28"/>
              </w:numPr>
              <w:overflowPunct w:val="0"/>
              <w:textAlignment w:val="baseline"/>
              <w:rPr>
                <w:rFonts w:ascii="Times" w:hAnsi="Times" w:eastAsia="Batang"/>
                <w:strike/>
                <w:color w:val="FF0000"/>
                <w:sz w:val="20"/>
                <w:szCs w:val="24"/>
              </w:rPr>
            </w:pPr>
            <w:r>
              <w:rPr>
                <w:rFonts w:ascii="Times" w:hAnsi="Times" w:eastAsia="Batang"/>
                <w:i/>
                <w:iCs/>
                <w:color w:val="00B050"/>
                <w:sz w:val="20"/>
                <w:szCs w:val="24"/>
              </w:rPr>
              <w:t>duration-r17</w:t>
            </w:r>
            <w:r>
              <w:rPr>
                <w:rFonts w:ascii="Times" w:hAnsi="Times" w:eastAsia="Batang"/>
                <w:color w:val="00B050"/>
                <w:sz w:val="20"/>
                <w:szCs w:val="24"/>
              </w:rPr>
              <w:t xml:space="preserve"> is the total number of slots in consecutive grou</w:t>
            </w:r>
            <w:r>
              <w:rPr>
                <w:rFonts w:ascii="Times" w:hAnsi="Times" w:eastAsia="Batang"/>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ctrlPr>
                    <w:rPr>
                      <w:rFonts w:ascii="Cambria Math" w:hAnsi="Cambria Math"/>
                      <w:color w:val="00B050"/>
                      <w:sz w:val="20"/>
                      <w:szCs w:val="20"/>
                    </w:rPr>
                  </m:ctrlPr>
                </m:e>
                <m:sub>
                  <m:r>
                    <m:rPr>
                      <m:sty m:val="p"/>
                    </m:rPr>
                    <w:rPr>
                      <w:rFonts w:ascii="Cambria Math" w:hAnsi="Cambria Math"/>
                      <w:color w:val="00B050"/>
                      <w:sz w:val="20"/>
                      <w:szCs w:val="20"/>
                    </w:rPr>
                    <m:t>s</m:t>
                  </m:r>
                  <m:ctrlPr>
                    <w:rPr>
                      <w:rFonts w:ascii="Cambria Math" w:hAnsi="Cambria Math"/>
                      <w:color w:val="00B050"/>
                      <w:sz w:val="20"/>
                      <w:szCs w:val="20"/>
                    </w:rPr>
                  </m:ctrlPr>
                </m:sub>
              </m:sSub>
            </m:oMath>
            <w:r>
              <w:rPr>
                <w:rFonts w:ascii="Times" w:hAnsi="Times" w:eastAsia="Batang"/>
                <w:color w:val="00B050"/>
                <w:sz w:val="20"/>
                <w:szCs w:val="20"/>
              </w:rPr>
              <w:t xml:space="preserve"> slots that </w:t>
            </w:r>
            <w:r>
              <w:rPr>
                <w:rFonts w:ascii="Times" w:hAnsi="Times" w:eastAsia="Batang"/>
                <w:color w:val="00B050"/>
                <w:sz w:val="20"/>
                <w:szCs w:val="24"/>
              </w:rPr>
              <w:t xml:space="preserve">a Search Space </w:t>
            </w:r>
            <w:r>
              <w:rPr>
                <w:rFonts w:ascii="Times" w:hAnsi="Times" w:eastAsia="Batang"/>
                <w:color w:val="0070C0"/>
                <w:sz w:val="20"/>
                <w:szCs w:val="24"/>
              </w:rPr>
              <w:t>can exists</w:t>
            </w:r>
            <w:r>
              <w:rPr>
                <w:rFonts w:ascii="Times" w:hAnsi="Times" w:eastAsia="Batang"/>
                <w:color w:val="00B050"/>
                <w:sz w:val="20"/>
                <w:szCs w:val="24"/>
              </w:rPr>
              <w:t xml:space="preserve"> </w:t>
            </w:r>
            <w:r>
              <w:rPr>
                <w:rFonts w:ascii="Times" w:hAnsi="Times" w:eastAsia="Batang"/>
                <w:strike/>
                <w:color w:val="0070C0"/>
                <w:sz w:val="20"/>
                <w:szCs w:val="24"/>
              </w:rPr>
              <w:t>lasts</w:t>
            </w:r>
            <w:r>
              <w:rPr>
                <w:rFonts w:ascii="Times" w:hAnsi="Times" w:eastAsia="Batang"/>
                <w:color w:val="00B050"/>
                <w:sz w:val="20"/>
                <w:szCs w:val="24"/>
              </w:rPr>
              <w:t xml:space="preserve"> in every occasion as given by </w:t>
            </w:r>
            <w:r>
              <w:rPr>
                <w:rFonts w:ascii="Times" w:hAnsi="Times" w:eastAsia="Batang"/>
                <w:i/>
                <w:iCs/>
                <w:color w:val="00B050"/>
                <w:sz w:val="20"/>
                <w:szCs w:val="24"/>
              </w:rPr>
              <w:t>monitoringPeriodicityAndOffset-r17</w:t>
            </w:r>
            <w:r>
              <w:rPr>
                <w:rFonts w:ascii="Times" w:hAnsi="Times" w:eastAsia="Batang"/>
                <w:iCs/>
                <w:color w:val="FF0000"/>
                <w:sz w:val="20"/>
                <w:szCs w:val="24"/>
              </w:rPr>
              <w:t xml:space="preserve">, where the slot whose corresponding bit in </w:t>
            </w:r>
            <w:r>
              <w:rPr>
                <w:rFonts w:ascii="Times" w:hAnsi="Times" w:eastAsia="Batang"/>
                <w:i/>
                <w:iCs/>
                <w:color w:val="FF0000"/>
                <w:sz w:val="20"/>
                <w:szCs w:val="24"/>
              </w:rPr>
              <w:t>monitoringSlotsWithinSlotGroup-r17</w:t>
            </w:r>
            <w:r>
              <w:rPr>
                <w:rFonts w:ascii="Times" w:hAnsi="Times" w:eastAsia="Batang"/>
                <w:iCs/>
                <w:color w:val="FF0000"/>
                <w:sz w:val="20"/>
                <w:szCs w:val="24"/>
              </w:rPr>
              <w:t xml:space="preserve"> is set to ‘1’ is a valid monitoring slot.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 xml:space="preserve">Intel </w:t>
            </w:r>
          </w:p>
        </w:tc>
        <w:tc>
          <w:tcPr>
            <w:tcW w:w="12176" w:type="dxa"/>
            <w:vAlign w:val="center"/>
          </w:tcPr>
          <w:p>
            <w:pPr>
              <w:widowControl w:val="0"/>
              <w:rPr>
                <w:rFonts w:eastAsia="MS Mincho"/>
                <w:lang w:eastAsia="ja-JP"/>
              </w:rPr>
            </w:pPr>
            <w:r>
              <w:rPr>
                <w:rFonts w:eastAsia="MS Mincho"/>
                <w:lang w:eastAsia="ja-JP"/>
              </w:rPr>
              <w:t xml:space="preserve">Thanks moderator for the reply on our early questions. </w:t>
            </w:r>
          </w:p>
          <w:p>
            <w:pPr>
              <w:widowControl w:val="0"/>
              <w:rPr>
                <w:rFonts w:eastAsia="MS Mincho"/>
                <w:lang w:eastAsia="ja-JP"/>
              </w:rPr>
            </w:pPr>
            <w:r>
              <w:rPr>
                <w:rFonts w:eastAsia="MS Mincho"/>
                <w:lang w:eastAsia="ja-JP"/>
              </w:rPr>
              <w:t xml:space="preserve">We found MTK has the same question on </w:t>
            </w:r>
            <w:r>
              <w:rPr>
                <w:i/>
                <w:iCs/>
                <w:lang w:eastAsia="zh-CN"/>
              </w:rPr>
              <w:t xml:space="preserve">monitoringSlotsWithinSlotGroup-r17. </w:t>
            </w:r>
            <w:r>
              <w:rPr>
                <w:lang w:eastAsia="zh-CN"/>
              </w:rPr>
              <w:t xml:space="preserve">Whether it is allowed to be e.g. ‘10001000’? This will result in Xs=4 for the combination (Xs, Ys). Moderator already replied it is not valid configuration. Hope this can be the common understanding. Or, it would be help to add one example under </w:t>
            </w:r>
            <w:r>
              <w:rPr>
                <w:i/>
                <w:iCs/>
                <w:lang w:eastAsia="zh-CN"/>
              </w:rPr>
              <w:t xml:space="preserve">monitoringSlotsWithinSlotGroup-r17 </w:t>
            </w:r>
            <w:r>
              <w:rPr>
                <w:lang w:eastAsia="zh-CN"/>
              </w:rPr>
              <w:t xml:space="preserve">definition to say ‘10001000’ is not valid configuration. </w:t>
            </w:r>
          </w:p>
          <w:p>
            <w:pPr>
              <w:widowControl w:val="0"/>
              <w:rPr>
                <w:rFonts w:eastAsia="MS Mincho"/>
                <w:lang w:eastAsia="ja-JP"/>
              </w:rPr>
            </w:pPr>
            <w:r>
              <w:rPr>
                <w:lang w:eastAsia="zh-CN"/>
              </w:rPr>
              <w:t xml:space="preserve">On the potential limitation on Group (2) SS, we found some companies prefer to allow the flexibility to configure a Group (2) SS set in one, multiple or all slots in the slot group. On the other hand, some other companies prefer to have certain limitation to ease UE </w:t>
            </w:r>
            <w:r>
              <w:rPr>
                <w:rFonts w:hint="eastAsia"/>
                <w:lang w:eastAsia="zh-CN"/>
              </w:rPr>
              <w:t>PDCCH</w:t>
            </w:r>
            <w:r>
              <w:rPr>
                <w:lang w:eastAsia="zh-CN"/>
              </w:rPr>
              <w:t xml:space="preserve"> monitoring. It would helpful to make a clear agreement or conclusion. We are open to hear more views.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Samsung</w:t>
            </w:r>
          </w:p>
        </w:tc>
        <w:tc>
          <w:tcPr>
            <w:tcW w:w="12176" w:type="dxa"/>
            <w:vAlign w:val="center"/>
          </w:tcPr>
          <w:p>
            <w:pPr>
              <w:widowControl w:val="0"/>
              <w:rPr>
                <w:rFonts w:ascii="Times" w:hAnsi="Times" w:eastAsia="Batang"/>
                <w:color w:val="000000"/>
              </w:rPr>
            </w:pPr>
            <w:r>
              <w:rPr>
                <w:rFonts w:eastAsia="MS Mincho"/>
                <w:lang w:eastAsia="ja-JP"/>
              </w:rPr>
              <w:t>Based on the above comments, we agree with the comment that the configuration of SS should not use the wording “Xs”, and the following change could resolve the concern (no need to mention Xs in the configuration):</w:t>
            </w:r>
          </w:p>
          <w:p>
            <w:pPr>
              <w:widowControl w:val="0"/>
              <w:numPr>
                <w:ilvl w:val="2"/>
                <w:numId w:val="28"/>
              </w:numPr>
              <w:overflowPunct w:val="0"/>
              <w:textAlignment w:val="baseline"/>
              <w:rPr>
                <w:rFonts w:ascii="Times" w:hAnsi="Times" w:eastAsia="Batang"/>
                <w:color w:val="000000"/>
              </w:rPr>
            </w:pPr>
            <w:r>
              <w:rPr>
                <w:rFonts w:ascii="Times" w:hAnsi="Times" w:eastAsia="Batang"/>
                <w:color w:val="FF0000"/>
              </w:rPr>
              <w:t xml:space="preserve">The size is </w:t>
            </w:r>
            <w:r>
              <w:rPr>
                <w:rFonts w:ascii="Times" w:hAnsi="Times" w:eastAsia="Batang"/>
                <w:strike/>
                <w:color w:val="FF0000"/>
              </w:rPr>
              <w:t>Xs bits, where Xs is</w:t>
            </w:r>
            <w:r>
              <w:rPr>
                <w:rFonts w:ascii="Times" w:hAnsi="Times" w:eastAsia="Batang"/>
                <w:color w:val="FF0000"/>
              </w:rPr>
              <w:t xml:space="preserve"> either 4 or 8</w:t>
            </w:r>
          </w:p>
          <w:p>
            <w:pPr>
              <w:widowControl w:val="0"/>
              <w:overflowPunct w:val="0"/>
              <w:textAlignment w:val="baseline"/>
              <w:rPr>
                <w:rFonts w:ascii="Times" w:hAnsi="Times" w:eastAsia="Batang"/>
                <w:color w:val="000000"/>
                <w:sz w:val="20"/>
                <w:szCs w:val="24"/>
              </w:rPr>
            </w:pPr>
            <w:r>
              <w:rPr>
                <w:rFonts w:ascii="Times" w:hAnsi="Times" w:eastAsia="Batang"/>
                <w:color w:val="000000"/>
              </w:rPr>
              <w:t>Based on this, it’s no need to explicitly forbid any bitmap values as invalid, since the UE can determine whether it’s complied with the reported combinations and determine the active Xs.</w:t>
            </w:r>
            <w:r>
              <w:rPr>
                <w:rFonts w:ascii="Times" w:hAnsi="Times" w:eastAsia="Batang"/>
                <w:color w:val="000000"/>
                <w:sz w:val="20"/>
                <w:szCs w:val="24"/>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Futurewei</w:t>
            </w:r>
          </w:p>
        </w:tc>
        <w:tc>
          <w:tcPr>
            <w:tcW w:w="12176" w:type="dxa"/>
            <w:vAlign w:val="center"/>
          </w:tcPr>
          <w:p>
            <w:pPr>
              <w:widowControl w:val="0"/>
              <w:rPr>
                <w:rFonts w:eastAsia="MS Mincho"/>
                <w:lang w:eastAsia="ja-JP"/>
              </w:rPr>
            </w:pPr>
            <w:r>
              <w:rPr>
                <w:rFonts w:eastAsia="MS Mincho"/>
                <w:lang w:eastAsia="ja-JP"/>
              </w:rPr>
              <w:t>We have the same view with Samsung that we should not mention Xs in the configuration.  In general we see a lot of confusion on the Xs term usage, and maybe it should be clearly defined ( maybe Xs the “active/effective” monitoring slot group as a subset of a slot group X ??) in respect to the slot group X ,as Mediatek suggested.</w:t>
            </w:r>
          </w:p>
        </w:tc>
      </w:tr>
    </w:tbl>
    <w:p>
      <w:pPr>
        <w:rPr>
          <w:lang w:eastAsia="zh-CN"/>
        </w:rPr>
      </w:pPr>
    </w:p>
    <w:p>
      <w:pPr>
        <w:pStyle w:val="5"/>
      </w:pPr>
      <w:r>
        <w:t>Second round discussion summary</w:t>
      </w:r>
    </w:p>
    <w:p>
      <w:pPr>
        <w:rPr>
          <w:sz w:val="21"/>
          <w:szCs w:val="21"/>
          <w:lang w:eastAsia="zh-CN"/>
        </w:rPr>
      </w:pPr>
      <w:r>
        <w:rPr>
          <w:sz w:val="21"/>
          <w:szCs w:val="21"/>
          <w:lang w:eastAsia="zh-CN"/>
        </w:rPr>
        <w:t>At this point, there is still no consensus on potential restrictions for Group (2) SSs (e.g. alignment with Group (1) restrictions). In order to progress for the RRC reelvant aspects, FL suggests to take an intermediate agreement for refinement of the various definitions and value limits, and continue discussion based on the listed options at the end of the proposal.</w:t>
      </w:r>
    </w:p>
    <w:p>
      <w:pPr>
        <w:rPr>
          <w:lang w:eastAsia="zh-CN"/>
        </w:rPr>
      </w:pPr>
      <w:r>
        <w:rPr>
          <w:sz w:val="21"/>
          <w:szCs w:val="21"/>
          <w:lang w:eastAsia="zh-CN"/>
        </w:rPr>
        <w:t xml:space="preserve">Regarding a suggested change to add a description of a valid monitoring slot (NTT DOCOMO, LG) to </w:t>
      </w:r>
      <w:r>
        <w:rPr>
          <w:rFonts w:eastAsia="Batang"/>
          <w:i/>
          <w:iCs/>
          <w:sz w:val="21"/>
          <w:szCs w:val="21"/>
        </w:rPr>
        <w:t>duration-r17</w:t>
      </w:r>
      <w:r>
        <w:rPr>
          <w:sz w:val="21"/>
          <w:szCs w:val="21"/>
          <w:lang w:eastAsia="zh-CN"/>
        </w:rPr>
        <w:t xml:space="preserve">, FL notes that this is already captured in the description of </w:t>
      </w:r>
      <w:r>
        <w:rPr>
          <w:rFonts w:eastAsia="Batang"/>
          <w:i/>
          <w:iCs/>
          <w:color w:val="000000"/>
          <w:sz w:val="21"/>
          <w:szCs w:val="28"/>
        </w:rPr>
        <w:t>monitoringSlotsWithinSlotGroup-r17</w:t>
      </w:r>
      <w:r>
        <w:rPr>
          <w:rFonts w:eastAsia="Batang"/>
          <w:color w:val="000000"/>
          <w:sz w:val="21"/>
          <w:szCs w:val="28"/>
        </w:rPr>
        <w:t xml:space="preserve">. FL therefore prefers to keep the current level of description. </w:t>
      </w:r>
    </w:p>
    <w:p>
      <w:r>
        <w:rPr>
          <w:b/>
          <w:sz w:val="20"/>
          <w:szCs w:val="20"/>
          <w:u w:val="single"/>
        </w:rPr>
        <w:t>Proposal A2-1.1c:</w:t>
      </w:r>
      <w:r>
        <w:rPr>
          <w:b/>
          <w:sz w:val="20"/>
          <w:szCs w:val="20"/>
        </w:rPr>
        <w:t xml:space="preserve"> Revise the RAN1#107bis-e agreement to the following:</w:t>
      </w:r>
    </w:p>
    <w:tbl>
      <w:tblPr>
        <w:tblStyle w:val="55"/>
        <w:tblW w:w="1275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753" w:type="dxa"/>
            <w:vAlign w:val="center"/>
          </w:tcPr>
          <w:p>
            <w:pPr>
              <w:widowControl w:val="0"/>
              <w:spacing w:after="0"/>
              <w:rPr>
                <w:rFonts w:ascii="Times" w:hAnsi="Times" w:eastAsia="Batang"/>
                <w:sz w:val="20"/>
                <w:szCs w:val="24"/>
              </w:rPr>
            </w:pPr>
            <w:r>
              <w:rPr>
                <w:rFonts w:ascii="Times" w:hAnsi="Times" w:eastAsia="Batang"/>
                <w:sz w:val="20"/>
                <w:szCs w:val="24"/>
              </w:rPr>
              <w:t>For search space set configuration of multi-slot PDCCH monitoring:</w:t>
            </w:r>
          </w:p>
          <w:p>
            <w:pPr>
              <w:widowControl w:val="0"/>
              <w:numPr>
                <w:ilvl w:val="0"/>
                <w:numId w:val="28"/>
              </w:numPr>
              <w:overflowPunct w:val="0"/>
              <w:spacing w:line="240" w:lineRule="auto"/>
              <w:textAlignment w:val="baseline"/>
              <w:rPr>
                <w:rFonts w:ascii="Times" w:hAnsi="Times" w:eastAsia="Batang"/>
                <w:sz w:val="20"/>
                <w:szCs w:val="24"/>
              </w:rPr>
            </w:pPr>
            <w:r>
              <w:rPr>
                <w:rFonts w:hint="eastAsia" w:ascii="Times" w:hAnsi="Times" w:eastAsia="Batang"/>
                <w:i/>
                <w:iCs/>
                <w:sz w:val="20"/>
                <w:szCs w:val="24"/>
                <w:lang w:eastAsia="zh-CN"/>
              </w:rPr>
              <w:t>monitoringSlotPeriodicityAndOffset</w:t>
            </w:r>
            <w:r>
              <w:rPr>
                <w:rFonts w:ascii="Times" w:hAnsi="Times" w:eastAsia="Batang"/>
                <w:sz w:val="20"/>
                <w:szCs w:val="24"/>
                <w:lang w:eastAsia="zh-CN"/>
              </w:rPr>
              <w:t xml:space="preserve"> and</w:t>
            </w:r>
            <w:r>
              <w:rPr>
                <w:rFonts w:hint="eastAsia" w:ascii="Times" w:hAnsi="Times" w:eastAsia="Batang"/>
                <w:i/>
                <w:iCs/>
                <w:sz w:val="20"/>
                <w:lang w:eastAsia="zh-CN"/>
              </w:rPr>
              <w:t xml:space="preserve"> </w:t>
            </w:r>
            <w:r>
              <w:rPr>
                <w:rFonts w:hint="eastAsia" w:ascii="Times" w:hAnsi="Times" w:eastAsia="Batang"/>
                <w:i/>
                <w:iCs/>
                <w:sz w:val="20"/>
                <w:szCs w:val="24"/>
                <w:lang w:eastAsia="zh-CN"/>
              </w:rPr>
              <w:t>duration</w:t>
            </w:r>
            <w:r>
              <w:rPr>
                <w:rFonts w:hint="eastAsia" w:ascii="Times" w:hAnsi="Times" w:eastAsia="Batang"/>
                <w:i/>
                <w:iCs/>
                <w:sz w:val="20"/>
                <w:lang w:eastAsia="zh-CN"/>
              </w:rPr>
              <w:t xml:space="preserve"> </w:t>
            </w:r>
            <w:r>
              <w:rPr>
                <w:rFonts w:ascii="Times" w:hAnsi="Times" w:eastAsia="Batang"/>
                <w:sz w:val="20"/>
                <w:szCs w:val="24"/>
              </w:rPr>
              <w:t>are appended with "-r17", and</w:t>
            </w:r>
          </w:p>
          <w:p>
            <w:pPr>
              <w:widowControl w:val="0"/>
              <w:numPr>
                <w:ilvl w:val="1"/>
                <w:numId w:val="28"/>
              </w:numPr>
              <w:overflowPunct w:val="0"/>
              <w:spacing w:line="240" w:lineRule="auto"/>
              <w:textAlignment w:val="baseline"/>
              <w:rPr>
                <w:rFonts w:ascii="Times" w:hAnsi="Times" w:eastAsia="Batang"/>
                <w:sz w:val="20"/>
                <w:szCs w:val="24"/>
              </w:rPr>
            </w:pPr>
            <w:r>
              <w:rPr>
                <w:rFonts w:ascii="Times" w:hAnsi="Times" w:eastAsia="Batang"/>
                <w:i/>
                <w:iCs/>
                <w:sz w:val="20"/>
                <w:szCs w:val="24"/>
                <w:lang w:eastAsia="zh-CN"/>
              </w:rPr>
              <w:t xml:space="preserve">For </w:t>
            </w:r>
            <w:r>
              <w:rPr>
                <w:rFonts w:ascii="Times" w:hAnsi="Times" w:eastAsia="Batang"/>
                <w:i/>
                <w:iCs/>
                <w:sz w:val="20"/>
                <w:szCs w:val="24"/>
              </w:rPr>
              <w:t>monitoringPeriodicityAndOffset-r17</w:t>
            </w:r>
          </w:p>
          <w:p>
            <w:pPr>
              <w:widowControl w:val="0"/>
              <w:numPr>
                <w:ilvl w:val="2"/>
                <w:numId w:val="28"/>
              </w:numPr>
              <w:overflowPunct w:val="0"/>
              <w:spacing w:line="240" w:lineRule="auto"/>
              <w:textAlignment w:val="baseline"/>
              <w:rPr>
                <w:rFonts w:ascii="Times" w:hAnsi="Times" w:eastAsia="Batang"/>
                <w:sz w:val="20"/>
                <w:szCs w:val="24"/>
              </w:rPr>
            </w:pPr>
            <w:r>
              <w:rPr>
                <w:rFonts w:ascii="Times" w:hAnsi="Times" w:eastAsia="Batang"/>
                <w:sz w:val="20"/>
                <w:szCs w:val="24"/>
              </w:rPr>
              <w:t>The values represent slots</w:t>
            </w:r>
          </w:p>
          <w:p>
            <w:pPr>
              <w:widowControl w:val="0"/>
              <w:numPr>
                <w:ilvl w:val="2"/>
                <w:numId w:val="28"/>
              </w:numPr>
              <w:overflowPunct w:val="0"/>
              <w:spacing w:line="240" w:lineRule="auto"/>
              <w:textAlignment w:val="baseline"/>
              <w:rPr>
                <w:rFonts w:ascii="Times" w:hAnsi="Times" w:eastAsia="Batang"/>
                <w:sz w:val="20"/>
                <w:szCs w:val="24"/>
              </w:rPr>
            </w:pPr>
            <w:r>
              <w:rPr>
                <w:rFonts w:ascii="Times" w:hAnsi="Times" w:eastAsia="Batang"/>
                <w:sz w:val="20"/>
                <w:szCs w:val="24"/>
              </w:rPr>
              <w:t xml:space="preserve">Add periodicity values {32,64,128,5120,10240,20480} to the existing values in </w:t>
            </w:r>
            <w:r>
              <w:rPr>
                <w:rFonts w:hint="eastAsia" w:ascii="Times" w:hAnsi="Times" w:eastAsia="Batang"/>
                <w:i/>
                <w:iCs/>
                <w:sz w:val="20"/>
                <w:szCs w:val="24"/>
                <w:lang w:eastAsia="zh-CN"/>
              </w:rPr>
              <w:t>monitoringSlotPeriodicityAndOffset</w:t>
            </w:r>
          </w:p>
          <w:p>
            <w:pPr>
              <w:widowControl w:val="0"/>
              <w:numPr>
                <w:ilvl w:val="3"/>
                <w:numId w:val="28"/>
              </w:numPr>
              <w:overflowPunct w:val="0"/>
              <w:spacing w:line="240" w:lineRule="auto"/>
              <w:textAlignment w:val="baseline"/>
              <w:rPr>
                <w:rFonts w:ascii="Times" w:hAnsi="Times" w:eastAsia="Batang"/>
                <w:sz w:val="20"/>
                <w:szCs w:val="24"/>
              </w:rPr>
            </w:pPr>
            <w:r>
              <w:rPr>
                <w:rFonts w:ascii="Times" w:hAnsi="Times" w:eastAsia="Batang"/>
                <w:sz w:val="20"/>
                <w:szCs w:val="24"/>
              </w:rPr>
              <w:t>Note: Total list of supported periodicity values</w:t>
            </w:r>
            <w:r>
              <w:rPr>
                <w:rFonts w:ascii="Times" w:hAnsi="Times" w:eastAsia="Batang"/>
                <w:color w:val="00B050"/>
                <w:sz w:val="20"/>
                <w:szCs w:val="24"/>
              </w:rPr>
              <w:t xml:space="preserve"> for SCS 480kHz and 960kHz</w:t>
            </w:r>
            <w:r>
              <w:rPr>
                <w:rFonts w:ascii="Times" w:hAnsi="Times" w:eastAsia="Batang"/>
                <w:sz w:val="20"/>
                <w:szCs w:val="24"/>
              </w:rPr>
              <w:t>: {</w:t>
            </w:r>
            <w:r>
              <w:rPr>
                <w:rFonts w:ascii="Times" w:hAnsi="Times" w:eastAsia="Batang"/>
                <w:strike/>
                <w:color w:val="FF0000"/>
                <w:sz w:val="20"/>
                <w:szCs w:val="24"/>
              </w:rPr>
              <w:t>1,2,</w:t>
            </w:r>
            <w:r>
              <w:rPr>
                <w:rFonts w:ascii="Times" w:hAnsi="Times" w:eastAsia="Batang"/>
                <w:sz w:val="20"/>
                <w:szCs w:val="24"/>
              </w:rPr>
              <w:t>4,</w:t>
            </w:r>
            <w:r>
              <w:rPr>
                <w:rFonts w:ascii="Times" w:hAnsi="Times" w:eastAsia="Batang"/>
                <w:strike/>
                <w:color w:val="FF0000"/>
                <w:sz w:val="20"/>
                <w:szCs w:val="24"/>
              </w:rPr>
              <w:t>5,</w:t>
            </w:r>
            <w:r>
              <w:rPr>
                <w:rFonts w:ascii="Times" w:hAnsi="Times" w:eastAsia="Batang"/>
                <w:sz w:val="20"/>
                <w:szCs w:val="24"/>
              </w:rPr>
              <w:t>8,</w:t>
            </w:r>
            <w:r>
              <w:rPr>
                <w:rFonts w:ascii="Times" w:hAnsi="Times" w:eastAsia="Batang"/>
                <w:strike/>
                <w:color w:val="FF0000"/>
                <w:sz w:val="20"/>
                <w:szCs w:val="24"/>
              </w:rPr>
              <w:t>10,</w:t>
            </w:r>
            <w:r>
              <w:rPr>
                <w:rFonts w:ascii="Times" w:hAnsi="Times" w:eastAsia="Batang"/>
                <w:sz w:val="20"/>
                <w:szCs w:val="24"/>
              </w:rPr>
              <w:t>16,20,32,40,64,80,128,160,320,640,1280,2560,5120,10240,20480}</w:t>
            </w:r>
          </w:p>
          <w:p>
            <w:pPr>
              <w:widowControl w:val="0"/>
              <w:numPr>
                <w:ilvl w:val="2"/>
                <w:numId w:val="28"/>
              </w:numPr>
              <w:overflowPunct w:val="0"/>
              <w:spacing w:line="240" w:lineRule="auto"/>
              <w:textAlignment w:val="baseline"/>
              <w:rPr>
                <w:rFonts w:ascii="Times" w:hAnsi="Times" w:eastAsia="Batang"/>
                <w:sz w:val="20"/>
                <w:szCs w:val="24"/>
              </w:rPr>
            </w:pPr>
            <w:r>
              <w:rPr>
                <w:rFonts w:ascii="Times" w:hAnsi="Times" w:eastAsia="Batang"/>
                <w:sz w:val="20"/>
                <w:szCs w:val="24"/>
              </w:rPr>
              <w:t>For each periodicity value Xp</w:t>
            </w:r>
          </w:p>
          <w:p>
            <w:pPr>
              <w:widowControl w:val="0"/>
              <w:numPr>
                <w:ilvl w:val="3"/>
                <w:numId w:val="28"/>
              </w:numPr>
              <w:overflowPunct w:val="0"/>
              <w:spacing w:line="240" w:lineRule="auto"/>
              <w:textAlignment w:val="baseline"/>
              <w:rPr>
                <w:rFonts w:ascii="Times" w:hAnsi="Times" w:eastAsia="Batang"/>
                <w:sz w:val="20"/>
                <w:szCs w:val="24"/>
                <w:lang w:val="nl-NL"/>
              </w:rPr>
            </w:pPr>
            <w:r>
              <w:rPr>
                <w:rFonts w:ascii="Times" w:hAnsi="Times" w:eastAsia="Batang"/>
                <w:sz w:val="20"/>
                <w:szCs w:val="24"/>
              </w:rPr>
              <w:t xml:space="preserve">The value range for the offset O is </w:t>
            </w:r>
            <w:r>
              <w:rPr>
                <w:rFonts w:ascii="Times" w:hAnsi="Times" w:eastAsia="Batang"/>
                <w:strike/>
                <w:color w:val="FF0000"/>
                <w:sz w:val="20"/>
                <w:szCs w:val="24"/>
              </w:rPr>
              <w:t xml:space="preserve">{0 .. </w:t>
            </w:r>
            <w:r>
              <w:rPr>
                <w:rFonts w:ascii="Times" w:hAnsi="Times" w:eastAsia="Batang"/>
                <w:strike/>
                <w:color w:val="FF0000"/>
                <w:sz w:val="20"/>
                <w:szCs w:val="24"/>
                <w:lang w:val="nl-NL"/>
              </w:rPr>
              <w:t>Xp-1}</w:t>
            </w:r>
            <w:r>
              <w:rPr>
                <w:rFonts w:ascii="Times" w:hAnsi="Times" w:eastAsia="Batang"/>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ctrlPr>
                            <w:rPr>
                              <w:rFonts w:ascii="Cambria Math" w:hAnsi="Cambria Math"/>
                              <w:b/>
                              <w:bCs/>
                              <w:i/>
                              <w:color w:val="FF0000"/>
                            </w:rPr>
                          </m:ctrlPr>
                        </m:e>
                        <m:sub>
                          <m:r>
                            <m:rPr>
                              <m:sty m:val="bi"/>
                            </m:rPr>
                            <w:rPr>
                              <w:rFonts w:ascii="Cambria Math" w:hAnsi="Cambria Math"/>
                              <w:color w:val="FF0000"/>
                            </w:rPr>
                            <m:t>p</m:t>
                          </m:r>
                          <m:ctrlPr>
                            <w:rPr>
                              <w:rFonts w:ascii="Cambria Math" w:hAnsi="Cambria Math"/>
                              <w:b/>
                              <w:bCs/>
                              <w:i/>
                              <w:color w:val="FF0000"/>
                            </w:rPr>
                          </m:ctrlP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ctrlPr>
                        <w:rPr>
                          <w:rFonts w:ascii="Cambria Math" w:hAnsi="Cambria Math"/>
                          <w:b/>
                          <w:bCs/>
                          <w:i/>
                          <w:color w:val="FF0000"/>
                        </w:rPr>
                      </m:ctrlPr>
                    </m:num>
                    <m:den>
                      <m:r>
                        <m:rPr>
                          <m:sty m:val="bi"/>
                        </m:rPr>
                        <w:rPr>
                          <w:rFonts w:ascii="Cambria Math" w:hAnsi="Cambria Math"/>
                          <w:color w:val="FF0000"/>
                        </w:rPr>
                        <m:t>4</m:t>
                      </m:r>
                      <m:ctrlPr>
                        <w:rPr>
                          <w:rFonts w:ascii="Cambria Math" w:hAnsi="Cambria Math"/>
                          <w:b/>
                          <w:bCs/>
                          <w:i/>
                          <w:color w:val="FF0000"/>
                        </w:rPr>
                      </m:ctrlPr>
                    </m:den>
                  </m:f>
                  <m:ctrlPr>
                    <w:rPr>
                      <w:rFonts w:ascii="Cambria Math" w:hAnsi="Cambria Math"/>
                      <w:b/>
                      <w:bCs/>
                      <w:i/>
                      <w:color w:val="FF0000"/>
                    </w:rPr>
                  </m:ctrlPr>
                </m:e>
              </m:d>
            </m:oMath>
            <w:r>
              <w:rPr>
                <w:rFonts w:ascii="Times" w:hAnsi="Times" w:eastAsia="Batang"/>
                <w:color w:val="FF0000"/>
                <w:sz w:val="20"/>
                <w:szCs w:val="24"/>
                <w:lang w:val="nl-NL"/>
              </w:rPr>
              <w:t xml:space="preserve">} </w:t>
            </w:r>
            <w:r>
              <w:rPr>
                <w:rFonts w:ascii="Times" w:hAnsi="Times" w:eastAsia="Batang"/>
                <w:sz w:val="20"/>
                <w:szCs w:val="24"/>
                <w:lang w:val="nl-NL"/>
              </w:rPr>
              <w:t>slots</w:t>
            </w:r>
          </w:p>
          <w:p>
            <w:pPr>
              <w:widowControl w:val="0"/>
              <w:numPr>
                <w:ilvl w:val="3"/>
                <w:numId w:val="28"/>
              </w:numPr>
              <w:overflowPunct w:val="0"/>
              <w:spacing w:line="240" w:lineRule="auto"/>
              <w:textAlignment w:val="baseline"/>
              <w:rPr>
                <w:rFonts w:ascii="Times" w:hAnsi="Times" w:eastAsia="Batang"/>
                <w:sz w:val="20"/>
                <w:szCs w:val="24"/>
              </w:rPr>
            </w:pPr>
            <w:r>
              <w:rPr>
                <w:rFonts w:ascii="Times" w:hAnsi="Times" w:eastAsia="Batang"/>
                <w:sz w:val="20"/>
                <w:szCs w:val="24"/>
              </w:rPr>
              <w:t>Note: There may be no need to introduce the term "X</w:t>
            </w:r>
            <w:r>
              <w:rPr>
                <w:rFonts w:ascii="Times" w:hAnsi="Times" w:eastAsia="Batang"/>
                <w:sz w:val="20"/>
                <w:szCs w:val="24"/>
                <w:vertAlign w:val="subscript"/>
              </w:rPr>
              <w:t>p</w:t>
            </w:r>
            <w:r>
              <w:rPr>
                <w:rFonts w:ascii="Times" w:hAnsi="Times" w:eastAsia="Batang"/>
                <w:sz w:val="20"/>
                <w:szCs w:val="24"/>
              </w:rPr>
              <w:t>" in the specifications</w:t>
            </w:r>
          </w:p>
          <w:p>
            <w:pPr>
              <w:widowControl w:val="0"/>
              <w:numPr>
                <w:ilvl w:val="2"/>
                <w:numId w:val="28"/>
              </w:numPr>
              <w:overflowPunct w:val="0"/>
              <w:spacing w:line="240" w:lineRule="auto"/>
              <w:textAlignment w:val="baseline"/>
              <w:rPr>
                <w:rFonts w:ascii="Times" w:hAnsi="Times" w:eastAsia="Batang"/>
                <w:sz w:val="20"/>
                <w:szCs w:val="24"/>
              </w:rPr>
            </w:pPr>
            <w:r>
              <w:rPr>
                <w:rFonts w:ascii="Times" w:hAnsi="Times" w:eastAsia="Batang"/>
                <w:sz w:val="20"/>
                <w:szCs w:val="24"/>
              </w:rPr>
              <w:t>The configured periodicity at least for Group (1) SSs is restricted to be an integer multiple of Xs slots</w:t>
            </w:r>
          </w:p>
          <w:p>
            <w:pPr>
              <w:widowControl w:val="0"/>
              <w:numPr>
                <w:ilvl w:val="2"/>
                <w:numId w:val="28"/>
              </w:numPr>
              <w:overflowPunct w:val="0"/>
              <w:spacing w:line="240" w:lineRule="auto"/>
              <w:textAlignment w:val="baseline"/>
              <w:rPr>
                <w:rFonts w:ascii="Times" w:hAnsi="Times" w:eastAsia="Batang"/>
                <w:color w:val="FF0000"/>
                <w:sz w:val="20"/>
                <w:szCs w:val="24"/>
              </w:rPr>
            </w:pPr>
            <w:r>
              <w:rPr>
                <w:rFonts w:ascii="Times" w:hAnsi="Times" w:eastAsia="Batang"/>
                <w:color w:val="FF0000"/>
                <w:sz w:val="20"/>
                <w:szCs w:val="24"/>
              </w:rPr>
              <w:t>The configured offset</w:t>
            </w:r>
            <w:r>
              <w:rPr>
                <w:rFonts w:ascii="Times" w:hAnsi="Times" w:eastAsia="Batang"/>
                <w:color w:val="FF0000"/>
                <w:szCs w:val="24"/>
              </w:rPr>
              <w:t xml:space="preserve"> </w:t>
            </w:r>
            <w:r>
              <w:rPr>
                <w:rFonts w:ascii="Times" w:hAnsi="Times" w:eastAsia="Batang"/>
                <w:color w:val="00B0F0"/>
                <w:sz w:val="20"/>
                <w:szCs w:val="24"/>
              </w:rPr>
              <w:t xml:space="preserve">at least for Group (1) SSs </w:t>
            </w:r>
            <w:r>
              <w:rPr>
                <w:rFonts w:ascii="Times" w:hAnsi="Times" w:eastAsia="Batang"/>
                <w:color w:val="FF0000"/>
                <w:sz w:val="20"/>
                <w:szCs w:val="24"/>
              </w:rPr>
              <w:t>is restricted to be an integer multiple of Xs slots</w:t>
            </w:r>
          </w:p>
          <w:p>
            <w:pPr>
              <w:widowControl w:val="0"/>
              <w:numPr>
                <w:ilvl w:val="2"/>
                <w:numId w:val="28"/>
              </w:numPr>
              <w:overflowPunct w:val="0"/>
              <w:spacing w:line="240" w:lineRule="auto"/>
              <w:textAlignment w:val="baseline"/>
              <w:rPr>
                <w:rFonts w:ascii="Times" w:hAnsi="Times" w:eastAsia="Batang"/>
                <w:strike/>
                <w:color w:val="FF0000"/>
                <w:sz w:val="20"/>
                <w:szCs w:val="24"/>
              </w:rPr>
            </w:pPr>
            <w:r>
              <w:rPr>
                <w:rFonts w:ascii="Times" w:hAnsi="Times" w:eastAsia="Batang"/>
                <w:strike/>
                <w:color w:val="FF0000"/>
                <w:sz w:val="20"/>
                <w:szCs w:val="24"/>
              </w:rPr>
              <w:t>FFS: details of offset</w:t>
            </w:r>
          </w:p>
          <w:p>
            <w:pPr>
              <w:widowControl w:val="0"/>
              <w:numPr>
                <w:ilvl w:val="1"/>
                <w:numId w:val="28"/>
              </w:numPr>
              <w:overflowPunct w:val="0"/>
              <w:spacing w:line="240" w:lineRule="auto"/>
              <w:textAlignment w:val="baseline"/>
              <w:rPr>
                <w:rFonts w:ascii="Times" w:hAnsi="Times" w:eastAsia="Batang"/>
                <w:color w:val="000000"/>
                <w:sz w:val="20"/>
                <w:szCs w:val="24"/>
              </w:rPr>
            </w:pPr>
            <w:r>
              <w:rPr>
                <w:rFonts w:ascii="Times" w:hAnsi="Times" w:eastAsia="Batang"/>
                <w:color w:val="000000"/>
                <w:sz w:val="20"/>
                <w:szCs w:val="24"/>
              </w:rPr>
              <w:t xml:space="preserve">For </w:t>
            </w:r>
            <w:r>
              <w:rPr>
                <w:rFonts w:ascii="Times" w:hAnsi="Times" w:eastAsia="Batang"/>
                <w:i/>
                <w:iCs/>
                <w:color w:val="000000"/>
                <w:sz w:val="20"/>
                <w:szCs w:val="24"/>
              </w:rPr>
              <w:t>duration-r17</w:t>
            </w:r>
          </w:p>
          <w:p>
            <w:pPr>
              <w:widowControl w:val="0"/>
              <w:numPr>
                <w:ilvl w:val="2"/>
                <w:numId w:val="28"/>
              </w:numPr>
              <w:overflowPunct w:val="0"/>
              <w:spacing w:line="240" w:lineRule="auto"/>
              <w:textAlignment w:val="baseline"/>
              <w:rPr>
                <w:rFonts w:ascii="Times" w:hAnsi="Times" w:eastAsia="Batang"/>
                <w:color w:val="000000"/>
                <w:sz w:val="20"/>
                <w:szCs w:val="24"/>
              </w:rPr>
            </w:pPr>
            <w:r>
              <w:rPr>
                <w:rFonts w:ascii="Times" w:hAnsi="Times" w:eastAsia="Batang"/>
                <w:color w:val="000000"/>
                <w:sz w:val="20"/>
                <w:szCs w:val="24"/>
              </w:rPr>
              <w:t>The values represent slots</w:t>
            </w:r>
          </w:p>
          <w:p>
            <w:pPr>
              <w:widowControl w:val="0"/>
              <w:numPr>
                <w:ilvl w:val="2"/>
                <w:numId w:val="28"/>
              </w:numPr>
              <w:overflowPunct w:val="0"/>
              <w:spacing w:line="240" w:lineRule="auto"/>
              <w:textAlignment w:val="baseline"/>
              <w:rPr>
                <w:rFonts w:ascii="Times" w:hAnsi="Times" w:eastAsia="Batang"/>
                <w:color w:val="FF0000"/>
                <w:sz w:val="20"/>
                <w:szCs w:val="24"/>
              </w:rPr>
            </w:pPr>
            <w:r>
              <w:rPr>
                <w:rFonts w:ascii="Times" w:hAnsi="Times" w:eastAsia="Batang"/>
                <w:color w:val="000000"/>
                <w:sz w:val="20"/>
                <w:szCs w:val="24"/>
              </w:rPr>
              <w:t>The value range is {8, 12, …, 20476}</w:t>
            </w:r>
            <w:r>
              <w:rPr>
                <w:rFonts w:ascii="Times" w:hAnsi="Times" w:eastAsia="Batang"/>
                <w:color w:val="FF0000"/>
                <w:sz w:val="20"/>
                <w:szCs w:val="24"/>
              </w:rPr>
              <w:t xml:space="preserve"> at least for Group (1) SSs</w:t>
            </w:r>
          </w:p>
          <w:p>
            <w:pPr>
              <w:widowControl w:val="0"/>
              <w:numPr>
                <w:ilvl w:val="3"/>
                <w:numId w:val="28"/>
              </w:numPr>
              <w:overflowPunct w:val="0"/>
              <w:spacing w:line="240" w:lineRule="auto"/>
              <w:textAlignment w:val="baseline"/>
              <w:rPr>
                <w:rFonts w:ascii="Times" w:hAnsi="Times" w:eastAsia="Batang"/>
                <w:color w:val="00B050"/>
                <w:sz w:val="20"/>
                <w:szCs w:val="20"/>
              </w:rPr>
            </w:pP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w:t>
            </w:r>
            <w:r>
              <w:rPr>
                <w:rFonts w:ascii="Times" w:hAnsi="Times" w:eastAsia="Batang"/>
                <w:color w:val="0070C0"/>
                <w:sz w:val="20"/>
                <w:szCs w:val="24"/>
              </w:rPr>
              <w:t xml:space="preserve">assumes the duration in slots is equal to the length of the bitmap </w:t>
            </w:r>
            <w:r>
              <w:rPr>
                <w:rFonts w:ascii="Times" w:hAnsi="Times" w:eastAsia="Batang"/>
                <w:i/>
                <w:iCs/>
                <w:color w:val="0070C0"/>
                <w:sz w:val="20"/>
                <w:szCs w:val="24"/>
              </w:rPr>
              <w:t>monitoringSlotsWithinSlotGroup</w:t>
            </w:r>
            <w:r>
              <w:rPr>
                <w:color w:val="00B050"/>
                <w:sz w:val="20"/>
                <w:szCs w:val="20"/>
                <w:lang w:eastAsia="zh-CN"/>
              </w:rPr>
              <w:t>, except for DCI format 2_0.</w:t>
            </w:r>
          </w:p>
          <w:p>
            <w:pPr>
              <w:widowControl w:val="0"/>
              <w:numPr>
                <w:ilvl w:val="2"/>
                <w:numId w:val="28"/>
              </w:numPr>
              <w:overflowPunct w:val="0"/>
              <w:spacing w:line="240" w:lineRule="auto"/>
              <w:textAlignment w:val="baseline"/>
              <w:rPr>
                <w:rFonts w:ascii="Times" w:hAnsi="Times" w:eastAsia="Batang"/>
                <w:sz w:val="20"/>
                <w:szCs w:val="24"/>
              </w:rPr>
            </w:pPr>
            <w:r>
              <w:rPr>
                <w:rFonts w:ascii="Times" w:hAnsi="Times" w:eastAsia="Batang"/>
                <w:color w:val="000000"/>
                <w:sz w:val="20"/>
                <w:szCs w:val="24"/>
              </w:rPr>
              <w:t>The configured duration is restricted to be an integer multiple of Xs slots</w:t>
            </w:r>
            <w:r>
              <w:rPr>
                <w:rFonts w:ascii="Times" w:hAnsi="Times" w:eastAsia="Batang"/>
                <w:color w:val="FF0000"/>
                <w:sz w:val="20"/>
                <w:szCs w:val="24"/>
              </w:rPr>
              <w:t xml:space="preserve"> at least for Group (1) SSs</w:t>
            </w:r>
          </w:p>
          <w:p>
            <w:pPr>
              <w:widowControl w:val="0"/>
              <w:numPr>
                <w:ilvl w:val="2"/>
                <w:numId w:val="28"/>
              </w:numPr>
              <w:overflowPunct w:val="0"/>
              <w:spacing w:line="240" w:lineRule="auto"/>
              <w:textAlignment w:val="baseline"/>
              <w:rPr>
                <w:rFonts w:ascii="Times" w:hAnsi="Times" w:eastAsia="Batang"/>
                <w:strike/>
                <w:color w:val="FF0000"/>
                <w:sz w:val="20"/>
                <w:szCs w:val="24"/>
              </w:rPr>
            </w:pPr>
            <w:r>
              <w:rPr>
                <w:rFonts w:ascii="Times" w:hAnsi="Times"/>
                <w:strike/>
                <w:color w:val="FF0000"/>
                <w:sz w:val="20"/>
                <w:szCs w:val="24"/>
              </w:rPr>
              <w:t xml:space="preserve">This field indicates the number of consecutive slots where a </w:t>
            </w:r>
            <w:r>
              <w:rPr>
                <w:rFonts w:ascii="Times" w:hAnsi="Times"/>
                <w:i/>
                <w:iCs/>
                <w:strike/>
                <w:color w:val="FF0000"/>
                <w:sz w:val="20"/>
                <w:szCs w:val="24"/>
              </w:rPr>
              <w:t>SearchSpace</w:t>
            </w:r>
            <w:r>
              <w:rPr>
                <w:rFonts w:ascii="Times" w:hAnsi="Times"/>
                <w:strike/>
                <w:color w:val="FF0000"/>
                <w:sz w:val="20"/>
                <w:szCs w:val="24"/>
              </w:rPr>
              <w:t xml:space="preserve"> exists.</w:t>
            </w:r>
          </w:p>
          <w:p>
            <w:pPr>
              <w:widowControl w:val="0"/>
              <w:numPr>
                <w:ilvl w:val="2"/>
                <w:numId w:val="28"/>
              </w:numPr>
              <w:overflowPunct w:val="0"/>
              <w:spacing w:line="240" w:lineRule="auto"/>
              <w:textAlignment w:val="baseline"/>
              <w:rPr>
                <w:rFonts w:ascii="Times" w:hAnsi="Times" w:eastAsia="Batang"/>
                <w:strike/>
                <w:color w:val="FF0000"/>
                <w:sz w:val="20"/>
                <w:szCs w:val="24"/>
              </w:rPr>
            </w:pPr>
            <w:r>
              <w:rPr>
                <w:rFonts w:ascii="Times" w:hAnsi="Times" w:eastAsia="Batang"/>
                <w:strike/>
                <w:color w:val="FF0000"/>
                <w:sz w:val="20"/>
                <w:szCs w:val="24"/>
              </w:rPr>
              <w:t xml:space="preserve">FFS: need to revise the definition of </w:t>
            </w:r>
            <w:r>
              <w:rPr>
                <w:rFonts w:ascii="Times" w:hAnsi="Times" w:eastAsia="Batang"/>
                <w:i/>
                <w:strike/>
                <w:color w:val="FF0000"/>
                <w:sz w:val="20"/>
                <w:szCs w:val="24"/>
              </w:rPr>
              <w:t>duration</w:t>
            </w:r>
          </w:p>
          <w:p>
            <w:pPr>
              <w:widowControl w:val="0"/>
              <w:numPr>
                <w:ilvl w:val="2"/>
                <w:numId w:val="28"/>
              </w:numPr>
              <w:overflowPunct w:val="0"/>
              <w:spacing w:line="240" w:lineRule="auto"/>
              <w:textAlignment w:val="baseline"/>
              <w:rPr>
                <w:rFonts w:eastAsia="Batang"/>
                <w:color w:val="00B050"/>
                <w:sz w:val="20"/>
                <w:szCs w:val="20"/>
              </w:rPr>
            </w:pPr>
            <w:r>
              <w:rPr>
                <w:rFonts w:eastAsia="Batang"/>
                <w:i/>
                <w:iCs/>
                <w:color w:val="00B050"/>
                <w:sz w:val="20"/>
                <w:szCs w:val="20"/>
              </w:rPr>
              <w:t>duration-r17</w:t>
            </w:r>
            <w:r>
              <w:rPr>
                <w:rFonts w:eastAsia="Batang"/>
                <w:color w:val="00B050"/>
                <w:sz w:val="20"/>
                <w:szCs w:val="20"/>
              </w:rPr>
              <w:t xml:space="preserve"> is the total number of slots in consecutive groups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ctrlPr>
                    <w:rPr>
                      <w:rFonts w:ascii="Cambria Math" w:hAnsi="Cambria Math"/>
                      <w:color w:val="00B050"/>
                      <w:sz w:val="20"/>
                      <w:szCs w:val="20"/>
                    </w:rPr>
                  </m:ctrlPr>
                </m:e>
                <m:sub>
                  <m:r>
                    <m:rPr>
                      <m:sty m:val="p"/>
                    </m:rPr>
                    <w:rPr>
                      <w:rFonts w:ascii="Cambria Math" w:hAnsi="Cambria Math"/>
                      <w:color w:val="00B050"/>
                      <w:sz w:val="20"/>
                      <w:szCs w:val="20"/>
                    </w:rPr>
                    <m:t>s</m:t>
                  </m:r>
                  <m:ctrlPr>
                    <w:rPr>
                      <w:rFonts w:ascii="Cambria Math" w:hAnsi="Cambria Math"/>
                      <w:color w:val="00B050"/>
                      <w:sz w:val="20"/>
                      <w:szCs w:val="20"/>
                    </w:rPr>
                  </m:ctrlPr>
                </m:sub>
              </m:sSub>
            </m:oMath>
            <w:r>
              <w:rPr>
                <w:rFonts w:eastAsia="Batang"/>
                <w:color w:val="00B050"/>
                <w:sz w:val="20"/>
                <w:szCs w:val="20"/>
              </w:rPr>
              <w:t xml:space="preserve"> slots </w:t>
            </w:r>
            <w:r>
              <w:rPr>
                <w:rFonts w:eastAsia="Batang"/>
                <w:color w:val="00B0F0"/>
                <w:sz w:val="20"/>
                <w:szCs w:val="20"/>
              </w:rPr>
              <w:t>in which</w:t>
            </w:r>
            <w:r>
              <w:rPr>
                <w:rFonts w:eastAsia="Batang"/>
                <w:color w:val="00B050"/>
                <w:sz w:val="20"/>
                <w:szCs w:val="20"/>
              </w:rPr>
              <w:t xml:space="preserve"> a Search Space </w:t>
            </w:r>
            <w:r>
              <w:rPr>
                <w:rFonts w:eastAsia="Batang"/>
                <w:color w:val="00B0F0"/>
                <w:sz w:val="20"/>
                <w:szCs w:val="20"/>
              </w:rPr>
              <w:t>can exist</w:t>
            </w:r>
            <w:r>
              <w:rPr>
                <w:rFonts w:eastAsia="Batang"/>
                <w:color w:val="00B050"/>
                <w:sz w:val="20"/>
                <w:szCs w:val="20"/>
              </w:rPr>
              <w:t xml:space="preserve"> in every occasion as given by </w:t>
            </w:r>
            <w:r>
              <w:rPr>
                <w:rFonts w:eastAsia="Batang"/>
                <w:i/>
                <w:iCs/>
                <w:color w:val="00B050"/>
                <w:sz w:val="20"/>
                <w:szCs w:val="20"/>
              </w:rPr>
              <w:t>monitoringPeriodicityAndOffset-r17</w:t>
            </w:r>
          </w:p>
          <w:p>
            <w:pPr>
              <w:widowControl w:val="0"/>
              <w:numPr>
                <w:ilvl w:val="0"/>
                <w:numId w:val="28"/>
              </w:numPr>
              <w:overflowPunct w:val="0"/>
              <w:spacing w:line="240" w:lineRule="auto"/>
              <w:textAlignment w:val="baseline"/>
              <w:rPr>
                <w:rFonts w:ascii="Times" w:hAnsi="Times" w:eastAsia="Batang"/>
                <w:sz w:val="20"/>
                <w:szCs w:val="24"/>
              </w:rPr>
            </w:pPr>
            <w:r>
              <w:rPr>
                <w:rFonts w:ascii="Times" w:hAnsi="Times" w:eastAsia="Batang"/>
                <w:i/>
                <w:iCs/>
                <w:sz w:val="20"/>
                <w:szCs w:val="24"/>
              </w:rPr>
              <w:t xml:space="preserve">monitoringSymbolsWithinSlot </w:t>
            </w:r>
            <w:r>
              <w:rPr>
                <w:rFonts w:ascii="Times" w:hAnsi="Times" w:eastAsia="Batang"/>
                <w:sz w:val="20"/>
                <w:szCs w:val="24"/>
              </w:rPr>
              <w:t>applies to each slot in a slot group configured for multi-slot PDCCH monitoring</w:t>
            </w:r>
          </w:p>
          <w:p>
            <w:pPr>
              <w:widowControl w:val="0"/>
              <w:numPr>
                <w:ilvl w:val="1"/>
                <w:numId w:val="28"/>
              </w:numPr>
              <w:overflowPunct w:val="0"/>
              <w:spacing w:line="240" w:lineRule="auto"/>
              <w:textAlignment w:val="baseline"/>
              <w:rPr>
                <w:rFonts w:ascii="Times" w:hAnsi="Times" w:eastAsia="Batang"/>
                <w:sz w:val="20"/>
                <w:szCs w:val="24"/>
              </w:rPr>
            </w:pPr>
            <w:r>
              <w:rPr>
                <w:rFonts w:ascii="Times" w:hAnsi="Times" w:eastAsia="Batang"/>
                <w:sz w:val="20"/>
                <w:szCs w:val="24"/>
              </w:rPr>
              <w:t>Note: This parameter can be directly re-used from earlier releases.</w:t>
            </w:r>
          </w:p>
          <w:p>
            <w:pPr>
              <w:widowControl w:val="0"/>
              <w:numPr>
                <w:ilvl w:val="0"/>
                <w:numId w:val="28"/>
              </w:numPr>
              <w:overflowPunct w:val="0"/>
              <w:spacing w:line="240" w:lineRule="auto"/>
              <w:textAlignment w:val="baseline"/>
              <w:rPr>
                <w:rFonts w:ascii="Times" w:hAnsi="Times" w:eastAsia="Batang"/>
                <w:color w:val="000000"/>
                <w:sz w:val="20"/>
                <w:szCs w:val="24"/>
              </w:rPr>
            </w:pPr>
            <w:r>
              <w:rPr>
                <w:rFonts w:ascii="Times" w:hAnsi="Times" w:eastAsia="Batang"/>
                <w:color w:val="000000"/>
                <w:sz w:val="20"/>
                <w:szCs w:val="24"/>
              </w:rPr>
              <w:t xml:space="preserve">Introduce new parameter </w:t>
            </w:r>
            <w:r>
              <w:rPr>
                <w:rFonts w:ascii="Times" w:hAnsi="Times" w:eastAsia="Batang"/>
                <w:i/>
                <w:iCs/>
                <w:color w:val="000000"/>
                <w:sz w:val="20"/>
                <w:szCs w:val="24"/>
              </w:rPr>
              <w:t>monitoringSlotsWithinSlotGroup-r17</w:t>
            </w:r>
          </w:p>
          <w:p>
            <w:pPr>
              <w:widowControl w:val="0"/>
              <w:numPr>
                <w:ilvl w:val="1"/>
                <w:numId w:val="28"/>
              </w:numPr>
              <w:overflowPunct w:val="0"/>
              <w:spacing w:line="240" w:lineRule="auto"/>
              <w:textAlignment w:val="baseline"/>
              <w:rPr>
                <w:rFonts w:ascii="Times" w:hAnsi="Times" w:eastAsia="Batang"/>
                <w:strike/>
                <w:color w:val="000000"/>
                <w:sz w:val="20"/>
                <w:szCs w:val="24"/>
              </w:rPr>
            </w:pPr>
            <w:r>
              <w:rPr>
                <w:rFonts w:ascii="Times" w:hAnsi="Times" w:eastAsia="Batang"/>
                <w:strike/>
                <w:color w:val="FF0000"/>
                <w:sz w:val="20"/>
                <w:szCs w:val="24"/>
                <w:highlight w:val="darkYellow"/>
              </w:rPr>
              <w:t>Working assumption</w:t>
            </w:r>
            <w:r>
              <w:rPr>
                <w:rFonts w:ascii="Times" w:hAnsi="Times" w:eastAsia="Batang"/>
                <w:strike/>
                <w:color w:val="FF0000"/>
                <w:sz w:val="20"/>
                <w:szCs w:val="24"/>
              </w:rPr>
              <w:t>:</w:t>
            </w:r>
          </w:p>
          <w:p>
            <w:pPr>
              <w:widowControl w:val="0"/>
              <w:numPr>
                <w:ilvl w:val="2"/>
                <w:numId w:val="28"/>
              </w:numPr>
              <w:overflowPunct w:val="0"/>
              <w:spacing w:line="240" w:lineRule="auto"/>
              <w:textAlignment w:val="baseline"/>
              <w:rPr>
                <w:rFonts w:ascii="Times" w:hAnsi="Times" w:eastAsia="Batang"/>
                <w:strike/>
                <w:color w:val="000000"/>
                <w:sz w:val="20"/>
                <w:szCs w:val="24"/>
              </w:rPr>
            </w:pPr>
            <w:r>
              <w:rPr>
                <w:rFonts w:ascii="Times" w:hAnsi="Times" w:eastAsia="Batang"/>
                <w:strike/>
                <w:color w:val="FF0000"/>
                <w:sz w:val="20"/>
                <w:szCs w:val="24"/>
              </w:rPr>
              <w:t>The size is 8 bits</w:t>
            </w:r>
          </w:p>
          <w:p>
            <w:pPr>
              <w:widowControl w:val="0"/>
              <w:numPr>
                <w:ilvl w:val="2"/>
                <w:numId w:val="28"/>
              </w:numPr>
              <w:overflowPunct w:val="0"/>
              <w:spacing w:line="240" w:lineRule="auto"/>
              <w:textAlignment w:val="baseline"/>
              <w:rPr>
                <w:rFonts w:ascii="Times" w:hAnsi="Times" w:eastAsia="Batang"/>
                <w:color w:val="00B0F0"/>
                <w:sz w:val="16"/>
                <w:szCs w:val="21"/>
              </w:rPr>
            </w:pPr>
            <w:r>
              <w:rPr>
                <w:rFonts w:ascii="Times" w:hAnsi="Times" w:eastAsia="Batang"/>
                <w:color w:val="00B0F0"/>
                <w:sz w:val="20"/>
                <w:szCs w:val="21"/>
              </w:rPr>
              <w:t>Two sizes are supported for this parameter: 4 bits and 8 bits</w:t>
            </w:r>
          </w:p>
          <w:p>
            <w:pPr>
              <w:widowControl w:val="0"/>
              <w:numPr>
                <w:ilvl w:val="2"/>
                <w:numId w:val="28"/>
              </w:numPr>
              <w:overflowPunct w:val="0"/>
              <w:spacing w:line="240" w:lineRule="auto"/>
              <w:textAlignment w:val="baseline"/>
              <w:rPr>
                <w:rFonts w:ascii="Times" w:hAnsi="Times" w:eastAsia="Batang"/>
                <w:color w:val="000000"/>
                <w:sz w:val="20"/>
                <w:szCs w:val="24"/>
              </w:rPr>
            </w:pPr>
            <w:r>
              <w:rPr>
                <w:rFonts w:ascii="Times" w:hAnsi="Times" w:eastAsia="Batang"/>
                <w:color w:val="000000"/>
                <w:sz w:val="20"/>
                <w:szCs w:val="24"/>
              </w:rPr>
              <w:t xml:space="preserve">Each bit in </w:t>
            </w:r>
            <w:r>
              <w:rPr>
                <w:rFonts w:ascii="Times" w:hAnsi="Times" w:eastAsia="Batang"/>
                <w:i/>
                <w:iCs/>
                <w:color w:val="000000"/>
                <w:sz w:val="20"/>
                <w:szCs w:val="24"/>
              </w:rPr>
              <w:t>monitoringSlotsWithinSlotGroup-r17</w:t>
            </w:r>
            <w:r>
              <w:rPr>
                <w:rFonts w:ascii="Times" w:hAnsi="Times" w:eastAsia="Batang"/>
                <w:color w:val="000000"/>
                <w:sz w:val="20"/>
                <w:szCs w:val="24"/>
              </w:rPr>
              <w:t xml:space="preserve"> represents a slot in a slot group</w:t>
            </w:r>
          </w:p>
          <w:p>
            <w:pPr>
              <w:widowControl w:val="0"/>
              <w:numPr>
                <w:ilvl w:val="2"/>
                <w:numId w:val="28"/>
              </w:numPr>
              <w:overflowPunct w:val="0"/>
              <w:spacing w:line="240" w:lineRule="auto"/>
              <w:textAlignment w:val="baseline"/>
              <w:rPr>
                <w:rFonts w:ascii="Times" w:hAnsi="Times" w:eastAsia="Batang"/>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hAnsi="Times" w:eastAsia="Batang"/>
                <w:i/>
                <w:iCs/>
                <w:color w:val="FF0000"/>
                <w:sz w:val="20"/>
                <w:szCs w:val="24"/>
              </w:rPr>
              <w:t>duration-r17</w:t>
            </w:r>
            <w:r>
              <w:rPr>
                <w:rFonts w:ascii="Times" w:hAnsi="Times"/>
                <w:color w:val="FF0000"/>
                <w:sz w:val="20"/>
                <w:szCs w:val="24"/>
              </w:rPr>
              <w:t>.</w:t>
            </w:r>
          </w:p>
          <w:p>
            <w:pPr>
              <w:widowControl w:val="0"/>
              <w:numPr>
                <w:ilvl w:val="2"/>
                <w:numId w:val="28"/>
              </w:numPr>
              <w:overflowPunct w:val="0"/>
              <w:spacing w:line="240" w:lineRule="auto"/>
              <w:textAlignment w:val="baseline"/>
              <w:rPr>
                <w:rFonts w:ascii="Times" w:hAnsi="Times" w:eastAsia="Batang"/>
                <w:color w:val="000000"/>
                <w:sz w:val="20"/>
                <w:szCs w:val="24"/>
              </w:rPr>
            </w:pPr>
            <w:r>
              <w:rPr>
                <w:rFonts w:ascii="Times" w:hAnsi="Times" w:eastAsia="Batang"/>
                <w:color w:val="000000"/>
                <w:sz w:val="20"/>
                <w:szCs w:val="24"/>
              </w:rPr>
              <w:t>A slot in the slot group is configured for multi-slot PDCCH monitoring if the corresponding bit in the slot group is set to '1'</w:t>
            </w:r>
          </w:p>
          <w:p>
            <w:pPr>
              <w:widowControl w:val="0"/>
              <w:numPr>
                <w:ilvl w:val="3"/>
                <w:numId w:val="28"/>
              </w:numPr>
              <w:overflowPunct w:val="0"/>
              <w:spacing w:line="240" w:lineRule="auto"/>
              <w:textAlignment w:val="baseline"/>
              <w:rPr>
                <w:rFonts w:ascii="Times" w:hAnsi="Times" w:eastAsia="Batang"/>
                <w:color w:val="000000"/>
                <w:sz w:val="20"/>
                <w:szCs w:val="24"/>
              </w:rPr>
            </w:pPr>
            <w:r>
              <w:rPr>
                <w:rFonts w:ascii="Times" w:hAnsi="Times" w:eastAsia="Batang"/>
                <w:color w:val="000000"/>
                <w:sz w:val="20"/>
                <w:szCs w:val="24"/>
              </w:rPr>
              <w:t xml:space="preserve">Note: Further configuration of the monitoring symbols in such a slot is done by </w:t>
            </w:r>
            <w:r>
              <w:rPr>
                <w:rFonts w:ascii="Times" w:hAnsi="Times" w:eastAsia="Batang"/>
                <w:i/>
                <w:iCs/>
                <w:color w:val="000000"/>
                <w:sz w:val="20"/>
                <w:szCs w:val="24"/>
              </w:rPr>
              <w:t>monitoringSymbolsWithinSlot</w:t>
            </w:r>
          </w:p>
          <w:p>
            <w:pPr>
              <w:widowControl w:val="0"/>
              <w:numPr>
                <w:ilvl w:val="2"/>
                <w:numId w:val="28"/>
              </w:numPr>
              <w:overflowPunct w:val="0"/>
              <w:spacing w:line="240" w:lineRule="auto"/>
              <w:textAlignment w:val="baseline"/>
              <w:rPr>
                <w:rFonts w:ascii="Times" w:hAnsi="Times" w:eastAsia="Batang"/>
                <w:color w:val="000000"/>
                <w:sz w:val="20"/>
                <w:szCs w:val="24"/>
              </w:rPr>
            </w:pPr>
            <w:r>
              <w:rPr>
                <w:rFonts w:ascii="Times" w:hAnsi="Times" w:eastAsia="Batang"/>
                <w:color w:val="000000"/>
                <w:sz w:val="20"/>
                <w:szCs w:val="24"/>
              </w:rPr>
              <w:t>The</w:t>
            </w:r>
            <w:r>
              <w:rPr>
                <w:rFonts w:hint="eastAsia" w:ascii="Times" w:hAnsi="Times" w:eastAsia="Batang"/>
                <w:color w:val="000000"/>
                <w:sz w:val="20"/>
                <w:szCs w:val="24"/>
              </w:rPr>
              <w:t xml:space="preserve"> </w:t>
            </w:r>
            <w:r>
              <w:rPr>
                <w:rFonts w:ascii="Times" w:hAnsi="Times" w:eastAsia="Batang"/>
                <w:color w:val="000000"/>
                <w:sz w:val="20"/>
                <w:szCs w:val="24"/>
              </w:rPr>
              <w:t>slo</w:t>
            </w:r>
            <w:r>
              <w:rPr>
                <w:rFonts w:ascii="Times" w:hAnsi="Times" w:eastAsia="Batang"/>
                <w:sz w:val="20"/>
                <w:szCs w:val="24"/>
              </w:rPr>
              <w:t>ts indicated in the bitmap sh</w:t>
            </w:r>
            <w:r>
              <w:rPr>
                <w:rFonts w:ascii="Times" w:hAnsi="Times" w:eastAsia="Batang"/>
                <w:color w:val="000000"/>
                <w:sz w:val="20"/>
                <w:szCs w:val="24"/>
              </w:rPr>
              <w:t>ould be consecutive</w:t>
            </w:r>
            <w:r>
              <w:rPr>
                <w:rFonts w:ascii="Times" w:hAnsi="Times" w:eastAsia="Batang"/>
                <w:sz w:val="20"/>
                <w:szCs w:val="24"/>
              </w:rPr>
              <w:t xml:space="preserve"> </w:t>
            </w:r>
            <w:r>
              <w:rPr>
                <w:rFonts w:ascii="Times" w:hAnsi="Times" w:eastAsia="Batang"/>
                <w:color w:val="00B050"/>
                <w:sz w:val="20"/>
                <w:szCs w:val="24"/>
              </w:rPr>
              <w:t xml:space="preserve">per slot group </w:t>
            </w:r>
            <w:r>
              <w:rPr>
                <w:rFonts w:ascii="Times" w:hAnsi="Times" w:eastAsia="Batang"/>
                <w:strike/>
                <w:color w:val="FF0000"/>
                <w:sz w:val="20"/>
                <w:szCs w:val="24"/>
              </w:rPr>
              <w:t xml:space="preserve">at least </w:t>
            </w:r>
            <w:r>
              <w:rPr>
                <w:rFonts w:ascii="Times" w:hAnsi="Times" w:eastAsia="Batang"/>
                <w:sz w:val="20"/>
                <w:szCs w:val="24"/>
              </w:rPr>
              <w:t>for Group (1) SSs</w:t>
            </w:r>
          </w:p>
          <w:p>
            <w:pPr>
              <w:widowControl w:val="0"/>
              <w:numPr>
                <w:ilvl w:val="2"/>
                <w:numId w:val="28"/>
              </w:numPr>
              <w:overflowPunct w:val="0"/>
              <w:spacing w:line="240" w:lineRule="auto"/>
              <w:textAlignment w:val="baseline"/>
              <w:rPr>
                <w:rFonts w:ascii="Times" w:hAnsi="Times" w:eastAsia="Batang"/>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ctrlPr>
                    <w:rPr>
                      <w:rFonts w:ascii="Cambria Math" w:hAnsi="Cambria Math"/>
                      <w:bCs/>
                      <w:i/>
                      <w:color w:val="FF0000"/>
                      <w:sz w:val="20"/>
                      <w:szCs w:val="20"/>
                    </w:rPr>
                  </m:ctrlPr>
                </m:e>
                <m:sub>
                  <m:r>
                    <w:rPr>
                      <w:rFonts w:ascii="Cambria Math" w:hAnsi="Cambria Math"/>
                      <w:color w:val="FF0000"/>
                      <w:sz w:val="20"/>
                      <w:szCs w:val="20"/>
                    </w:rPr>
                    <m:t>s</m:t>
                  </m:r>
                  <m:ctrlPr>
                    <w:rPr>
                      <w:rFonts w:ascii="Cambria Math" w:hAnsi="Cambria Math"/>
                      <w:bCs/>
                      <w:i/>
                      <w:color w:val="FF0000"/>
                      <w:sz w:val="20"/>
                      <w:szCs w:val="20"/>
                    </w:rPr>
                  </m:ctrlPr>
                </m:sub>
              </m:sSub>
            </m:oMath>
            <w:r>
              <w:rPr>
                <w:bCs/>
                <w:color w:val="FF0000"/>
                <w:sz w:val="20"/>
                <w:szCs w:val="20"/>
              </w:rPr>
              <w:t xml:space="preserve"> </w:t>
            </w:r>
            <w:r>
              <w:rPr>
                <w:rFonts w:ascii="Times" w:hAnsi="Times" w:eastAsia="Batang"/>
                <w:strike/>
                <w:color w:val="FF0000"/>
                <w:sz w:val="20"/>
                <w:szCs w:val="24"/>
              </w:rPr>
              <w:t xml:space="preserve">at least </w:t>
            </w:r>
            <w:r>
              <w:rPr>
                <w:rFonts w:ascii="Times" w:hAnsi="Times" w:eastAsia="Batang"/>
                <w:color w:val="FF0000"/>
                <w:sz w:val="20"/>
                <w:szCs w:val="24"/>
              </w:rPr>
              <w:t>for Group (1) SSs</w:t>
            </w:r>
          </w:p>
          <w:p>
            <w:pPr>
              <w:widowControl w:val="0"/>
              <w:numPr>
                <w:ilvl w:val="0"/>
                <w:numId w:val="28"/>
              </w:numPr>
              <w:overflowPunct w:val="0"/>
              <w:spacing w:line="240" w:lineRule="auto"/>
              <w:textAlignment w:val="baseline"/>
              <w:rPr>
                <w:rFonts w:ascii="Times" w:hAnsi="Times" w:eastAsia="Batang"/>
                <w:color w:val="00B0F0"/>
                <w:sz w:val="20"/>
                <w:szCs w:val="20"/>
              </w:rPr>
            </w:pPr>
            <w:r>
              <w:rPr>
                <w:rFonts w:ascii="Times" w:hAnsi="Times" w:eastAsia="Batang"/>
                <w:color w:val="00B0F0"/>
                <w:sz w:val="20"/>
                <w:szCs w:val="20"/>
              </w:rPr>
              <w:t>For Group (2) SS: Continue discussion based on the following options</w:t>
            </w:r>
          </w:p>
          <w:p>
            <w:pPr>
              <w:widowControl w:val="0"/>
              <w:numPr>
                <w:ilvl w:val="1"/>
                <w:numId w:val="28"/>
              </w:numPr>
              <w:overflowPunct w:val="0"/>
              <w:spacing w:line="240" w:lineRule="auto"/>
              <w:textAlignment w:val="baseline"/>
              <w:rPr>
                <w:rFonts w:ascii="Times" w:hAnsi="Times" w:eastAsia="Batang"/>
                <w:color w:val="00B0F0"/>
                <w:sz w:val="20"/>
                <w:szCs w:val="20"/>
              </w:rPr>
            </w:pPr>
            <w:r>
              <w:rPr>
                <w:rFonts w:ascii="Times" w:hAnsi="Times" w:eastAsia="Batang"/>
                <w:color w:val="00B0F0"/>
                <w:sz w:val="20"/>
                <w:szCs w:val="20"/>
              </w:rPr>
              <w:t>Option 1</w:t>
            </w:r>
          </w:p>
          <w:p>
            <w:pPr>
              <w:widowControl w:val="0"/>
              <w:numPr>
                <w:ilvl w:val="2"/>
                <w:numId w:val="28"/>
              </w:numPr>
              <w:overflowPunct w:val="0"/>
              <w:spacing w:line="240" w:lineRule="auto"/>
              <w:textAlignment w:val="baseline"/>
              <w:rPr>
                <w:rFonts w:ascii="Times" w:hAnsi="Times" w:eastAsia="Batang"/>
                <w:color w:val="00B0F0"/>
                <w:sz w:val="20"/>
                <w:szCs w:val="20"/>
              </w:rPr>
            </w:pPr>
            <w:r>
              <w:rPr>
                <w:rFonts w:ascii="Times" w:hAnsi="Times" w:eastAsia="Batang"/>
                <w:color w:val="00B0F0"/>
                <w:sz w:val="20"/>
                <w:szCs w:val="20"/>
              </w:rPr>
              <w:t>The configured periodicity is restricted to be an integer multiple of Xs slots</w:t>
            </w:r>
          </w:p>
          <w:p>
            <w:pPr>
              <w:widowControl w:val="0"/>
              <w:numPr>
                <w:ilvl w:val="2"/>
                <w:numId w:val="28"/>
              </w:numPr>
              <w:overflowPunct w:val="0"/>
              <w:spacing w:line="240" w:lineRule="auto"/>
              <w:textAlignment w:val="baseline"/>
              <w:rPr>
                <w:rFonts w:ascii="Times" w:hAnsi="Times" w:eastAsia="Batang"/>
                <w:color w:val="00B0F0"/>
                <w:sz w:val="20"/>
                <w:szCs w:val="20"/>
              </w:rPr>
            </w:pPr>
            <w:r>
              <w:rPr>
                <w:rFonts w:ascii="Times" w:hAnsi="Times" w:eastAsia="Batang"/>
                <w:color w:val="00B0F0"/>
                <w:sz w:val="20"/>
                <w:szCs w:val="20"/>
              </w:rPr>
              <w:t>The configured offset is restricted to be an integer multiple of Xs slots</w:t>
            </w:r>
          </w:p>
          <w:p>
            <w:pPr>
              <w:widowControl w:val="0"/>
              <w:numPr>
                <w:ilvl w:val="2"/>
                <w:numId w:val="28"/>
              </w:numPr>
              <w:overflowPunct w:val="0"/>
              <w:spacing w:line="240" w:lineRule="auto"/>
              <w:textAlignment w:val="baseline"/>
              <w:rPr>
                <w:rFonts w:ascii="Times" w:hAnsi="Times" w:eastAsia="Batang"/>
                <w:color w:val="00B0F0"/>
                <w:sz w:val="20"/>
                <w:szCs w:val="20"/>
              </w:rPr>
            </w:pPr>
            <w:r>
              <w:rPr>
                <w:rFonts w:ascii="Times" w:hAnsi="Times" w:eastAsia="Batang"/>
                <w:color w:val="00B0F0"/>
                <w:sz w:val="20"/>
                <w:szCs w:val="20"/>
              </w:rPr>
              <w:t xml:space="preserve">The slots indicated in </w:t>
            </w:r>
            <w:r>
              <w:rPr>
                <w:rFonts w:ascii="Times" w:hAnsi="Times" w:eastAsia="Batang"/>
                <w:i/>
                <w:iCs/>
                <w:color w:val="00B0F0"/>
                <w:sz w:val="20"/>
                <w:szCs w:val="20"/>
              </w:rPr>
              <w:t>monitoringSlotsWithinSlotGroup-r17</w:t>
            </w:r>
            <w:r>
              <w:rPr>
                <w:rFonts w:ascii="Times" w:hAnsi="Times" w:eastAsia="Batang"/>
                <w:color w:val="00B0F0"/>
                <w:sz w:val="20"/>
                <w:szCs w:val="20"/>
              </w:rPr>
              <w:t xml:space="preserve"> are not restricted to be consecutive for Group (2) SSs</w:t>
            </w:r>
          </w:p>
          <w:p>
            <w:pPr>
              <w:widowControl w:val="0"/>
              <w:numPr>
                <w:ilvl w:val="2"/>
                <w:numId w:val="28"/>
              </w:numPr>
              <w:overflowPunct w:val="0"/>
              <w:spacing w:line="240" w:lineRule="auto"/>
              <w:textAlignment w:val="baseline"/>
              <w:rPr>
                <w:rFonts w:ascii="Times" w:hAnsi="Times" w:eastAsia="Batang"/>
                <w:color w:val="00B0F0"/>
                <w:sz w:val="20"/>
                <w:szCs w:val="20"/>
              </w:rPr>
            </w:pPr>
            <w:r>
              <w:rPr>
                <w:rFonts w:ascii="Times" w:hAnsi="Times" w:eastAsia="Batang"/>
                <w:color w:val="00B0F0"/>
                <w:sz w:val="20"/>
                <w:szCs w:val="20"/>
              </w:rPr>
              <w:t xml:space="preserve">The number of 1s in </w:t>
            </w:r>
            <w:r>
              <w:rPr>
                <w:rFonts w:ascii="Times" w:hAnsi="Times"/>
                <w:i/>
                <w:iCs/>
                <w:color w:val="00B0F0"/>
                <w:sz w:val="20"/>
                <w:szCs w:val="20"/>
              </w:rPr>
              <w:t>monitoringSlotsWithinSlotGroup-r17</w:t>
            </w:r>
            <w:r>
              <w:rPr>
                <w:bCs/>
                <w:color w:val="00B0F0"/>
                <w:sz w:val="20"/>
                <w:szCs w:val="20"/>
              </w:rPr>
              <w:t xml:space="preserve"> can be up to </w:t>
            </w:r>
            <m:oMath>
              <m:sSub>
                <m:sSubPr>
                  <m:ctrlPr>
                    <w:rPr>
                      <w:rFonts w:ascii="Cambria Math" w:hAnsi="Cambria Math"/>
                      <w:bCs/>
                      <w:i/>
                      <w:color w:val="00B0F0"/>
                      <w:sz w:val="20"/>
                      <w:szCs w:val="20"/>
                    </w:rPr>
                  </m:ctrlPr>
                </m:sSubPr>
                <m:e>
                  <m:r>
                    <w:rPr>
                      <w:rFonts w:ascii="Cambria Math" w:hAnsi="Cambria Math"/>
                      <w:color w:val="00B0F0"/>
                      <w:sz w:val="20"/>
                      <w:szCs w:val="20"/>
                    </w:rPr>
                    <m:t>X</m:t>
                  </m:r>
                  <m:ctrlPr>
                    <w:rPr>
                      <w:rFonts w:ascii="Cambria Math" w:hAnsi="Cambria Math"/>
                      <w:bCs/>
                      <w:i/>
                      <w:color w:val="00B0F0"/>
                      <w:sz w:val="20"/>
                      <w:szCs w:val="20"/>
                    </w:rPr>
                  </m:ctrlPr>
                </m:e>
                <m:sub>
                  <m:r>
                    <w:rPr>
                      <w:rFonts w:ascii="Cambria Math" w:hAnsi="Cambria Math"/>
                      <w:color w:val="00B0F0"/>
                      <w:sz w:val="20"/>
                      <w:szCs w:val="20"/>
                    </w:rPr>
                    <m:t>s</m:t>
                  </m:r>
                  <m:ctrlPr>
                    <w:rPr>
                      <w:rFonts w:ascii="Cambria Math" w:hAnsi="Cambria Math"/>
                      <w:bCs/>
                      <w:i/>
                      <w:color w:val="00B0F0"/>
                      <w:sz w:val="20"/>
                      <w:szCs w:val="20"/>
                    </w:rPr>
                  </m:ctrlPr>
                </m:sub>
              </m:sSub>
            </m:oMath>
            <w:r>
              <w:rPr>
                <w:bCs/>
                <w:color w:val="00B0F0"/>
                <w:sz w:val="20"/>
                <w:szCs w:val="20"/>
              </w:rPr>
              <w:t xml:space="preserve"> </w:t>
            </w:r>
            <w:r>
              <w:rPr>
                <w:rFonts w:ascii="Times" w:hAnsi="Times" w:eastAsia="Batang"/>
                <w:color w:val="00B0F0"/>
                <w:sz w:val="20"/>
                <w:szCs w:val="20"/>
              </w:rPr>
              <w:t>for Group (2) SSs</w:t>
            </w:r>
          </w:p>
          <w:p>
            <w:pPr>
              <w:widowControl w:val="0"/>
              <w:numPr>
                <w:ilvl w:val="1"/>
                <w:numId w:val="28"/>
              </w:numPr>
              <w:overflowPunct w:val="0"/>
              <w:spacing w:line="240" w:lineRule="auto"/>
              <w:textAlignment w:val="baseline"/>
              <w:rPr>
                <w:rFonts w:ascii="Times" w:hAnsi="Times" w:eastAsia="Batang"/>
                <w:color w:val="00B0F0"/>
                <w:sz w:val="20"/>
                <w:szCs w:val="20"/>
              </w:rPr>
            </w:pPr>
            <w:r>
              <w:rPr>
                <w:rFonts w:ascii="Times" w:hAnsi="Times" w:eastAsia="Batang"/>
                <w:color w:val="00B0F0"/>
                <w:sz w:val="20"/>
                <w:szCs w:val="20"/>
              </w:rPr>
              <w:t>Option 2</w:t>
            </w:r>
          </w:p>
          <w:p>
            <w:pPr>
              <w:widowControl w:val="0"/>
              <w:numPr>
                <w:ilvl w:val="2"/>
                <w:numId w:val="28"/>
              </w:numPr>
              <w:overflowPunct w:val="0"/>
              <w:spacing w:line="240" w:lineRule="auto"/>
              <w:textAlignment w:val="baseline"/>
              <w:rPr>
                <w:rFonts w:ascii="Times" w:hAnsi="Times" w:eastAsia="Batang"/>
                <w:color w:val="00B0F0"/>
                <w:sz w:val="20"/>
                <w:szCs w:val="20"/>
              </w:rPr>
            </w:pPr>
            <w:r>
              <w:rPr>
                <w:rFonts w:ascii="Times" w:hAnsi="Times" w:eastAsia="Batang"/>
                <w:color w:val="00B0F0"/>
                <w:sz w:val="20"/>
                <w:szCs w:val="20"/>
              </w:rPr>
              <w:t>Restrictions for Group (2) SS are as for Group (1) SS</w:t>
            </w:r>
          </w:p>
          <w:p>
            <w:pPr>
              <w:widowControl w:val="0"/>
              <w:numPr>
                <w:ilvl w:val="2"/>
                <w:numId w:val="28"/>
              </w:numPr>
              <w:overflowPunct w:val="0"/>
              <w:spacing w:line="240" w:lineRule="auto"/>
              <w:textAlignment w:val="baseline"/>
              <w:rPr>
                <w:rFonts w:ascii="Times" w:hAnsi="Times" w:eastAsia="Batang"/>
                <w:strike/>
                <w:color w:val="FF0000"/>
                <w:sz w:val="20"/>
                <w:szCs w:val="24"/>
              </w:rPr>
            </w:pPr>
            <w:r>
              <w:rPr>
                <w:rFonts w:ascii="Times" w:hAnsi="Times"/>
                <w:strike/>
                <w:color w:val="FF0000"/>
                <w:sz w:val="20"/>
                <w:szCs w:val="24"/>
              </w:rPr>
              <w:t>FFS: Applicable value if this field is absent</w:t>
            </w:r>
          </w:p>
        </w:tc>
      </w:tr>
    </w:tbl>
    <w:p>
      <w:pPr>
        <w:rPr>
          <w:sz w:val="21"/>
          <w:szCs w:val="21"/>
          <w:lang w:eastAsia="zh-CN"/>
        </w:rPr>
      </w:pPr>
    </w:p>
    <w:p>
      <w:pPr>
        <w:pStyle w:val="5"/>
      </w:pPr>
      <w:r>
        <w:t>Third round discussion</w:t>
      </w:r>
    </w:p>
    <w:p>
      <w:pPr>
        <w:rPr>
          <w:bCs/>
          <w:lang w:val="en-GB" w:eastAsia="zh-CN"/>
        </w:rPr>
      </w:pPr>
      <w:r>
        <w:rPr>
          <w:bCs/>
          <w:lang w:val="en-GB" w:eastAsia="zh-CN"/>
        </w:rPr>
        <w:t xml:space="preserve">Please continue discussion on Proposal A2-1.1d, based on the latest status in the GTW discussion. Please note that I have cleaned up most colours and revision marks for a more concise list of items. </w:t>
      </w:r>
      <w:r>
        <w:rPr>
          <w:bCs/>
          <w:highlight w:val="cyan"/>
          <w:lang w:val="en-GB" w:eastAsia="zh-CN"/>
        </w:rPr>
        <w:t>Please note that I modified the bullet about the number of 1s for Group (1) SSs since L is not necessarily corresponding to the slot group size.</w:t>
      </w:r>
      <w:r>
        <w:rPr>
          <w:bCs/>
          <w:lang w:val="en-GB" w:eastAsia="zh-CN"/>
        </w:rPr>
        <w:t xml:space="preserve"> If we can achieve quick consensus at least on the first part (i.e. not specific to Group (2)) I may ask for intermediate approval so that corresponding changes can be reflected in the RRC sheet.</w:t>
      </w:r>
    </w:p>
    <w:p>
      <w:r>
        <w:rPr>
          <w:b/>
          <w:szCs w:val="20"/>
          <w:highlight w:val="yellow"/>
          <w:u w:val="single"/>
        </w:rPr>
        <w:t>Proposal A2-1.1d:</w:t>
      </w:r>
      <w:r>
        <w:t>Revise the RAN1#107bis-e agreement to the following:</w:t>
      </w:r>
    </w:p>
    <w:tbl>
      <w:tblPr>
        <w:tblStyle w:val="5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9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44" w:type="dxa"/>
            <w:vAlign w:val="center"/>
          </w:tcPr>
          <w:p>
            <w:pPr>
              <w:widowControl w:val="0"/>
            </w:pPr>
            <w:r>
              <w:t>For search space set configuration of multi-slot PDCCH monitoring:</w:t>
            </w:r>
          </w:p>
          <w:p>
            <w:pPr>
              <w:widowControl w:val="0"/>
              <w:numPr>
                <w:ilvl w:val="0"/>
                <w:numId w:val="28"/>
              </w:numPr>
              <w:overflowPunct w:val="0"/>
              <w:spacing w:line="240" w:lineRule="auto"/>
              <w:textAlignment w:val="baseline"/>
            </w:pPr>
            <w:r>
              <w:rPr>
                <w:rFonts w:hint="eastAsia"/>
                <w:i/>
                <w:iCs/>
                <w:lang w:eastAsia="zh-CN"/>
              </w:rPr>
              <w:t>monitoringSlotPeriodicityAndOffset</w:t>
            </w:r>
            <w:r>
              <w:rPr>
                <w:lang w:eastAsia="zh-CN"/>
              </w:rPr>
              <w:t xml:space="preserve"> and</w:t>
            </w:r>
            <w:r>
              <w:rPr>
                <w:rFonts w:hint="eastAsia"/>
                <w:i/>
                <w:iCs/>
                <w:lang w:eastAsia="zh-CN"/>
              </w:rPr>
              <w:t xml:space="preserve"> duration </w:t>
            </w:r>
            <w:r>
              <w:t>are appended with "-r17", and</w:t>
            </w:r>
          </w:p>
          <w:p>
            <w:pPr>
              <w:widowControl w:val="0"/>
              <w:numPr>
                <w:ilvl w:val="1"/>
                <w:numId w:val="28"/>
              </w:numPr>
              <w:overflowPunct w:val="0"/>
              <w:spacing w:line="240" w:lineRule="auto"/>
              <w:textAlignment w:val="baseline"/>
            </w:pPr>
            <w:r>
              <w:rPr>
                <w:i/>
                <w:iCs/>
                <w:lang w:eastAsia="zh-CN"/>
              </w:rPr>
              <w:t xml:space="preserve">For </w:t>
            </w:r>
            <w:r>
              <w:rPr>
                <w:i/>
                <w:iCs/>
              </w:rPr>
              <w:t>monitoringPeriodicityAndOffset-r17</w:t>
            </w:r>
          </w:p>
          <w:p>
            <w:pPr>
              <w:widowControl w:val="0"/>
              <w:numPr>
                <w:ilvl w:val="2"/>
                <w:numId w:val="28"/>
              </w:numPr>
              <w:overflowPunct w:val="0"/>
              <w:spacing w:line="240" w:lineRule="auto"/>
              <w:textAlignment w:val="baseline"/>
            </w:pPr>
            <w:r>
              <w:t>The values represent slots</w:t>
            </w:r>
          </w:p>
          <w:p>
            <w:pPr>
              <w:widowControl w:val="0"/>
              <w:numPr>
                <w:ilvl w:val="2"/>
                <w:numId w:val="28"/>
              </w:numPr>
              <w:overflowPunct w:val="0"/>
              <w:spacing w:line="240" w:lineRule="auto"/>
              <w:textAlignment w:val="baseline"/>
            </w:pPr>
            <w:r>
              <w:t xml:space="preserve">Add periodicity values {32,64,128,5120,10240,20480} to the existing values in </w:t>
            </w:r>
            <w:r>
              <w:rPr>
                <w:rFonts w:hint="eastAsia"/>
                <w:i/>
                <w:iCs/>
                <w:lang w:eastAsia="zh-CN"/>
              </w:rPr>
              <w:t>monitoringSlotPeriodicityAndOffset</w:t>
            </w:r>
          </w:p>
          <w:p>
            <w:pPr>
              <w:widowControl w:val="0"/>
              <w:numPr>
                <w:ilvl w:val="3"/>
                <w:numId w:val="28"/>
              </w:numPr>
              <w:overflowPunct w:val="0"/>
              <w:spacing w:line="240" w:lineRule="auto"/>
              <w:textAlignment w:val="baseline"/>
            </w:pPr>
            <w:r>
              <w:t>Note: Total list of supported periodicity values for SCS 480kHz and 960kHz:</w:t>
            </w:r>
            <w:r>
              <w:br w:type="textWrapping"/>
            </w:r>
            <w:r>
              <w:t>{4, 8, 16,20,32,40,64,80,128,160,320,640,1280,2560,5120,10240,20480}, at least in the case of configuring a search space for Group (1) SSs</w:t>
            </w:r>
          </w:p>
          <w:p>
            <w:pPr>
              <w:widowControl w:val="0"/>
              <w:numPr>
                <w:ilvl w:val="2"/>
                <w:numId w:val="28"/>
              </w:numPr>
              <w:overflowPunct w:val="0"/>
              <w:spacing w:line="240" w:lineRule="auto"/>
              <w:textAlignment w:val="baseline"/>
            </w:pPr>
            <w:r>
              <w:t>For each periodicity value Xp</w:t>
            </w:r>
          </w:p>
          <w:p>
            <w:pPr>
              <w:widowControl w:val="0"/>
              <w:numPr>
                <w:ilvl w:val="3"/>
                <w:numId w:val="28"/>
              </w:numPr>
              <w:overflowPunct w:val="0"/>
              <w:spacing w:line="240" w:lineRule="auto"/>
              <w:textAlignment w:val="baseline"/>
              <w:rPr>
                <w:lang w:val="nl-NL"/>
              </w:rPr>
            </w:pPr>
            <w:r>
              <w:t xml:space="preserve">The value range for the offset O is </w:t>
            </w:r>
            <w:r>
              <w:rPr>
                <w:lang w:val="nl-NL"/>
              </w:rPr>
              <w:t xml:space="preserve">{0, 4, 8,  …, </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lang w:val="nl-NL"/>
                        </w:rPr>
                        <m:t>(</m:t>
                      </m:r>
                      <m:sSub>
                        <m:sSubPr>
                          <m:ctrlPr>
                            <w:rPr>
                              <w:rFonts w:ascii="Cambria Math" w:hAnsi="Cambria Math"/>
                              <w:b/>
                              <w:bCs/>
                              <w:i/>
                            </w:rPr>
                          </m:ctrlPr>
                        </m:sSubPr>
                        <m:e>
                          <m:r>
                            <m:rPr>
                              <m:sty m:val="bi"/>
                            </m:rPr>
                            <w:rPr>
                              <w:rFonts w:ascii="Cambria Math" w:hAnsi="Cambria Math"/>
                            </w:rPr>
                            <m:t>X</m:t>
                          </m:r>
                          <m:ctrlPr>
                            <w:rPr>
                              <w:rFonts w:ascii="Cambria Math" w:hAnsi="Cambria Math"/>
                              <w:b/>
                              <w:bCs/>
                              <w:i/>
                            </w:rPr>
                          </m:ctrlPr>
                        </m:e>
                        <m:sub>
                          <m:r>
                            <m:rPr>
                              <m:sty m:val="bi"/>
                            </m:rPr>
                            <w:rPr>
                              <w:rFonts w:ascii="Cambria Math" w:hAnsi="Cambria Math"/>
                            </w:rPr>
                            <m:t>p</m:t>
                          </m:r>
                          <m:ctrlPr>
                            <w:rPr>
                              <w:rFonts w:ascii="Cambria Math" w:hAnsi="Cambria Math"/>
                              <w:b/>
                              <w:bCs/>
                              <w:i/>
                            </w:rPr>
                          </m:ctrlPr>
                        </m:sub>
                      </m:sSub>
                      <m:r>
                        <m:rPr>
                          <m:sty m:val="bi"/>
                        </m:rPr>
                        <w:rPr>
                          <w:rFonts w:ascii="Cambria Math" w:hAnsi="Cambria Math"/>
                          <w:lang w:val="nl-NL"/>
                        </w:rPr>
                        <m:t>-</m:t>
                      </m:r>
                      <m:r>
                        <m:rPr>
                          <m:sty m:val="bi"/>
                        </m:rPr>
                        <w:rPr>
                          <w:rFonts w:ascii="Cambria Math" w:hAnsi="Cambria Math"/>
                        </w:rPr>
                        <m:t>1</m:t>
                      </m:r>
                      <m:r>
                        <m:rPr>
                          <m:sty m:val="bi"/>
                        </m:rPr>
                        <w:rPr>
                          <w:rFonts w:ascii="Cambria Math" w:hAnsi="Cambria Math"/>
                          <w:lang w:val="nl-NL"/>
                        </w:rPr>
                        <m:t>)</m:t>
                      </m:r>
                      <m:ctrlPr>
                        <w:rPr>
                          <w:rFonts w:ascii="Cambria Math" w:hAnsi="Cambria Math"/>
                          <w:b/>
                          <w:bCs/>
                          <w:i/>
                        </w:rPr>
                      </m:ctrlPr>
                    </m:num>
                    <m:den>
                      <m:r>
                        <m:rPr>
                          <m:sty m:val="bi"/>
                        </m:rPr>
                        <w:rPr>
                          <w:rFonts w:ascii="Cambria Math" w:hAnsi="Cambria Math"/>
                        </w:rPr>
                        <m:t>4</m:t>
                      </m:r>
                      <m:ctrlPr>
                        <w:rPr>
                          <w:rFonts w:ascii="Cambria Math" w:hAnsi="Cambria Math"/>
                          <w:b/>
                          <w:bCs/>
                          <w:i/>
                        </w:rPr>
                      </m:ctrlPr>
                    </m:den>
                  </m:f>
                  <m:ctrlPr>
                    <w:rPr>
                      <w:rFonts w:ascii="Cambria Math" w:hAnsi="Cambria Math"/>
                      <w:b/>
                      <w:bCs/>
                      <w:i/>
                    </w:rPr>
                  </m:ctrlPr>
                </m:e>
              </m:d>
            </m:oMath>
            <w:r>
              <w:rPr>
                <w:lang w:val="nl-NL"/>
              </w:rPr>
              <w:t>} slots</w:t>
            </w:r>
            <w:r>
              <w:t>, at least in the case of configuring a search space for Group (1) SSs</w:t>
            </w:r>
          </w:p>
          <w:p>
            <w:pPr>
              <w:widowControl w:val="0"/>
              <w:numPr>
                <w:ilvl w:val="3"/>
                <w:numId w:val="28"/>
              </w:numPr>
              <w:overflowPunct w:val="0"/>
              <w:spacing w:line="240" w:lineRule="auto"/>
              <w:textAlignment w:val="baseline"/>
            </w:pPr>
            <w:r>
              <w:t>Note: There may be no need to introduce the term "X</w:t>
            </w:r>
            <w:r>
              <w:rPr>
                <w:vertAlign w:val="subscript"/>
              </w:rPr>
              <w:t>p</w:t>
            </w:r>
            <w:r>
              <w:t>" in the specifications</w:t>
            </w:r>
          </w:p>
          <w:p>
            <w:pPr>
              <w:widowControl w:val="0"/>
              <w:numPr>
                <w:ilvl w:val="2"/>
                <w:numId w:val="28"/>
              </w:numPr>
              <w:overflowPunct w:val="0"/>
              <w:spacing w:line="240" w:lineRule="auto"/>
              <w:textAlignment w:val="baseline"/>
            </w:pPr>
            <w:r>
              <w:t>The configured periodicity at least for Group (1) SSs is restricted to be an integer multiple of L slots</w:t>
            </w:r>
          </w:p>
          <w:p>
            <w:pPr>
              <w:widowControl w:val="0"/>
              <w:numPr>
                <w:ilvl w:val="2"/>
                <w:numId w:val="28"/>
              </w:numPr>
              <w:overflowPunct w:val="0"/>
              <w:spacing w:line="240" w:lineRule="auto"/>
              <w:textAlignment w:val="baseline"/>
            </w:pPr>
            <w:r>
              <w:t>The configured offset at least for Group (1) SSs is restricted to be an integer multiple of L slots</w:t>
            </w:r>
          </w:p>
          <w:p>
            <w:pPr>
              <w:widowControl w:val="0"/>
              <w:numPr>
                <w:ilvl w:val="1"/>
                <w:numId w:val="28"/>
              </w:numPr>
              <w:overflowPunct w:val="0"/>
              <w:spacing w:line="240" w:lineRule="auto"/>
              <w:textAlignment w:val="baseline"/>
              <w:rPr>
                <w:color w:val="000000"/>
              </w:rPr>
            </w:pPr>
            <w:r>
              <w:rPr>
                <w:color w:val="000000"/>
              </w:rPr>
              <w:t xml:space="preserve">For </w:t>
            </w:r>
            <w:r>
              <w:rPr>
                <w:i/>
                <w:iCs/>
                <w:color w:val="000000"/>
              </w:rPr>
              <w:t>duration-r17</w:t>
            </w:r>
          </w:p>
          <w:p>
            <w:pPr>
              <w:widowControl w:val="0"/>
              <w:numPr>
                <w:ilvl w:val="2"/>
                <w:numId w:val="28"/>
              </w:numPr>
              <w:overflowPunct w:val="0"/>
              <w:spacing w:line="240" w:lineRule="auto"/>
              <w:textAlignment w:val="baseline"/>
            </w:pPr>
            <w:r>
              <w:t>The values represent slots</w:t>
            </w:r>
          </w:p>
          <w:p>
            <w:pPr>
              <w:widowControl w:val="0"/>
              <w:numPr>
                <w:ilvl w:val="2"/>
                <w:numId w:val="28"/>
              </w:numPr>
              <w:overflowPunct w:val="0"/>
              <w:spacing w:line="240" w:lineRule="auto"/>
              <w:textAlignment w:val="baseline"/>
            </w:pPr>
            <w:r>
              <w:t>The value range is {8, 12, …, 20476} at least for Group (1) SSs</w:t>
            </w:r>
          </w:p>
          <w:p>
            <w:pPr>
              <w:widowControl w:val="0"/>
              <w:numPr>
                <w:ilvl w:val="3"/>
                <w:numId w:val="28"/>
              </w:numPr>
              <w:overflowPunct w:val="0"/>
              <w:spacing w:line="240" w:lineRule="auto"/>
              <w:textAlignment w:val="baseline"/>
              <w:rPr>
                <w:szCs w:val="20"/>
              </w:rPr>
            </w:pPr>
            <w:r>
              <w:rPr>
                <w:szCs w:val="20"/>
                <w:lang w:eastAsia="zh-CN"/>
              </w:rPr>
              <w:t xml:space="preserve">If </w:t>
            </w:r>
            <w:r>
              <w:rPr>
                <w:i/>
                <w:iCs/>
                <w:szCs w:val="20"/>
                <w:lang w:eastAsia="zh-CN"/>
              </w:rPr>
              <w:t>duration-r17</w:t>
            </w:r>
            <w:r>
              <w:rPr>
                <w:szCs w:val="20"/>
                <w:lang w:eastAsia="zh-CN"/>
              </w:rPr>
              <w:t xml:space="preserve"> is absent, the UE </w:t>
            </w:r>
            <w:r>
              <w:t>assumes the duration in slots is equal to L</w:t>
            </w:r>
            <w:r>
              <w:rPr>
                <w:szCs w:val="20"/>
                <w:lang w:eastAsia="zh-CN"/>
              </w:rPr>
              <w:t>, except for DCI format 2_0</w:t>
            </w:r>
          </w:p>
          <w:p>
            <w:pPr>
              <w:widowControl w:val="0"/>
              <w:numPr>
                <w:ilvl w:val="2"/>
                <w:numId w:val="28"/>
              </w:numPr>
              <w:overflowPunct w:val="0"/>
              <w:spacing w:line="240" w:lineRule="auto"/>
              <w:textAlignment w:val="baseline"/>
            </w:pPr>
            <w:r>
              <w:t>The configured duration is restricted to be an integer multiple of L slots at least for Group (1) SSs</w:t>
            </w:r>
          </w:p>
          <w:p>
            <w:pPr>
              <w:widowControl w:val="0"/>
              <w:numPr>
                <w:ilvl w:val="2"/>
                <w:numId w:val="28"/>
              </w:numPr>
              <w:overflowPunct w:val="0"/>
              <w:spacing w:line="240" w:lineRule="auto"/>
              <w:textAlignment w:val="baseline"/>
              <w:rPr>
                <w:szCs w:val="20"/>
              </w:rPr>
            </w:pPr>
            <w:r>
              <w:rPr>
                <w:i/>
                <w:iCs/>
                <w:szCs w:val="20"/>
              </w:rPr>
              <w:t>duration-r17</w:t>
            </w:r>
            <w:r>
              <w:rPr>
                <w:szCs w:val="20"/>
              </w:rPr>
              <w:t xml:space="preserve"> is the total number of slots in consecutive groups of L slots in which a Search Space can exist in every occasion as given by </w:t>
            </w:r>
            <w:r>
              <w:rPr>
                <w:i/>
                <w:iCs/>
                <w:szCs w:val="20"/>
              </w:rPr>
              <w:t>monitoringPeriodicityAndOffset-r17</w:t>
            </w:r>
          </w:p>
          <w:p>
            <w:pPr>
              <w:widowControl w:val="0"/>
              <w:numPr>
                <w:ilvl w:val="0"/>
                <w:numId w:val="28"/>
              </w:numPr>
              <w:overflowPunct w:val="0"/>
              <w:spacing w:line="240" w:lineRule="auto"/>
              <w:textAlignment w:val="baseline"/>
            </w:pPr>
            <w:r>
              <w:rPr>
                <w:i/>
                <w:iCs/>
              </w:rPr>
              <w:t xml:space="preserve">monitoringSymbolsWithinSlot </w:t>
            </w:r>
            <w:r>
              <w:t>applies to each slot in a slot group configured for multi-slot PDCCH monitoring</w:t>
            </w:r>
          </w:p>
          <w:p>
            <w:pPr>
              <w:widowControl w:val="0"/>
              <w:numPr>
                <w:ilvl w:val="1"/>
                <w:numId w:val="28"/>
              </w:numPr>
              <w:overflowPunct w:val="0"/>
              <w:spacing w:line="240" w:lineRule="auto"/>
              <w:textAlignment w:val="baseline"/>
            </w:pPr>
            <w:r>
              <w:t>Note: This parameter can be directly re-used from earlier releases.</w:t>
            </w:r>
          </w:p>
          <w:p>
            <w:pPr>
              <w:widowControl w:val="0"/>
              <w:numPr>
                <w:ilvl w:val="0"/>
                <w:numId w:val="28"/>
              </w:numPr>
              <w:overflowPunct w:val="0"/>
              <w:spacing w:line="240" w:lineRule="auto"/>
              <w:textAlignment w:val="baseline"/>
              <w:rPr>
                <w:color w:val="000000"/>
              </w:rPr>
            </w:pPr>
            <w:r>
              <w:rPr>
                <w:color w:val="000000"/>
              </w:rPr>
              <w:t xml:space="preserve">Introduce new parameter </w:t>
            </w:r>
            <w:r>
              <w:rPr>
                <w:i/>
                <w:iCs/>
                <w:color w:val="000000"/>
              </w:rPr>
              <w:t>monitoringSlotsWithinSlotGroup-r17</w:t>
            </w:r>
          </w:p>
          <w:p>
            <w:pPr>
              <w:widowControl w:val="0"/>
              <w:numPr>
                <w:ilvl w:val="1"/>
                <w:numId w:val="28"/>
              </w:numPr>
              <w:overflowPunct w:val="0"/>
              <w:spacing w:line="240" w:lineRule="auto"/>
              <w:textAlignment w:val="baseline"/>
            </w:pPr>
            <w:r>
              <w:t>Two sizes L are supported for this parameter: L=4 bits and L=8 bits</w:t>
            </w:r>
          </w:p>
          <w:p>
            <w:pPr>
              <w:widowControl w:val="0"/>
              <w:numPr>
                <w:ilvl w:val="1"/>
                <w:numId w:val="28"/>
              </w:numPr>
              <w:overflowPunct w:val="0"/>
              <w:spacing w:line="240" w:lineRule="auto"/>
              <w:textAlignment w:val="baseline"/>
            </w:pPr>
            <w:r>
              <w:t xml:space="preserve">Each bit in </w:t>
            </w:r>
            <w:r>
              <w:rPr>
                <w:i/>
                <w:iCs/>
              </w:rPr>
              <w:t>monitoringSlotsWithinSlotGroup-r17</w:t>
            </w:r>
            <w:r>
              <w:t xml:space="preserve"> represents a slot in a slot group</w:t>
            </w:r>
          </w:p>
          <w:p>
            <w:pPr>
              <w:widowControl w:val="0"/>
              <w:numPr>
                <w:ilvl w:val="1"/>
                <w:numId w:val="28"/>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pPr>
              <w:widowControl w:val="0"/>
              <w:numPr>
                <w:ilvl w:val="1"/>
                <w:numId w:val="28"/>
              </w:numPr>
              <w:overflowPunct w:val="0"/>
              <w:spacing w:line="240" w:lineRule="auto"/>
              <w:textAlignment w:val="baseline"/>
              <w:rPr>
                <w:color w:val="000000"/>
              </w:rPr>
            </w:pPr>
            <w:r>
              <w:t xml:space="preserve">A slot in the slot group is configured for multi-slot PDCCH monitoring if the corresponding bit in </w:t>
            </w:r>
            <w:r>
              <w:rPr>
                <w:strike/>
                <w:color w:val="FF0000"/>
              </w:rPr>
              <w:t xml:space="preserve">the slot group </w:t>
            </w:r>
            <w:r>
              <w:rPr>
                <w:i/>
                <w:iCs/>
                <w:color w:val="FF0000"/>
              </w:rPr>
              <w:t>monitoringSlotsWithinSlotGroup-r17</w:t>
            </w:r>
            <w:r>
              <w:rPr>
                <w:i/>
                <w:iCs/>
                <w:color w:val="000000"/>
              </w:rPr>
              <w:t xml:space="preserve"> </w:t>
            </w:r>
            <w:r>
              <w:t>is set to '1'</w:t>
            </w:r>
          </w:p>
          <w:p>
            <w:pPr>
              <w:widowControl w:val="0"/>
              <w:numPr>
                <w:ilvl w:val="2"/>
                <w:numId w:val="28"/>
              </w:numPr>
              <w:overflowPunct w:val="0"/>
              <w:spacing w:line="240" w:lineRule="auto"/>
              <w:textAlignment w:val="baseline"/>
            </w:pPr>
            <w:r>
              <w:t xml:space="preserve">Note: Further configuration of the monitoring symbols in such a slot is done by </w:t>
            </w:r>
            <w:r>
              <w:rPr>
                <w:i/>
                <w:iCs/>
              </w:rPr>
              <w:t>monitoringSymbolsWithinSlot</w:t>
            </w:r>
          </w:p>
          <w:p>
            <w:pPr>
              <w:widowControl w:val="0"/>
              <w:numPr>
                <w:ilvl w:val="1"/>
                <w:numId w:val="28"/>
              </w:numPr>
              <w:overflowPunct w:val="0"/>
              <w:spacing w:line="240" w:lineRule="auto"/>
              <w:textAlignment w:val="baseline"/>
            </w:pPr>
            <w:r>
              <w:t>The slots indicated in the bitmap should be consecutive per group of L slots for Group (1) SSs</w:t>
            </w:r>
          </w:p>
          <w:p>
            <w:pPr>
              <w:widowControl w:val="0"/>
              <w:numPr>
                <w:ilvl w:val="1"/>
                <w:numId w:val="28"/>
              </w:numPr>
              <w:overflowPunct w:val="0"/>
              <w:spacing w:line="240" w:lineRule="auto"/>
              <w:textAlignment w:val="baseline"/>
            </w:pPr>
            <w:r>
              <w:rPr>
                <w:bCs/>
              </w:rPr>
              <w:t xml:space="preserve">The number of 1s </w:t>
            </w:r>
            <w:r>
              <w:rPr>
                <w:bCs/>
                <w:strike/>
                <w:color w:val="FF0000"/>
              </w:rPr>
              <w:t xml:space="preserve">in </w:t>
            </w:r>
            <w:r>
              <w:rPr>
                <w:i/>
                <w:iCs/>
                <w:strike/>
                <w:color w:val="FF0000"/>
              </w:rPr>
              <w:t>monitoringSlotsWithinSlotGroup-r17</w:t>
            </w:r>
            <w:r>
              <w:rPr>
                <w:bCs/>
              </w:rPr>
              <w:t xml:space="preserve"> </w:t>
            </w:r>
            <w:r>
              <w:rPr>
                <w:bCs/>
                <w:color w:val="FF0000"/>
              </w:rPr>
              <w:t xml:space="preserve">per slot group of Xs slots </w:t>
            </w:r>
            <w:r>
              <w:rPr>
                <w:bCs/>
              </w:rPr>
              <w:t xml:space="preserve">should be no larger than </w:t>
            </w:r>
            <m:oMath>
              <m:sSub>
                <m:sSubPr>
                  <m:ctrlPr>
                    <w:rPr>
                      <w:rFonts w:ascii="Cambria Math" w:hAnsi="Cambria Math"/>
                      <w:bCs/>
                      <w:i/>
                    </w:rPr>
                  </m:ctrlPr>
                </m:sSubPr>
                <m:e>
                  <m:r>
                    <w:rPr>
                      <w:rFonts w:ascii="Cambria Math" w:hAnsi="Cambria Math"/>
                    </w:rPr>
                    <m:t>Y</m:t>
                  </m:r>
                  <m:ctrlPr>
                    <w:rPr>
                      <w:rFonts w:ascii="Cambria Math" w:hAnsi="Cambria Math"/>
                      <w:bCs/>
                      <w:i/>
                    </w:rPr>
                  </m:ctrlPr>
                </m:e>
                <m:sub>
                  <m:r>
                    <w:rPr>
                      <w:rFonts w:ascii="Cambria Math" w:hAnsi="Cambria Math"/>
                    </w:rPr>
                    <m:t>s</m:t>
                  </m:r>
                  <m:ctrlPr>
                    <w:rPr>
                      <w:rFonts w:ascii="Cambria Math" w:hAnsi="Cambria Math"/>
                      <w:bCs/>
                      <w:i/>
                    </w:rPr>
                  </m:ctrlPr>
                </m:sub>
              </m:sSub>
            </m:oMath>
            <w:r>
              <w:rPr>
                <w:bCs/>
              </w:rPr>
              <w:t xml:space="preserve"> </w:t>
            </w:r>
            <w:r>
              <w:t>for Group (1) SSs</w:t>
            </w:r>
          </w:p>
          <w:p>
            <w:pPr>
              <w:widowControl w:val="0"/>
              <w:numPr>
                <w:ilvl w:val="0"/>
                <w:numId w:val="28"/>
              </w:numPr>
              <w:overflowPunct w:val="0"/>
              <w:spacing w:line="240" w:lineRule="auto"/>
              <w:textAlignment w:val="baseline"/>
              <w:rPr>
                <w:szCs w:val="20"/>
              </w:rPr>
            </w:pPr>
            <w:r>
              <w:rPr>
                <w:szCs w:val="20"/>
              </w:rPr>
              <w:t>For Group (2) SS: Continue discussion based on the following options</w:t>
            </w:r>
          </w:p>
          <w:p>
            <w:pPr>
              <w:widowControl w:val="0"/>
              <w:numPr>
                <w:ilvl w:val="1"/>
                <w:numId w:val="28"/>
              </w:numPr>
              <w:overflowPunct w:val="0"/>
              <w:spacing w:line="240" w:lineRule="auto"/>
              <w:textAlignment w:val="baseline"/>
              <w:rPr>
                <w:szCs w:val="20"/>
              </w:rPr>
            </w:pPr>
            <w:r>
              <w:rPr>
                <w:szCs w:val="20"/>
              </w:rPr>
              <w:t>Option 1</w:t>
            </w:r>
          </w:p>
          <w:p>
            <w:pPr>
              <w:widowControl w:val="0"/>
              <w:numPr>
                <w:ilvl w:val="2"/>
                <w:numId w:val="28"/>
              </w:numPr>
              <w:overflowPunct w:val="0"/>
              <w:spacing w:line="240" w:lineRule="auto"/>
              <w:textAlignment w:val="baseline"/>
              <w:rPr>
                <w:szCs w:val="20"/>
              </w:rPr>
            </w:pPr>
            <w:r>
              <w:rPr>
                <w:szCs w:val="20"/>
              </w:rPr>
              <w:t>The configured periodicity is restricted to be an integer multiple of L slots</w:t>
            </w:r>
          </w:p>
          <w:p>
            <w:pPr>
              <w:widowControl w:val="0"/>
              <w:numPr>
                <w:ilvl w:val="2"/>
                <w:numId w:val="28"/>
              </w:numPr>
              <w:overflowPunct w:val="0"/>
              <w:spacing w:line="240" w:lineRule="auto"/>
              <w:textAlignment w:val="baseline"/>
              <w:rPr>
                <w:szCs w:val="20"/>
              </w:rPr>
            </w:pPr>
            <w:r>
              <w:rPr>
                <w:szCs w:val="20"/>
              </w:rPr>
              <w:t>The configured offset is restricted to be an integer multiple of L slots</w:t>
            </w:r>
          </w:p>
          <w:p>
            <w:pPr>
              <w:widowControl w:val="0"/>
              <w:numPr>
                <w:ilvl w:val="2"/>
                <w:numId w:val="28"/>
              </w:numPr>
              <w:overflowPunct w:val="0"/>
              <w:spacing w:line="240" w:lineRule="auto"/>
              <w:textAlignment w:val="baseline"/>
              <w:rPr>
                <w:szCs w:val="20"/>
              </w:rPr>
            </w:pPr>
            <w:r>
              <w:rPr>
                <w:szCs w:val="20"/>
              </w:rPr>
              <w:t xml:space="preserve">The slots indicated in </w:t>
            </w:r>
            <w:r>
              <w:rPr>
                <w:i/>
                <w:iCs/>
                <w:szCs w:val="20"/>
              </w:rPr>
              <w:t>monitoringSlotsWithinSlotGroup-r17</w:t>
            </w:r>
            <w:r>
              <w:rPr>
                <w:szCs w:val="20"/>
              </w:rPr>
              <w:t xml:space="preserve"> are not restricted to be consecutive for Group (2) SSs</w:t>
            </w:r>
          </w:p>
          <w:p>
            <w:pPr>
              <w:widowControl w:val="0"/>
              <w:numPr>
                <w:ilvl w:val="2"/>
                <w:numId w:val="28"/>
              </w:numPr>
              <w:overflowPunct w:val="0"/>
              <w:spacing w:line="240" w:lineRule="auto"/>
              <w:textAlignment w:val="baseline"/>
              <w:rPr>
                <w:szCs w:val="20"/>
              </w:rPr>
            </w:pPr>
            <w:r>
              <w:rPr>
                <w:szCs w:val="20"/>
              </w:rPr>
              <w:t xml:space="preserve">The number of 1s in </w:t>
            </w:r>
            <w:r>
              <w:rPr>
                <w:i/>
                <w:iCs/>
                <w:szCs w:val="20"/>
              </w:rPr>
              <w:t>monitoringSlotsWithinSlotGroup-r17</w:t>
            </w:r>
            <w:r>
              <w:rPr>
                <w:bCs/>
                <w:szCs w:val="20"/>
              </w:rPr>
              <w:t xml:space="preserve"> can be up to L </w:t>
            </w:r>
            <w:r>
              <w:rPr>
                <w:szCs w:val="20"/>
              </w:rPr>
              <w:t>for Group (2) SSs</w:t>
            </w:r>
          </w:p>
          <w:p>
            <w:pPr>
              <w:widowControl w:val="0"/>
              <w:numPr>
                <w:ilvl w:val="1"/>
                <w:numId w:val="28"/>
              </w:numPr>
              <w:overflowPunct w:val="0"/>
              <w:spacing w:line="240" w:lineRule="auto"/>
              <w:textAlignment w:val="baseline"/>
              <w:rPr>
                <w:szCs w:val="20"/>
              </w:rPr>
            </w:pPr>
            <w:r>
              <w:rPr>
                <w:szCs w:val="20"/>
              </w:rPr>
              <w:t>Option 2</w:t>
            </w:r>
          </w:p>
          <w:p>
            <w:pPr>
              <w:widowControl w:val="0"/>
              <w:numPr>
                <w:ilvl w:val="2"/>
                <w:numId w:val="28"/>
              </w:numPr>
              <w:overflowPunct w:val="0"/>
              <w:spacing w:line="240" w:lineRule="auto"/>
              <w:textAlignment w:val="baseline"/>
              <w:rPr>
                <w:rFonts w:eastAsia="宋体"/>
                <w:sz w:val="21"/>
                <w:szCs w:val="21"/>
                <w:lang w:eastAsia="zh-CN"/>
              </w:rPr>
            </w:pPr>
            <w:r>
              <w:rPr>
                <w:szCs w:val="20"/>
              </w:rPr>
              <w:t>Restrictions for Group (2) SSs are as for Group (1) SS</w:t>
            </w:r>
            <w:r>
              <w:t>s</w:t>
            </w:r>
          </w:p>
        </w:tc>
      </w:tr>
    </w:tbl>
    <w:p>
      <w:pPr>
        <w:rPr>
          <w:sz w:val="21"/>
          <w:szCs w:val="21"/>
          <w:lang w:eastAsia="zh-CN"/>
        </w:rPr>
      </w:pP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N</w:t>
            </w:r>
            <w:r>
              <w:rPr>
                <w:rFonts w:eastAsia="MS Mincho"/>
                <w:lang w:eastAsia="ja-JP"/>
              </w:rPr>
              <w:t>TT DOCOMO</w:t>
            </w:r>
          </w:p>
        </w:tc>
        <w:tc>
          <w:tcPr>
            <w:tcW w:w="12176" w:type="dxa"/>
            <w:vAlign w:val="center"/>
          </w:tcPr>
          <w:p>
            <w:pPr>
              <w:widowControl w:val="0"/>
              <w:rPr>
                <w:rFonts w:eastAsia="MS Mincho"/>
                <w:lang w:eastAsia="ja-JP"/>
              </w:rPr>
            </w:pPr>
            <w:r>
              <w:rPr>
                <w:rFonts w:hint="eastAsia" w:eastAsia="MS Mincho"/>
                <w:lang w:eastAsia="ja-JP"/>
              </w:rPr>
              <w:t>W</w:t>
            </w:r>
            <w:r>
              <w:rPr>
                <w:rFonts w:eastAsia="MS Mincho"/>
                <w:lang w:eastAsia="ja-JP"/>
              </w:rPr>
              <w:t>e are fine with the proposal.</w:t>
            </w:r>
          </w:p>
          <w:p>
            <w:pPr>
              <w:widowControl w:val="0"/>
              <w:rPr>
                <w:rFonts w:eastAsia="MS Mincho"/>
                <w:lang w:eastAsia="ja-JP"/>
              </w:rPr>
            </w:pPr>
            <w:r>
              <w:rPr>
                <w:rFonts w:eastAsia="MS Mincho"/>
                <w:lang w:eastAsia="ja-JP"/>
              </w:rPr>
              <w:t>Regarding the last bullet for Group (2) SS, we support Option1.</w:t>
            </w:r>
          </w:p>
          <w:p>
            <w:pPr>
              <w:widowControl w:val="0"/>
              <w:rPr>
                <w:rFonts w:eastAsia="MS Mincho"/>
                <w:lang w:eastAsia="ja-JP"/>
              </w:rPr>
            </w:pPr>
            <w:r>
              <w:rPr>
                <w:rFonts w:eastAsia="MS Mincho"/>
                <w:lang w:eastAsia="ja-JP"/>
              </w:rPr>
              <w:t xml:space="preserve">For Rel-17, </w:t>
            </w:r>
            <w:r>
              <w:rPr>
                <w:rFonts w:eastAsia="MS Mincho"/>
                <w:i/>
                <w:iCs/>
                <w:lang w:eastAsia="ja-JP"/>
              </w:rPr>
              <w:t>monitoringSlotPeriodicotyAndOffset-r17</w:t>
            </w:r>
            <w:r>
              <w:rPr>
                <w:rFonts w:eastAsia="MS Mincho"/>
                <w:lang w:eastAsia="ja-JP"/>
              </w:rPr>
              <w:t xml:space="preserve"> and </w:t>
            </w:r>
            <w:r>
              <w:rPr>
                <w:rFonts w:eastAsia="MS Mincho"/>
                <w:i/>
                <w:iCs/>
                <w:lang w:eastAsia="ja-JP"/>
              </w:rPr>
              <w:t>duration-r17</w:t>
            </w:r>
            <w:r>
              <w:rPr>
                <w:rFonts w:eastAsia="MS Mincho"/>
                <w:lang w:eastAsia="ja-JP"/>
              </w:rPr>
              <w:t xml:space="preserve"> indicates the slot group(s) which </w:t>
            </w:r>
            <w:r>
              <w:rPr>
                <w:rFonts w:eastAsia="MS Mincho"/>
                <w:i/>
                <w:iCs/>
                <w:lang w:eastAsia="ja-JP"/>
              </w:rPr>
              <w:t>monitoringSlotWithinSlotGroup-r17</w:t>
            </w:r>
            <w:r>
              <w:rPr>
                <w:rFonts w:eastAsia="MS Mincho"/>
                <w:lang w:eastAsia="ja-JP"/>
              </w:rPr>
              <w:t xml:space="preserve"> is applied. In that sense, the slot group boundary and the first slot indicated by  </w:t>
            </w:r>
            <w:r>
              <w:rPr>
                <w:rFonts w:eastAsia="MS Mincho"/>
                <w:i/>
                <w:iCs/>
                <w:lang w:eastAsia="ja-JP"/>
              </w:rPr>
              <w:t>monitoringSlotPeriodicotyAndOffset-r17</w:t>
            </w:r>
            <w:r>
              <w:rPr>
                <w:rFonts w:eastAsia="MS Mincho"/>
                <w:lang w:eastAsia="ja-JP"/>
              </w:rPr>
              <w:t xml:space="preserve"> and </w:t>
            </w:r>
            <w:r>
              <w:rPr>
                <w:rFonts w:eastAsia="MS Mincho"/>
                <w:i/>
                <w:iCs/>
                <w:lang w:eastAsia="ja-JP"/>
              </w:rPr>
              <w:t>duration-r17</w:t>
            </w:r>
            <w:r>
              <w:rPr>
                <w:rFonts w:eastAsia="MS Mincho"/>
                <w:lang w:eastAsia="ja-JP"/>
              </w:rPr>
              <w:t xml:space="preserve"> should be aligned. This principle is common between Group (1) and Group (2) SS. The only difference in the configurability of SS set between Group (1) and Group (2) is whether it is restricted in Ys slot(s), and this differentiation can be expressed by </w:t>
            </w:r>
            <w:r>
              <w:rPr>
                <w:rFonts w:eastAsia="MS Mincho"/>
                <w:i/>
                <w:iCs/>
                <w:lang w:eastAsia="ja-JP"/>
              </w:rPr>
              <w:t>monitoringSlotWithinSlotGroup-r17</w:t>
            </w:r>
            <w:r>
              <w:rPr>
                <w:rFonts w:eastAsia="MS Mincho"/>
                <w:lang w:eastAsia="ja-JP"/>
              </w:rPr>
              <w:t xml:space="preserve">. Thus, </w:t>
            </w:r>
            <w:r>
              <w:rPr>
                <w:rFonts w:eastAsia="MS Mincho"/>
                <w:i/>
                <w:iCs/>
                <w:lang w:eastAsia="ja-JP"/>
              </w:rPr>
              <w:t>monitoringSlotPeriodicotyAndOffset-r17</w:t>
            </w:r>
            <w:r>
              <w:rPr>
                <w:rFonts w:eastAsia="MS Mincho"/>
                <w:lang w:eastAsia="ja-JP"/>
              </w:rPr>
              <w:t xml:space="preserve"> and </w:t>
            </w:r>
            <w:r>
              <w:rPr>
                <w:rFonts w:eastAsia="MS Mincho"/>
                <w:i/>
                <w:iCs/>
                <w:lang w:eastAsia="ja-JP"/>
              </w:rPr>
              <w:t>duration-r17</w:t>
            </w:r>
            <w:r>
              <w:rPr>
                <w:rFonts w:eastAsia="MS Mincho"/>
                <w:lang w:eastAsia="ja-JP"/>
              </w:rPr>
              <w:t xml:space="preserve"> should be restricted to the integer multiple of L for both Group (1) and Group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MediaTek</w:t>
            </w:r>
          </w:p>
        </w:tc>
        <w:tc>
          <w:tcPr>
            <w:tcW w:w="12176" w:type="dxa"/>
            <w:vAlign w:val="center"/>
          </w:tcPr>
          <w:p>
            <w:pPr>
              <w:widowControl w:val="0"/>
              <w:rPr>
                <w:color w:val="000000"/>
              </w:rPr>
            </w:pPr>
            <w:r>
              <w:rPr>
                <w:sz w:val="20"/>
                <w:lang w:eastAsia="zh-CN"/>
              </w:rPr>
              <w:t xml:space="preserve">We still prefer to align L=Xs, which is more clean and easy solution. The benefit of configuration flexibility by allowing L&gt;Xs or L&lt;Xs is not essential, in our view. Also, the naming </w:t>
            </w:r>
            <w:r>
              <w:rPr>
                <w:i/>
                <w:iCs/>
                <w:color w:val="000000"/>
              </w:rPr>
              <w:t xml:space="preserve">monitoringSlotsWithinSlotGroup-r17 </w:t>
            </w:r>
            <w:r>
              <w:rPr>
                <w:color w:val="000000"/>
              </w:rPr>
              <w:t>implies the bitmap should be defined within a slot group not two slot groups in some cases, i.e., Xs=4 L=8. However, if we are the only company preferring  L=Xs, then we can accept the current format with an FFS: whether L should match Xs (in case some issues are identified in the future)</w:t>
            </w:r>
          </w:p>
          <w:p>
            <w:pPr>
              <w:widowControl w:val="0"/>
              <w:rPr>
                <w:color w:val="000000"/>
              </w:rPr>
            </w:pPr>
            <w:r>
              <w:rPr>
                <w:color w:val="000000"/>
              </w:rPr>
              <w:t>We also have some editorial suggestion to avoid the wording “slot group”</w:t>
            </w:r>
          </w:p>
          <w:p>
            <w:pPr>
              <w:widowControl w:val="0"/>
              <w:rPr>
                <w:sz w:val="20"/>
                <w:lang w:eastAsia="zh-CN"/>
              </w:rPr>
            </w:pPr>
          </w:p>
          <w:p>
            <w:pPr>
              <w:widowControl w:val="0"/>
              <w:numPr>
                <w:ilvl w:val="1"/>
                <w:numId w:val="28"/>
              </w:numPr>
              <w:overflowPunct w:val="0"/>
              <w:spacing w:line="240" w:lineRule="auto"/>
              <w:textAlignment w:val="baseline"/>
            </w:pPr>
            <w:r>
              <w:t xml:space="preserve">Each bit in </w:t>
            </w:r>
            <w:r>
              <w:rPr>
                <w:i/>
                <w:iCs/>
              </w:rPr>
              <w:t>monitoringSlotsWithinSlotGroup-r17</w:t>
            </w:r>
            <w:r>
              <w:t xml:space="preserve"> represents a slot in a </w:t>
            </w:r>
            <w:r>
              <w:rPr>
                <w:strike/>
                <w:color w:val="00B050"/>
              </w:rPr>
              <w:t>slot</w:t>
            </w:r>
            <w:r>
              <w:t xml:space="preserve"> group </w:t>
            </w:r>
            <w:r>
              <w:rPr>
                <w:color w:val="00B050"/>
              </w:rPr>
              <w:t>of L slots</w:t>
            </w:r>
          </w:p>
          <w:p>
            <w:pPr>
              <w:widowControl w:val="0"/>
              <w:numPr>
                <w:ilvl w:val="1"/>
                <w:numId w:val="28"/>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pPr>
              <w:widowControl w:val="0"/>
              <w:numPr>
                <w:ilvl w:val="1"/>
                <w:numId w:val="28"/>
              </w:numPr>
              <w:overflowPunct w:val="0"/>
              <w:spacing w:line="240" w:lineRule="auto"/>
              <w:textAlignment w:val="baseline"/>
              <w:rPr>
                <w:color w:val="000000"/>
              </w:rPr>
            </w:pPr>
            <w:r>
              <w:t xml:space="preserve">A slot in </w:t>
            </w:r>
            <w:r>
              <w:rPr>
                <w:strike/>
                <w:color w:val="00B050"/>
              </w:rPr>
              <w:t>the</w:t>
            </w:r>
            <w:r>
              <w:rPr>
                <w:color w:val="00B050"/>
              </w:rPr>
              <w:t xml:space="preserve"> </w:t>
            </w:r>
            <w:r>
              <w:rPr>
                <w:strike/>
                <w:color w:val="00B050"/>
              </w:rPr>
              <w:t>slot</w:t>
            </w:r>
            <w:r>
              <w:rPr>
                <w:color w:val="00B050"/>
              </w:rPr>
              <w:t xml:space="preserve"> </w:t>
            </w:r>
            <w:r>
              <w:rPr>
                <w:strike/>
                <w:color w:val="00B050"/>
              </w:rPr>
              <w:t>group</w:t>
            </w:r>
            <w:r>
              <w:rPr>
                <w:color w:val="00B050"/>
              </w:rPr>
              <w:t xml:space="preserve"> each of the L slots </w:t>
            </w:r>
            <w:r>
              <w:t xml:space="preserve">is configured for multi-slot PDCCH monitoring if the corresponding bit in </w:t>
            </w:r>
            <w:r>
              <w:rPr>
                <w:strike/>
                <w:color w:val="FF0000"/>
              </w:rPr>
              <w:t xml:space="preserve">the slot group </w:t>
            </w:r>
            <w:r>
              <w:rPr>
                <w:i/>
                <w:iCs/>
                <w:color w:val="FF0000"/>
              </w:rPr>
              <w:t>monitoringSlotsWithinSlotGroup-r17</w:t>
            </w:r>
            <w:r>
              <w:rPr>
                <w:i/>
                <w:iCs/>
                <w:color w:val="000000"/>
              </w:rPr>
              <w:t xml:space="preserve"> </w:t>
            </w:r>
            <w:r>
              <w:t>is set to '1'</w:t>
            </w:r>
          </w:p>
          <w:p>
            <w:pPr>
              <w:widowControl w:val="0"/>
              <w:numPr>
                <w:ilvl w:val="2"/>
                <w:numId w:val="28"/>
              </w:numPr>
              <w:overflowPunct w:val="0"/>
              <w:spacing w:line="240" w:lineRule="auto"/>
              <w:textAlignment w:val="baseline"/>
            </w:pPr>
            <w:r>
              <w:t xml:space="preserve">Note: Further configuration of the monitoring symbols in such a slot is done by </w:t>
            </w:r>
            <w:r>
              <w:rPr>
                <w:i/>
                <w:iCs/>
              </w:rPr>
              <w:t>monitoringSymbolsWithinSlot</w:t>
            </w:r>
          </w:p>
          <w:p>
            <w:pPr>
              <w:widowControl w:val="0"/>
              <w:numPr>
                <w:ilvl w:val="1"/>
                <w:numId w:val="28"/>
              </w:numPr>
              <w:overflowPunct w:val="0"/>
              <w:spacing w:line="240" w:lineRule="auto"/>
              <w:textAlignment w:val="baseline"/>
            </w:pPr>
            <w:r>
              <w:t>The slots indicated in the bitmap should be consecutive per group of L slots for Group (1) SSs</w:t>
            </w:r>
          </w:p>
          <w:p>
            <w:pPr>
              <w:widowControl w:val="0"/>
              <w:numPr>
                <w:ilvl w:val="1"/>
                <w:numId w:val="28"/>
              </w:numPr>
              <w:overflowPunct w:val="0"/>
              <w:spacing w:line="240" w:lineRule="auto"/>
              <w:textAlignment w:val="baseline"/>
            </w:pPr>
            <w:r>
              <w:rPr>
                <w:bCs/>
              </w:rPr>
              <w:t xml:space="preserve">The number of 1s </w:t>
            </w:r>
            <w:r>
              <w:rPr>
                <w:bCs/>
                <w:strike/>
                <w:color w:val="FF0000"/>
              </w:rPr>
              <w:t xml:space="preserve">in </w:t>
            </w:r>
            <w:r>
              <w:rPr>
                <w:i/>
                <w:iCs/>
                <w:strike/>
                <w:color w:val="FF0000"/>
              </w:rPr>
              <w:t>monitoringSlotsWithinSlotGroup-r17</w:t>
            </w:r>
            <w:r>
              <w:rPr>
                <w:bCs/>
              </w:rPr>
              <w:t xml:space="preserve"> </w:t>
            </w:r>
            <w:r>
              <w:rPr>
                <w:bCs/>
                <w:color w:val="FF0000"/>
              </w:rPr>
              <w:t xml:space="preserve">per slot group of Xs slots </w:t>
            </w:r>
            <w:r>
              <w:rPr>
                <w:bCs/>
              </w:rPr>
              <w:t xml:space="preserve">should be no larger than </w:t>
            </w:r>
            <m:oMath>
              <m:sSub>
                <m:sSubPr>
                  <m:ctrlPr>
                    <w:rPr>
                      <w:rFonts w:ascii="Cambria Math" w:hAnsi="Cambria Math"/>
                      <w:bCs/>
                      <w:i/>
                    </w:rPr>
                  </m:ctrlPr>
                </m:sSubPr>
                <m:e>
                  <m:r>
                    <w:rPr>
                      <w:rFonts w:ascii="Cambria Math" w:hAnsi="Cambria Math"/>
                    </w:rPr>
                    <m:t>Y</m:t>
                  </m:r>
                  <m:ctrlPr>
                    <w:rPr>
                      <w:rFonts w:ascii="Cambria Math" w:hAnsi="Cambria Math"/>
                      <w:bCs/>
                      <w:i/>
                    </w:rPr>
                  </m:ctrlPr>
                </m:e>
                <m:sub>
                  <m:r>
                    <w:rPr>
                      <w:rFonts w:ascii="Cambria Math" w:hAnsi="Cambria Math"/>
                    </w:rPr>
                    <m:t>s</m:t>
                  </m:r>
                  <m:ctrlPr>
                    <w:rPr>
                      <w:rFonts w:ascii="Cambria Math" w:hAnsi="Cambria Math"/>
                      <w:bCs/>
                      <w:i/>
                    </w:rPr>
                  </m:ctrlPr>
                </m:sub>
              </m:sSub>
            </m:oMath>
            <w:r>
              <w:rPr>
                <w:bCs/>
              </w:rPr>
              <w:t xml:space="preserve"> </w:t>
            </w:r>
            <w:r>
              <w:t>for Group (1) SSs</w:t>
            </w:r>
          </w:p>
          <w:p>
            <w:pPr>
              <w:widowControl w:val="0"/>
              <w:rPr>
                <w:sz w:val="20"/>
                <w:lang w:eastAsia="zh-CN"/>
              </w:rPr>
            </w:pPr>
          </w:p>
          <w:p>
            <w:pPr>
              <w:widowControl w:val="0"/>
              <w:rPr>
                <w:sz w:val="20"/>
                <w:lang w:eastAsia="zh-CN"/>
              </w:rPr>
            </w:pPr>
            <w:r>
              <w:rPr>
                <w:sz w:val="20"/>
                <w:lang w:eastAsia="zh-CN"/>
              </w:rPr>
              <w:t>Regarding Group (2) restriction, we prefer option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Moderator</w:t>
            </w:r>
          </w:p>
        </w:tc>
        <w:tc>
          <w:tcPr>
            <w:tcW w:w="12176" w:type="dxa"/>
            <w:vAlign w:val="center"/>
          </w:tcPr>
          <w:p>
            <w:pPr>
              <w:widowControl w:val="0"/>
              <w:rPr>
                <w:sz w:val="20"/>
                <w:lang w:eastAsia="zh-CN"/>
              </w:rPr>
            </w:pPr>
            <w:r>
              <w:rPr>
                <w:sz w:val="20"/>
                <w:lang w:eastAsia="zh-CN"/>
              </w:rPr>
              <w:t xml:space="preserve">I think MediaTek's </w:t>
            </w:r>
            <w:r>
              <w:rPr>
                <w:color w:val="00B050"/>
                <w:sz w:val="20"/>
                <w:lang w:eastAsia="zh-CN"/>
              </w:rPr>
              <w:t>editorial changes</w:t>
            </w:r>
            <w:r>
              <w:rPr>
                <w:sz w:val="20"/>
                <w:lang w:eastAsia="zh-CN"/>
              </w:rPr>
              <w:t xml:space="preserve"> to avoid "slot group" make sense.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ascii="Times New Roman" w:hAnsi="Times New Roman" w:cs="Times New Roman" w:eastAsiaTheme="minorEastAsia"/>
                <w:sz w:val="22"/>
                <w:szCs w:val="22"/>
                <w:lang w:val="en-US" w:eastAsia="zh-CN" w:bidi="ar-SA"/>
              </w:rPr>
            </w:pPr>
            <w:r>
              <w:rPr>
                <w:rFonts w:hint="eastAsia"/>
                <w:lang w:eastAsia="zh-CN"/>
              </w:rPr>
              <w:t>ZTE, Sanechips</w:t>
            </w:r>
          </w:p>
        </w:tc>
        <w:tc>
          <w:tcPr>
            <w:tcW w:w="12176" w:type="dxa"/>
            <w:vAlign w:val="center"/>
          </w:tcPr>
          <w:p>
            <w:pPr>
              <w:widowControl w:val="0"/>
              <w:rPr>
                <w:rFonts w:hint="eastAsia"/>
                <w:lang w:val="en-US" w:eastAsia="zh-CN"/>
              </w:rPr>
            </w:pPr>
            <w:r>
              <w:rPr>
                <w:rFonts w:hint="eastAsia"/>
                <w:lang w:val="en-US" w:eastAsia="zh-CN"/>
              </w:rPr>
              <w:t xml:space="preserve">We are generally fine with Proposal A2-1.1d with option 1 for Group (2) SS. </w:t>
            </w:r>
          </w:p>
          <w:p>
            <w:pPr>
              <w:widowControl w:val="0"/>
              <w:rPr>
                <w:rFonts w:hint="default"/>
                <w:lang w:val="en-US" w:eastAsia="zh-CN"/>
              </w:rPr>
            </w:pPr>
            <w:r>
              <w:rPr>
                <w:rFonts w:hint="eastAsia"/>
                <w:lang w:val="en-US" w:eastAsia="zh-CN"/>
              </w:rPr>
              <w:t>According to the agreement made in RAN1 #107-e,  Group (2) SSs monitoring locations can be anywhere within a slot group of X slots, we don</w:t>
            </w:r>
            <w:r>
              <w:rPr>
                <w:rFonts w:hint="default"/>
                <w:lang w:val="en-US" w:eastAsia="zh-CN"/>
              </w:rPr>
              <w:t>’</w:t>
            </w:r>
            <w:r>
              <w:rPr>
                <w:rFonts w:hint="eastAsia"/>
                <w:lang w:val="en-US" w:eastAsia="zh-CN"/>
              </w:rPr>
              <w:t xml:space="preserve">t expect other restrictions for Group (2) SSs. In our understanding,  as long as we make sure </w:t>
            </w:r>
            <w:r>
              <w:rPr>
                <w:szCs w:val="20"/>
              </w:rPr>
              <w:t>for Group (2) SSs</w:t>
            </w:r>
            <w:r>
              <w:rPr>
                <w:rFonts w:hint="eastAsia"/>
                <w:szCs w:val="20"/>
                <w:lang w:val="en-US" w:eastAsia="zh-CN"/>
              </w:rPr>
              <w:t xml:space="preserve"> </w:t>
            </w:r>
            <w:r>
              <w:rPr>
                <w:rFonts w:hint="eastAsia"/>
                <w:lang w:val="en-US" w:eastAsia="zh-CN"/>
              </w:rPr>
              <w:t xml:space="preserve">the number </w:t>
            </w:r>
            <w:r>
              <w:rPr>
                <w:szCs w:val="20"/>
              </w:rPr>
              <w:t xml:space="preserve">of 1s in </w:t>
            </w:r>
            <w:r>
              <w:rPr>
                <w:i/>
                <w:iCs/>
                <w:szCs w:val="20"/>
              </w:rPr>
              <w:t>monitoringSlotsWithinSlotGroup-r17</w:t>
            </w:r>
            <w:r>
              <w:rPr>
                <w:bCs/>
                <w:szCs w:val="20"/>
              </w:rPr>
              <w:t xml:space="preserve"> can be up to L </w:t>
            </w:r>
            <w:r>
              <w:rPr>
                <w:rFonts w:hint="eastAsia"/>
                <w:szCs w:val="20"/>
                <w:lang w:val="en-US" w:eastAsia="zh-CN"/>
              </w:rPr>
              <w:t>and t</w:t>
            </w:r>
            <w:r>
              <w:rPr>
                <w:szCs w:val="20"/>
              </w:rPr>
              <w:t xml:space="preserve">he slots indicated in </w:t>
            </w:r>
            <w:r>
              <w:rPr>
                <w:i/>
                <w:iCs/>
                <w:szCs w:val="20"/>
              </w:rPr>
              <w:t>monitoringSlotsWithinSlotGroup-r17</w:t>
            </w:r>
            <w:r>
              <w:rPr>
                <w:szCs w:val="20"/>
              </w:rPr>
              <w:t xml:space="preserve"> are not restricted to be consecutive</w:t>
            </w:r>
            <w:r>
              <w:rPr>
                <w:rFonts w:hint="eastAsia"/>
                <w:szCs w:val="20"/>
                <w:lang w:val="en-US" w:eastAsia="zh-CN"/>
              </w:rPr>
              <w:t xml:space="preserve">, the configured periodicity/offset/duration can be restricted to be an integer multiple of L slots for both </w:t>
            </w:r>
            <w:r>
              <w:rPr>
                <w:rFonts w:hint="eastAsia"/>
                <w:lang w:val="en-US" w:eastAsia="zh-CN"/>
              </w:rPr>
              <w:t>Group (1) SS and Group (2) SS. In that case, the values of periodity and offset will not need to be modified anymore.</w:t>
            </w:r>
          </w:p>
        </w:tc>
      </w:tr>
    </w:tbl>
    <w:p>
      <w:pPr>
        <w:rPr>
          <w:sz w:val="21"/>
          <w:szCs w:val="21"/>
          <w:lang w:eastAsia="zh-CN"/>
        </w:rPr>
      </w:pPr>
    </w:p>
    <w:p>
      <w:pPr>
        <w:rPr>
          <w:lang w:eastAsia="zh-CN"/>
        </w:rPr>
      </w:pPr>
    </w:p>
    <w:p>
      <w:pPr>
        <w:pStyle w:val="4"/>
      </w:pPr>
      <w:r>
        <w:t xml:space="preserve">(Closed) Issue A2-2: </w:t>
      </w:r>
      <w:r>
        <w:rPr>
          <w:highlight w:val="cyan"/>
          <w:lang w:val="en-US" w:eastAsia="ko-KR"/>
        </w:rPr>
        <w:t>[High Priority]</w:t>
      </w:r>
      <w:r>
        <w:rPr>
          <w:lang w:val="en-US" w:eastAsia="ko-KR"/>
        </w:rPr>
        <w:t xml:space="preserve"> </w:t>
      </w:r>
      <w:r>
        <w:t>Multi-slot monitoring for Group (2) SS</w:t>
      </w:r>
    </w:p>
    <w:p>
      <w:pPr>
        <w:pStyle w:val="5"/>
      </w:pPr>
      <w:r>
        <w:t>First round discussion</w:t>
      </w:r>
    </w:p>
    <w:p>
      <w:r>
        <w:t>R1-2201689 proposes to clarify the following:</w:t>
      </w:r>
    </w:p>
    <w:tbl>
      <w:tblPr>
        <w:tblStyle w:val="55"/>
        <w:tblW w:w="139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9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44" w:type="dxa"/>
            <w:vAlign w:val="center"/>
          </w:tcPr>
          <w:p>
            <w:pPr>
              <w:widowControl w:val="0"/>
              <w:spacing w:after="60"/>
              <w:jc w:val="both"/>
              <w:rPr>
                <w:lang w:val="en-GB" w:eastAsia="zh-CN"/>
              </w:rPr>
            </w:pPr>
            <w:r>
              <w:rPr>
                <w:lang w:val="en-GB" w:eastAsia="zh-CN"/>
              </w:rPr>
              <w:t xml:space="preserve">Before discussing details of Group (2) SS handling, it is better to align the understanding of FG 3-1 especially ‘any of’ in the following bullet. </w:t>
            </w:r>
          </w:p>
          <w:p>
            <w:pPr>
              <w:pStyle w:val="82"/>
              <w:widowControl w:val="0"/>
              <w:jc w:val="both"/>
              <w:rPr>
                <w:rFonts w:ascii="Times New Roman" w:hAnsi="Times New Roman"/>
                <w:sz w:val="20"/>
                <w:szCs w:val="20"/>
                <w:lang w:val="en-GB" w:eastAsia="zh-CN"/>
              </w:rPr>
            </w:pPr>
          </w:p>
          <w:tbl>
            <w:tblPr>
              <w:tblStyle w:val="55"/>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vAlign w:val="center"/>
                </w:tcPr>
                <w:p>
                  <w:pPr>
                    <w:widowControl w:val="0"/>
                    <w:spacing w:after="0" w:line="240" w:lineRule="auto"/>
                    <w:rPr>
                      <w:lang w:val="en-GB" w:eastAsia="zh-CN"/>
                    </w:rPr>
                  </w:pPr>
                  <w:r>
                    <w:rPr>
                      <w:lang w:val="en-GB" w:eastAsia="zh-CN"/>
                    </w:rPr>
                    <w:t xml:space="preserve">- For type 1 CSS without dedicated RRC configuration and for type 0, 0A, and 2 CSS, the monitoring occasion can be any OFDM symbol(s) of a slot, with the monitoring occasions for </w:t>
                  </w:r>
                  <w:r>
                    <w:rPr>
                      <w:color w:val="FF0000"/>
                      <w:lang w:val="en-GB" w:eastAsia="zh-CN"/>
                    </w:rPr>
                    <w:t xml:space="preserve">any of </w:t>
                  </w:r>
                  <w:r>
                    <w:rPr>
                      <w:lang w:val="en-GB" w:eastAsia="zh-CN"/>
                    </w:rPr>
                    <w:t>Type 1- CSS without dedicated RRC configuration, or Types 0, 0A, or 2 CSS configurations within a single span of three consecutive OFDM symbols within a slot</w:t>
                  </w:r>
                </w:p>
              </w:tc>
            </w:tr>
          </w:tbl>
          <w:p>
            <w:pPr>
              <w:widowControl w:val="0"/>
              <w:spacing w:after="60"/>
              <w:jc w:val="both"/>
              <w:rPr>
                <w:lang w:eastAsia="zh-CN"/>
              </w:rPr>
            </w:pPr>
          </w:p>
          <w:p>
            <w:pPr>
              <w:widowControl w:val="0"/>
              <w:spacing w:after="60"/>
              <w:jc w:val="both"/>
              <w:rPr>
                <w:lang w:val="en-GB" w:eastAsia="zh-CN"/>
              </w:rPr>
            </w:pPr>
            <w:r>
              <w:rPr>
                <w:lang w:val="en-GB" w:eastAsia="zh-CN"/>
              </w:rPr>
              <w:t>There are two interpretations.</w:t>
            </w:r>
          </w:p>
          <w:p>
            <w:pPr>
              <w:pStyle w:val="82"/>
              <w:widowControl w:val="0"/>
              <w:numPr>
                <w:ilvl w:val="0"/>
                <w:numId w:val="45"/>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#1: It is limited to single span in a slot for each Group (2) SS set, however the different Group (2) SS sets can be configured in different spans in the slot. </w:t>
            </w:r>
          </w:p>
          <w:p>
            <w:pPr>
              <w:pStyle w:val="82"/>
              <w:widowControl w:val="0"/>
              <w:numPr>
                <w:ilvl w:val="0"/>
                <w:numId w:val="45"/>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#2: It is limited to single span in a slot considering all configured Group (2) SS sets in the slot.  </w:t>
            </w:r>
          </w:p>
          <w:p>
            <w:pPr>
              <w:widowControl w:val="0"/>
              <w:spacing w:before="60" w:after="60"/>
              <w:jc w:val="both"/>
              <w:rPr>
                <w:lang w:val="en-GB" w:eastAsia="zh-CN"/>
              </w:rPr>
            </w:pPr>
            <w:r>
              <w:rPr>
                <w:lang w:val="en-GB" w:eastAsia="zh-CN"/>
              </w:rPr>
              <w:t>In our view, Interpretation #2 is the correct understanding. Interpretation #1 will not bring any real complexity reduction at UE side compared to Interpretation #2. With Interpretation #1, though a single Group (2) SS set is limited to single span per slot, there can still be multiple spans in a slot due to multiple configured Group (2) SS sets. Consequently, UE must prepare for the worst case, i.e., to decode multiple spans per slot for Group (2</w:t>
            </w:r>
            <w:r>
              <w:rPr>
                <w:rFonts w:hint="eastAsia"/>
                <w:lang w:val="en-GB" w:eastAsia="zh-CN"/>
              </w:rPr>
              <w:t>)</w:t>
            </w:r>
            <w:r>
              <w:rPr>
                <w:lang w:val="en-GB" w:eastAsia="zh-CN"/>
              </w:rPr>
              <w:t xml:space="preserve"> SS sets. </w:t>
            </w:r>
          </w:p>
          <w:p>
            <w:pPr>
              <w:widowControl w:val="0"/>
              <w:spacing w:before="240" w:after="0"/>
              <w:jc w:val="both"/>
              <w:rPr>
                <w:b/>
              </w:rPr>
            </w:pPr>
            <w:r>
              <w:rPr>
                <w:b/>
              </w:rPr>
              <w:t xml:space="preserve">Proposal 2: </w:t>
            </w:r>
          </w:p>
          <w:p>
            <w:pPr>
              <w:pStyle w:val="82"/>
              <w:widowControl w:val="0"/>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Clarify that Interpretation #2 is the right understanding for FG 3-1</w:t>
            </w:r>
          </w:p>
          <w:p>
            <w:pPr>
              <w:pStyle w:val="82"/>
              <w:widowControl w:val="0"/>
              <w:numPr>
                <w:ilvl w:val="1"/>
                <w:numId w:val="4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Interpretation</w:t>
            </w:r>
            <w:r>
              <w:rPr>
                <w:rFonts w:ascii="Times New Roman" w:hAnsi="Times New Roman"/>
                <w:sz w:val="20"/>
                <w:szCs w:val="20"/>
                <w:lang w:val="en-GB" w:eastAsia="zh-CN"/>
              </w:rPr>
              <w:t xml:space="preserve"> #2: It is limited to single span in a slot considering all configured Group (2) SS sets in the slot.  </w:t>
            </w:r>
          </w:p>
        </w:tc>
      </w:tr>
    </w:tbl>
    <w:p>
      <w:pPr>
        <w:rPr>
          <w:lang w:val="en-GB"/>
        </w:rPr>
      </w:pPr>
    </w:p>
    <w:p>
      <w:pPr>
        <w:spacing w:after="0"/>
        <w:rPr>
          <w:b/>
          <w:sz w:val="20"/>
          <w:szCs w:val="20"/>
        </w:rPr>
      </w:pPr>
      <w:r>
        <w:rPr>
          <w:b/>
          <w:sz w:val="20"/>
          <w:szCs w:val="20"/>
        </w:rPr>
        <w:t>Any comments on Intel's analysis and proposal? Is it necessary to formally agree on Interpretation #2?</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MediaTek</w:t>
            </w:r>
          </w:p>
        </w:tc>
        <w:tc>
          <w:tcPr>
            <w:tcW w:w="12176" w:type="dxa"/>
            <w:vAlign w:val="center"/>
          </w:tcPr>
          <w:p>
            <w:pPr>
              <w:widowControl w:val="0"/>
              <w:rPr>
                <w:lang w:eastAsia="zh-CN"/>
              </w:rPr>
            </w:pPr>
            <w:r>
              <w:rPr>
                <w:lang w:eastAsia="zh-CN"/>
              </w:rPr>
              <w:t>We agree with Intel that Interpretation#2 should be the correct one. If we go with Interpretation #1, then it basically provides no restriction on Group (2) SS set occasions, as mentioned by Intel. Also, if span is specified for each SS set in Group (2) SS sets as interpretation #1, we wonder how to define the relation between them if those spans are overlapped? At least in Rel-16, the spans are not allowed to be overlapped.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lang w:eastAsia="zh-CN"/>
              </w:rPr>
              <w:t>Samsung</w:t>
            </w:r>
          </w:p>
        </w:tc>
        <w:tc>
          <w:tcPr>
            <w:tcW w:w="12176" w:type="dxa"/>
            <w:vAlign w:val="center"/>
          </w:tcPr>
          <w:p>
            <w:pPr>
              <w:widowControl w:val="0"/>
              <w:rPr>
                <w:sz w:val="20"/>
                <w:lang w:eastAsia="zh-CN"/>
              </w:rPr>
            </w:pPr>
            <w:r>
              <w:rPr>
                <w:lang w:eastAsia="zh-CN"/>
              </w:rPr>
              <w:t xml:space="preserve">We support Interpretation #2 as the right understanding for FG 3-1. We can be ok with a conclusion in the chairman notes.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Ericsson</w:t>
            </w:r>
          </w:p>
          <w:p>
            <w:pPr>
              <w:widowControl w:val="0"/>
              <w:rPr>
                <w:sz w:val="20"/>
                <w:lang w:eastAsia="zh-CN"/>
              </w:rPr>
            </w:pPr>
            <w:r>
              <w:rPr>
                <w:sz w:val="20"/>
                <w:lang w:eastAsia="zh-CN"/>
              </w:rPr>
              <w:t>(</w:t>
            </w:r>
            <w:r>
              <w:rPr>
                <w:color w:val="00B050"/>
                <w:sz w:val="20"/>
                <w:lang w:eastAsia="zh-CN"/>
              </w:rPr>
              <w:t>corrected by FL as per Ericsson's email via RAN1 reflector</w:t>
            </w:r>
            <w:r>
              <w:rPr>
                <w:sz w:val="20"/>
                <w:lang w:eastAsia="zh-CN"/>
              </w:rPr>
              <w:t>)</w:t>
            </w:r>
          </w:p>
        </w:tc>
        <w:tc>
          <w:tcPr>
            <w:tcW w:w="12176" w:type="dxa"/>
            <w:vAlign w:val="center"/>
          </w:tcPr>
          <w:p>
            <w:pPr>
              <w:widowControl w:val="0"/>
              <w:rPr>
                <w:sz w:val="20"/>
                <w:lang w:eastAsia="zh-CN"/>
              </w:rPr>
            </w:pPr>
            <w:r>
              <w:rPr>
                <w:sz w:val="20"/>
                <w:lang w:eastAsia="zh-CN"/>
              </w:rPr>
              <w:t xml:space="preserve">Clearly the interpretation is </w:t>
            </w:r>
            <w:r>
              <w:rPr>
                <w:color w:val="00B050"/>
                <w:sz w:val="20"/>
                <w:szCs w:val="20"/>
                <w:lang w:eastAsia="zh-CN"/>
              </w:rPr>
              <w:t xml:space="preserve">#1 </w:t>
            </w:r>
            <w:r>
              <w:rPr>
                <w:strike/>
                <w:color w:val="00B050"/>
                <w:sz w:val="20"/>
                <w:szCs w:val="20"/>
                <w:lang w:eastAsia="zh-CN"/>
              </w:rPr>
              <w:t>#2</w:t>
            </w:r>
            <w:r>
              <w:rPr>
                <w:sz w:val="20"/>
                <w:lang w:eastAsia="zh-CN"/>
              </w:rPr>
              <w:t xml:space="preserve">. Rel-15 allows, e.g., Type0-PDCCH to be in the middle of the slot and Type-2 to be in the beginning of the slot. There no enforcement either in the spec or in UE capabilities that all CSSs in Group (2) are aligned in the same 3 symbol span. The wording "any of" applies to each SS individually to prevent multiple MOs for the </w:t>
            </w:r>
            <w:r>
              <w:rPr>
                <w:i/>
                <w:iCs/>
                <w:sz w:val="20"/>
                <w:lang w:eastAsia="zh-CN"/>
              </w:rPr>
              <w:t>same</w:t>
            </w:r>
            <w:r>
              <w:rPr>
                <w:sz w:val="20"/>
                <w:lang w:eastAsia="zh-CN"/>
              </w:rPr>
              <w:t xml:space="preserve"> SS within the </w:t>
            </w:r>
            <w:r>
              <w:rPr>
                <w:i/>
                <w:iCs/>
                <w:sz w:val="20"/>
                <w:lang w:eastAsia="zh-CN"/>
              </w:rPr>
              <w:t>same</w:t>
            </w:r>
            <w:r>
              <w:rPr>
                <w:sz w:val="20"/>
                <w:lang w:eastAsia="zh-CN"/>
              </w:rPr>
              <w:t xml:space="preserve"> slot.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lang w:eastAsia="zh-CN"/>
              </w:rPr>
              <w:t>Qualcomm</w:t>
            </w:r>
          </w:p>
        </w:tc>
        <w:tc>
          <w:tcPr>
            <w:tcW w:w="12176" w:type="dxa"/>
            <w:vAlign w:val="center"/>
          </w:tcPr>
          <w:p>
            <w:pPr>
              <w:widowControl w:val="0"/>
              <w:rPr>
                <w:sz w:val="20"/>
                <w:lang w:eastAsia="zh-CN"/>
              </w:rPr>
            </w:pPr>
            <w:r>
              <w:rPr>
                <w:lang w:eastAsia="zh-CN"/>
              </w:rPr>
              <w:t>In our view, Interpretation #1 is the correct interpretation of the legacy specification. However, we can discuss whether Interpretation #2 should be applied for the multi-slot PDCCH monitoring, which we believe will resolve the issues that Intel pointed out.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LG Electronics</w:t>
            </w:r>
          </w:p>
        </w:tc>
        <w:tc>
          <w:tcPr>
            <w:tcW w:w="12176" w:type="dxa"/>
            <w:vAlign w:val="center"/>
          </w:tcPr>
          <w:p>
            <w:pPr>
              <w:widowControl w:val="0"/>
              <w:rPr>
                <w:lang w:eastAsia="zh-CN"/>
              </w:rPr>
            </w:pPr>
            <w:r>
              <w:rPr>
                <w:lang w:eastAsia="zh-CN"/>
              </w:rPr>
              <w:t>We agree with Intel’s interpretation.</w:t>
            </w:r>
          </w:p>
          <w:p>
            <w:pPr>
              <w:widowControl w:val="0"/>
              <w:rPr>
                <w:lang w:eastAsia="zh-CN"/>
              </w:rPr>
            </w:pPr>
            <w:r>
              <w:rPr>
                <w:lang w:eastAsia="zh-CN"/>
              </w:rPr>
              <w:t>One clarification question: Is the description for Group (2) SS in the FG3-1 corresponding to the Case 1-2 of the following agreement at RAN#91?</w:t>
            </w:r>
          </w:p>
          <w:p>
            <w:pPr>
              <w:widowControl w:val="0"/>
              <w:autoSpaceDE/>
              <w:rPr>
                <w:rFonts w:ascii="Times" w:hAnsi="Times" w:cs="Times"/>
                <w:sz w:val="20"/>
                <w:szCs w:val="20"/>
                <w:highlight w:val="green"/>
              </w:rPr>
            </w:pPr>
            <w:r>
              <w:rPr>
                <w:rFonts w:ascii="Times" w:hAnsi="Times" w:cs="Times"/>
                <w:highlight w:val="green"/>
              </w:rPr>
              <w:t>Agreements:</w:t>
            </w:r>
            <w:r>
              <w:rPr>
                <w:rFonts w:ascii="Times" w:hAnsi="Times" w:cs="Times"/>
              </w:rPr>
              <w:t xml:space="preserve"> (RAN1#91)</w:t>
            </w:r>
          </w:p>
          <w:p>
            <w:pPr>
              <w:widowControl w:val="0"/>
              <w:numPr>
                <w:ilvl w:val="0"/>
                <w:numId w:val="47"/>
              </w:numPr>
              <w:autoSpaceDE/>
              <w:adjustRightInd/>
              <w:snapToGrid/>
              <w:spacing w:after="0" w:line="240" w:lineRule="auto"/>
              <w:rPr>
                <w:rFonts w:ascii="Times" w:hAnsi="Times" w:cs="Times"/>
              </w:rPr>
            </w:pPr>
            <w:r>
              <w:rPr>
                <w:rFonts w:ascii="Times" w:hAnsi="Times" w:cs="Times"/>
              </w:rPr>
              <w:t>For information, the following cases are clarified:</w:t>
            </w:r>
          </w:p>
          <w:p>
            <w:pPr>
              <w:widowControl w:val="0"/>
              <w:numPr>
                <w:ilvl w:val="1"/>
                <w:numId w:val="47"/>
              </w:numPr>
              <w:autoSpaceDE/>
              <w:adjustRightInd/>
              <w:snapToGrid/>
              <w:spacing w:after="0" w:line="240" w:lineRule="auto"/>
              <w:rPr>
                <w:rFonts w:ascii="Times" w:hAnsi="Times" w:cs="Times"/>
              </w:rPr>
            </w:pPr>
            <w:r>
              <w:rPr>
                <w:rFonts w:ascii="Times" w:hAnsi="Times" w:cs="Times"/>
              </w:rPr>
              <w:t>Case 1: PDCCH monitoring periodicity of 14 or more symbols</w:t>
            </w:r>
          </w:p>
          <w:p>
            <w:pPr>
              <w:widowControl w:val="0"/>
              <w:numPr>
                <w:ilvl w:val="2"/>
                <w:numId w:val="47"/>
              </w:numPr>
              <w:autoSpaceDE/>
              <w:adjustRightInd/>
              <w:snapToGrid/>
              <w:spacing w:after="0" w:line="240" w:lineRule="auto"/>
              <w:rPr>
                <w:rFonts w:ascii="Times" w:hAnsi="Times" w:cs="Times"/>
              </w:rPr>
            </w:pPr>
            <w:r>
              <w:rPr>
                <w:rFonts w:ascii="Times" w:hAnsi="Times" w:cs="Times"/>
              </w:rPr>
              <w:t>Case 1-1: PDCCH monitoring on up to three OFDM symbols at the beginning of a slot</w:t>
            </w:r>
          </w:p>
          <w:p>
            <w:pPr>
              <w:widowControl w:val="0"/>
              <w:numPr>
                <w:ilvl w:val="2"/>
                <w:numId w:val="47"/>
              </w:numPr>
              <w:autoSpaceDE/>
              <w:adjustRightInd/>
              <w:snapToGrid/>
              <w:spacing w:after="0" w:line="240" w:lineRule="auto"/>
              <w:rPr>
                <w:rFonts w:ascii="Times" w:hAnsi="Times" w:cs="Times"/>
              </w:rPr>
            </w:pPr>
            <w:r>
              <w:rPr>
                <w:rFonts w:ascii="Times" w:hAnsi="Times" w:cs="Times"/>
              </w:rPr>
              <w:t>Case 1-2: PDCCH monitoring on any span of up to 3 consecutive OFDM symbols of a slot</w:t>
            </w:r>
          </w:p>
          <w:p>
            <w:pPr>
              <w:widowControl w:val="0"/>
              <w:numPr>
                <w:ilvl w:val="3"/>
                <w:numId w:val="47"/>
              </w:numPr>
              <w:autoSpaceDE/>
              <w:adjustRightInd/>
              <w:snapToGrid/>
              <w:spacing w:after="0" w:line="240" w:lineRule="auto"/>
              <w:rPr>
                <w:rFonts w:ascii="Times" w:hAnsi="Times" w:cs="Times"/>
              </w:rPr>
            </w:pPr>
            <w:r>
              <w:rPr>
                <w:rFonts w:ascii="Times" w:hAnsi="Times" w:cs="Times"/>
                <w:highlight w:val="yellow"/>
              </w:rPr>
              <w:t>For a given UE, all search space configurations are within the same span of 3 consecutive OFDM symbols in the slot</w:t>
            </w:r>
          </w:p>
          <w:p>
            <w:pPr>
              <w:widowControl w:val="0"/>
              <w:numPr>
                <w:ilvl w:val="1"/>
                <w:numId w:val="47"/>
              </w:numPr>
              <w:autoSpaceDE/>
              <w:adjustRightInd/>
              <w:snapToGrid/>
              <w:spacing w:after="0" w:line="240" w:lineRule="auto"/>
              <w:rPr>
                <w:rFonts w:ascii="Times" w:hAnsi="Times" w:cs="Times"/>
              </w:rPr>
            </w:pPr>
            <w:r>
              <w:rPr>
                <w:rFonts w:ascii="Times" w:hAnsi="Times" w:cs="Times"/>
              </w:rPr>
              <w:t>Case 2: PDCCH monitoring periodicity of less than 14 symbols</w:t>
            </w:r>
          </w:p>
          <w:p>
            <w:pPr>
              <w:widowControl w:val="0"/>
              <w:numPr>
                <w:ilvl w:val="2"/>
                <w:numId w:val="47"/>
              </w:numPr>
              <w:autoSpaceDE/>
              <w:adjustRightInd/>
              <w:snapToGrid/>
              <w:spacing w:after="0" w:line="240" w:lineRule="auto"/>
              <w:rPr>
                <w:rFonts w:ascii="Times" w:hAnsi="Times" w:cs="Times"/>
              </w:rPr>
            </w:pPr>
            <w:r>
              <w:rPr>
                <w:rFonts w:ascii="Times" w:hAnsi="Times" w:cs="Times"/>
              </w:rPr>
              <w:t>Note: this includes the PDCCH monitoring of up to three OFDM symbols at the beginning of a slot</w:t>
            </w:r>
          </w:p>
          <w:p>
            <w:pPr>
              <w:widowControl w:val="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Sharp</w:t>
            </w:r>
          </w:p>
        </w:tc>
        <w:tc>
          <w:tcPr>
            <w:tcW w:w="12176" w:type="dxa"/>
            <w:vAlign w:val="center"/>
          </w:tcPr>
          <w:p>
            <w:pPr>
              <w:widowControl w:val="0"/>
              <w:rPr>
                <w:lang w:eastAsia="zh-CN"/>
              </w:rPr>
            </w:pPr>
            <w:r>
              <w:rPr>
                <w:rFonts w:eastAsia="MS Mincho"/>
                <w:lang w:eastAsia="ja-JP"/>
              </w:rPr>
              <w:t>S</w:t>
            </w:r>
            <w:r>
              <w:rPr>
                <w:rFonts w:hint="eastAsia" w:eastAsia="MS Mincho"/>
                <w:lang w:eastAsia="ja-JP"/>
              </w:rPr>
              <w:t>upport Interpretation#2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lang w:eastAsia="zh-CN"/>
              </w:rPr>
              <w:t>Huawei/HiSilicon</w:t>
            </w:r>
          </w:p>
        </w:tc>
        <w:tc>
          <w:tcPr>
            <w:tcW w:w="12176" w:type="dxa"/>
            <w:vAlign w:val="center"/>
          </w:tcPr>
          <w:p>
            <w:pPr>
              <w:widowControl w:val="0"/>
              <w:rPr>
                <w:sz w:val="20"/>
                <w:lang w:eastAsia="zh-CN"/>
              </w:rPr>
            </w:pPr>
            <w:r>
              <w:rPr>
                <w:sz w:val="20"/>
                <w:lang w:eastAsia="zh-CN"/>
              </w:rPr>
              <w:t>We think that Interpretation#1 was the original intention of the agreement and follows the wording of FG 3-1.</w:t>
            </w:r>
          </w:p>
          <w:p>
            <w:pPr>
              <w:widowControl w:val="0"/>
              <w:rPr>
                <w:sz w:val="20"/>
                <w:lang w:eastAsia="zh-CN"/>
              </w:rPr>
            </w:pPr>
            <w:r>
              <w:rPr>
                <w:b/>
                <w:sz w:val="20"/>
                <w:lang w:eastAsia="zh-CN"/>
              </w:rPr>
              <w:t xml:space="preserve">To Ericsson: </w:t>
            </w:r>
            <w:r>
              <w:rPr>
                <w:sz w:val="20"/>
                <w:lang w:eastAsia="zh-CN"/>
              </w:rPr>
              <w:t>Maybe I misunderstood your comment but I think Interpretation#1 is closer to your explanation. Would you please clarify further?</w:t>
            </w:r>
          </w:p>
          <w:p>
            <w:pPr>
              <w:widowControl w:val="0"/>
              <w:rPr>
                <w:rFonts w:eastAsia="MS Mincho"/>
                <w:lang w:eastAsia="ja-JP"/>
              </w:rPr>
            </w:pPr>
            <w:r>
              <w:rPr>
                <w:b/>
                <w:sz w:val="20"/>
                <w:lang w:eastAsia="zh-CN"/>
              </w:rPr>
              <w:t>To Samsung:</w:t>
            </w:r>
            <w:r>
              <w:rPr>
                <w:sz w:val="20"/>
                <w:lang w:eastAsia="zh-CN"/>
              </w:rPr>
              <w:t xml:space="preserve"> Actually, we think Interpretation#2 restricts all Group (2) SSs to be configured on the </w:t>
            </w:r>
            <w:r>
              <w:rPr>
                <w:sz w:val="20"/>
                <w:u w:val="single"/>
                <w:lang w:eastAsia="zh-CN"/>
              </w:rPr>
              <w:t>same shared</w:t>
            </w:r>
            <w:r>
              <w:rPr>
                <w:sz w:val="20"/>
                <w:lang w:eastAsia="zh-CN"/>
              </w:rPr>
              <w:t xml:space="preserve"> span in the slot and is not aliged with FG3-1. Clearly, Group (2) SSs in Rel-15 were not restricted to be sharing the same span in the slot.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b/>
                <w:lang w:eastAsia="zh-CN"/>
              </w:rPr>
            </w:pPr>
            <w:r>
              <w:rPr>
                <w:rFonts w:eastAsia="MS Mincho"/>
                <w:lang w:eastAsia="ja-JP"/>
              </w:rPr>
              <w:t>S</w:t>
            </w:r>
            <w:r>
              <w:rPr>
                <w:rFonts w:hint="eastAsia" w:eastAsia="MS Mincho"/>
                <w:lang w:eastAsia="ja-JP"/>
              </w:rPr>
              <w:t>upport Interpretation#2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sz w:val="20"/>
                <w:lang w:eastAsia="zh-CN"/>
              </w:rPr>
              <w:t>v</w:t>
            </w:r>
            <w:r>
              <w:rPr>
                <w:sz w:val="20"/>
                <w:lang w:eastAsia="zh-CN"/>
              </w:rPr>
              <w:t>ivo</w:t>
            </w:r>
          </w:p>
        </w:tc>
        <w:tc>
          <w:tcPr>
            <w:tcW w:w="12176" w:type="dxa"/>
            <w:vAlign w:val="center"/>
          </w:tcPr>
          <w:p>
            <w:pPr>
              <w:widowControl w:val="0"/>
              <w:rPr>
                <w:rFonts w:eastAsia="MS Mincho"/>
                <w:lang w:eastAsia="ja-JP"/>
              </w:rPr>
            </w:pPr>
            <w:r>
              <w:rPr>
                <w:rFonts w:hint="eastAsia"/>
                <w:sz w:val="20"/>
                <w:lang w:eastAsia="zh-CN"/>
              </w:rPr>
              <w:t>W</w:t>
            </w:r>
            <w:r>
              <w:rPr>
                <w:sz w:val="20"/>
                <w:lang w:eastAsia="zh-CN"/>
              </w:rPr>
              <w:t>e support Interpretation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Nokia, NSB</w:t>
            </w:r>
          </w:p>
        </w:tc>
        <w:tc>
          <w:tcPr>
            <w:tcW w:w="12176" w:type="dxa"/>
            <w:vAlign w:val="center"/>
          </w:tcPr>
          <w:p>
            <w:pPr>
              <w:widowControl w:val="0"/>
              <w:rPr>
                <w:bCs/>
                <w:lang w:eastAsia="zh-CN"/>
              </w:rPr>
            </w:pPr>
            <w:r>
              <w:rPr>
                <w:bCs/>
                <w:lang w:eastAsia="zh-CN"/>
              </w:rPr>
              <w:t xml:space="preserve">We think that Interpretation#1 is the correct one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sz w:val="20"/>
                <w:lang w:eastAsia="zh-CN"/>
              </w:rPr>
              <w:t>Intel</w:t>
            </w:r>
          </w:p>
        </w:tc>
        <w:tc>
          <w:tcPr>
            <w:tcW w:w="12176" w:type="dxa"/>
            <w:vAlign w:val="center"/>
          </w:tcPr>
          <w:p>
            <w:pPr>
              <w:widowControl w:val="0"/>
              <w:rPr>
                <w:rFonts w:eastAsia="MS Mincho"/>
                <w:lang w:eastAsia="ja-JP"/>
              </w:rPr>
            </w:pPr>
            <w:r>
              <w:rPr>
                <w:rFonts w:hint="eastAsia"/>
                <w:sz w:val="20"/>
                <w:lang w:eastAsia="zh-CN"/>
              </w:rPr>
              <w:t>W</w:t>
            </w:r>
            <w:r>
              <w:rPr>
                <w:sz w:val="20"/>
                <w:lang w:eastAsia="zh-CN"/>
              </w:rPr>
              <w:t>e support Interpretation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lang w:eastAsia="zh-CN"/>
              </w:rPr>
              <w:t>ZTE, Sanechips</w:t>
            </w:r>
          </w:p>
        </w:tc>
        <w:tc>
          <w:tcPr>
            <w:tcW w:w="12176" w:type="dxa"/>
            <w:vAlign w:val="center"/>
          </w:tcPr>
          <w:p>
            <w:pPr>
              <w:widowControl w:val="0"/>
              <w:rPr>
                <w:sz w:val="20"/>
                <w:lang w:eastAsia="zh-CN"/>
              </w:rPr>
            </w:pPr>
            <w:r>
              <w:rPr>
                <w:rFonts w:hint="eastAsia"/>
                <w:sz w:val="21"/>
                <w:szCs w:val="24"/>
                <w:lang w:eastAsia="zh-CN"/>
              </w:rPr>
              <w:t>We are OK with this proposal and support interpretation#2.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sz w:val="21"/>
                <w:szCs w:val="24"/>
                <w:lang w:eastAsia="zh-CN"/>
              </w:rPr>
            </w:pPr>
            <w:r>
              <w:rPr>
                <w:rFonts w:eastAsia="MS Mincho"/>
                <w:lang w:eastAsia="ja-JP"/>
              </w:rPr>
              <w:t>We share the same understanding as Intel that Interpretation#2 is correct.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lang w:eastAsia="zh-CN"/>
              </w:rPr>
              <w:t>Panasonic</w:t>
            </w:r>
          </w:p>
        </w:tc>
        <w:tc>
          <w:tcPr>
            <w:tcW w:w="12176" w:type="dxa"/>
            <w:vAlign w:val="center"/>
          </w:tcPr>
          <w:p>
            <w:pPr>
              <w:widowControl w:val="0"/>
              <w:rPr>
                <w:rFonts w:eastAsia="MS Mincho"/>
                <w:lang w:eastAsia="ja-JP"/>
              </w:rPr>
            </w:pPr>
            <w:r>
              <w:rPr>
                <w:rFonts w:eastAsia="MS Mincho"/>
                <w:lang w:eastAsia="ja-JP"/>
              </w:rPr>
              <w:t xml:space="preserve">We support Interpretation#2.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rFonts w:eastAsia="MS Mincho"/>
                <w:lang w:eastAsia="ja-JP"/>
              </w:rPr>
            </w:pPr>
            <w:r>
              <w:rPr>
                <w:lang w:eastAsia="zh-CN"/>
              </w:rPr>
              <w:t xml:space="preserve">Our understanding is interpretation #2 or based on the agreement  LG highligted from RAN1 #91, for Group (2) SSs “For a given UE, all search space configurations are within the same span of 3 consecutive OFDM symbols in the slot”. This span may be anywhere within the slot but ALL the Group (2) SSs fall within this span. Having a conclusion on this in the Chairman’s notes will be good to avoid the confusion that we are having now in the future.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lang w:eastAsia="zh-CN"/>
              </w:rPr>
              <w:t>We support Interpretation#2.</w:t>
            </w:r>
          </w:p>
        </w:tc>
      </w:tr>
    </w:tbl>
    <w:tbl>
      <w:tblPr>
        <w:tblStyle w:val="271"/>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lang w:eastAsia="zh-CN"/>
              </w:rPr>
            </w:pPr>
            <w:r>
              <w:rPr>
                <w:lang w:eastAsia="zh-CN"/>
              </w:rPr>
              <w:t>Futurewei</w:t>
            </w:r>
          </w:p>
        </w:tc>
        <w:tc>
          <w:tcPr>
            <w:tcW w:w="12176" w:type="dxa"/>
            <w:vAlign w:val="center"/>
          </w:tcPr>
          <w:p>
            <w:pPr>
              <w:widowControl w:val="0"/>
              <w:spacing w:line="240" w:lineRule="auto"/>
              <w:rPr>
                <w:lang w:eastAsia="zh-CN"/>
              </w:rPr>
            </w:pPr>
            <w:r>
              <w:rPr>
                <w:lang w:eastAsia="zh-CN"/>
              </w:rPr>
              <w:t xml:space="preserve">We think that Interpretation # 1 is correct. We are no aware of any restriction in the spec that requires </w:t>
            </w:r>
            <w:r>
              <w:rPr>
                <w:sz w:val="20"/>
                <w:lang w:eastAsia="zh-CN"/>
              </w:rPr>
              <w:t>all CSSs in Group (2) are within the same 3 symbol span. If the majority’s understanding is different we are open to change   the text in that direction. In any case the text needs clarifications to avoid misinterpretations.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lang w:eastAsia="zh-CN"/>
              </w:rPr>
            </w:pPr>
            <w:r>
              <w:rPr>
                <w:lang w:eastAsia="zh-CN"/>
              </w:rPr>
              <w:t>Lenovo</w:t>
            </w:r>
          </w:p>
        </w:tc>
        <w:tc>
          <w:tcPr>
            <w:tcW w:w="12176" w:type="dxa"/>
            <w:vAlign w:val="center"/>
          </w:tcPr>
          <w:p>
            <w:pPr>
              <w:widowControl w:val="0"/>
              <w:spacing w:line="240" w:lineRule="auto"/>
              <w:rPr>
                <w:lang w:eastAsia="zh-CN"/>
              </w:rPr>
            </w:pPr>
            <w:r>
              <w:rPr>
                <w:lang w:eastAsia="zh-CN"/>
              </w:rPr>
              <w:t>When making the agreement our understanding was Interpretation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lang w:eastAsia="zh-CN"/>
              </w:rPr>
            </w:pPr>
            <w:r>
              <w:rPr>
                <w:lang w:eastAsia="zh-CN"/>
              </w:rPr>
              <w:t>CATT</w:t>
            </w:r>
          </w:p>
        </w:tc>
        <w:tc>
          <w:tcPr>
            <w:tcW w:w="12176" w:type="dxa"/>
            <w:vAlign w:val="center"/>
          </w:tcPr>
          <w:p>
            <w:pPr>
              <w:widowControl w:val="0"/>
              <w:spacing w:line="240" w:lineRule="auto"/>
              <w:rPr>
                <w:lang w:eastAsia="zh-CN"/>
              </w:rPr>
            </w:pPr>
            <w:r>
              <w:rPr>
                <w:rFonts w:hint="eastAsia"/>
                <w:lang w:eastAsia="zh-CN"/>
              </w:rPr>
              <w:t>We support Interpretation#2.</w:t>
            </w:r>
          </w:p>
        </w:tc>
      </w:tr>
    </w:tbl>
    <w:p/>
    <w:p>
      <w:pPr>
        <w:rPr>
          <w:lang w:val="en-GB"/>
        </w:rPr>
      </w:pPr>
      <w:r>
        <w:rPr>
          <w:lang w:val="en-GB"/>
        </w:rPr>
        <w:t>Regarding alignment of Group (2) SSs with Group (1) SSs MSM configurations, several companies have expressed a preference to apply the same periodiicty and duration restriction to both Group (1) and Group (2) SSs, while others don't see a need for imposing any restriction.</w:t>
      </w:r>
    </w:p>
    <w:p>
      <w:pPr>
        <w:rPr>
          <w:b/>
          <w:sz w:val="20"/>
          <w:szCs w:val="20"/>
        </w:rPr>
      </w:pPr>
      <w:r>
        <w:rPr>
          <w:b/>
          <w:sz w:val="20"/>
          <w:szCs w:val="20"/>
          <w:u w:val="single"/>
        </w:rPr>
        <w:t>Proposal A2-2.1</w:t>
      </w:r>
      <w:r>
        <w:rPr>
          <w:b/>
          <w:sz w:val="20"/>
          <w:szCs w:val="20"/>
        </w:rPr>
        <w:t xml:space="preserve"> (see R1-2201735):</w:t>
      </w:r>
    </w:p>
    <w:p>
      <w:pPr>
        <w:pStyle w:val="82"/>
        <w:numPr>
          <w:ilvl w:val="0"/>
          <w:numId w:val="48"/>
        </w:numPr>
        <w:rPr>
          <w:iCs/>
          <w:lang w:eastAsia="zh-CN"/>
        </w:rPr>
      </w:pPr>
      <w:r>
        <w:rPr>
          <w:lang w:val="en-GB"/>
        </w:rPr>
        <w:t xml:space="preserve">For Group(2) SSs, the monitoring periodicity and duration are </w:t>
      </w:r>
      <w:r>
        <w:rPr>
          <w:u w:val="single"/>
          <w:lang w:val="en-GB"/>
        </w:rPr>
        <w:t>not</w:t>
      </w:r>
      <w:r>
        <w:rPr>
          <w:lang w:val="en-GB"/>
        </w:rPr>
        <w:t xml:space="preserve"> restricted to be integer multiples of Xs slots.</w:t>
      </w:r>
    </w:p>
    <w:p>
      <w:pPr>
        <w:pStyle w:val="82"/>
        <w:numPr>
          <w:ilvl w:val="0"/>
          <w:numId w:val="48"/>
        </w:numPr>
        <w:rPr>
          <w:iCs/>
          <w:lang w:eastAsia="zh-CN"/>
        </w:rPr>
      </w:pPr>
      <w:r>
        <w:rPr>
          <w:lang w:val="en-GB"/>
        </w:rPr>
        <w:t xml:space="preserve">For Group(2) SSs, the slots indicated by the bitmap </w:t>
      </w:r>
      <w:r>
        <w:rPr>
          <w:i/>
          <w:iCs/>
          <w:lang w:val="en-GB"/>
        </w:rPr>
        <w:t>monitoringSlotsWithinSlotGroup-r17</w:t>
      </w:r>
      <w:r>
        <w:rPr>
          <w:lang w:val="en-GB"/>
        </w:rPr>
        <w:t xml:space="preserve"> are </w:t>
      </w:r>
      <w:r>
        <w:rPr>
          <w:u w:val="single"/>
          <w:lang w:val="en-GB"/>
        </w:rPr>
        <w:t>not</w:t>
      </w:r>
      <w:r>
        <w:rPr>
          <w:lang w:val="en-GB"/>
        </w:rPr>
        <w:t xml:space="preserve"> restricted to be consecutive.</w:t>
      </w:r>
    </w:p>
    <w:p>
      <w:pPr>
        <w:rPr>
          <w:b/>
          <w:sz w:val="20"/>
          <w:szCs w:val="20"/>
          <w:highlight w:val="yellow"/>
          <w:u w:val="single"/>
        </w:rPr>
      </w:pPr>
    </w:p>
    <w:p>
      <w:pPr>
        <w:rPr>
          <w:bCs/>
          <w:iCs/>
          <w:color w:val="000000"/>
          <w:sz w:val="21"/>
          <w:szCs w:val="21"/>
        </w:rPr>
      </w:pPr>
      <w:r>
        <w:rPr>
          <w:b/>
          <w:sz w:val="20"/>
          <w:szCs w:val="20"/>
          <w:u w:val="single"/>
        </w:rPr>
        <w:t>Proposal A2-2.2</w:t>
      </w:r>
      <w:r>
        <w:rPr>
          <w:b/>
          <w:sz w:val="20"/>
          <w:szCs w:val="20"/>
        </w:rPr>
        <w:t>:</w:t>
      </w:r>
      <w:r>
        <w:rPr>
          <w:b/>
          <w:iCs/>
          <w:sz w:val="20"/>
          <w:szCs w:val="20"/>
        </w:rPr>
        <w:t xml:space="preserve"> </w:t>
      </w:r>
      <w:r>
        <w:rPr>
          <w:bCs/>
          <w:iCs/>
          <w:szCs w:val="21"/>
        </w:rPr>
        <w:t xml:space="preserve">The configured periodicity and duration for Group (2) SSs is restricted to be an integer multiple of </w:t>
      </w:r>
      <m:oMath>
        <m:sSub>
          <m:sSubPr>
            <m:ctrlPr>
              <w:rPr>
                <w:rFonts w:ascii="Cambria Math" w:hAnsi="Cambria Math"/>
                <w:bCs/>
                <w:iCs/>
                <w:szCs w:val="21"/>
              </w:rPr>
            </m:ctrlPr>
          </m:sSubPr>
          <m:e>
            <m:r>
              <m:rPr>
                <m:sty m:val="p"/>
              </m:rPr>
              <w:rPr>
                <w:rFonts w:ascii="Cambria Math" w:hAnsi="Cambria Math"/>
                <w:szCs w:val="21"/>
              </w:rPr>
              <m:t>X</m:t>
            </m:r>
            <m:ctrlPr>
              <w:rPr>
                <w:rFonts w:ascii="Cambria Math" w:hAnsi="Cambria Math"/>
                <w:bCs/>
                <w:iCs/>
                <w:szCs w:val="21"/>
              </w:rPr>
            </m:ctrlPr>
          </m:e>
          <m:sub>
            <m:r>
              <m:rPr>
                <m:sty m:val="p"/>
              </m:rPr>
              <w:rPr>
                <w:rFonts w:ascii="Cambria Math" w:hAnsi="Cambria Math"/>
                <w:szCs w:val="21"/>
              </w:rPr>
              <m:t>s</m:t>
            </m:r>
            <m:ctrlPr>
              <w:rPr>
                <w:rFonts w:ascii="Cambria Math" w:hAnsi="Cambria Math"/>
                <w:bCs/>
                <w:iCs/>
                <w:szCs w:val="21"/>
              </w:rPr>
            </m:ctrlPr>
          </m:sub>
        </m:sSub>
      </m:oMath>
      <w:r>
        <w:rPr>
          <w:bCs/>
          <w:iCs/>
          <w:szCs w:val="21"/>
        </w:rPr>
        <w:t xml:space="preserve"> slots (as for Group (1) SSs).</w:t>
      </w:r>
      <w:r>
        <w:rPr>
          <w:bCs/>
          <w:iCs/>
          <w:color w:val="000000"/>
          <w:sz w:val="21"/>
          <w:szCs w:val="21"/>
        </w:rPr>
        <w:t xml:space="preserve"> </w:t>
      </w:r>
    </w:p>
    <w:p>
      <w:pPr>
        <w:rPr>
          <w:bCs/>
          <w:sz w:val="20"/>
          <w:szCs w:val="20"/>
        </w:rPr>
      </w:pPr>
      <w:r>
        <w:rPr>
          <w:b/>
          <w:sz w:val="20"/>
          <w:szCs w:val="20"/>
          <w:u w:val="single"/>
        </w:rPr>
        <w:t>Proposal A2-2.3</w:t>
      </w:r>
      <w:r>
        <w:rPr>
          <w:b/>
          <w:sz w:val="20"/>
          <w:szCs w:val="20"/>
        </w:rPr>
        <w:t xml:space="preserve"> (see R1-2201765):</w:t>
      </w:r>
      <w:r>
        <w:t xml:space="preserve"> </w:t>
      </w:r>
      <w:r>
        <w:rPr>
          <w:bCs/>
          <w:sz w:val="20"/>
          <w:szCs w:val="20"/>
        </w:rPr>
        <w:t>To limit the complexity based on the Group (2) SS location across multiple slot groups, one or more of the following could be considered:</w:t>
      </w:r>
    </w:p>
    <w:p>
      <w:pPr>
        <w:pStyle w:val="82"/>
        <w:numPr>
          <w:ilvl w:val="0"/>
          <w:numId w:val="48"/>
        </w:numPr>
        <w:rPr>
          <w:iCs/>
          <w:lang w:eastAsia="zh-CN"/>
        </w:rPr>
      </w:pPr>
      <w:r>
        <w:rPr>
          <w:lang w:val="en-GB"/>
        </w:rPr>
        <w:t>Group (2) SSs could be placed within the same slot group</w:t>
      </w:r>
    </w:p>
    <w:p>
      <w:pPr>
        <w:pStyle w:val="82"/>
        <w:numPr>
          <w:ilvl w:val="0"/>
          <w:numId w:val="48"/>
        </w:numPr>
        <w:rPr>
          <w:iCs/>
          <w:lang w:eastAsia="zh-CN"/>
        </w:rPr>
      </w:pPr>
      <w:r>
        <w:rPr>
          <w:lang w:val="en-GB"/>
        </w:rPr>
        <w:t>If spread across multiple slot groups, for CSSs Type 0 (SIB1), Type 0A (SIBx) and Type 2 (Paging), the CSS periodicity for 480 kHz and 960 kHz should not be shorter than that for 120 kHz to ensure that the wake-up period is intermittent and limit the impact on the UE’s power consumption.</w:t>
      </w:r>
    </w:p>
    <w:p>
      <w:pPr>
        <w:pStyle w:val="82"/>
        <w:numPr>
          <w:ilvl w:val="0"/>
          <w:numId w:val="48"/>
        </w:numPr>
        <w:rPr>
          <w:iCs/>
          <w:lang w:eastAsia="zh-CN"/>
        </w:rPr>
      </w:pPr>
      <w:r>
        <w:rPr>
          <w:iCs/>
          <w:lang w:eastAsia="zh-CN"/>
        </w:rPr>
        <w:t>Limit the number of times a Group (2) SS may be configured within a duration of M slot groups e.g. N SSs within M slot-groups where the N SSs are in consecutive slot groups</w:t>
      </w:r>
    </w:p>
    <w:p>
      <w:pPr>
        <w:rPr>
          <w:iCs/>
          <w:lang w:eastAsia="zh-CN"/>
        </w:rPr>
      </w:pPr>
    </w:p>
    <w:p>
      <w:pPr>
        <w:pStyle w:val="27"/>
        <w:spacing w:after="0"/>
      </w:pPr>
      <w:r>
        <w:rPr>
          <w:u w:val="single"/>
        </w:rPr>
        <w:t>Proposal A2-2.4</w:t>
      </w:r>
      <w:r>
        <w:t xml:space="preserve"> (see R1-2202130):</w:t>
      </w:r>
    </w:p>
    <w:p>
      <w:pPr>
        <w:pStyle w:val="27"/>
        <w:numPr>
          <w:ilvl w:val="0"/>
          <w:numId w:val="49"/>
        </w:numPr>
        <w:spacing w:after="0"/>
        <w:rPr>
          <w:b w:val="0"/>
          <w:bCs w:val="0"/>
        </w:rPr>
      </w:pPr>
      <w:r>
        <w:rPr>
          <w:b w:val="0"/>
          <w:bCs w:val="0"/>
        </w:rPr>
        <w:t>For Type1 CSS without dedicated RRC configuration and for Type0, 0A, and 2 CSS, the monitoring occasion can be any OFDM symbol(s) within a slot, with the monitoring occasions for any of Type1 CSS without dedicated RRC configuration, or Types0, 0A, or 2 CSS configurations within a single span of three consecutive OFDM symbols within a slot group of X0 slots.</w:t>
      </w:r>
    </w:p>
    <w:p>
      <w:pPr>
        <w:pStyle w:val="27"/>
        <w:numPr>
          <w:ilvl w:val="1"/>
          <w:numId w:val="49"/>
        </w:numPr>
        <w:spacing w:after="0"/>
        <w:rPr>
          <w:b w:val="0"/>
          <w:bCs w:val="0"/>
        </w:rPr>
      </w:pPr>
      <w:r>
        <w:rPr>
          <w:b w:val="0"/>
          <w:bCs w:val="0"/>
        </w:rPr>
        <w:t>X0 = 4 for 480 kHz SCS and X0 = 8 for 960 kHz SCS</w:t>
      </w:r>
    </w:p>
    <w:p>
      <w:pPr>
        <w:rPr>
          <w:lang w:eastAsia="zh-CN"/>
        </w:rPr>
      </w:pPr>
    </w:p>
    <w:p>
      <w:pPr>
        <w:spacing w:after="0"/>
        <w:rPr>
          <w:b/>
          <w:sz w:val="20"/>
          <w:szCs w:val="20"/>
        </w:rPr>
      </w:pPr>
      <w:r>
        <w:rPr>
          <w:b/>
          <w:sz w:val="20"/>
          <w:szCs w:val="20"/>
        </w:rPr>
        <w:t>Please state whether you support one or more of the proposals above.</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So far, we didn’t see an essential need to introduce limitation on Group (2) SS sets, and it may be better to clarify the issue of existing search space configuration to be applied to multi-slot PDCCH monitoring.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Ericsson</w:t>
            </w:r>
          </w:p>
        </w:tc>
        <w:tc>
          <w:tcPr>
            <w:tcW w:w="12176" w:type="dxa"/>
            <w:vAlign w:val="center"/>
          </w:tcPr>
          <w:p>
            <w:pPr>
              <w:widowControl w:val="0"/>
              <w:rPr>
                <w:sz w:val="20"/>
                <w:lang w:eastAsia="zh-CN"/>
              </w:rPr>
            </w:pPr>
            <w:r>
              <w:rPr>
                <w:sz w:val="20"/>
                <w:lang w:eastAsia="zh-CN"/>
              </w:rPr>
              <w:t>In our contribution, we proposed that there should be no restriction for Group (2) SS sets, i.e., periodicity, offset, and duration need not be restricted to integer multiple of Xs.</w:t>
            </w:r>
          </w:p>
          <w:p>
            <w:pPr>
              <w:widowControl w:val="0"/>
              <w:rPr>
                <w:sz w:val="20"/>
                <w:lang w:eastAsia="zh-CN"/>
              </w:rPr>
            </w:pPr>
            <w:r>
              <w:rPr>
                <w:sz w:val="20"/>
                <w:lang w:eastAsia="zh-CN"/>
              </w:rPr>
              <w:t>However, as we pointed out in Issue A2-1, if the following bullets from the FL proposal areagreed:</w:t>
            </w:r>
          </w:p>
          <w:p>
            <w:pPr>
              <w:widowControl w:val="0"/>
              <w:numPr>
                <w:ilvl w:val="3"/>
                <w:numId w:val="28"/>
              </w:numPr>
              <w:overflowPunct w:val="0"/>
              <w:ind w:left="3305"/>
              <w:textAlignment w:val="baseline"/>
              <w:rPr>
                <w:rFonts w:ascii="Times" w:hAnsi="Times" w:eastAsia="Batang"/>
                <w:sz w:val="20"/>
                <w:szCs w:val="24"/>
              </w:rPr>
            </w:pPr>
            <w:r>
              <w:rPr>
                <w:rFonts w:ascii="Times" w:hAnsi="Times" w:eastAsia="Batang"/>
                <w:sz w:val="20"/>
                <w:szCs w:val="24"/>
              </w:rPr>
              <w:t>{</w:t>
            </w:r>
            <w:r>
              <w:rPr>
                <w:rFonts w:ascii="Times" w:hAnsi="Times" w:eastAsia="Batang"/>
                <w:strike/>
                <w:color w:val="FF0000"/>
                <w:sz w:val="20"/>
                <w:szCs w:val="24"/>
              </w:rPr>
              <w:t>1,2,</w:t>
            </w:r>
            <w:r>
              <w:rPr>
                <w:rFonts w:ascii="Times" w:hAnsi="Times" w:eastAsia="Batang"/>
                <w:sz w:val="20"/>
                <w:szCs w:val="24"/>
              </w:rPr>
              <w:t>4,</w:t>
            </w:r>
            <w:r>
              <w:rPr>
                <w:rFonts w:ascii="Times" w:hAnsi="Times" w:eastAsia="Batang"/>
                <w:strike/>
                <w:color w:val="FF0000"/>
                <w:sz w:val="20"/>
                <w:szCs w:val="24"/>
              </w:rPr>
              <w:t>5,</w:t>
            </w:r>
            <w:r>
              <w:rPr>
                <w:rFonts w:ascii="Times" w:hAnsi="Times" w:eastAsia="Batang"/>
                <w:sz w:val="20"/>
                <w:szCs w:val="24"/>
              </w:rPr>
              <w:t>8,</w:t>
            </w:r>
            <w:r>
              <w:rPr>
                <w:rFonts w:ascii="Times" w:hAnsi="Times" w:eastAsia="Batang"/>
                <w:strike/>
                <w:color w:val="FF0000"/>
                <w:sz w:val="20"/>
                <w:szCs w:val="24"/>
              </w:rPr>
              <w:t>10,</w:t>
            </w:r>
            <w:r>
              <w:rPr>
                <w:rFonts w:ascii="Times" w:hAnsi="Times" w:eastAsia="Batang"/>
                <w:sz w:val="20"/>
                <w:szCs w:val="24"/>
              </w:rPr>
              <w:t>16,20,32,40,64,80,128,160,320,640,1280,2560,5120,10240,20480}</w:t>
            </w:r>
          </w:p>
          <w:p>
            <w:pPr>
              <w:widowControl w:val="0"/>
              <w:numPr>
                <w:ilvl w:val="3"/>
                <w:numId w:val="28"/>
              </w:numPr>
              <w:overflowPunct w:val="0"/>
              <w:ind w:left="3305"/>
              <w:textAlignment w:val="baseline"/>
              <w:rPr>
                <w:rFonts w:ascii="Times" w:hAnsi="Times" w:eastAsia="Batang"/>
                <w:sz w:val="20"/>
                <w:szCs w:val="24"/>
                <w:lang w:val="nl-NL"/>
              </w:rPr>
            </w:pPr>
            <w:r>
              <w:rPr>
                <w:rFonts w:ascii="Times" w:hAnsi="Times" w:eastAsia="Batang"/>
                <w:sz w:val="20"/>
                <w:szCs w:val="24"/>
              </w:rPr>
              <w:t xml:space="preserve">The value range for the offset O is </w:t>
            </w:r>
            <w:r>
              <w:rPr>
                <w:rFonts w:ascii="Times" w:hAnsi="Times" w:eastAsia="Batang"/>
                <w:strike/>
                <w:color w:val="FF0000"/>
                <w:sz w:val="20"/>
                <w:szCs w:val="24"/>
              </w:rPr>
              <w:t xml:space="preserve">{0 .. </w:t>
            </w:r>
            <w:r>
              <w:rPr>
                <w:rFonts w:ascii="Times" w:hAnsi="Times" w:eastAsia="Batang"/>
                <w:strike/>
                <w:color w:val="FF0000"/>
                <w:sz w:val="20"/>
                <w:szCs w:val="24"/>
                <w:lang w:val="nl-NL"/>
              </w:rPr>
              <w:t>Xp-1}</w:t>
            </w:r>
            <w:r>
              <w:rPr>
                <w:rFonts w:ascii="Times" w:hAnsi="Times" w:eastAsia="Batang"/>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ctrlPr>
                            <w:rPr>
                              <w:rFonts w:ascii="Cambria Math" w:hAnsi="Cambria Math"/>
                              <w:b/>
                              <w:bCs/>
                              <w:i/>
                              <w:color w:val="FF0000"/>
                            </w:rPr>
                          </m:ctrlPr>
                        </m:e>
                        <m:sub>
                          <m:r>
                            <m:rPr>
                              <m:sty m:val="bi"/>
                            </m:rPr>
                            <w:rPr>
                              <w:rFonts w:ascii="Cambria Math" w:hAnsi="Cambria Math"/>
                              <w:color w:val="FF0000"/>
                            </w:rPr>
                            <m:t>p</m:t>
                          </m:r>
                          <m:ctrlPr>
                            <w:rPr>
                              <w:rFonts w:ascii="Cambria Math" w:hAnsi="Cambria Math"/>
                              <w:b/>
                              <w:bCs/>
                              <w:i/>
                              <w:color w:val="FF0000"/>
                            </w:rPr>
                          </m:ctrlP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ctrlPr>
                        <w:rPr>
                          <w:rFonts w:ascii="Cambria Math" w:hAnsi="Cambria Math"/>
                          <w:b/>
                          <w:bCs/>
                          <w:i/>
                          <w:color w:val="FF0000"/>
                        </w:rPr>
                      </m:ctrlPr>
                    </m:num>
                    <m:den>
                      <m:r>
                        <m:rPr>
                          <m:sty m:val="bi"/>
                        </m:rPr>
                        <w:rPr>
                          <w:rFonts w:ascii="Cambria Math" w:hAnsi="Cambria Math"/>
                          <w:color w:val="FF0000"/>
                        </w:rPr>
                        <m:t>4</m:t>
                      </m:r>
                      <m:ctrlPr>
                        <w:rPr>
                          <w:rFonts w:ascii="Cambria Math" w:hAnsi="Cambria Math"/>
                          <w:b/>
                          <w:bCs/>
                          <w:i/>
                          <w:color w:val="FF0000"/>
                        </w:rPr>
                      </m:ctrlPr>
                    </m:den>
                  </m:f>
                  <m:ctrlPr>
                    <w:rPr>
                      <w:rFonts w:ascii="Cambria Math" w:hAnsi="Cambria Math"/>
                      <w:b/>
                      <w:bCs/>
                      <w:i/>
                      <w:color w:val="FF0000"/>
                    </w:rPr>
                  </m:ctrlPr>
                </m:e>
              </m:d>
            </m:oMath>
            <w:r>
              <w:rPr>
                <w:rFonts w:ascii="Times" w:hAnsi="Times" w:eastAsia="Batang"/>
                <w:color w:val="FF0000"/>
                <w:sz w:val="20"/>
                <w:szCs w:val="24"/>
                <w:lang w:val="nl-NL"/>
              </w:rPr>
              <w:t xml:space="preserve">} </w:t>
            </w:r>
            <w:r>
              <w:rPr>
                <w:rFonts w:ascii="Times" w:hAnsi="Times" w:eastAsia="Batang"/>
                <w:sz w:val="20"/>
                <w:szCs w:val="24"/>
                <w:lang w:val="nl-NL"/>
              </w:rPr>
              <w:t>slots</w:t>
            </w:r>
          </w:p>
          <w:p>
            <w:pPr>
              <w:widowControl w:val="0"/>
              <w:numPr>
                <w:ilvl w:val="2"/>
                <w:numId w:val="28"/>
              </w:numPr>
              <w:overflowPunct w:val="0"/>
              <w:ind w:left="2585"/>
              <w:textAlignment w:val="baseline"/>
              <w:rPr>
                <w:rFonts w:ascii="Times" w:hAnsi="Times" w:eastAsia="Batang"/>
                <w:color w:val="FF0000"/>
                <w:sz w:val="20"/>
                <w:szCs w:val="24"/>
              </w:rPr>
            </w:pPr>
            <w:r>
              <w:rPr>
                <w:rFonts w:ascii="Times" w:hAnsi="Times" w:eastAsia="Batang"/>
                <w:color w:val="FF0000"/>
                <w:sz w:val="20"/>
                <w:szCs w:val="24"/>
              </w:rPr>
              <w:t>The configured offset is restricted to be an integer multiple of Xs slots</w:t>
            </w:r>
          </w:p>
          <w:p>
            <w:pPr>
              <w:widowControl w:val="0"/>
              <w:overflowPunct w:val="0"/>
              <w:textAlignment w:val="baseline"/>
              <w:rPr>
                <w:rFonts w:ascii="Times" w:hAnsi="Times" w:eastAsia="Batang"/>
                <w:sz w:val="20"/>
                <w:szCs w:val="24"/>
              </w:rPr>
            </w:pPr>
            <w:r>
              <w:rPr>
                <w:rFonts w:ascii="Times" w:hAnsi="Times" w:eastAsia="Batang"/>
                <w:sz w:val="20"/>
                <w:szCs w:val="24"/>
              </w:rPr>
              <w:t xml:space="preserve">then it would effectively mean that both the periodicity and offset are restricted to an integer multiple of Xs slots, </w:t>
            </w:r>
            <w:r>
              <w:rPr>
                <w:rFonts w:ascii="Times" w:hAnsi="Times" w:eastAsia="Batang"/>
                <w:sz w:val="20"/>
                <w:szCs w:val="24"/>
                <w:u w:val="single"/>
              </w:rPr>
              <w:t>even for Group (2) SSs</w:t>
            </w:r>
            <w:r>
              <w:rPr>
                <w:rFonts w:ascii="Times" w:hAnsi="Times" w:eastAsia="Batang"/>
                <w:sz w:val="20"/>
                <w:szCs w:val="24"/>
              </w:rPr>
              <w:t xml:space="preserve">. We can be okay to that, but ONLY if it is simultaneously agreed that for Group (2), </w:t>
            </w:r>
            <w:r>
              <w:rPr>
                <w:rFonts w:ascii="Times" w:hAnsi="Times" w:eastAsia="Batang"/>
                <w:i/>
                <w:iCs/>
                <w:sz w:val="20"/>
                <w:szCs w:val="24"/>
              </w:rPr>
              <w:t>monitoringSlotsWithinSlotGroup</w:t>
            </w:r>
            <w:r>
              <w:rPr>
                <w:rFonts w:ascii="Times" w:hAnsi="Times" w:eastAsia="Batang"/>
                <w:sz w:val="20"/>
                <w:szCs w:val="24"/>
              </w:rPr>
              <w:t xml:space="preserve"> has no restriction on the number of '1's and position of '1's in the bitmap so as to be compliant with the following agreement from last meeting:</w:t>
            </w:r>
          </w:p>
          <w:p>
            <w:pPr>
              <w:widowControl w:val="0"/>
              <w:autoSpaceDE/>
              <w:autoSpaceDN/>
              <w:adjustRightInd/>
              <w:snapToGrid/>
              <w:spacing w:after="0" w:line="240" w:lineRule="auto"/>
              <w:ind w:left="142"/>
              <w:rPr>
                <w:rFonts w:eastAsia="Batang"/>
                <w:b/>
                <w:sz w:val="20"/>
                <w:szCs w:val="20"/>
                <w:lang w:val="en-GB"/>
              </w:rPr>
            </w:pPr>
            <w:r>
              <w:rPr>
                <w:rFonts w:eastAsia="Batang"/>
                <w:b/>
                <w:sz w:val="20"/>
                <w:szCs w:val="20"/>
                <w:highlight w:val="green"/>
                <w:lang w:val="en-GB"/>
              </w:rPr>
              <w:t>Agreement</w:t>
            </w:r>
          </w:p>
          <w:p>
            <w:pPr>
              <w:widowControl w:val="0"/>
              <w:autoSpaceDE/>
              <w:autoSpaceDN/>
              <w:adjustRightInd/>
              <w:snapToGrid/>
              <w:spacing w:after="0" w:line="240" w:lineRule="auto"/>
              <w:ind w:left="142"/>
              <w:rPr>
                <w:rFonts w:eastAsia="Batang"/>
                <w:sz w:val="20"/>
                <w:szCs w:val="20"/>
                <w:lang w:eastAsia="zh-CN"/>
              </w:rPr>
            </w:pPr>
            <w:r>
              <w:rPr>
                <w:rFonts w:eastAsia="Batang"/>
                <w:sz w:val="20"/>
                <w:szCs w:val="20"/>
                <w:lang w:eastAsia="zh-CN"/>
              </w:rPr>
              <w:t>Clarify earlier agreement as follows:</w:t>
            </w:r>
          </w:p>
          <w:p>
            <w:pPr>
              <w:widowControl w:val="0"/>
              <w:numPr>
                <w:ilvl w:val="0"/>
                <w:numId w:val="30"/>
              </w:numPr>
              <w:overflowPunct w:val="0"/>
              <w:autoSpaceDE/>
              <w:autoSpaceDN/>
              <w:adjustRightInd/>
              <w:snapToGrid/>
              <w:spacing w:after="0" w:line="252" w:lineRule="auto"/>
              <w:ind w:left="915"/>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within each of the Xs slots of a slot-group</w:t>
            </w:r>
            <w:r>
              <w:rPr>
                <w:rFonts w:eastAsia="Batang"/>
                <w:sz w:val="20"/>
                <w:szCs w:val="20"/>
                <w:lang w:eastAsia="zh-CN"/>
              </w:rPr>
              <w:t>, such that:</w:t>
            </w:r>
          </w:p>
          <w:p>
            <w:pPr>
              <w:widowControl w:val="0"/>
              <w:numPr>
                <w:ilvl w:val="1"/>
                <w:numId w:val="30"/>
              </w:numPr>
              <w:overflowPunct w:val="0"/>
              <w:autoSpaceDE/>
              <w:autoSpaceDN/>
              <w:adjustRightInd/>
              <w:snapToGrid/>
              <w:spacing w:after="0" w:line="252" w:lineRule="auto"/>
              <w:ind w:left="1635"/>
              <w:jc w:val="both"/>
              <w:rPr>
                <w:rFonts w:eastAsia="Batang"/>
                <w:sz w:val="20"/>
                <w:szCs w:val="20"/>
                <w:lang w:eastAsia="zh-CN"/>
              </w:rPr>
            </w:pPr>
            <w:r>
              <w:rPr>
                <w:rFonts w:eastAsia="Batang"/>
                <w:sz w:val="20"/>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pPr>
              <w:widowControl w:val="0"/>
              <w:overflowPunct w:val="0"/>
              <w:textAlignment w:val="baseline"/>
              <w:rPr>
                <w:rFonts w:ascii="Times" w:hAnsi="Times" w:eastAsia="Batang"/>
                <w:sz w:val="20"/>
                <w:szCs w:val="24"/>
              </w:rPr>
            </w:pPr>
          </w:p>
          <w:p>
            <w:pPr>
              <w:widowControl w:val="0"/>
              <w:overflowPunct w:val="0"/>
              <w:textAlignment w:val="baseline"/>
              <w:rPr>
                <w:rFonts w:ascii="Times" w:hAnsi="Times" w:eastAsia="Batang"/>
                <w:sz w:val="20"/>
                <w:szCs w:val="24"/>
              </w:rPr>
            </w:pPr>
            <w:r>
              <w:rPr>
                <w:rFonts w:ascii="Times" w:hAnsi="Times" w:eastAsia="Batang"/>
                <w:sz w:val="20"/>
                <w:szCs w:val="24"/>
              </w:rPr>
              <w:t xml:space="preserve">Hence we can agree to impose restrictions on periodicity, offset, and duration only if the following is </w:t>
            </w:r>
            <w:r>
              <w:rPr>
                <w:rFonts w:ascii="Times" w:hAnsi="Times" w:eastAsia="Batang"/>
                <w:color w:val="0070C0"/>
                <w:sz w:val="20"/>
                <w:szCs w:val="24"/>
              </w:rPr>
              <w:t>added</w:t>
            </w:r>
            <w:r>
              <w:rPr>
                <w:rFonts w:ascii="Times" w:hAnsi="Times" w:eastAsia="Batang"/>
                <w:sz w:val="20"/>
                <w:szCs w:val="24"/>
              </w:rPr>
              <w:t>:</w:t>
            </w:r>
          </w:p>
          <w:p>
            <w:pPr>
              <w:widowControl w:val="0"/>
              <w:numPr>
                <w:ilvl w:val="2"/>
                <w:numId w:val="28"/>
              </w:numPr>
              <w:overflowPunct w:val="0"/>
              <w:ind w:left="1735"/>
              <w:textAlignment w:val="baseline"/>
              <w:rPr>
                <w:rFonts w:ascii="Times" w:hAnsi="Times" w:eastAsia="Batang"/>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ctrlPr>
                    <w:rPr>
                      <w:rFonts w:ascii="Cambria Math" w:hAnsi="Cambria Math"/>
                      <w:bCs/>
                      <w:i/>
                      <w:color w:val="FF0000"/>
                      <w:sz w:val="20"/>
                      <w:szCs w:val="20"/>
                    </w:rPr>
                  </m:ctrlPr>
                </m:e>
                <m:sub>
                  <m:r>
                    <w:rPr>
                      <w:rFonts w:ascii="Cambria Math" w:hAnsi="Cambria Math"/>
                      <w:color w:val="FF0000"/>
                      <w:sz w:val="20"/>
                      <w:szCs w:val="20"/>
                    </w:rPr>
                    <m:t>s</m:t>
                  </m:r>
                  <m:ctrlPr>
                    <w:rPr>
                      <w:rFonts w:ascii="Cambria Math" w:hAnsi="Cambria Math"/>
                      <w:bCs/>
                      <w:i/>
                      <w:color w:val="FF0000"/>
                      <w:sz w:val="20"/>
                      <w:szCs w:val="20"/>
                    </w:rPr>
                  </m:ctrlPr>
                </m:sub>
              </m:sSub>
            </m:oMath>
            <w:r>
              <w:rPr>
                <w:bCs/>
                <w:color w:val="FF0000"/>
                <w:sz w:val="20"/>
                <w:szCs w:val="20"/>
              </w:rPr>
              <w:t xml:space="preserve"> </w:t>
            </w:r>
            <w:r>
              <w:rPr>
                <w:rFonts w:ascii="Times" w:hAnsi="Times" w:eastAsia="Batang"/>
                <w:color w:val="FF0000"/>
                <w:sz w:val="20"/>
                <w:szCs w:val="24"/>
              </w:rPr>
              <w:t>at least for Group (1) SSs</w:t>
            </w:r>
          </w:p>
          <w:p>
            <w:pPr>
              <w:widowControl w:val="0"/>
              <w:numPr>
                <w:ilvl w:val="2"/>
                <w:numId w:val="28"/>
              </w:numPr>
              <w:overflowPunct w:val="0"/>
              <w:ind w:left="1735"/>
              <w:textAlignment w:val="baseline"/>
              <w:rPr>
                <w:rFonts w:ascii="Times" w:hAnsi="Times" w:eastAsia="Batang"/>
                <w:color w:val="0070C0"/>
                <w:sz w:val="20"/>
                <w:szCs w:val="24"/>
              </w:rPr>
            </w:pPr>
            <w:r>
              <w:rPr>
                <w:rFonts w:ascii="Times" w:hAnsi="Times" w:eastAsia="Batang"/>
                <w:color w:val="0070C0"/>
                <w:sz w:val="20"/>
                <w:szCs w:val="24"/>
              </w:rPr>
              <w:t xml:space="preserve">The number of 1s in </w:t>
            </w:r>
            <w:r>
              <w:rPr>
                <w:rFonts w:ascii="Times" w:hAnsi="Times"/>
                <w:i/>
                <w:iCs/>
                <w:color w:val="0070C0"/>
                <w:sz w:val="20"/>
                <w:szCs w:val="24"/>
              </w:rPr>
              <w:t>monitoringSlotsWithinSlotGroup-r17</w:t>
            </w:r>
            <w:r>
              <w:rPr>
                <w:bCs/>
                <w:color w:val="0070C0"/>
                <w:sz w:val="20"/>
                <w:szCs w:val="20"/>
              </w:rPr>
              <w:t xml:space="preserve"> can be up to </w:t>
            </w:r>
            <m:oMath>
              <m:sSub>
                <m:sSubPr>
                  <m:ctrlPr>
                    <w:rPr>
                      <w:rFonts w:ascii="Cambria Math" w:hAnsi="Cambria Math"/>
                      <w:bCs/>
                      <w:i/>
                      <w:color w:val="0070C0"/>
                      <w:sz w:val="20"/>
                      <w:szCs w:val="20"/>
                    </w:rPr>
                  </m:ctrlPr>
                </m:sSubPr>
                <m:e>
                  <m:r>
                    <w:rPr>
                      <w:rFonts w:ascii="Cambria Math" w:hAnsi="Cambria Math"/>
                      <w:color w:val="0070C0"/>
                      <w:sz w:val="20"/>
                      <w:szCs w:val="20"/>
                    </w:rPr>
                    <m:t>X</m:t>
                  </m:r>
                  <m:ctrlPr>
                    <w:rPr>
                      <w:rFonts w:ascii="Cambria Math" w:hAnsi="Cambria Math"/>
                      <w:bCs/>
                      <w:i/>
                      <w:color w:val="0070C0"/>
                      <w:sz w:val="20"/>
                      <w:szCs w:val="20"/>
                    </w:rPr>
                  </m:ctrlPr>
                </m:e>
                <m:sub>
                  <m:r>
                    <w:rPr>
                      <w:rFonts w:ascii="Cambria Math" w:hAnsi="Cambria Math"/>
                      <w:color w:val="0070C0"/>
                      <w:sz w:val="20"/>
                      <w:szCs w:val="20"/>
                    </w:rPr>
                    <m:t>s</m:t>
                  </m:r>
                  <m:ctrlPr>
                    <w:rPr>
                      <w:rFonts w:ascii="Cambria Math" w:hAnsi="Cambria Math"/>
                      <w:bCs/>
                      <w:i/>
                      <w:color w:val="0070C0"/>
                      <w:sz w:val="20"/>
                      <w:szCs w:val="20"/>
                    </w:rPr>
                  </m:ctrlPr>
                </m:sub>
              </m:sSub>
            </m:oMath>
            <w:r>
              <w:rPr>
                <w:bCs/>
                <w:color w:val="0070C0"/>
                <w:sz w:val="20"/>
                <w:szCs w:val="20"/>
              </w:rPr>
              <w:t xml:space="preserve"> </w:t>
            </w:r>
            <w:r>
              <w:rPr>
                <w:rFonts w:ascii="Times" w:hAnsi="Times" w:eastAsia="Batang"/>
                <w:color w:val="0070C0"/>
                <w:sz w:val="20"/>
                <w:szCs w:val="24"/>
              </w:rPr>
              <w:t>for Group (2) SSs and are not restricted to be consecutive</w:t>
            </w:r>
          </w:p>
          <w:p>
            <w:pPr>
              <w:widowControl w:val="0"/>
              <w:rPr>
                <w:sz w:val="20"/>
                <w:lang w:eastAsia="zh-CN"/>
              </w:rPr>
            </w:pPr>
            <w:r>
              <w:rPr>
                <w:sz w:val="20"/>
                <w:lang w:eastAsia="zh-CN"/>
              </w:rPr>
              <w:t>This would then enable compliance with the above agreement.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LG Electronics</w:t>
            </w:r>
          </w:p>
        </w:tc>
        <w:tc>
          <w:tcPr>
            <w:tcW w:w="12176" w:type="dxa"/>
            <w:vAlign w:val="center"/>
          </w:tcPr>
          <w:p>
            <w:pPr>
              <w:widowControl w:val="0"/>
              <w:rPr>
                <w:sz w:val="20"/>
                <w:lang w:eastAsia="zh-CN"/>
              </w:rPr>
            </w:pPr>
            <w:r>
              <w:rPr>
                <w:sz w:val="20"/>
                <w:lang w:eastAsia="zh-CN"/>
              </w:rPr>
              <w:t>For Proposal A2-2.1 and Proposal A2-2.2, we prefer the same principle is applied for both Group (1) and Group (2) SSs. Namely, we prefer that the monitoring periodicity and duration for Group (2) SS are restricted to be integer multiples of Xs, since, in the last RAN1 meeting, it was agreed that those for Group (1) SS are restricted to be integer multiples of Xs.</w:t>
            </w:r>
          </w:p>
          <w:p>
            <w:pPr>
              <w:widowControl w:val="0"/>
              <w:rPr>
                <w:sz w:val="20"/>
                <w:lang w:eastAsia="zh-CN"/>
              </w:rPr>
            </w:pPr>
            <w:r>
              <w:rPr>
                <w:sz w:val="20"/>
                <w:lang w:eastAsia="zh-CN"/>
              </w:rPr>
              <w:t>For Proposal A2-2.3 and Proposal A2-2.4, we share the view with Samsung that it may be better to first clarify potential issues that led to these proposals.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Huawei/HiSilicon</w:t>
            </w:r>
          </w:p>
        </w:tc>
        <w:tc>
          <w:tcPr>
            <w:tcW w:w="12176" w:type="dxa"/>
            <w:vAlign w:val="center"/>
          </w:tcPr>
          <w:p>
            <w:pPr>
              <w:widowControl w:val="0"/>
              <w:rPr>
                <w:bCs/>
                <w:iCs/>
                <w:szCs w:val="21"/>
              </w:rPr>
            </w:pPr>
            <w:r>
              <w:rPr>
                <w:sz w:val="20"/>
                <w:lang w:eastAsia="zh-CN"/>
              </w:rPr>
              <w:t>We support A2-2.2: “</w:t>
            </w:r>
            <w:r>
              <w:rPr>
                <w:bCs/>
                <w:iCs/>
                <w:szCs w:val="21"/>
              </w:rPr>
              <w:t xml:space="preserve">The configured periodicity and duration for Group (2) SSs is restricted to be an integer multiple of </w:t>
            </w:r>
            <m:oMath>
              <m:sSub>
                <m:sSubPr>
                  <m:ctrlPr>
                    <w:rPr>
                      <w:rFonts w:ascii="Cambria Math" w:hAnsi="Cambria Math"/>
                      <w:bCs/>
                      <w:iCs/>
                      <w:szCs w:val="21"/>
                    </w:rPr>
                  </m:ctrlPr>
                </m:sSubPr>
                <m:e>
                  <m:r>
                    <m:rPr>
                      <m:sty m:val="p"/>
                    </m:rPr>
                    <w:rPr>
                      <w:rFonts w:ascii="Cambria Math" w:hAnsi="Cambria Math"/>
                      <w:szCs w:val="21"/>
                    </w:rPr>
                    <m:t>X</m:t>
                  </m:r>
                  <m:ctrlPr>
                    <w:rPr>
                      <w:rFonts w:ascii="Cambria Math" w:hAnsi="Cambria Math"/>
                      <w:bCs/>
                      <w:iCs/>
                      <w:szCs w:val="21"/>
                    </w:rPr>
                  </m:ctrlPr>
                </m:e>
                <m:sub>
                  <m:r>
                    <m:rPr>
                      <m:sty m:val="p"/>
                    </m:rPr>
                    <w:rPr>
                      <w:rFonts w:ascii="Cambria Math" w:hAnsi="Cambria Math"/>
                      <w:szCs w:val="21"/>
                    </w:rPr>
                    <m:t>s</m:t>
                  </m:r>
                  <m:ctrlPr>
                    <w:rPr>
                      <w:rFonts w:ascii="Cambria Math" w:hAnsi="Cambria Math"/>
                      <w:bCs/>
                      <w:iCs/>
                      <w:szCs w:val="21"/>
                    </w:rPr>
                  </m:ctrlPr>
                </m:sub>
              </m:sSub>
            </m:oMath>
            <w:r>
              <w:rPr>
                <w:bCs/>
                <w:iCs/>
                <w:szCs w:val="21"/>
              </w:rPr>
              <w:t xml:space="preserve"> slots (as for Group (1) SSs).”</w:t>
            </w:r>
          </w:p>
          <w:p>
            <w:pPr>
              <w:widowControl w:val="0"/>
              <w:rPr>
                <w:bCs/>
                <w:iCs/>
                <w:szCs w:val="21"/>
              </w:rPr>
            </w:pPr>
          </w:p>
          <w:p>
            <w:pPr>
              <w:widowControl w:val="0"/>
              <w:rPr>
                <w:sz w:val="20"/>
                <w:lang w:eastAsia="zh-CN"/>
              </w:rPr>
            </w:pPr>
            <w:r>
              <w:rPr>
                <w:bCs/>
                <w:iCs/>
                <w:szCs w:val="21"/>
              </w:rPr>
              <w:t xml:space="preserve">As discussed in our t-doc, if periodicities of Group (2) SS set is restricted to multiple of X_s slots, then, for μ=5, it means that periodicities of A1 = {1,2,5,10} slots cannot be used and, for μ=6, it means that periodicities of A1 = {1,2,5,10} slots cannot be used if both X_s={4,8} are supported and periodicities of A2 = {1,2,4,5,10,20} slots cannot be used if only X_s=8 is supported. Further, in absolute time, A1 = {1,2,5,10} slots for μ=5 is equal to B1 = {0.25, 0.5, 1.25, 2.5} slots for μ=3, and A2 = {1,2,4,5,10,20} slots for μ=6 is equal to  B2 = {0.125, 0.25, 0.5, 0.625, 1.25, 2.5} slots for μ=3 and none of values in B1 or B2 is a supported value for a search space periodicity in Rel-15/16. Therefore, limiting Group (2) SS set to multiple of X_s slots is a mild restriction </w:t>
            </w:r>
            <w:r>
              <w:rPr>
                <w:szCs w:val="21"/>
              </w:rPr>
              <w:t xml:space="preserve">while greatly simplifies SS configuration as the same set of supported periodicities (and offsets/durations) for both Group (1) SS and Group (2) SS are used.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Nokia, NSB</w:t>
            </w:r>
          </w:p>
        </w:tc>
        <w:tc>
          <w:tcPr>
            <w:tcW w:w="12176" w:type="dxa"/>
            <w:vAlign w:val="center"/>
          </w:tcPr>
          <w:p>
            <w:pPr>
              <w:widowControl w:val="0"/>
              <w:rPr>
                <w:sz w:val="20"/>
                <w:lang w:eastAsia="zh-CN"/>
              </w:rPr>
            </w:pPr>
            <w:r>
              <w:rPr>
                <w:sz w:val="20"/>
                <w:lang w:eastAsia="zh-CN"/>
              </w:rPr>
              <w:t xml:space="preserve">We support </w:t>
            </w:r>
            <w:r>
              <w:rPr>
                <w:bCs/>
                <w:sz w:val="20"/>
                <w:szCs w:val="20"/>
              </w:rPr>
              <w:t>Proposal A2-2.2: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We prefer to apply the same limitation on the periodicity for Group (1) SS and Group (2) SS</w:t>
            </w:r>
          </w:p>
          <w:p>
            <w:pPr>
              <w:widowControl w:val="0"/>
              <w:rPr>
                <w:lang w:eastAsia="zh-CN"/>
              </w:rPr>
            </w:pPr>
            <w:r>
              <w:rPr>
                <w:lang w:eastAsia="zh-CN"/>
              </w:rPr>
              <w:t>We prefer to align understanding on issue A2-1 first, then come to remaining proposals under A2-2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lang w:eastAsia="zh-CN"/>
              </w:rPr>
              <w:t>We don</w:t>
            </w:r>
            <w:r>
              <w:rPr>
                <w:lang w:eastAsia="zh-CN"/>
              </w:rPr>
              <w:t>’</w:t>
            </w:r>
            <w:r>
              <w:rPr>
                <w:rFonts w:hint="eastAsia"/>
                <w:lang w:eastAsia="zh-CN"/>
              </w:rPr>
              <w:t xml:space="preserve">t see there is a need </w:t>
            </w:r>
            <w:r>
              <w:rPr>
                <w:lang w:eastAsia="zh-CN"/>
              </w:rPr>
              <w:t>to introduce limitation on Group (2) SS sets</w:t>
            </w:r>
            <w:r>
              <w:rPr>
                <w:rFonts w:hint="eastAsia"/>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sz w:val="20"/>
                <w:lang w:eastAsia="ja-JP"/>
              </w:rPr>
              <w:t>N</w:t>
            </w:r>
            <w:r>
              <w:rPr>
                <w:rFonts w:eastAsia="MS Mincho"/>
                <w:sz w:val="20"/>
                <w:lang w:eastAsia="ja-JP"/>
              </w:rPr>
              <w:t>TT DOCOMO</w:t>
            </w:r>
          </w:p>
        </w:tc>
        <w:tc>
          <w:tcPr>
            <w:tcW w:w="12176" w:type="dxa"/>
            <w:vAlign w:val="center"/>
          </w:tcPr>
          <w:p>
            <w:pPr>
              <w:widowControl w:val="0"/>
              <w:rPr>
                <w:lang w:eastAsia="zh-CN"/>
              </w:rPr>
            </w:pPr>
            <w:r>
              <w:rPr>
                <w:rFonts w:eastAsia="MS Mincho"/>
                <w:szCs w:val="28"/>
                <w:lang w:eastAsia="ja-JP"/>
              </w:rPr>
              <w:t>For Group (2) SSs, the same configuration flexibility as the current specification should be maintained, thus we don’t see the need to restrict Group (2) SS configurations so far.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sz w:val="20"/>
                <w:lang w:eastAsia="ja-JP"/>
              </w:rPr>
            </w:pPr>
            <w:r>
              <w:rPr>
                <w:sz w:val="20"/>
              </w:rPr>
              <w:t>Apple</w:t>
            </w:r>
          </w:p>
        </w:tc>
        <w:tc>
          <w:tcPr>
            <w:tcW w:w="12176" w:type="dxa"/>
            <w:vAlign w:val="center"/>
          </w:tcPr>
          <w:p>
            <w:pPr>
              <w:widowControl w:val="0"/>
              <w:rPr>
                <w:bCs/>
                <w:sz w:val="20"/>
                <w:lang w:eastAsia="zh-CN"/>
              </w:rPr>
            </w:pPr>
            <w:r>
              <w:rPr>
                <w:sz w:val="20"/>
                <w:lang w:eastAsia="zh-CN"/>
              </w:rPr>
              <w:t xml:space="preserve">For </w:t>
            </w:r>
            <w:r>
              <w:rPr>
                <w:b/>
                <w:sz w:val="20"/>
                <w:lang w:eastAsia="zh-CN"/>
              </w:rPr>
              <w:t>Proposal A2-2.3,</w:t>
            </w:r>
            <w:r>
              <w:rPr>
                <w:bCs/>
                <w:sz w:val="20"/>
                <w:lang w:eastAsia="zh-CN"/>
              </w:rPr>
              <w:softHyphen/>
            </w:r>
            <w:r>
              <w:rPr>
                <w:bCs/>
                <w:sz w:val="20"/>
                <w:lang w:eastAsia="zh-CN"/>
              </w:rPr>
              <w:t xml:space="preserve"> the motivation is to limit the # of times Group (2) SSs are transmitted over multiple multi-slots to help with UE power savings. From the agreement for Group (2) SSs, a specific CSS may be placed in any slot of the slot group. This may result in multiple slot groups with both CSSs and USSs and result in multiple slot groups over which the UE is unable to sleep thereby impacting the UE power consumption. To limit this effect, one or more of the following could be considered (in order of importance):</w:t>
            </w:r>
          </w:p>
          <w:p>
            <w:pPr>
              <w:pStyle w:val="82"/>
              <w:widowControl w:val="0"/>
              <w:numPr>
                <w:ilvl w:val="0"/>
                <w:numId w:val="50"/>
              </w:numPr>
              <w:rPr>
                <w:bCs/>
                <w:sz w:val="20"/>
                <w:lang w:val="en-GB" w:eastAsia="zh-CN"/>
              </w:rPr>
            </w:pPr>
            <w:r>
              <w:rPr>
                <w:bCs/>
                <w:sz w:val="20"/>
                <w:lang w:eastAsia="zh-CN"/>
              </w:rPr>
              <w:t>For Type 1 CSS without RRC configuration the combination of the agreement (every slot) with the possible size of the ra-ResponseWindow of up to 160 slots based on the conclusion in RAN1 #107-e.</w:t>
            </w:r>
          </w:p>
          <w:p>
            <w:pPr>
              <w:pStyle w:val="31"/>
              <w:widowControl w:val="0"/>
              <w:overflowPunct w:val="0"/>
              <w:spacing w:after="0"/>
              <w:textAlignment w:val="baseline"/>
              <w:rPr>
                <w:rFonts w:cs="Times"/>
                <w:b/>
                <w:u w:val="single"/>
                <w:lang w:eastAsia="zh-CN"/>
              </w:rPr>
            </w:pPr>
            <w:r>
              <w:rPr>
                <w:rFonts w:cs="Times"/>
                <w:b/>
                <w:u w:val="single"/>
                <w:lang w:eastAsia="zh-CN"/>
              </w:rPr>
              <w:t>Conclusion:</w:t>
            </w:r>
          </w:p>
          <w:p>
            <w:pPr>
              <w:pStyle w:val="31"/>
              <w:widowControl w:val="0"/>
              <w:overflowPunct w:val="0"/>
              <w:spacing w:after="0"/>
              <w:textAlignment w:val="baseline"/>
              <w:rPr>
                <w:rFonts w:cs="Times"/>
                <w:lang w:eastAsia="zh-CN"/>
              </w:rPr>
            </w:pPr>
            <w:r>
              <w:rPr>
                <w:rFonts w:eastAsia="宋体" w:cs="Times"/>
                <w:lang w:eastAsia="ko-KR"/>
              </w:rPr>
              <w:t>For FR2-2, support the same mechanism as in Rel-16 for extended RAR window for both 4-step and 2-step RACH.</w:t>
            </w:r>
          </w:p>
          <w:p>
            <w:pPr>
              <w:widowControl w:val="0"/>
              <w:rPr>
                <w:bCs/>
                <w:sz w:val="20"/>
                <w:lang w:val="en-GB" w:eastAsia="zh-CN"/>
              </w:rPr>
            </w:pPr>
            <w:r>
              <w:rPr>
                <w:bCs/>
                <w:sz w:val="20"/>
                <w:lang w:val="en-GB" w:eastAsia="zh-CN"/>
              </w:rPr>
              <w:t xml:space="preserve">In this case, there is a possibility that the UE has to search every slot (in addition to the USS). Especially in this case the </w:t>
            </w:r>
            <w:r>
              <w:rPr>
                <w:b/>
                <w:bCs/>
                <w:sz w:val="20"/>
                <w:u w:val="single"/>
                <w:lang w:eastAsia="zh-CN"/>
              </w:rPr>
              <w:t>Proposal A2-2.2</w:t>
            </w:r>
            <w:r>
              <w:rPr>
                <w:b/>
                <w:bCs/>
                <w:sz w:val="20"/>
                <w:lang w:eastAsia="zh-CN"/>
              </w:rPr>
              <w:t xml:space="preserve"> “</w:t>
            </w:r>
            <w:r>
              <w:rPr>
                <w:bCs/>
                <w:iCs/>
                <w:sz w:val="20"/>
                <w:lang w:eastAsia="zh-CN"/>
              </w:rPr>
              <w:t xml:space="preserve">The configured periodicity and duration for Group (2) SSs is restricted to be an integer multiple of </w:t>
            </w:r>
            <m:oMath>
              <m:sSub>
                <m:sSubPr>
                  <m:ctrlPr>
                    <w:rPr>
                      <w:rFonts w:ascii="Cambria Math" w:hAnsi="Cambria Math"/>
                      <w:bCs/>
                      <w:iCs/>
                      <w:sz w:val="20"/>
                      <w:lang w:eastAsia="zh-CN"/>
                    </w:rPr>
                  </m:ctrlPr>
                </m:sSubPr>
                <m:e>
                  <m:r>
                    <m:rPr>
                      <m:sty m:val="p"/>
                    </m:rPr>
                    <w:rPr>
                      <w:rFonts w:ascii="Cambria Math" w:hAnsi="Cambria Math"/>
                      <w:sz w:val="20"/>
                      <w:lang w:eastAsia="zh-CN"/>
                    </w:rPr>
                    <m:t>X</m:t>
                  </m:r>
                  <m:ctrlPr>
                    <w:rPr>
                      <w:rFonts w:ascii="Cambria Math" w:hAnsi="Cambria Math"/>
                      <w:bCs/>
                      <w:iCs/>
                      <w:sz w:val="20"/>
                      <w:lang w:eastAsia="zh-CN"/>
                    </w:rPr>
                  </m:ctrlPr>
                </m:e>
                <m:sub>
                  <m:r>
                    <m:rPr>
                      <m:sty m:val="p"/>
                    </m:rPr>
                    <w:rPr>
                      <w:rFonts w:ascii="Cambria Math" w:hAnsi="Cambria Math"/>
                      <w:sz w:val="20"/>
                      <w:lang w:eastAsia="zh-CN"/>
                    </w:rPr>
                    <m:t>s</m:t>
                  </m:r>
                  <m:ctrlPr>
                    <w:rPr>
                      <w:rFonts w:ascii="Cambria Math" w:hAnsi="Cambria Math"/>
                      <w:bCs/>
                      <w:iCs/>
                      <w:sz w:val="20"/>
                      <w:lang w:eastAsia="zh-CN"/>
                    </w:rPr>
                  </m:ctrlPr>
                </m:sub>
              </m:sSub>
            </m:oMath>
            <w:r>
              <w:rPr>
                <w:bCs/>
                <w:iCs/>
                <w:sz w:val="20"/>
                <w:lang w:eastAsia="zh-CN"/>
              </w:rPr>
              <w:t xml:space="preserve"> slots (as for Group (1) SSs)” should be considered.</w:t>
            </w:r>
          </w:p>
          <w:p>
            <w:pPr>
              <w:pStyle w:val="82"/>
              <w:widowControl w:val="0"/>
              <w:numPr>
                <w:ilvl w:val="0"/>
                <w:numId w:val="50"/>
              </w:numPr>
              <w:rPr>
                <w:bCs/>
                <w:sz w:val="20"/>
                <w:lang w:val="en-GB" w:eastAsia="zh-CN"/>
              </w:rPr>
            </w:pPr>
            <w:r>
              <w:rPr>
                <w:bCs/>
                <w:sz w:val="20"/>
                <w:lang w:val="en-GB" w:eastAsia="zh-CN"/>
              </w:rPr>
              <w:t xml:space="preserve">If spread across multiple slot groups, for CSSs Type 0 (SIB1), Type 0A (SIBx) and Type 2 (Paging), </w:t>
            </w:r>
            <w:r>
              <w:rPr>
                <w:bCs/>
                <w:sz w:val="20"/>
                <w:lang w:eastAsia="zh-CN"/>
              </w:rPr>
              <w:t>the CSS periodicity for 480 kHz and 960 kHz should not be shorter than that for 120 kHz to ensure that the wake-up period is intermittent and limit the impact on the UE’s power consumption.</w:t>
            </w:r>
          </w:p>
          <w:p>
            <w:pPr>
              <w:pStyle w:val="82"/>
              <w:widowControl w:val="0"/>
              <w:numPr>
                <w:ilvl w:val="0"/>
                <w:numId w:val="50"/>
              </w:numPr>
              <w:rPr>
                <w:bCs/>
                <w:sz w:val="20"/>
                <w:lang w:eastAsia="zh-CN"/>
              </w:rPr>
            </w:pPr>
            <w:r>
              <w:rPr>
                <w:bCs/>
                <w:sz w:val="20"/>
                <w:lang w:val="en-GB" w:eastAsia="zh-CN"/>
              </w:rPr>
              <w:t xml:space="preserve">Group (2) SSs could be placed within the same multi-slot group (as shown in Option 2 in </w:t>
            </w:r>
            <w:r>
              <w:rPr>
                <w:bCs/>
                <w:sz w:val="20"/>
                <w:lang w:val="en-GB" w:eastAsia="zh-CN"/>
              </w:rPr>
              <w:fldChar w:fldCharType="begin"/>
            </w:r>
            <w:r>
              <w:rPr>
                <w:bCs/>
                <w:sz w:val="20"/>
                <w:lang w:val="en-GB" w:eastAsia="zh-CN"/>
              </w:rPr>
              <w:instrText xml:space="preserve"> REF _Ref95310091 \h  \* MERGEFORMAT </w:instrText>
            </w:r>
            <w:r>
              <w:rPr>
                <w:bCs/>
                <w:sz w:val="20"/>
                <w:lang w:val="en-GB" w:eastAsia="zh-CN"/>
              </w:rPr>
              <w:fldChar w:fldCharType="separate"/>
            </w:r>
            <w:r>
              <w:rPr>
                <w:bCs/>
                <w:sz w:val="20"/>
                <w:lang w:val="en-GB" w:eastAsia="zh-CN"/>
              </w:rPr>
              <w:t>Figure 1</w:t>
            </w:r>
            <w:r>
              <w:rPr>
                <w:bCs/>
                <w:sz w:val="20"/>
                <w:lang w:eastAsia="zh-CN"/>
              </w:rPr>
              <w:fldChar w:fldCharType="end"/>
            </w:r>
            <w:r>
              <w:rPr>
                <w:bCs/>
                <w:sz w:val="20"/>
                <w:lang w:val="en-GB" w:eastAsia="zh-CN"/>
              </w:rPr>
              <w:t>).</w:t>
            </w:r>
          </w:p>
          <w:p>
            <w:pPr>
              <w:widowControl w:val="0"/>
              <w:rPr>
                <w:bCs/>
                <w:sz w:val="20"/>
                <w:lang w:eastAsia="zh-CN"/>
              </w:rPr>
            </w:pPr>
          </w:p>
          <w:p>
            <w:pPr>
              <w:widowControl w:val="0"/>
              <w:rPr>
                <w:bCs/>
                <w:sz w:val="20"/>
                <w:lang w:eastAsia="zh-CN"/>
              </w:rPr>
            </w:pPr>
          </w:p>
          <w:p>
            <w:pPr>
              <w:widowControl w:val="0"/>
              <w:rPr>
                <w:bCs/>
                <w:sz w:val="20"/>
                <w:lang w:eastAsia="zh-CN"/>
              </w:rPr>
            </w:pPr>
            <w:r>
              <w:rPr>
                <w:u w:val="single"/>
              </w:rPr>
              <w:drawing>
                <wp:inline distT="0" distB="0" distL="0" distR="0">
                  <wp:extent cx="5943600" cy="56007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37"/>
                          <a:stretch>
                            <a:fillRect/>
                          </a:stretch>
                        </pic:blipFill>
                        <pic:spPr>
                          <a:xfrm>
                            <a:off x="0" y="0"/>
                            <a:ext cx="5943600" cy="560070"/>
                          </a:xfrm>
                          <a:prstGeom prst="rect">
                            <a:avLst/>
                          </a:prstGeom>
                        </pic:spPr>
                      </pic:pic>
                    </a:graphicData>
                  </a:graphic>
                </wp:inline>
              </w:drawing>
            </w:r>
          </w:p>
          <w:p>
            <w:pPr>
              <w:widowControl w:val="0"/>
              <w:rPr>
                <w:bCs/>
                <w:sz w:val="20"/>
                <w:lang w:eastAsia="zh-CN"/>
              </w:rPr>
            </w:pPr>
          </w:p>
          <w:p>
            <w:pPr>
              <w:widowControl w:val="0"/>
              <w:rPr>
                <w:rFonts w:eastAsia="MS Mincho"/>
                <w:szCs w:val="28"/>
                <w:lang w:eastAsia="ja-JP"/>
              </w:rPr>
            </w:pPr>
          </w:p>
        </w:tc>
      </w:tr>
    </w:tbl>
    <w:tbl>
      <w:tblPr>
        <w:tblStyle w:val="27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sz w:val="20"/>
                <w:lang w:eastAsia="ja-JP"/>
              </w:rPr>
            </w:pPr>
            <w:r>
              <w:rPr>
                <w:sz w:val="20"/>
                <w:lang w:eastAsia="ja-JP"/>
              </w:rPr>
              <w:t>Futurewei</w:t>
            </w:r>
          </w:p>
        </w:tc>
        <w:tc>
          <w:tcPr>
            <w:tcW w:w="12176" w:type="dxa"/>
            <w:vAlign w:val="center"/>
          </w:tcPr>
          <w:p>
            <w:pPr>
              <w:widowControl w:val="0"/>
              <w:spacing w:line="240" w:lineRule="auto"/>
              <w:rPr>
                <w:sz w:val="20"/>
                <w:lang w:eastAsia="zh-CN"/>
              </w:rPr>
            </w:pPr>
            <w:r>
              <w:rPr>
                <w:sz w:val="20"/>
                <w:lang w:eastAsia="zh-CN"/>
              </w:rPr>
              <w:t xml:space="preserve">Support Proposal A2-2.2.We prefer the same restrictions for offset, periodicity and duration for both Group(1) SS and Group(2) SS in terms of integer multiples of Xs. </w:t>
            </w:r>
          </w:p>
        </w:tc>
      </w:tr>
    </w:tbl>
    <w:p>
      <w:pPr>
        <w:rPr>
          <w:lang w:eastAsia="zh-CN"/>
        </w:rPr>
      </w:pPr>
    </w:p>
    <w:p>
      <w:pPr>
        <w:pStyle w:val="5"/>
      </w:pPr>
      <w:r>
        <w:t>First round discussion summary</w:t>
      </w:r>
    </w:p>
    <w:p>
      <w:pPr>
        <w:rPr>
          <w:sz w:val="20"/>
          <w:szCs w:val="20"/>
          <w:lang w:val="en-GB" w:eastAsia="zh-CN"/>
        </w:rPr>
      </w:pPr>
      <w:r>
        <w:rPr>
          <w:sz w:val="20"/>
          <w:szCs w:val="20"/>
          <w:lang w:val="en-GB" w:eastAsia="zh-CN"/>
        </w:rPr>
        <w:t>A majority of companies thinks that interpretation #2 of FG 3-1 should be the common understanding.</w:t>
      </w:r>
    </w:p>
    <w:p>
      <w:pPr>
        <w:rPr>
          <w:sz w:val="20"/>
          <w:szCs w:val="20"/>
          <w:lang w:eastAsia="zh-CN"/>
        </w:rPr>
      </w:pPr>
      <w:r>
        <w:rPr>
          <w:sz w:val="20"/>
          <w:szCs w:val="20"/>
          <w:lang w:eastAsia="zh-CN"/>
        </w:rPr>
        <w:t>FL suggests to note/conclude the following understanding for multi-slot monitoring in the chairman notes</w:t>
      </w:r>
      <w:r>
        <w:rPr>
          <w:sz w:val="20"/>
          <w:szCs w:val="20"/>
        </w:rPr>
        <w:t>.</w:t>
      </w:r>
    </w:p>
    <w:tbl>
      <w:tblPr>
        <w:tblStyle w:val="55"/>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vAlign w:val="center"/>
          </w:tcPr>
          <w:p>
            <w:pPr>
              <w:widowControl w:val="0"/>
              <w:spacing w:after="0" w:line="240" w:lineRule="auto"/>
              <w:rPr>
                <w:sz w:val="20"/>
                <w:szCs w:val="20"/>
                <w:lang w:val="en-GB" w:eastAsia="zh-CN"/>
              </w:rPr>
            </w:pPr>
            <w:r>
              <w:rPr>
                <w:sz w:val="20"/>
                <w:szCs w:val="20"/>
                <w:lang w:val="en-GB" w:eastAsia="zh-CN"/>
              </w:rPr>
              <w:t xml:space="preserve">- For type 1 CSS without dedicated RRC configuration and for type 0, 0A, and 2 CSS, the monitoring occasion can be any OFDM symbol(s) of a slot, with the monitoring occasions for </w:t>
            </w:r>
            <w:r>
              <w:rPr>
                <w:color w:val="FF0000"/>
                <w:sz w:val="20"/>
                <w:szCs w:val="20"/>
                <w:lang w:val="en-GB" w:eastAsia="zh-CN"/>
              </w:rPr>
              <w:t xml:space="preserve">any of </w:t>
            </w:r>
            <w:r>
              <w:rPr>
                <w:sz w:val="20"/>
                <w:szCs w:val="20"/>
                <w:lang w:val="en-GB" w:eastAsia="zh-CN"/>
              </w:rPr>
              <w:t>Type 1- CSS without dedicated RRC configuration, or Types 0, 0A, or 2 CSS configurations within a single span of three consecutive OFDM symbols within a slot</w:t>
            </w:r>
          </w:p>
        </w:tc>
      </w:tr>
    </w:tbl>
    <w:p>
      <w:pPr>
        <w:rPr>
          <w:sz w:val="20"/>
          <w:szCs w:val="20"/>
          <w:lang w:val="en-GB" w:eastAsia="zh-CN"/>
        </w:rPr>
      </w:pPr>
      <w:r>
        <w:rPr>
          <w:sz w:val="20"/>
          <w:szCs w:val="20"/>
          <w:lang w:val="en-GB" w:eastAsia="zh-CN"/>
        </w:rPr>
        <w:t xml:space="preserve">Interpretation #2: "monitoring occasions for </w:t>
      </w:r>
      <w:r>
        <w:rPr>
          <w:color w:val="FF0000"/>
          <w:sz w:val="20"/>
          <w:szCs w:val="20"/>
          <w:lang w:val="en-GB" w:eastAsia="zh-CN"/>
        </w:rPr>
        <w:t xml:space="preserve">any of </w:t>
      </w:r>
      <w:r>
        <w:rPr>
          <w:sz w:val="20"/>
          <w:szCs w:val="20"/>
          <w:lang w:val="en-GB" w:eastAsia="zh-CN"/>
        </w:rPr>
        <w:t>Type 1- CSS without dedicated RRC configuration, or Types 0, 0A, or 2 CSS configurations within a single span of three consecutive OFDM symbols within a slot" means that monitoring occasions are limited to be within a single span of three consecutive OFDM symbols within a slot considering all configured Group (2) SS sets in the slot.</w:t>
      </w:r>
    </w:p>
    <w:p>
      <w:pPr>
        <w:rPr>
          <w:sz w:val="20"/>
          <w:szCs w:val="20"/>
          <w:lang w:eastAsia="zh-CN"/>
        </w:rPr>
      </w:pPr>
      <w:r>
        <w:rPr>
          <w:sz w:val="20"/>
          <w:szCs w:val="20"/>
          <w:lang w:val="en-GB" w:eastAsia="zh-CN"/>
        </w:rPr>
        <w:t xml:space="preserve">Online discussion hasn't shown consensus about the interpretation of FG 3-1. </w:t>
      </w:r>
      <w:r>
        <w:rPr>
          <w:sz w:val="20"/>
          <w:szCs w:val="20"/>
          <w:highlight w:val="yellow"/>
          <w:lang w:val="en-GB" w:eastAsia="zh-CN"/>
        </w:rPr>
        <w:t>Discussion about limiting all configured Group (2) SS sets are limited to be within a single span of three consecutive OFDM symbols can continue in the second round of Issue A2-1.</w:t>
      </w:r>
    </w:p>
    <w:p>
      <w:pPr>
        <w:rPr>
          <w:sz w:val="20"/>
          <w:szCs w:val="20"/>
          <w:lang w:eastAsia="zh-CN"/>
        </w:rPr>
      </w:pPr>
      <w:r>
        <w:rPr>
          <w:sz w:val="20"/>
          <w:szCs w:val="20"/>
          <w:lang w:eastAsia="zh-CN"/>
        </w:rPr>
        <w:t xml:space="preserve">Regarding Proposal A2-2.2/-2.3/-2.4, most companies express a preference to have some alignment between Group (1) and Group (2) SSs. </w:t>
      </w:r>
      <w:r>
        <w:rPr>
          <w:sz w:val="20"/>
          <w:szCs w:val="20"/>
          <w:highlight w:val="yellow"/>
          <w:lang w:eastAsia="zh-CN"/>
        </w:rPr>
        <w:t>FL has updated the proposal in Issue A2-1 to capture such alignment. Discussion should continue based on Proposal A2-1.1a.</w:t>
      </w:r>
    </w:p>
    <w:p>
      <w:pPr>
        <w:rPr>
          <w:lang w:eastAsia="zh-CN"/>
        </w:rPr>
      </w:pPr>
    </w:p>
    <w:p>
      <w:pPr>
        <w:pStyle w:val="4"/>
      </w:pPr>
      <w:r>
        <w:t>(Closed) Issue A2-3: Periodicity restrictions for group-common DCI formats</w:t>
      </w:r>
    </w:p>
    <w:p>
      <w:pPr>
        <w:pStyle w:val="5"/>
      </w:pPr>
      <w:r>
        <w:t>First round discussion</w:t>
      </w:r>
    </w:p>
    <w:p>
      <w:pPr>
        <w:rPr>
          <w:b/>
          <w:bCs/>
          <w:sz w:val="20"/>
          <w:szCs w:val="20"/>
        </w:rPr>
      </w:pPr>
      <w:r>
        <w:rPr>
          <w:b/>
          <w:bCs/>
          <w:sz w:val="20"/>
          <w:szCs w:val="20"/>
          <w:highlight w:val="yellow"/>
          <w:u w:val="single"/>
        </w:rPr>
        <w:t>Proposal A2-3.1</w:t>
      </w:r>
      <w:r>
        <w:rPr>
          <w:b/>
          <w:bCs/>
          <w:sz w:val="20"/>
          <w:szCs w:val="20"/>
          <w:highlight w:val="yellow"/>
        </w:rPr>
        <w:t xml:space="preserve"> (see R1-2202130):</w:t>
      </w:r>
    </w:p>
    <w:p>
      <w:pPr>
        <w:pStyle w:val="27"/>
        <w:rPr>
          <w:b w:val="0"/>
          <w:bCs w:val="0"/>
        </w:rPr>
      </w:pPr>
      <w:r>
        <w:rPr>
          <w:b w:val="0"/>
          <w:bCs w:val="0"/>
        </w:rPr>
        <w:t>For group common DCI formats, only the following periodicities are applicable:</w:t>
      </w:r>
    </w:p>
    <w:tbl>
      <w:tblPr>
        <w:tblStyle w:val="55"/>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15"/>
        <w:gridCol w:w="2782"/>
        <w:gridCol w:w="2782"/>
        <w:gridCol w:w="27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shd w:val="clear" w:color="auto" w:fill="D8D8D8" w:themeFill="background1" w:themeFillShade="D9"/>
            <w:vAlign w:val="center"/>
          </w:tcPr>
          <w:p>
            <w:pPr>
              <w:widowControl w:val="0"/>
              <w:spacing w:after="0" w:line="240" w:lineRule="atLeast"/>
            </w:pPr>
          </w:p>
        </w:tc>
        <w:tc>
          <w:tcPr>
            <w:tcW w:w="2782" w:type="dxa"/>
            <w:shd w:val="clear" w:color="auto" w:fill="D8D8D8" w:themeFill="background1" w:themeFillShade="D9"/>
            <w:vAlign w:val="center"/>
          </w:tcPr>
          <w:p>
            <w:pPr>
              <w:widowControl w:val="0"/>
              <w:spacing w:after="0" w:line="240" w:lineRule="atLeast"/>
              <w:jc w:val="center"/>
            </w:pPr>
            <w:r>
              <w:t>120 kHz (same as FR2)</w:t>
            </w:r>
          </w:p>
        </w:tc>
        <w:tc>
          <w:tcPr>
            <w:tcW w:w="2782" w:type="dxa"/>
            <w:shd w:val="clear" w:color="auto" w:fill="D8D8D8" w:themeFill="background1" w:themeFillShade="D9"/>
            <w:vAlign w:val="center"/>
          </w:tcPr>
          <w:p>
            <w:pPr>
              <w:widowControl w:val="0"/>
              <w:spacing w:after="0" w:line="240" w:lineRule="atLeast"/>
              <w:jc w:val="center"/>
            </w:pPr>
            <w:r>
              <w:t>480 kHz</w:t>
            </w:r>
          </w:p>
        </w:tc>
        <w:tc>
          <w:tcPr>
            <w:tcW w:w="2783" w:type="dxa"/>
            <w:shd w:val="clear" w:color="auto" w:fill="D8D8D8" w:themeFill="background1" w:themeFillShade="D9"/>
            <w:vAlign w:val="center"/>
          </w:tcPr>
          <w:p>
            <w:pPr>
              <w:widowControl w:val="0"/>
              <w:spacing w:after="0" w:line="240" w:lineRule="atLeast"/>
              <w:jc w:val="center"/>
            </w:pPr>
            <w:r>
              <w:t>960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shd w:val="clear" w:color="auto" w:fill="D8D8D8" w:themeFill="background1" w:themeFillShade="D9"/>
            <w:vAlign w:val="center"/>
          </w:tcPr>
          <w:p>
            <w:pPr>
              <w:widowControl w:val="0"/>
              <w:spacing w:after="0" w:line="240" w:lineRule="atLeast"/>
              <w:jc w:val="center"/>
            </w:pPr>
            <w:r>
              <w:t>DCI format 2_0</w:t>
            </w:r>
          </w:p>
        </w:tc>
        <w:tc>
          <w:tcPr>
            <w:tcW w:w="2782" w:type="dxa"/>
            <w:vAlign w:val="center"/>
          </w:tcPr>
          <w:p>
            <w:pPr>
              <w:widowControl w:val="0"/>
              <w:spacing w:after="0" w:line="240" w:lineRule="atLeast"/>
              <w:rPr>
                <w:lang w:val="sv-SE"/>
              </w:rPr>
            </w:pPr>
            <w:r>
              <w:rPr>
                <w:lang w:val="sv-SE"/>
              </w:rPr>
              <w:t>sl1, sl2, sl4, sl5, sl8, sl10, sl16, sl20</w:t>
            </w:r>
          </w:p>
        </w:tc>
        <w:tc>
          <w:tcPr>
            <w:tcW w:w="2782" w:type="dxa"/>
            <w:vAlign w:val="center"/>
          </w:tcPr>
          <w:p>
            <w:pPr>
              <w:widowControl w:val="0"/>
              <w:spacing w:after="0" w:line="240" w:lineRule="atLeast"/>
              <w:rPr>
                <w:lang w:val="sv-SE"/>
              </w:rPr>
            </w:pPr>
            <w:r>
              <w:rPr>
                <w:lang w:val="sv-SE"/>
              </w:rPr>
              <w:t xml:space="preserve">sl4, sl8, sl16, sl20, </w:t>
            </w:r>
            <w:r>
              <w:rPr>
                <w:color w:val="FF0000"/>
                <w:lang w:val="sv-SE"/>
              </w:rPr>
              <w:t>sl32</w:t>
            </w:r>
            <w:r>
              <w:rPr>
                <w:lang w:val="sv-SE"/>
              </w:rPr>
              <w:t xml:space="preserve">, sl40, </w:t>
            </w:r>
            <w:r>
              <w:rPr>
                <w:color w:val="FF0000"/>
                <w:lang w:val="sv-SE"/>
              </w:rPr>
              <w:t>sl64</w:t>
            </w:r>
            <w:r>
              <w:rPr>
                <w:lang w:val="sv-SE"/>
              </w:rPr>
              <w:t>, sl80</w:t>
            </w:r>
          </w:p>
        </w:tc>
        <w:tc>
          <w:tcPr>
            <w:tcW w:w="2783" w:type="dxa"/>
            <w:vAlign w:val="center"/>
          </w:tcPr>
          <w:p>
            <w:pPr>
              <w:widowControl w:val="0"/>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xml:space="preserve">, sl80, </w:t>
            </w:r>
            <w:r>
              <w:rPr>
                <w:color w:val="FF0000"/>
                <w:lang w:val="sv-SE"/>
              </w:rPr>
              <w:t>sl128</w:t>
            </w:r>
            <w:r>
              <w:rPr>
                <w:lang w:val="sv-SE"/>
              </w:rPr>
              <w:t>, sl160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shd w:val="clear" w:color="auto" w:fill="D8D8D8" w:themeFill="background1" w:themeFillShade="D9"/>
            <w:vAlign w:val="center"/>
          </w:tcPr>
          <w:p>
            <w:pPr>
              <w:widowControl w:val="0"/>
              <w:spacing w:after="0" w:line="240" w:lineRule="atLeast"/>
              <w:jc w:val="center"/>
            </w:pPr>
            <w:r>
              <w:t>DCI format 2_1</w:t>
            </w:r>
          </w:p>
        </w:tc>
        <w:tc>
          <w:tcPr>
            <w:tcW w:w="2782" w:type="dxa"/>
            <w:vAlign w:val="center"/>
          </w:tcPr>
          <w:p>
            <w:pPr>
              <w:widowControl w:val="0"/>
              <w:spacing w:after="0" w:line="240" w:lineRule="atLeast"/>
            </w:pPr>
            <w:r>
              <w:t>sl1, sl2, sl4</w:t>
            </w:r>
          </w:p>
        </w:tc>
        <w:tc>
          <w:tcPr>
            <w:tcW w:w="2782" w:type="dxa"/>
            <w:vAlign w:val="center"/>
          </w:tcPr>
          <w:p>
            <w:pPr>
              <w:widowControl w:val="0"/>
              <w:spacing w:after="0" w:line="240" w:lineRule="atLeast"/>
            </w:pPr>
            <w:r>
              <w:t>sl4, sl8, sl16</w:t>
            </w:r>
          </w:p>
        </w:tc>
        <w:tc>
          <w:tcPr>
            <w:tcW w:w="2783" w:type="dxa"/>
            <w:vAlign w:val="center"/>
          </w:tcPr>
          <w:p>
            <w:pPr>
              <w:widowControl w:val="0"/>
              <w:spacing w:after="0" w:line="240" w:lineRule="atLeast"/>
            </w:pPr>
            <w:r>
              <w:t xml:space="preserve">sl8, sl16, </w:t>
            </w:r>
            <w:r>
              <w:rPr>
                <w:color w:val="FF0000"/>
              </w:rPr>
              <w:t>sl32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trPr>
        <w:tc>
          <w:tcPr>
            <w:tcW w:w="1615" w:type="dxa"/>
            <w:shd w:val="clear" w:color="auto" w:fill="D8D8D8" w:themeFill="background1" w:themeFillShade="D9"/>
            <w:vAlign w:val="center"/>
          </w:tcPr>
          <w:p>
            <w:pPr>
              <w:widowControl w:val="0"/>
              <w:spacing w:after="0" w:line="240" w:lineRule="atLeast"/>
              <w:jc w:val="center"/>
            </w:pPr>
            <w:r>
              <w:t>DCI format 2_4</w:t>
            </w:r>
          </w:p>
        </w:tc>
        <w:tc>
          <w:tcPr>
            <w:tcW w:w="2782" w:type="dxa"/>
            <w:vAlign w:val="center"/>
          </w:tcPr>
          <w:p>
            <w:pPr>
              <w:widowControl w:val="0"/>
              <w:spacing w:after="0" w:line="240" w:lineRule="atLeast"/>
              <w:rPr>
                <w:lang w:val="sv-SE"/>
              </w:rPr>
            </w:pPr>
            <w:r>
              <w:rPr>
                <w:lang w:val="sv-SE"/>
              </w:rPr>
              <w:t>sl1, sl2, sl4, sl5, sl8, sl10</w:t>
            </w:r>
          </w:p>
        </w:tc>
        <w:tc>
          <w:tcPr>
            <w:tcW w:w="2782" w:type="dxa"/>
            <w:vAlign w:val="center"/>
          </w:tcPr>
          <w:p>
            <w:pPr>
              <w:widowControl w:val="0"/>
              <w:spacing w:after="0" w:line="240" w:lineRule="atLeast"/>
              <w:rPr>
                <w:lang w:val="sv-SE"/>
              </w:rPr>
            </w:pPr>
            <w:r>
              <w:rPr>
                <w:lang w:val="sv-SE"/>
              </w:rPr>
              <w:t xml:space="preserve">sl4, sl8, sl16, sl20, </w:t>
            </w:r>
            <w:r>
              <w:rPr>
                <w:color w:val="FF0000"/>
                <w:lang w:val="sv-SE"/>
              </w:rPr>
              <w:t>sl32</w:t>
            </w:r>
            <w:r>
              <w:rPr>
                <w:lang w:val="sv-SE"/>
              </w:rPr>
              <w:t>, sl40</w:t>
            </w:r>
          </w:p>
        </w:tc>
        <w:tc>
          <w:tcPr>
            <w:tcW w:w="2783" w:type="dxa"/>
            <w:vAlign w:val="center"/>
          </w:tcPr>
          <w:p>
            <w:pPr>
              <w:widowControl w:val="0"/>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sl80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trPr>
        <w:tc>
          <w:tcPr>
            <w:tcW w:w="9962" w:type="dxa"/>
            <w:gridSpan w:val="4"/>
            <w:vAlign w:val="center"/>
          </w:tcPr>
          <w:p>
            <w:pPr>
              <w:widowControl w:val="0"/>
              <w:spacing w:after="0" w:line="240" w:lineRule="atLeast"/>
            </w:pPr>
            <w:r>
              <w:rPr>
                <w:color w:val="FF0000"/>
              </w:rPr>
              <w:t>Highlighted</w:t>
            </w:r>
            <w:r>
              <w:t>: New periodicity values to be introduced for 480/960 kHz SCSs</w:t>
            </w:r>
          </w:p>
        </w:tc>
      </w:tr>
    </w:tbl>
    <w:p>
      <w:pPr>
        <w:rPr>
          <w:lang w:eastAsia="zh-CN"/>
        </w:rPr>
      </w:pPr>
    </w:p>
    <w:p>
      <w:pPr>
        <w:spacing w:after="0"/>
        <w:rPr>
          <w:b/>
          <w:sz w:val="20"/>
          <w:szCs w:val="20"/>
        </w:rPr>
      </w:pPr>
      <w:r>
        <w:rPr>
          <w:b/>
          <w:sz w:val="20"/>
          <w:szCs w:val="20"/>
        </w:rPr>
        <w:t>Can we agree</w:t>
      </w:r>
      <w:r>
        <w:rPr>
          <w:b/>
          <w:bCs/>
          <w:sz w:val="20"/>
          <w:szCs w:val="20"/>
        </w:rPr>
        <w:t xml:space="preserve"> Proposal A2-3.1</w:t>
      </w:r>
      <w:r>
        <w:rPr>
          <w:b/>
          <w:bCs/>
        </w:rPr>
        <w:t>?</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We are ok with adding more periodicities for 480 kHz and 960 kHz.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Ericsson</w:t>
            </w:r>
          </w:p>
        </w:tc>
        <w:tc>
          <w:tcPr>
            <w:tcW w:w="12176" w:type="dxa"/>
            <w:vAlign w:val="center"/>
          </w:tcPr>
          <w:p>
            <w:pPr>
              <w:widowControl w:val="0"/>
              <w:rPr>
                <w:sz w:val="20"/>
                <w:lang w:eastAsia="zh-CN"/>
              </w:rPr>
            </w:pPr>
            <w:r>
              <w:rPr>
                <w:sz w:val="20"/>
                <w:lang w:eastAsia="zh-CN"/>
              </w:rPr>
              <w:t>Support the above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Qualcomm</w:t>
            </w:r>
          </w:p>
        </w:tc>
        <w:tc>
          <w:tcPr>
            <w:tcW w:w="12176" w:type="dxa"/>
            <w:vAlign w:val="center"/>
          </w:tcPr>
          <w:p>
            <w:pPr>
              <w:widowControl w:val="0"/>
              <w:rPr>
                <w:sz w:val="20"/>
                <w:lang w:eastAsia="zh-CN"/>
              </w:rPr>
            </w:pPr>
            <w:r>
              <w:rPr>
                <w:sz w:val="20"/>
                <w:lang w:eastAsia="zh-CN"/>
              </w:rPr>
              <w:t>We support the proposal as the proposing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rFonts w:hint="eastAsia"/>
                <w:sz w:val="20"/>
                <w:lang w:eastAsia="zh-CN"/>
              </w:rPr>
              <w:t>v</w:t>
            </w:r>
            <w:r>
              <w:rPr>
                <w:sz w:val="20"/>
                <w:lang w:eastAsia="zh-CN"/>
              </w:rPr>
              <w:t>ivo</w:t>
            </w:r>
          </w:p>
        </w:tc>
        <w:tc>
          <w:tcPr>
            <w:tcW w:w="12176" w:type="dxa"/>
            <w:vAlign w:val="center"/>
          </w:tcPr>
          <w:p>
            <w:pPr>
              <w:widowControl w:val="0"/>
              <w:rPr>
                <w:sz w:val="20"/>
                <w:lang w:eastAsia="zh-CN"/>
              </w:rPr>
            </w:pPr>
            <w:r>
              <w:rPr>
                <w:rFonts w:hint="eastAsia"/>
                <w:sz w:val="20"/>
                <w:lang w:eastAsia="zh-CN"/>
              </w:rPr>
              <w:t>S</w:t>
            </w:r>
            <w:r>
              <w:rPr>
                <w:sz w:val="20"/>
                <w:lang w:eastAsia="zh-CN"/>
              </w:rPr>
              <w:t>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Nokia, NSB</w:t>
            </w:r>
          </w:p>
        </w:tc>
        <w:tc>
          <w:tcPr>
            <w:tcW w:w="12176" w:type="dxa"/>
            <w:vAlign w:val="center"/>
          </w:tcPr>
          <w:p>
            <w:pPr>
              <w:widowControl w:val="0"/>
              <w:rPr>
                <w:sz w:val="20"/>
                <w:lang w:eastAsia="zh-CN"/>
              </w:rPr>
            </w:pPr>
            <w:r>
              <w:rPr>
                <w:sz w:val="20"/>
                <w:lang w:eastAsia="zh-CN"/>
              </w:rPr>
              <w:t>We support this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We are fine with proposal A2-3.1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lang w:eastAsia="zh-CN"/>
              </w:rPr>
              <w:t>ZTE, Sanechips</w:t>
            </w:r>
          </w:p>
        </w:tc>
        <w:tc>
          <w:tcPr>
            <w:tcW w:w="12176" w:type="dxa"/>
            <w:vAlign w:val="center"/>
          </w:tcPr>
          <w:p>
            <w:pPr>
              <w:widowControl w:val="0"/>
              <w:rPr>
                <w:sz w:val="20"/>
                <w:lang w:eastAsia="zh-CN"/>
              </w:rPr>
            </w:pPr>
            <w:r>
              <w:rPr>
                <w:rFonts w:hint="eastAsia"/>
                <w:sz w:val="20"/>
                <w:lang w:eastAsia="zh-CN"/>
              </w:rPr>
              <w:t>We are ok with this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sz w:val="20"/>
                <w:lang w:eastAsia="ja-JP"/>
              </w:rPr>
              <w:t>N</w:t>
            </w:r>
            <w:r>
              <w:rPr>
                <w:rFonts w:eastAsia="MS Mincho"/>
                <w:sz w:val="20"/>
                <w:lang w:eastAsia="ja-JP"/>
              </w:rPr>
              <w:t>TT DOCOMO</w:t>
            </w:r>
          </w:p>
        </w:tc>
        <w:tc>
          <w:tcPr>
            <w:tcW w:w="12176" w:type="dxa"/>
            <w:vAlign w:val="center"/>
          </w:tcPr>
          <w:p>
            <w:pPr>
              <w:widowControl w:val="0"/>
              <w:rPr>
                <w:sz w:val="20"/>
                <w:lang w:eastAsia="zh-CN"/>
              </w:rPr>
            </w:pPr>
            <w:r>
              <w:rPr>
                <w:rFonts w:eastAsia="MS Mincho"/>
                <w:szCs w:val="28"/>
                <w:lang w:eastAsia="ja-JP"/>
              </w:rPr>
              <w:t>We are fine with the restriction for periodicity of common DCI which are the same absolute time for 120 kHz SCS.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sz w:val="20"/>
                <w:lang w:eastAsia="ja-JP"/>
              </w:rPr>
            </w:pPr>
            <w:r>
              <w:rPr>
                <w:sz w:val="20"/>
              </w:rPr>
              <w:t>LG Electronics</w:t>
            </w:r>
          </w:p>
        </w:tc>
        <w:tc>
          <w:tcPr>
            <w:tcW w:w="12176" w:type="dxa"/>
            <w:vAlign w:val="center"/>
          </w:tcPr>
          <w:p>
            <w:pPr>
              <w:widowControl w:val="0"/>
              <w:rPr>
                <w:rFonts w:eastAsia="MS Mincho"/>
                <w:szCs w:val="28"/>
                <w:lang w:eastAsia="ja-JP"/>
              </w:rPr>
            </w:pPr>
            <w:r>
              <w:rPr>
                <w:sz w:val="20"/>
                <w:lang w:eastAsia="zh-CN"/>
              </w:rPr>
              <w:t>Support Proposal A2-3.1.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Apple</w:t>
            </w:r>
          </w:p>
        </w:tc>
        <w:tc>
          <w:tcPr>
            <w:tcW w:w="12176" w:type="dxa"/>
            <w:vAlign w:val="center"/>
          </w:tcPr>
          <w:p>
            <w:pPr>
              <w:widowControl w:val="0"/>
              <w:rPr>
                <w:sz w:val="20"/>
                <w:lang w:eastAsia="zh-CN"/>
              </w:rPr>
            </w:pPr>
            <w:r>
              <w:rPr>
                <w:sz w:val="20"/>
                <w:lang w:eastAsia="zh-CN"/>
              </w:rPr>
              <w:t>We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sz w:val="20"/>
                <w:lang w:eastAsia="zh-CN"/>
              </w:rPr>
              <w:t>Transsion</w:t>
            </w:r>
          </w:p>
        </w:tc>
        <w:tc>
          <w:tcPr>
            <w:tcW w:w="12176" w:type="dxa"/>
            <w:vAlign w:val="center"/>
          </w:tcPr>
          <w:p>
            <w:pPr>
              <w:widowControl w:val="0"/>
              <w:rPr>
                <w:sz w:val="20"/>
                <w:lang w:eastAsia="zh-CN"/>
              </w:rPr>
            </w:pPr>
            <w:r>
              <w:rPr>
                <w:rFonts w:hint="eastAsia"/>
                <w:sz w:val="20"/>
                <w:lang w:eastAsia="zh-CN"/>
              </w:rPr>
              <w:t>We are fine with the proposal.</w:t>
            </w:r>
          </w:p>
        </w:tc>
      </w:tr>
    </w:tbl>
    <w:tbl>
      <w:tblPr>
        <w:tblStyle w:val="273"/>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sz w:val="20"/>
                <w:lang w:eastAsia="ja-JP"/>
              </w:rPr>
            </w:pPr>
            <w:r>
              <w:rPr>
                <w:sz w:val="20"/>
                <w:lang w:eastAsia="ja-JP"/>
              </w:rPr>
              <w:t>Futurewei</w:t>
            </w:r>
          </w:p>
        </w:tc>
        <w:tc>
          <w:tcPr>
            <w:tcW w:w="12176" w:type="dxa"/>
            <w:vAlign w:val="center"/>
          </w:tcPr>
          <w:p>
            <w:pPr>
              <w:widowControl w:val="0"/>
              <w:spacing w:line="240" w:lineRule="auto"/>
              <w:rPr>
                <w:sz w:val="20"/>
                <w:lang w:eastAsia="zh-CN"/>
              </w:rPr>
            </w:pPr>
            <w:r>
              <w:rPr>
                <w:sz w:val="20"/>
                <w:lang w:eastAsia="zh-CN"/>
              </w:rPr>
              <w:t>We are OK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FFFF" w:themeFill="background1"/>
            <w:vAlign w:val="center"/>
          </w:tcPr>
          <w:p>
            <w:pPr>
              <w:widowControl w:val="0"/>
              <w:spacing w:line="240" w:lineRule="auto"/>
              <w:rPr>
                <w:sz w:val="20"/>
                <w:lang w:eastAsia="ja-JP"/>
              </w:rPr>
            </w:pPr>
            <w:r>
              <w:rPr>
                <w:sz w:val="20"/>
                <w:lang w:eastAsia="ja-JP"/>
              </w:rPr>
              <w:t>Huawei, HiSilicon</w:t>
            </w:r>
          </w:p>
        </w:tc>
        <w:tc>
          <w:tcPr>
            <w:tcW w:w="12176" w:type="dxa"/>
            <w:shd w:val="clear" w:color="auto" w:fill="FFFFFF" w:themeFill="background1"/>
            <w:vAlign w:val="center"/>
          </w:tcPr>
          <w:p>
            <w:pPr>
              <w:widowControl w:val="0"/>
              <w:spacing w:line="240" w:lineRule="auto"/>
              <w:rPr>
                <w:sz w:val="20"/>
                <w:lang w:eastAsia="zh-CN"/>
              </w:rPr>
            </w:pPr>
            <w:r>
              <w:rPr>
                <w:sz w:val="20"/>
                <w:lang w:eastAsia="zh-CN"/>
              </w:rPr>
              <w:t>We support the proposal</w:t>
            </w:r>
          </w:p>
        </w:tc>
      </w:tr>
    </w:tbl>
    <w:p>
      <w:pPr>
        <w:rPr>
          <w:lang w:eastAsia="zh-CN"/>
        </w:rPr>
      </w:pPr>
    </w:p>
    <w:p>
      <w:pPr>
        <w:pStyle w:val="5"/>
      </w:pPr>
      <w:r>
        <w:t>First round discussion summary</w:t>
      </w:r>
    </w:p>
    <w:p>
      <w:pPr>
        <w:rPr>
          <w:sz w:val="20"/>
          <w:szCs w:val="20"/>
          <w:lang w:eastAsia="zh-CN"/>
        </w:rPr>
      </w:pPr>
      <w:r>
        <w:rPr>
          <w:sz w:val="20"/>
          <w:szCs w:val="20"/>
          <w:lang w:eastAsia="zh-CN"/>
        </w:rPr>
        <w:t xml:space="preserve">All responding companies support Proposal A2-3.1, so </w:t>
      </w:r>
      <w:r>
        <w:rPr>
          <w:sz w:val="20"/>
          <w:szCs w:val="20"/>
          <w:highlight w:val="yellow"/>
          <w:lang w:eastAsia="zh-CN"/>
        </w:rPr>
        <w:t>FL suggests to agree Proposal A2-3.1</w:t>
      </w:r>
      <w:r>
        <w:rPr>
          <w:sz w:val="20"/>
          <w:szCs w:val="20"/>
          <w:lang w:eastAsia="zh-CN"/>
        </w:rPr>
        <w:t>.</w:t>
      </w:r>
    </w:p>
    <w:p>
      <w:pPr>
        <w:pStyle w:val="27"/>
        <w:rPr>
          <w:b w:val="0"/>
          <w:bCs w:val="0"/>
        </w:rPr>
      </w:pPr>
      <w:r>
        <w:rPr>
          <w:b w:val="0"/>
          <w:bCs w:val="0"/>
        </w:rPr>
        <w:t>For group common DCI formats, only the following periodicities are applicable:</w:t>
      </w:r>
    </w:p>
    <w:tbl>
      <w:tblPr>
        <w:tblStyle w:val="55"/>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15"/>
        <w:gridCol w:w="2782"/>
        <w:gridCol w:w="2782"/>
        <w:gridCol w:w="27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shd w:val="clear" w:color="auto" w:fill="D8D8D8" w:themeFill="background1" w:themeFillShade="D9"/>
            <w:vAlign w:val="center"/>
          </w:tcPr>
          <w:p>
            <w:pPr>
              <w:widowControl w:val="0"/>
              <w:spacing w:after="0" w:line="240" w:lineRule="atLeast"/>
            </w:pPr>
          </w:p>
        </w:tc>
        <w:tc>
          <w:tcPr>
            <w:tcW w:w="2782" w:type="dxa"/>
            <w:shd w:val="clear" w:color="auto" w:fill="D8D8D8" w:themeFill="background1" w:themeFillShade="D9"/>
            <w:vAlign w:val="center"/>
          </w:tcPr>
          <w:p>
            <w:pPr>
              <w:widowControl w:val="0"/>
              <w:spacing w:after="0" w:line="240" w:lineRule="atLeast"/>
              <w:jc w:val="center"/>
            </w:pPr>
            <w:r>
              <w:t>120 kHz (same as FR2)</w:t>
            </w:r>
          </w:p>
        </w:tc>
        <w:tc>
          <w:tcPr>
            <w:tcW w:w="2782" w:type="dxa"/>
            <w:shd w:val="clear" w:color="auto" w:fill="D8D8D8" w:themeFill="background1" w:themeFillShade="D9"/>
            <w:vAlign w:val="center"/>
          </w:tcPr>
          <w:p>
            <w:pPr>
              <w:widowControl w:val="0"/>
              <w:spacing w:after="0" w:line="240" w:lineRule="atLeast"/>
              <w:jc w:val="center"/>
            </w:pPr>
            <w:r>
              <w:t>480 kHz</w:t>
            </w:r>
          </w:p>
        </w:tc>
        <w:tc>
          <w:tcPr>
            <w:tcW w:w="2783" w:type="dxa"/>
            <w:shd w:val="clear" w:color="auto" w:fill="D8D8D8" w:themeFill="background1" w:themeFillShade="D9"/>
            <w:vAlign w:val="center"/>
          </w:tcPr>
          <w:p>
            <w:pPr>
              <w:widowControl w:val="0"/>
              <w:spacing w:after="0" w:line="240" w:lineRule="atLeast"/>
              <w:jc w:val="center"/>
            </w:pPr>
            <w:r>
              <w:t>960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shd w:val="clear" w:color="auto" w:fill="D8D8D8" w:themeFill="background1" w:themeFillShade="D9"/>
            <w:vAlign w:val="center"/>
          </w:tcPr>
          <w:p>
            <w:pPr>
              <w:widowControl w:val="0"/>
              <w:spacing w:after="0" w:line="240" w:lineRule="atLeast"/>
              <w:jc w:val="center"/>
            </w:pPr>
            <w:r>
              <w:t>DCI format 2_0</w:t>
            </w:r>
          </w:p>
        </w:tc>
        <w:tc>
          <w:tcPr>
            <w:tcW w:w="2782" w:type="dxa"/>
            <w:vAlign w:val="center"/>
          </w:tcPr>
          <w:p>
            <w:pPr>
              <w:widowControl w:val="0"/>
              <w:spacing w:after="0" w:line="240" w:lineRule="atLeast"/>
              <w:rPr>
                <w:lang w:val="sv-SE"/>
              </w:rPr>
            </w:pPr>
            <w:r>
              <w:rPr>
                <w:lang w:val="sv-SE"/>
              </w:rPr>
              <w:t>sl1, sl2, sl4, sl5, sl8, sl10, sl16, sl20</w:t>
            </w:r>
          </w:p>
        </w:tc>
        <w:tc>
          <w:tcPr>
            <w:tcW w:w="2782" w:type="dxa"/>
            <w:vAlign w:val="center"/>
          </w:tcPr>
          <w:p>
            <w:pPr>
              <w:widowControl w:val="0"/>
              <w:spacing w:after="0" w:line="240" w:lineRule="atLeast"/>
              <w:rPr>
                <w:lang w:val="sv-SE"/>
              </w:rPr>
            </w:pPr>
            <w:r>
              <w:rPr>
                <w:lang w:val="sv-SE"/>
              </w:rPr>
              <w:t xml:space="preserve">sl4, sl8, sl16, sl20, </w:t>
            </w:r>
            <w:r>
              <w:rPr>
                <w:color w:val="FF0000"/>
                <w:lang w:val="sv-SE"/>
              </w:rPr>
              <w:t>sl32</w:t>
            </w:r>
            <w:r>
              <w:rPr>
                <w:lang w:val="sv-SE"/>
              </w:rPr>
              <w:t xml:space="preserve">, sl40, </w:t>
            </w:r>
            <w:r>
              <w:rPr>
                <w:color w:val="FF0000"/>
                <w:lang w:val="sv-SE"/>
              </w:rPr>
              <w:t>sl64</w:t>
            </w:r>
            <w:r>
              <w:rPr>
                <w:lang w:val="sv-SE"/>
              </w:rPr>
              <w:t>, sl80</w:t>
            </w:r>
          </w:p>
        </w:tc>
        <w:tc>
          <w:tcPr>
            <w:tcW w:w="2783" w:type="dxa"/>
            <w:vAlign w:val="center"/>
          </w:tcPr>
          <w:p>
            <w:pPr>
              <w:widowControl w:val="0"/>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xml:space="preserve">, sl80, </w:t>
            </w:r>
            <w:r>
              <w:rPr>
                <w:color w:val="FF0000"/>
                <w:lang w:val="sv-SE"/>
              </w:rPr>
              <w:t>sl128</w:t>
            </w:r>
            <w:r>
              <w:rPr>
                <w:lang w:val="sv-SE"/>
              </w:rPr>
              <w:t>, sl160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shd w:val="clear" w:color="auto" w:fill="D8D8D8" w:themeFill="background1" w:themeFillShade="D9"/>
            <w:vAlign w:val="center"/>
          </w:tcPr>
          <w:p>
            <w:pPr>
              <w:widowControl w:val="0"/>
              <w:spacing w:after="0" w:line="240" w:lineRule="atLeast"/>
              <w:jc w:val="center"/>
            </w:pPr>
            <w:r>
              <w:t>DCI format 2_1</w:t>
            </w:r>
          </w:p>
        </w:tc>
        <w:tc>
          <w:tcPr>
            <w:tcW w:w="2782" w:type="dxa"/>
            <w:vAlign w:val="center"/>
          </w:tcPr>
          <w:p>
            <w:pPr>
              <w:widowControl w:val="0"/>
              <w:spacing w:after="0" w:line="240" w:lineRule="atLeast"/>
            </w:pPr>
            <w:r>
              <w:t>sl1, sl2, sl4</w:t>
            </w:r>
          </w:p>
        </w:tc>
        <w:tc>
          <w:tcPr>
            <w:tcW w:w="2782" w:type="dxa"/>
            <w:vAlign w:val="center"/>
          </w:tcPr>
          <w:p>
            <w:pPr>
              <w:widowControl w:val="0"/>
              <w:spacing w:after="0" w:line="240" w:lineRule="atLeast"/>
            </w:pPr>
            <w:r>
              <w:t>sl4, sl8, sl16</w:t>
            </w:r>
          </w:p>
        </w:tc>
        <w:tc>
          <w:tcPr>
            <w:tcW w:w="2783" w:type="dxa"/>
            <w:vAlign w:val="center"/>
          </w:tcPr>
          <w:p>
            <w:pPr>
              <w:widowControl w:val="0"/>
              <w:spacing w:after="0" w:line="240" w:lineRule="atLeast"/>
            </w:pPr>
            <w:r>
              <w:t xml:space="preserve">sl8, sl16, </w:t>
            </w:r>
            <w:r>
              <w:rPr>
                <w:color w:val="FF0000"/>
              </w:rPr>
              <w:t>sl32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trPr>
        <w:tc>
          <w:tcPr>
            <w:tcW w:w="1615" w:type="dxa"/>
            <w:shd w:val="clear" w:color="auto" w:fill="D8D8D8" w:themeFill="background1" w:themeFillShade="D9"/>
            <w:vAlign w:val="center"/>
          </w:tcPr>
          <w:p>
            <w:pPr>
              <w:widowControl w:val="0"/>
              <w:spacing w:after="0" w:line="240" w:lineRule="atLeast"/>
              <w:jc w:val="center"/>
            </w:pPr>
            <w:r>
              <w:t>DCI format 2_4</w:t>
            </w:r>
          </w:p>
        </w:tc>
        <w:tc>
          <w:tcPr>
            <w:tcW w:w="2782" w:type="dxa"/>
            <w:vAlign w:val="center"/>
          </w:tcPr>
          <w:p>
            <w:pPr>
              <w:widowControl w:val="0"/>
              <w:spacing w:after="0" w:line="240" w:lineRule="atLeast"/>
              <w:rPr>
                <w:lang w:val="sv-SE"/>
              </w:rPr>
            </w:pPr>
            <w:r>
              <w:rPr>
                <w:lang w:val="sv-SE"/>
              </w:rPr>
              <w:t>sl1, sl2, sl4, sl5, sl8, sl10</w:t>
            </w:r>
          </w:p>
        </w:tc>
        <w:tc>
          <w:tcPr>
            <w:tcW w:w="2782" w:type="dxa"/>
            <w:vAlign w:val="center"/>
          </w:tcPr>
          <w:p>
            <w:pPr>
              <w:widowControl w:val="0"/>
              <w:spacing w:after="0" w:line="240" w:lineRule="atLeast"/>
              <w:rPr>
                <w:lang w:val="sv-SE"/>
              </w:rPr>
            </w:pPr>
            <w:r>
              <w:rPr>
                <w:lang w:val="sv-SE"/>
              </w:rPr>
              <w:t xml:space="preserve">sl4, sl8, sl16, sl20, </w:t>
            </w:r>
            <w:r>
              <w:rPr>
                <w:color w:val="FF0000"/>
                <w:lang w:val="sv-SE"/>
              </w:rPr>
              <w:t>sl32</w:t>
            </w:r>
            <w:r>
              <w:rPr>
                <w:lang w:val="sv-SE"/>
              </w:rPr>
              <w:t>, sl40</w:t>
            </w:r>
          </w:p>
        </w:tc>
        <w:tc>
          <w:tcPr>
            <w:tcW w:w="2783" w:type="dxa"/>
            <w:vAlign w:val="center"/>
          </w:tcPr>
          <w:p>
            <w:pPr>
              <w:widowControl w:val="0"/>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sl80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trPr>
        <w:tc>
          <w:tcPr>
            <w:tcW w:w="9962" w:type="dxa"/>
            <w:gridSpan w:val="4"/>
            <w:vAlign w:val="center"/>
          </w:tcPr>
          <w:p>
            <w:pPr>
              <w:widowControl w:val="0"/>
              <w:spacing w:after="0" w:line="240" w:lineRule="atLeast"/>
            </w:pPr>
            <w:r>
              <w:rPr>
                <w:color w:val="FF0000"/>
              </w:rPr>
              <w:t>Highlighted</w:t>
            </w:r>
            <w:r>
              <w:t>: New periodicity values to be introduced for 480/960 kHz SCSs</w:t>
            </w:r>
          </w:p>
        </w:tc>
      </w:tr>
    </w:tbl>
    <w:p>
      <w:pPr>
        <w:rPr>
          <w:lang w:eastAsia="zh-CN"/>
        </w:rPr>
      </w:pPr>
    </w:p>
    <w:p>
      <w:pPr>
        <w:rPr>
          <w:sz w:val="20"/>
          <w:szCs w:val="20"/>
          <w:lang w:eastAsia="zh-CN"/>
        </w:rPr>
      </w:pPr>
    </w:p>
    <w:p>
      <w:pPr>
        <w:pStyle w:val="4"/>
      </w:pPr>
      <w:r>
        <w:t>Issue A2-4: SS set group switching minimum time</w:t>
      </w:r>
    </w:p>
    <w:p>
      <w:pPr>
        <w:pStyle w:val="5"/>
      </w:pPr>
      <w:r>
        <w:t>First round discussion</w:t>
      </w:r>
    </w:p>
    <w:p>
      <w:pPr>
        <w:spacing w:after="0" w:line="260" w:lineRule="auto"/>
        <w:rPr>
          <w:b/>
        </w:rPr>
      </w:pPr>
      <w:r>
        <w:rPr>
          <w:b/>
          <w:sz w:val="20"/>
          <w:szCs w:val="20"/>
          <w:u w:val="single"/>
        </w:rPr>
        <w:t>Proposal A2-4.1</w:t>
      </w:r>
      <w:r>
        <w:rPr>
          <w:b/>
          <w:sz w:val="20"/>
          <w:szCs w:val="20"/>
        </w:rPr>
        <w:t>:</w:t>
      </w:r>
      <w:r>
        <w:rPr>
          <w:b/>
          <w:iCs/>
          <w:sz w:val="20"/>
          <w:szCs w:val="20"/>
        </w:rPr>
        <w:t xml:space="preserve"> </w:t>
      </w:r>
      <w:r>
        <w:rPr>
          <w:b/>
          <w:iCs/>
          <w:color w:val="000000"/>
          <w:sz w:val="21"/>
          <w:szCs w:val="21"/>
        </w:rPr>
        <w:t xml:space="preserve">Confirm the WA in RAN1 107-e, that is, support only search space set group switching processing capability 1 with </w:t>
      </w:r>
      <w:r>
        <w:rPr>
          <w:b/>
          <w:sz w:val="20"/>
          <w:szCs w:val="20"/>
        </w:rPr>
        <w:t>with the following values</w:t>
      </w:r>
    </w:p>
    <w:tbl>
      <w:tblPr>
        <w:tblStyle w:val="54"/>
        <w:tblW w:w="3685" w:type="dxa"/>
        <w:tblInd w:w="169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300"/>
        <w:gridCol w:w="33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Pr>
        <w:tc>
          <w:tcPr>
            <w:tcW w:w="300" w:type="dxa"/>
            <w:shd w:val="clear" w:color="auto" w:fill="E0E0E0"/>
            <w:vAlign w:val="center"/>
          </w:tcPr>
          <w:p>
            <w:pPr>
              <w:pStyle w:val="90"/>
              <w:rPr>
                <w:rFonts w:ascii="Times New Roman" w:hAnsi="Times New Roman"/>
                <w:sz w:val="20"/>
              </w:rPr>
            </w:pPr>
            <m:oMathPara>
              <m:oMath>
                <m:r>
                  <m:rPr>
                    <m:sty m:val="bi"/>
                  </m:rPr>
                  <w:rPr>
                    <w:rFonts w:ascii="Cambria Math" w:hAnsi="Cambria Math"/>
                    <w:sz w:val="20"/>
                  </w:rPr>
                  <m:t>μ</m:t>
                </m:r>
              </m:oMath>
            </m:oMathPara>
          </w:p>
        </w:tc>
        <w:tc>
          <w:tcPr>
            <w:tcW w:w="3385" w:type="dxa"/>
            <w:shd w:val="clear" w:color="auto" w:fill="E0E0E0"/>
            <w:vAlign w:val="center"/>
          </w:tcPr>
          <w:p>
            <w:pPr>
              <w:pStyle w:val="90"/>
              <w:rPr>
                <w:rFonts w:ascii="Times New Roman" w:hAnsi="Times New Roman"/>
                <w:sz w:val="20"/>
              </w:rPr>
            </w:pPr>
            <w:r>
              <w:rPr>
                <w:rFonts w:ascii="Times New Roman" w:hAnsi="Times New Roman"/>
                <w:sz w:val="20"/>
              </w:rPr>
              <w:t xml:space="preserve">Minimum </w:t>
            </w:r>
            <w:r>
              <w:rPr>
                <w:rFonts w:ascii="Times New Roman" w:hAnsi="Times New Roman"/>
                <w:sz w:val="20"/>
              </w:rPr>
              <w:fldChar w:fldCharType="begin"/>
            </w:r>
            <w:r>
              <w:rPr>
                <w:rFonts w:ascii="Times New Roman" w:hAnsi="Times New Roman"/>
                <w:sz w:val="20"/>
              </w:rPr>
              <w:instrText xml:space="preserve"> QUOTE </w:instrText>
            </w:r>
            <m:oMath>
              <m:sSub>
                <m:sSubPr>
                  <m:ctrlPr>
                    <w:rPr>
                      <w:rFonts w:ascii="Cambria Math" w:hAnsi="Cambria Math" w:cs="Arial"/>
                      <w:szCs w:val="18"/>
                    </w:rPr>
                  </m:ctrlPr>
                </m:sSubPr>
                <m:e>
                  <m:r>
                    <m:rPr>
                      <m:sty m:val="b"/>
                    </m:rPr>
                    <w:rPr>
                      <w:rFonts w:ascii="Cambria Math" w:hAnsi="Cambria Math" w:cs="Arial"/>
                      <w:szCs w:val="18"/>
                    </w:rPr>
                    <m:t xml:space="preserve">P</m:t>
                  </m:r>
                  <m:ctrlPr>
                    <w:rPr>
                      <w:rFonts w:ascii="Cambria Math" w:hAnsi="Cambria Math" w:cs="Arial"/>
                      <w:szCs w:val="18"/>
                    </w:rPr>
                  </m:ctrlPr>
                </m:e>
                <m:sub>
                  <m:r>
                    <m:rPr>
                      <m:sty m:val="b"/>
                    </m:rPr>
                    <w:rPr>
                      <w:rFonts w:ascii="Cambria Math" w:hAnsi="Cambria Math" w:cs="Arial"/>
                      <w:szCs w:val="18"/>
                    </w:rPr>
                    <m:t xml:space="preserve">switch</m:t>
                  </m:r>
                  <m:ctrlPr>
                    <w:rPr>
                      <w:rFonts w:ascii="Cambria Math" w:hAnsi="Cambria Math" w:cs="Arial"/>
                      <w:szCs w:val="18"/>
                    </w:rPr>
                  </m:ctrlPr>
                </m:sub>
              </m:sSub>
            </m:oMath>
            <w:r>
              <w:rPr>
                <w:rFonts w:ascii="Times New Roman" w:hAnsi="Times New Roman"/>
                <w:sz w:val="20"/>
              </w:rPr>
              <w:instrText xml:space="preserve"> </w:instrText>
            </w:r>
            <w:r>
              <w:rPr>
                <w:rFonts w:ascii="Times New Roman" w:hAnsi="Times New Roman"/>
                <w:sz w:val="20"/>
              </w:rPr>
              <w:fldChar w:fldCharType="separate"/>
            </w:r>
            <m:oMath>
              <m:sSub>
                <m:sSubPr>
                  <m:ctrlPr>
                    <w:rPr>
                      <w:rFonts w:ascii="Cambria Math" w:hAnsi="Cambria Math"/>
                      <w:i/>
                    </w:rPr>
                  </m:ctrlPr>
                </m:sSubPr>
                <m:e>
                  <m:r>
                    <m:rPr>
                      <m:sty m:val="b"/>
                    </m:rPr>
                    <w:rPr>
                      <w:rFonts w:ascii="Cambria Math" w:hAnsi="Cambria Math"/>
                    </w:rPr>
                    <m:t>P</m:t>
                  </m:r>
                  <m:ctrlPr>
                    <w:rPr>
                      <w:rFonts w:ascii="Cambria Math" w:hAnsi="Cambria Math"/>
                      <w:i/>
                    </w:rPr>
                  </m:ctrlPr>
                </m:e>
                <m:sub>
                  <m:r>
                    <m:rPr>
                      <m:sty m:val="b"/>
                    </m:rPr>
                    <w:rPr>
                      <w:rFonts w:ascii="Cambria Math" w:hAnsi="Cambria Math"/>
                    </w:rPr>
                    <m:t>switch</m:t>
                  </m:r>
                  <m:ctrlPr>
                    <w:rPr>
                      <w:rFonts w:ascii="Cambria Math" w:hAnsi="Cambria Math"/>
                      <w:i/>
                    </w:rPr>
                  </m:ctrlPr>
                </m:sub>
              </m:sSub>
            </m:oMath>
            <w:r>
              <w:rPr>
                <w:rFonts w:ascii="Times New Roman" w:hAnsi="Times New Roman"/>
                <w:sz w:val="20"/>
              </w:rPr>
              <w:fldChar w:fldCharType="end"/>
            </w:r>
            <w:r>
              <w:rPr>
                <w:rFonts w:ascii="Times New Roman" w:hAnsi="Times New Roman"/>
                <w:sz w:val="20"/>
              </w:rPr>
              <w:t xml:space="preserve"> value for</w:t>
            </w:r>
          </w:p>
          <w:p>
            <w:pPr>
              <w:pStyle w:val="90"/>
              <w:rPr>
                <w:rFonts w:ascii="Times New Roman" w:hAnsi="Times New Roman"/>
                <w:sz w:val="20"/>
              </w:rPr>
            </w:pPr>
            <w:r>
              <w:rPr>
                <w:rFonts w:ascii="Times New Roman" w:hAnsi="Times New Roman"/>
                <w:sz w:val="20"/>
              </w:rPr>
              <w:t xml:space="preserve"> UE processing </w:t>
            </w:r>
            <w:r>
              <w:rPr>
                <w:rFonts w:ascii="Times New Roman" w:hAnsi="Times New Roman"/>
                <w:sz w:val="20"/>
                <w:lang w:eastAsia="zh-CN"/>
              </w:rPr>
              <w:t>capability 1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Pr>
        <w:tc>
          <w:tcPr>
            <w:tcW w:w="300" w:type="dxa"/>
            <w:vAlign w:val="center"/>
          </w:tcPr>
          <w:p>
            <w:pPr>
              <w:pStyle w:val="114"/>
              <w:rPr>
                <w:rFonts w:ascii="Times New Roman" w:hAnsi="Times New Roman"/>
                <w:b/>
                <w:sz w:val="20"/>
              </w:rPr>
            </w:pPr>
            <w:r>
              <w:rPr>
                <w:rFonts w:ascii="Times New Roman" w:hAnsi="Times New Roman"/>
                <w:b/>
                <w:sz w:val="20"/>
              </w:rPr>
              <w:t>3</w:t>
            </w:r>
          </w:p>
        </w:tc>
        <w:tc>
          <w:tcPr>
            <w:tcW w:w="3385" w:type="dxa"/>
            <w:vAlign w:val="center"/>
          </w:tcPr>
          <w:p>
            <w:pPr>
              <w:pStyle w:val="114"/>
              <w:rPr>
                <w:rFonts w:ascii="Times New Roman" w:hAnsi="Times New Roman"/>
                <w:b/>
                <w:sz w:val="20"/>
              </w:rPr>
            </w:pPr>
            <w:r>
              <w:rPr>
                <w:rFonts w:ascii="Times New Roman" w:hAnsi="Times New Roman"/>
                <w:b/>
                <w:sz w:val="20"/>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Pr>
        <w:tc>
          <w:tcPr>
            <w:tcW w:w="300" w:type="dxa"/>
            <w:vAlign w:val="center"/>
          </w:tcPr>
          <w:p>
            <w:pPr>
              <w:pStyle w:val="114"/>
              <w:rPr>
                <w:rFonts w:ascii="Times New Roman" w:hAnsi="Times New Roman"/>
                <w:b/>
                <w:sz w:val="20"/>
              </w:rPr>
            </w:pPr>
            <w:r>
              <w:rPr>
                <w:rFonts w:ascii="Times New Roman" w:hAnsi="Times New Roman"/>
                <w:b/>
                <w:sz w:val="20"/>
              </w:rPr>
              <w:t>5</w:t>
            </w:r>
          </w:p>
        </w:tc>
        <w:tc>
          <w:tcPr>
            <w:tcW w:w="3385" w:type="dxa"/>
            <w:vAlign w:val="center"/>
          </w:tcPr>
          <w:p>
            <w:pPr>
              <w:pStyle w:val="114"/>
              <w:rPr>
                <w:rFonts w:ascii="Times New Roman" w:hAnsi="Times New Roman"/>
                <w:b/>
                <w:sz w:val="20"/>
              </w:rPr>
            </w:pPr>
            <w:r>
              <w:rPr>
                <w:rFonts w:ascii="Times New Roman" w:hAnsi="Times New Roman"/>
                <w:b/>
                <w:sz w:val="20"/>
              </w:rPr>
              <w:t>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Pr>
        <w:tc>
          <w:tcPr>
            <w:tcW w:w="300" w:type="dxa"/>
            <w:vAlign w:val="center"/>
          </w:tcPr>
          <w:p>
            <w:pPr>
              <w:pStyle w:val="114"/>
              <w:rPr>
                <w:rFonts w:ascii="Times New Roman" w:hAnsi="Times New Roman"/>
                <w:b/>
                <w:sz w:val="20"/>
              </w:rPr>
            </w:pPr>
            <w:r>
              <w:rPr>
                <w:rFonts w:ascii="Times New Roman" w:hAnsi="Times New Roman"/>
                <w:b/>
                <w:sz w:val="20"/>
              </w:rPr>
              <w:t>6</w:t>
            </w:r>
          </w:p>
        </w:tc>
        <w:tc>
          <w:tcPr>
            <w:tcW w:w="3385" w:type="dxa"/>
            <w:vAlign w:val="center"/>
          </w:tcPr>
          <w:p>
            <w:pPr>
              <w:pStyle w:val="114"/>
              <w:rPr>
                <w:rFonts w:ascii="Times New Roman" w:hAnsi="Times New Roman"/>
                <w:b/>
                <w:sz w:val="20"/>
              </w:rPr>
            </w:pPr>
            <w:r>
              <w:rPr>
                <w:rFonts w:ascii="Times New Roman" w:hAnsi="Times New Roman"/>
                <w:b/>
                <w:sz w:val="20"/>
              </w:rPr>
              <w:t>320</w:t>
            </w:r>
          </w:p>
        </w:tc>
      </w:tr>
    </w:tbl>
    <w:p>
      <w:pPr>
        <w:rPr>
          <w:bCs/>
          <w:sz w:val="20"/>
          <w:szCs w:val="20"/>
          <w:lang w:eastAsia="zh-CN"/>
        </w:rPr>
      </w:pPr>
    </w:p>
    <w:p>
      <w:pPr>
        <w:rPr>
          <w:bCs/>
          <w:sz w:val="20"/>
          <w:szCs w:val="20"/>
        </w:rPr>
      </w:pPr>
      <w:r>
        <w:rPr>
          <w:bCs/>
          <w:sz w:val="20"/>
          <w:szCs w:val="20"/>
          <w:lang w:eastAsia="zh-CN"/>
        </w:rPr>
        <w:t>FL Summary: All companies discussing the minimum P_switch value support the above proposal. Therefore FL suggests to formally agree on Proposal A2-4.1</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MediaTek</w:t>
            </w:r>
          </w:p>
        </w:tc>
        <w:tc>
          <w:tcPr>
            <w:tcW w:w="12176" w:type="dxa"/>
            <w:vAlign w:val="center"/>
          </w:tcPr>
          <w:p>
            <w:pPr>
              <w:widowControl w:val="0"/>
              <w:rPr>
                <w:lang w:eastAsia="zh-CN"/>
              </w:rPr>
            </w:pPr>
            <w:r>
              <w:rPr>
                <w:lang w:eastAsia="zh-CN"/>
              </w:rPr>
              <w:t>We prefer to discuss this issue after the decision on Issue A2-5 and A2-6.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lang w:eastAsia="zh-CN"/>
              </w:rPr>
              <w:t>Samsung</w:t>
            </w:r>
          </w:p>
        </w:tc>
        <w:tc>
          <w:tcPr>
            <w:tcW w:w="12176" w:type="dxa"/>
            <w:vAlign w:val="center"/>
          </w:tcPr>
          <w:p>
            <w:pPr>
              <w:widowControl w:val="0"/>
              <w:rPr>
                <w:sz w:val="20"/>
                <w:lang w:eastAsia="zh-CN"/>
              </w:rPr>
            </w:pPr>
            <w:r>
              <w:rPr>
                <w:lang w:eastAsia="zh-CN"/>
              </w:rPr>
              <w:t xml:space="preserve">We support confirming the WA.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Ericsson</w:t>
            </w:r>
          </w:p>
        </w:tc>
        <w:tc>
          <w:tcPr>
            <w:tcW w:w="12176" w:type="dxa"/>
            <w:vAlign w:val="center"/>
          </w:tcPr>
          <w:p>
            <w:pPr>
              <w:widowControl w:val="0"/>
              <w:rPr>
                <w:sz w:val="20"/>
                <w:lang w:eastAsia="zh-CN"/>
              </w:rPr>
            </w:pPr>
            <w:r>
              <w:rPr>
                <w:sz w:val="20"/>
                <w:lang w:eastAsia="zh-CN"/>
              </w:rPr>
              <w:t>We support confirming the WA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lang w:eastAsia="zh-CN"/>
              </w:rPr>
              <w:t>Qualcomm</w:t>
            </w:r>
          </w:p>
        </w:tc>
        <w:tc>
          <w:tcPr>
            <w:tcW w:w="12176" w:type="dxa"/>
            <w:vAlign w:val="center"/>
          </w:tcPr>
          <w:p>
            <w:pPr>
              <w:widowControl w:val="0"/>
              <w:rPr>
                <w:sz w:val="20"/>
                <w:lang w:eastAsia="zh-CN"/>
              </w:rPr>
            </w:pPr>
            <w:r>
              <w:rPr>
                <w:lang w:eastAsia="zh-CN"/>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Sharp</w:t>
            </w:r>
          </w:p>
        </w:tc>
        <w:tc>
          <w:tcPr>
            <w:tcW w:w="12176" w:type="dxa"/>
            <w:vAlign w:val="center"/>
          </w:tcPr>
          <w:p>
            <w:pPr>
              <w:widowControl w:val="0"/>
              <w:rPr>
                <w:lang w:eastAsia="zh-CN"/>
              </w:rPr>
            </w:pPr>
            <w:r>
              <w:rPr>
                <w:rFonts w:hint="eastAsia" w:eastAsia="MS Mincho"/>
                <w:lang w:eastAsia="ja-JP"/>
              </w:rPr>
              <w:t>We are ok with FL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sz w:val="20"/>
                <w:lang w:eastAsia="zh-CN"/>
              </w:rPr>
              <w:t>v</w:t>
            </w:r>
            <w:r>
              <w:rPr>
                <w:sz w:val="20"/>
                <w:lang w:eastAsia="zh-CN"/>
              </w:rPr>
              <w:t>ivo</w:t>
            </w:r>
          </w:p>
        </w:tc>
        <w:tc>
          <w:tcPr>
            <w:tcW w:w="12176" w:type="dxa"/>
            <w:vAlign w:val="center"/>
          </w:tcPr>
          <w:p>
            <w:pPr>
              <w:widowControl w:val="0"/>
              <w:rPr>
                <w:rFonts w:eastAsia="MS Mincho"/>
                <w:lang w:eastAsia="ja-JP"/>
              </w:rPr>
            </w:pPr>
            <w:r>
              <w:rPr>
                <w:rFonts w:hint="eastAsia"/>
                <w:sz w:val="20"/>
                <w:lang w:eastAsia="zh-CN"/>
              </w:rPr>
              <w:t>S</w:t>
            </w:r>
            <w:r>
              <w:rPr>
                <w:sz w:val="20"/>
                <w:lang w:eastAsia="zh-CN"/>
              </w:rPr>
              <w:t>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Nokia, NSB</w:t>
            </w:r>
          </w:p>
        </w:tc>
        <w:tc>
          <w:tcPr>
            <w:tcW w:w="12176" w:type="dxa"/>
            <w:vAlign w:val="center"/>
          </w:tcPr>
          <w:p>
            <w:pPr>
              <w:widowControl w:val="0"/>
              <w:rPr>
                <w:rFonts w:eastAsia="MS Mincho"/>
                <w:lang w:eastAsia="ja-JP"/>
              </w:rPr>
            </w:pPr>
            <w:r>
              <w:rPr>
                <w:rFonts w:eastAsia="MS Mincho"/>
                <w:lang w:eastAsia="ja-JP"/>
              </w:rPr>
              <w:t>We support the FL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N</w:t>
            </w:r>
            <w:r>
              <w:rPr>
                <w:lang w:eastAsia="zh-CN"/>
              </w:rPr>
              <w:t>EC</w:t>
            </w:r>
          </w:p>
        </w:tc>
        <w:tc>
          <w:tcPr>
            <w:tcW w:w="12176" w:type="dxa"/>
            <w:vAlign w:val="center"/>
          </w:tcPr>
          <w:p>
            <w:pPr>
              <w:widowControl w:val="0"/>
              <w:rPr>
                <w:rFonts w:eastAsia="MS Mincho"/>
                <w:lang w:eastAsia="ja-JP"/>
              </w:rPr>
            </w:pPr>
            <w:r>
              <w:rPr>
                <w:lang w:eastAsia="zh-CN"/>
              </w:rPr>
              <w:t>We support confirming the WA.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We support the FL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sz w:val="20"/>
                <w:lang w:eastAsia="zh-CN"/>
              </w:rPr>
              <w:t>We agree with FL</w:t>
            </w:r>
            <w:r>
              <w:rPr>
                <w:sz w:val="20"/>
                <w:lang w:eastAsia="zh-CN"/>
              </w:rPr>
              <w:t>’</w:t>
            </w:r>
            <w:r>
              <w:rPr>
                <w:rFonts w:hint="eastAsia"/>
                <w:sz w:val="20"/>
                <w:lang w:eastAsia="zh-CN"/>
              </w:rPr>
              <w:t>s suggestion to confirm the WA.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sz w:val="20"/>
                <w:lang w:eastAsia="zh-CN"/>
              </w:rPr>
            </w:pPr>
            <w:r>
              <w:rPr>
                <w:rFonts w:eastAsia="MS Mincho"/>
                <w:lang w:eastAsia="ja-JP"/>
              </w:rPr>
              <w:t>We support FL suggestion to confirm the WA.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sz w:val="20"/>
              </w:rPr>
              <w:t>LG Electronics</w:t>
            </w:r>
          </w:p>
        </w:tc>
        <w:tc>
          <w:tcPr>
            <w:tcW w:w="12176" w:type="dxa"/>
            <w:vAlign w:val="center"/>
          </w:tcPr>
          <w:p>
            <w:pPr>
              <w:widowControl w:val="0"/>
              <w:rPr>
                <w:rFonts w:eastAsia="MS Mincho"/>
                <w:lang w:eastAsia="ja-JP"/>
              </w:rPr>
            </w:pPr>
            <w:r>
              <w:rPr>
                <w:sz w:val="20"/>
                <w:lang w:eastAsia="zh-CN"/>
              </w:rPr>
              <w:t>Support Proposal A2-4.1.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lang w:eastAsia="zh-CN"/>
              </w:rPr>
              <w:t>Apple</w:t>
            </w:r>
          </w:p>
        </w:tc>
        <w:tc>
          <w:tcPr>
            <w:tcW w:w="12176" w:type="dxa"/>
            <w:vAlign w:val="center"/>
          </w:tcPr>
          <w:p>
            <w:pPr>
              <w:widowControl w:val="0"/>
              <w:rPr>
                <w:sz w:val="20"/>
                <w:lang w:eastAsia="zh-CN"/>
              </w:rPr>
            </w:pPr>
            <w:r>
              <w:rPr>
                <w:lang w:eastAsia="zh-CN"/>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lang w:eastAsia="zh-CN"/>
              </w:rPr>
              <w:t>Support this proposal.</w:t>
            </w:r>
          </w:p>
        </w:tc>
      </w:tr>
    </w:tbl>
    <w:tbl>
      <w:tblPr>
        <w:tblStyle w:val="274"/>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sz w:val="20"/>
                <w:lang w:eastAsia="ja-JP"/>
              </w:rPr>
            </w:pPr>
            <w:r>
              <w:rPr>
                <w:sz w:val="20"/>
                <w:lang w:eastAsia="ja-JP"/>
              </w:rPr>
              <w:t>Futurewei</w:t>
            </w:r>
          </w:p>
        </w:tc>
        <w:tc>
          <w:tcPr>
            <w:tcW w:w="12176" w:type="dxa"/>
            <w:vAlign w:val="center"/>
          </w:tcPr>
          <w:p>
            <w:pPr>
              <w:widowControl w:val="0"/>
              <w:spacing w:line="240" w:lineRule="auto"/>
              <w:rPr>
                <w:sz w:val="20"/>
                <w:lang w:eastAsia="zh-CN"/>
              </w:rPr>
            </w:pPr>
            <w:r>
              <w:rPr>
                <w:sz w:val="20"/>
                <w:lang w:eastAsia="zh-CN"/>
              </w:rPr>
              <w:t>We are OK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FFFF" w:themeFill="background1"/>
            <w:vAlign w:val="center"/>
          </w:tcPr>
          <w:p>
            <w:pPr>
              <w:widowControl w:val="0"/>
              <w:spacing w:line="240" w:lineRule="auto"/>
              <w:rPr>
                <w:sz w:val="20"/>
                <w:lang w:eastAsia="ja-JP"/>
              </w:rPr>
            </w:pPr>
            <w:r>
              <w:rPr>
                <w:sz w:val="20"/>
                <w:lang w:eastAsia="ja-JP"/>
              </w:rPr>
              <w:t>Huawei, HiSilicon</w:t>
            </w:r>
          </w:p>
        </w:tc>
        <w:tc>
          <w:tcPr>
            <w:tcW w:w="12176" w:type="dxa"/>
            <w:shd w:val="clear" w:color="auto" w:fill="FFFFFF" w:themeFill="background1"/>
            <w:vAlign w:val="center"/>
          </w:tcPr>
          <w:p>
            <w:pPr>
              <w:widowControl w:val="0"/>
              <w:spacing w:line="240" w:lineRule="auto"/>
              <w:rPr>
                <w:sz w:val="20"/>
                <w:lang w:eastAsia="zh-CN"/>
              </w:rPr>
            </w:pPr>
            <w:r>
              <w:rPr>
                <w:sz w:val="20"/>
                <w:lang w:eastAsia="zh-CN"/>
              </w:rPr>
              <w:t>We support the proposal</w:t>
            </w:r>
          </w:p>
        </w:tc>
      </w:tr>
    </w:tbl>
    <w:p>
      <w:pPr>
        <w:rPr>
          <w:lang w:eastAsia="zh-CN"/>
        </w:rPr>
      </w:pPr>
    </w:p>
    <w:p>
      <w:pPr>
        <w:pStyle w:val="5"/>
      </w:pPr>
      <w:r>
        <w:t>First round discussion summary</w:t>
      </w:r>
    </w:p>
    <w:p>
      <w:pPr>
        <w:rPr>
          <w:sz w:val="20"/>
          <w:szCs w:val="20"/>
          <w:lang w:eastAsia="zh-CN"/>
        </w:rPr>
      </w:pPr>
      <w:r>
        <w:rPr>
          <w:sz w:val="20"/>
          <w:szCs w:val="20"/>
          <w:lang w:eastAsia="zh-CN"/>
        </w:rPr>
        <w:t xml:space="preserve">Most companies support the proposal, however one company expressed a preference to </w:t>
      </w:r>
      <w:r>
        <w:rPr>
          <w:sz w:val="20"/>
          <w:szCs w:val="20"/>
          <w:highlight w:val="yellow"/>
          <w:lang w:eastAsia="zh-CN"/>
        </w:rPr>
        <w:t>come back to this after progressing on Issues A2-5 and A2-6</w:t>
      </w:r>
      <w:r>
        <w:rPr>
          <w:sz w:val="20"/>
          <w:szCs w:val="20"/>
          <w:lang w:eastAsia="zh-CN"/>
        </w:rPr>
        <w:t>.</w:t>
      </w:r>
    </w:p>
    <w:p>
      <w:pPr>
        <w:pStyle w:val="4"/>
      </w:pPr>
      <w:r>
        <w:t>Issue A2-5: SS set group switching behaviour</w:t>
      </w:r>
    </w:p>
    <w:p>
      <w:pPr>
        <w:pStyle w:val="5"/>
      </w:pPr>
      <w:r>
        <w:t>First round discussion</w:t>
      </w:r>
    </w:p>
    <w:p>
      <w:pPr>
        <w:spacing w:after="0" w:line="260" w:lineRule="auto"/>
        <w:rPr>
          <w:b/>
          <w:iCs/>
          <w:color w:val="000000"/>
          <w:sz w:val="21"/>
          <w:szCs w:val="21"/>
        </w:rPr>
      </w:pPr>
      <w:r>
        <w:rPr>
          <w:b/>
          <w:sz w:val="20"/>
          <w:szCs w:val="20"/>
          <w:u w:val="single"/>
        </w:rPr>
        <w:t>Proposal A2-5.1</w:t>
      </w:r>
      <w:r>
        <w:rPr>
          <w:b/>
          <w:sz w:val="20"/>
          <w:szCs w:val="20"/>
        </w:rPr>
        <w:t>:</w:t>
      </w:r>
      <w:r>
        <w:rPr>
          <w:b/>
          <w:iCs/>
          <w:sz w:val="20"/>
          <w:szCs w:val="20"/>
        </w:rPr>
        <w:t xml:space="preserve"> </w:t>
      </w:r>
      <w:r>
        <w:rPr>
          <w:b/>
          <w:iCs/>
          <w:color w:val="000000"/>
          <w:sz w:val="21"/>
          <w:szCs w:val="21"/>
        </w:rPr>
        <w:t>For multi-slot PDCCH monitoring for 480/960 kHz SCSs, the boundary of SSSG switching is always aligned with the boundary of a slot group.</w:t>
      </w:r>
    </w:p>
    <w:p>
      <w:pPr>
        <w:spacing w:after="0" w:line="260" w:lineRule="auto"/>
        <w:rPr>
          <w:bCs/>
          <w:iCs/>
          <w:color w:val="000000"/>
          <w:sz w:val="21"/>
          <w:szCs w:val="21"/>
          <w:lang w:val="en-GB"/>
        </w:rPr>
      </w:pPr>
      <w:r>
        <w:rPr>
          <w:bCs/>
          <w:iCs/>
          <w:color w:val="000000"/>
          <w:sz w:val="21"/>
          <w:szCs w:val="21"/>
          <w:lang w:val="en-GB"/>
        </w:rPr>
        <w:t>FL Note: In case SSSG switching supports different slot group sizes, the following should be added:</w:t>
      </w:r>
    </w:p>
    <w:p>
      <w:pPr>
        <w:spacing w:after="0" w:line="260" w:lineRule="auto"/>
        <w:rPr>
          <w:bCs/>
          <w:iCs/>
          <w:color w:val="000000"/>
          <w:sz w:val="21"/>
          <w:szCs w:val="21"/>
          <w:lang w:val="en-GB"/>
        </w:rPr>
      </w:pPr>
      <w:r>
        <w:rPr>
          <w:bCs/>
          <w:iCs/>
          <w:color w:val="000000"/>
          <w:sz w:val="21"/>
          <w:szCs w:val="21"/>
          <w:lang w:val="en-GB"/>
        </w:rPr>
        <w:t>If the SSSGs before and after switching are associated with different slot group sizes Xs, the alignment is determined by the slot group boundary of the largest Xs value among the SSSGs.</w:t>
      </w:r>
    </w:p>
    <w:p>
      <w:pPr>
        <w:rPr>
          <w:bCs/>
          <w:sz w:val="20"/>
          <w:szCs w:val="20"/>
          <w:lang w:val="en-GB" w:eastAsia="zh-CN"/>
        </w:rPr>
      </w:pPr>
    </w:p>
    <w:p>
      <w:pPr>
        <w:rPr>
          <w:bCs/>
          <w:sz w:val="20"/>
          <w:szCs w:val="20"/>
        </w:rPr>
      </w:pPr>
      <w:r>
        <w:rPr>
          <w:bCs/>
          <w:sz w:val="20"/>
          <w:szCs w:val="20"/>
          <w:lang w:eastAsia="zh-CN"/>
        </w:rPr>
        <w:t>FL Summary: Based on the submitted documents there seems to be almost consensus on the above proposal. Discussion in RAN1#107bis-e showed a majority support for the proposal. Therefore FL suggests to agree on Proposal A2-5.1</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We support Proposal A2-5.1.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Ericsson</w:t>
            </w:r>
          </w:p>
        </w:tc>
        <w:tc>
          <w:tcPr>
            <w:tcW w:w="12176" w:type="dxa"/>
            <w:vAlign w:val="center"/>
          </w:tcPr>
          <w:p>
            <w:pPr>
              <w:widowControl w:val="0"/>
              <w:rPr>
                <w:sz w:val="20"/>
                <w:lang w:eastAsia="zh-CN"/>
              </w:rPr>
            </w:pPr>
            <w:r>
              <w:rPr>
                <w:sz w:val="20"/>
                <w:lang w:eastAsia="zh-CN"/>
              </w:rPr>
              <w:t>We support Proposal A2-5.1, but we don't think an additional restriction as suggested in the FL note is needed. If Xs in the new SSSG is different, it can be handled by existing dropping rules (dropping per slot group).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Qualcomm</w:t>
            </w:r>
          </w:p>
        </w:tc>
        <w:tc>
          <w:tcPr>
            <w:tcW w:w="12176" w:type="dxa"/>
            <w:vAlign w:val="center"/>
          </w:tcPr>
          <w:p>
            <w:pPr>
              <w:widowControl w:val="0"/>
              <w:rPr>
                <w:sz w:val="20"/>
                <w:lang w:eastAsia="zh-CN"/>
              </w:rPr>
            </w:pPr>
            <w:r>
              <w:rPr>
                <w:sz w:val="20"/>
                <w:lang w:eastAsia="zh-CN"/>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rFonts w:hint="eastAsia" w:eastAsia="MS Mincho"/>
                <w:lang w:eastAsia="ja-JP"/>
              </w:rPr>
              <w:t>Sharp</w:t>
            </w:r>
          </w:p>
        </w:tc>
        <w:tc>
          <w:tcPr>
            <w:tcW w:w="12176" w:type="dxa"/>
            <w:vAlign w:val="center"/>
          </w:tcPr>
          <w:p>
            <w:pPr>
              <w:widowControl w:val="0"/>
              <w:rPr>
                <w:sz w:val="20"/>
                <w:lang w:eastAsia="zh-CN"/>
              </w:rPr>
            </w:pPr>
            <w:r>
              <w:rPr>
                <w:rFonts w:hint="eastAsia" w:eastAsia="MS Mincho"/>
                <w:lang w:eastAsia="ja-JP"/>
              </w:rPr>
              <w:t>We support</w:t>
            </w:r>
            <w:r>
              <w:rPr>
                <w:rFonts w:eastAsia="MS Mincho"/>
                <w:lang w:eastAsia="ja-JP"/>
              </w:rPr>
              <w:t xml:space="preserve"> FL proposal A2-5-1.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sz w:val="20"/>
                <w:lang w:eastAsia="zh-CN"/>
              </w:rPr>
              <w:t>v</w:t>
            </w:r>
            <w:r>
              <w:rPr>
                <w:sz w:val="20"/>
                <w:lang w:eastAsia="zh-CN"/>
              </w:rPr>
              <w:t>ivo</w:t>
            </w:r>
          </w:p>
        </w:tc>
        <w:tc>
          <w:tcPr>
            <w:tcW w:w="12176" w:type="dxa"/>
            <w:vAlign w:val="center"/>
          </w:tcPr>
          <w:p>
            <w:pPr>
              <w:widowControl w:val="0"/>
              <w:rPr>
                <w:rFonts w:eastAsia="MS Mincho"/>
                <w:lang w:eastAsia="ja-JP"/>
              </w:rPr>
            </w:pPr>
            <w:r>
              <w:rPr>
                <w:rFonts w:hint="eastAsia"/>
                <w:sz w:val="20"/>
                <w:lang w:eastAsia="zh-CN"/>
              </w:rPr>
              <w:t>W</w:t>
            </w:r>
            <w:r>
              <w:rPr>
                <w:sz w:val="20"/>
                <w:lang w:eastAsia="zh-CN"/>
              </w:rPr>
              <w:t>e support proposal A2-5.1. The note needs further discussion.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Nokia, NSB</w:t>
            </w:r>
          </w:p>
        </w:tc>
        <w:tc>
          <w:tcPr>
            <w:tcW w:w="12176" w:type="dxa"/>
            <w:vAlign w:val="center"/>
          </w:tcPr>
          <w:p>
            <w:pPr>
              <w:widowControl w:val="0"/>
              <w:rPr>
                <w:rFonts w:eastAsia="MS Mincho"/>
                <w:lang w:eastAsia="ja-JP"/>
              </w:rPr>
            </w:pPr>
            <w:r>
              <w:rPr>
                <w:rFonts w:hint="eastAsia" w:eastAsia="MS Mincho"/>
                <w:lang w:eastAsia="ja-JP"/>
              </w:rPr>
              <w:t>We support</w:t>
            </w:r>
            <w:r>
              <w:rPr>
                <w:rFonts w:eastAsia="MS Mincho"/>
                <w:lang w:eastAsia="ja-JP"/>
              </w:rPr>
              <w:t xml:space="preserve"> FL proposal A2-5-1.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N</w:t>
            </w:r>
            <w:r>
              <w:rPr>
                <w:lang w:eastAsia="zh-CN"/>
              </w:rPr>
              <w:t>EC</w:t>
            </w:r>
          </w:p>
        </w:tc>
        <w:tc>
          <w:tcPr>
            <w:tcW w:w="12176" w:type="dxa"/>
            <w:vAlign w:val="center"/>
          </w:tcPr>
          <w:p>
            <w:pPr>
              <w:widowControl w:val="0"/>
              <w:rPr>
                <w:rFonts w:eastAsia="MS Mincho"/>
                <w:lang w:eastAsia="ja-JP"/>
              </w:rPr>
            </w:pPr>
            <w:r>
              <w:rPr>
                <w:lang w:eastAsia="zh-CN"/>
              </w:rPr>
              <w:t>We support Proposal A2-5.1.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We prefer to add the bullet under ‘FL note’ in the proposal. We can compromise to the combined proposal though we still think it is beneficial to switch to new SSSG right at the time of P</w:t>
            </w:r>
            <w:r>
              <w:rPr>
                <w:vertAlign w:val="subscript"/>
                <w:lang w:eastAsia="zh-CN"/>
              </w:rPr>
              <w:t>switch</w:t>
            </w:r>
            <w:r>
              <w:rPr>
                <w:lang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lang w:eastAsia="zh-CN"/>
              </w:rPr>
              <w:t xml:space="preserve">We support Proposal A2-5.1.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sz w:val="20"/>
                <w:lang w:eastAsia="ja-JP"/>
              </w:rPr>
              <w:t>N</w:t>
            </w:r>
            <w:r>
              <w:rPr>
                <w:rFonts w:eastAsia="MS Mincho"/>
                <w:sz w:val="20"/>
                <w:lang w:eastAsia="ja-JP"/>
              </w:rPr>
              <w:t>TT DOCOMO</w:t>
            </w:r>
          </w:p>
        </w:tc>
        <w:tc>
          <w:tcPr>
            <w:tcW w:w="12176" w:type="dxa"/>
            <w:vAlign w:val="center"/>
          </w:tcPr>
          <w:p>
            <w:pPr>
              <w:widowControl w:val="0"/>
              <w:rPr>
                <w:lang w:eastAsia="zh-CN"/>
              </w:rPr>
            </w:pPr>
            <w:r>
              <w:rPr>
                <w:rFonts w:eastAsia="MS Mincho"/>
                <w:szCs w:val="28"/>
                <w:lang w:eastAsia="ja-JP"/>
              </w:rPr>
              <w:t>We support Proposal A2-5.1.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sz w:val="20"/>
                <w:lang w:eastAsia="ja-JP"/>
              </w:rPr>
            </w:pPr>
            <w:r>
              <w:rPr>
                <w:sz w:val="20"/>
              </w:rPr>
              <w:t>LG Electronics</w:t>
            </w:r>
          </w:p>
        </w:tc>
        <w:tc>
          <w:tcPr>
            <w:tcW w:w="12176" w:type="dxa"/>
            <w:vAlign w:val="center"/>
          </w:tcPr>
          <w:p>
            <w:pPr>
              <w:widowControl w:val="0"/>
              <w:rPr>
                <w:sz w:val="20"/>
                <w:lang w:eastAsia="zh-CN"/>
              </w:rPr>
            </w:pPr>
            <w:r>
              <w:rPr>
                <w:sz w:val="20"/>
                <w:lang w:eastAsia="zh-CN"/>
              </w:rPr>
              <w:t>We support Proposal A2-5.1 without FL Note. In other words, we only support that “For multi-slot PDCCH monitoring for 480/960 kHz SCSs, the boundary of SSSG switching is always aligned with the boundary of a slot group.”.</w:t>
            </w:r>
          </w:p>
          <w:p>
            <w:pPr>
              <w:widowControl w:val="0"/>
              <w:rPr>
                <w:rFonts w:eastAsia="MS Mincho"/>
                <w:szCs w:val="28"/>
                <w:lang w:eastAsia="ja-JP"/>
              </w:rPr>
            </w:pPr>
            <w:r>
              <w:rPr>
                <w:sz w:val="20"/>
                <w:lang w:eastAsia="zh-CN"/>
              </w:rPr>
              <w:t>We think above FL note can be formulated as a separate proposal since there are relavant discussions in A2-6 and the issue on SSSGs with different Xs may need to be discussed differently depending on the results of A2-6.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Apple</w:t>
            </w:r>
          </w:p>
        </w:tc>
        <w:tc>
          <w:tcPr>
            <w:tcW w:w="12176" w:type="dxa"/>
            <w:vAlign w:val="center"/>
          </w:tcPr>
          <w:p>
            <w:pPr>
              <w:widowControl w:val="0"/>
              <w:rPr>
                <w:sz w:val="20"/>
                <w:lang w:eastAsia="zh-CN"/>
              </w:rPr>
            </w:pPr>
            <w:r>
              <w:rPr>
                <w:sz w:val="20"/>
                <w:lang w:eastAsia="zh-CN"/>
              </w:rPr>
              <w:t>We are support the proposal (and the addition by the FL).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sz w:val="20"/>
                <w:lang w:eastAsia="zh-CN"/>
              </w:rPr>
              <w:t>Transsion</w:t>
            </w:r>
          </w:p>
        </w:tc>
        <w:tc>
          <w:tcPr>
            <w:tcW w:w="12176" w:type="dxa"/>
            <w:vAlign w:val="center"/>
          </w:tcPr>
          <w:p>
            <w:pPr>
              <w:widowControl w:val="0"/>
              <w:rPr>
                <w:sz w:val="20"/>
                <w:lang w:eastAsia="zh-CN"/>
              </w:rPr>
            </w:pPr>
            <w:r>
              <w:rPr>
                <w:rFonts w:hint="eastAsia"/>
                <w:sz w:val="20"/>
                <w:lang w:eastAsia="zh-CN"/>
              </w:rPr>
              <w:t>We support this proposal.</w:t>
            </w:r>
          </w:p>
        </w:tc>
      </w:tr>
    </w:tbl>
    <w:tbl>
      <w:tblPr>
        <w:tblStyle w:val="27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sz w:val="20"/>
                <w:lang w:eastAsia="ja-JP"/>
              </w:rPr>
            </w:pPr>
            <w:r>
              <w:rPr>
                <w:sz w:val="20"/>
                <w:lang w:eastAsia="ja-JP"/>
              </w:rPr>
              <w:t>Futurewei</w:t>
            </w:r>
          </w:p>
        </w:tc>
        <w:tc>
          <w:tcPr>
            <w:tcW w:w="12176" w:type="dxa"/>
            <w:vAlign w:val="center"/>
          </w:tcPr>
          <w:p>
            <w:pPr>
              <w:widowControl w:val="0"/>
              <w:spacing w:line="240" w:lineRule="auto"/>
              <w:rPr>
                <w:sz w:val="20"/>
                <w:lang w:eastAsia="zh-CN"/>
              </w:rPr>
            </w:pPr>
            <w:r>
              <w:rPr>
                <w:sz w:val="20"/>
                <w:lang w:eastAsia="zh-CN"/>
              </w:rPr>
              <w:t>We support Proposal A2-5.1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sz w:val="20"/>
                <w:lang w:eastAsia="ja-JP"/>
              </w:rPr>
            </w:pPr>
            <w:r>
              <w:rPr>
                <w:sz w:val="20"/>
                <w:lang w:eastAsia="ja-JP"/>
              </w:rPr>
              <w:t>Lenovo</w:t>
            </w:r>
          </w:p>
        </w:tc>
        <w:tc>
          <w:tcPr>
            <w:tcW w:w="12176" w:type="dxa"/>
            <w:vAlign w:val="center"/>
          </w:tcPr>
          <w:p>
            <w:pPr>
              <w:widowControl w:val="0"/>
              <w:spacing w:line="240" w:lineRule="auto"/>
              <w:rPr>
                <w:sz w:val="20"/>
                <w:lang w:eastAsia="zh-CN"/>
              </w:rPr>
            </w:pPr>
            <w:r>
              <w:rPr>
                <w:rFonts w:eastAsia="MS Mincho"/>
                <w:sz w:val="20"/>
                <w:lang w:eastAsia="ja-JP"/>
              </w:rPr>
              <w:t>We support Proposal A2-5.1. It may be better to first agree to it in its original form (i.e. without text in the FL note), and then consider if any additional rule is needed in case of switching between different slot group sizes in a later discussion round. No RRC impact is expected for that aspect.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FFFF" w:themeFill="background1"/>
            <w:vAlign w:val="center"/>
          </w:tcPr>
          <w:p>
            <w:pPr>
              <w:widowControl w:val="0"/>
              <w:spacing w:line="240" w:lineRule="auto"/>
              <w:rPr>
                <w:sz w:val="20"/>
                <w:lang w:eastAsia="ja-JP"/>
              </w:rPr>
            </w:pPr>
            <w:r>
              <w:rPr>
                <w:sz w:val="20"/>
                <w:lang w:eastAsia="ja-JP"/>
              </w:rPr>
              <w:t>Huawei, HiSilicon</w:t>
            </w:r>
          </w:p>
        </w:tc>
        <w:tc>
          <w:tcPr>
            <w:tcW w:w="12176" w:type="dxa"/>
            <w:shd w:val="clear" w:color="auto" w:fill="FFFFFF" w:themeFill="background1"/>
            <w:vAlign w:val="center"/>
          </w:tcPr>
          <w:p>
            <w:pPr>
              <w:widowControl w:val="0"/>
              <w:spacing w:line="240" w:lineRule="auto"/>
              <w:rPr>
                <w:rFonts w:eastAsia="MS Mincho"/>
                <w:sz w:val="20"/>
                <w:lang w:eastAsia="ja-JP"/>
              </w:rPr>
            </w:pPr>
            <w:r>
              <w:rPr>
                <w:rFonts w:eastAsia="MS Mincho"/>
                <w:sz w:val="20"/>
                <w:lang w:eastAsia="ja-JP"/>
              </w:rPr>
              <w:t xml:space="preserve">As discussed on the reflector, we support Proposla A2-5.1 without any additional note. </w:t>
            </w:r>
          </w:p>
        </w:tc>
      </w:tr>
    </w:tbl>
    <w:p>
      <w:pPr>
        <w:rPr>
          <w:lang w:eastAsia="zh-CN"/>
        </w:rPr>
      </w:pPr>
    </w:p>
    <w:p>
      <w:pPr>
        <w:rPr>
          <w:b/>
          <w:sz w:val="20"/>
          <w:szCs w:val="20"/>
        </w:rPr>
      </w:pPr>
      <w:r>
        <w:rPr>
          <w:b/>
          <w:sz w:val="20"/>
          <w:szCs w:val="20"/>
          <w:u w:val="single"/>
        </w:rPr>
        <w:t>Text Proposal A2-5.2 to capture Proposal A2-5.1 (see R1-2200953)</w:t>
      </w:r>
      <w:r>
        <w:rPr>
          <w:b/>
          <w:sz w:val="20"/>
          <w:szCs w:val="20"/>
        </w:rPr>
        <w:t>:</w:t>
      </w:r>
    </w:p>
    <w:tbl>
      <w:tblPr>
        <w:tblStyle w:val="55"/>
        <w:tblpPr w:leftFromText="180" w:rightFromText="180" w:vertAnchor="text" w:tblpY="1"/>
        <w:tblOverlap w:val="never"/>
        <w:tblW w:w="144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4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54" w:type="dxa"/>
            <w:vAlign w:val="center"/>
          </w:tcPr>
          <w:p>
            <w:pPr>
              <w:widowControl w:val="0"/>
              <w:rPr>
                <w:b/>
                <w:bCs/>
                <w:sz w:val="28"/>
                <w:szCs w:val="28"/>
              </w:rPr>
            </w:pPr>
            <w:r>
              <w:rPr>
                <w:b/>
                <w:bCs/>
                <w:sz w:val="28"/>
                <w:szCs w:val="28"/>
              </w:rPr>
              <w:t>10.4 Search space set group switching and skipping of PDCCH monitoring</w:t>
            </w:r>
          </w:p>
          <w:p>
            <w:pPr>
              <w:widowControl w:val="0"/>
              <w:jc w:val="center"/>
              <w:rPr>
                <w:lang w:eastAsia="zh-CN"/>
              </w:rPr>
            </w:pPr>
            <w:r>
              <w:rPr>
                <w:color w:val="FF0000"/>
                <w:lang w:eastAsia="zh-CN"/>
              </w:rPr>
              <w:t>*** Unchanged text is omitted ***</w:t>
            </w:r>
          </w:p>
          <w:p>
            <w:pPr>
              <w:widowControl w:val="0"/>
              <w:spacing w:afterLines="50"/>
            </w:pPr>
            <w:r>
              <w:rPr>
                <w:lang w:eastAsia="zh-CN"/>
              </w:rPr>
              <w:t>If a UE is provided</w:t>
            </w:r>
            <w:r>
              <w:t xml:space="preserve"> by </w:t>
            </w:r>
            <w:r>
              <w:rPr>
                <w:i/>
                <w:iCs/>
              </w:rPr>
              <w:t>SearchSpaceSwitchTrigger</w:t>
            </w:r>
            <w:r>
              <w:rPr>
                <w:iCs/>
              </w:rPr>
              <w:t xml:space="preserve"> a location of a search space set group switching flag field for a serving cell in a DCI format 2_0</w:t>
            </w:r>
            <w:r>
              <w:t xml:space="preserve">, as described in clause 11.1.1; </w:t>
            </w:r>
          </w:p>
          <w:p>
            <w:pPr>
              <w:pStyle w:val="103"/>
              <w:widowControl w:val="0"/>
              <w:snapToGrid w:val="0"/>
              <w:spacing w:after="120" w:afterLines="50" w:line="240" w:lineRule="auto"/>
            </w:pPr>
            <w:r>
              <w:t>-</w:t>
            </w:r>
            <w:r>
              <w:tab/>
            </w:r>
            <w:r>
              <w:t xml:space="preserve">if the UE detects a DCI format 2_0 and a value of the search space set </w:t>
            </w:r>
            <w:r>
              <w:rPr>
                <w:lang w:val="en-US"/>
              </w:rPr>
              <w:t xml:space="preserve">group </w:t>
            </w:r>
            <w:r>
              <w:t>switching f</w:t>
            </w:r>
            <w:r>
              <w:rPr>
                <w:lang w:val="en-US"/>
              </w:rPr>
              <w:t>lag field</w:t>
            </w:r>
            <w:r>
              <w:t xml:space="preserve"> in the DCI format 2_0 is 0, the UE starts monitoring PDCCH according to search space sets with group index 0, and stops monitoring PDCCH according to search space sets with group index 1,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ctrlPr>
                    <w:rPr>
                      <w:rFonts w:ascii="Cambria Math" w:hAnsi="Cambria Math"/>
                      <w:i/>
                      <w:strike/>
                      <w:color w:val="FF0000"/>
                    </w:rPr>
                  </m:ctrlPr>
                </m:e>
                <m:sub>
                  <m:r>
                    <w:rPr>
                      <w:rFonts w:ascii="Cambria Math" w:hAnsi="Cambria Math"/>
                      <w:strike/>
                      <w:color w:val="FF0000"/>
                    </w:rPr>
                    <m:t>switch</m:t>
                  </m:r>
                  <m:ctrlPr>
                    <w:rPr>
                      <w:rFonts w:ascii="Cambria Math" w:hAnsi="Cambria Math"/>
                      <w:i/>
                      <w:strike/>
                      <w:color w:val="FF0000"/>
                    </w:rPr>
                  </m:ctrlPr>
                </m:sub>
              </m:sSub>
            </m:oMath>
            <w:r>
              <w:rPr>
                <w:strike/>
                <w:color w:val="FF0000"/>
              </w:rPr>
              <w:t xml:space="preserve"> symbols after the last symbol of the PDCCH with the DCI format 2_0</w:t>
            </w:r>
          </w:p>
          <w:p>
            <w:pPr>
              <w:pStyle w:val="103"/>
              <w:widowControl w:val="0"/>
              <w:numPr>
                <w:ilvl w:val="0"/>
                <w:numId w:val="51"/>
              </w:numPr>
              <w:snapToGrid w:val="0"/>
              <w:spacing w:after="120" w:afterLines="5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ctrlPr>
                    <w:rPr>
                      <w:rFonts w:ascii="Cambria Math" w:hAnsi="Cambria Math"/>
                      <w:color w:val="FF0000"/>
                    </w:rPr>
                  </m:ctrlPr>
                </m:e>
              </m:d>
            </m:oMath>
            <w:r>
              <w:t xml:space="preserve"> at a first slot that is at least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t xml:space="preserve"> symbols after the last symbol of the PDCCH with the DCI format 2_0</w:t>
            </w:r>
            <w:r>
              <w:rPr>
                <w:color w:val="FF0000"/>
              </w:rPr>
              <w:t>,</w:t>
            </w:r>
            <w:r>
              <w:t xml:space="preserve"> </w:t>
            </w:r>
            <w:r>
              <w:rPr>
                <w:color w:val="FF0000"/>
              </w:rPr>
              <w:t xml:space="preserve">and </w:t>
            </w:r>
          </w:p>
          <w:p>
            <w:pPr>
              <w:pStyle w:val="103"/>
              <w:widowControl w:val="0"/>
              <w:numPr>
                <w:ilvl w:val="0"/>
                <w:numId w:val="51"/>
              </w:numPr>
              <w:snapToGrid w:val="0"/>
              <w:spacing w:after="120" w:afterLines="5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ctrlPr>
                    <w:rPr>
                      <w:rFonts w:ascii="Cambria Math" w:hAnsi="Cambria Math"/>
                      <w:color w:val="FF0000"/>
                    </w:rPr>
                  </m:ctrlP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ctrlPr>
                    <w:rPr>
                      <w:rFonts w:ascii="Cambria Math" w:hAnsi="Cambria Math"/>
                      <w:i/>
                      <w:color w:val="FF0000"/>
                    </w:rPr>
                  </m:ctrlPr>
                </m:e>
                <m:sub>
                  <m:r>
                    <w:rPr>
                      <w:rFonts w:ascii="Cambria Math" w:hAnsi="Cambria Math"/>
                      <w:color w:val="FF0000"/>
                    </w:rPr>
                    <m:t>switch</m:t>
                  </m:r>
                  <m:ctrlPr>
                    <w:rPr>
                      <w:rFonts w:ascii="Cambria Math" w:hAnsi="Cambria Math"/>
                      <w:i/>
                      <w:color w:val="FF0000"/>
                    </w:rPr>
                  </m:ctrlPr>
                </m:sub>
              </m:sSub>
            </m:oMath>
            <w:r>
              <w:rPr>
                <w:color w:val="FF0000"/>
              </w:rPr>
              <w:t xml:space="preserve"> symbols after the last symbol of the PDCCH with the DCI format 2_0</w:t>
            </w:r>
          </w:p>
          <w:p>
            <w:pPr>
              <w:pStyle w:val="103"/>
              <w:widowControl w:val="0"/>
              <w:snapToGrid w:val="0"/>
              <w:spacing w:after="120" w:afterLines="50" w:line="240" w:lineRule="auto"/>
              <w:rPr>
                <w:i/>
                <w:lang w:eastAsia="zh-CN"/>
              </w:rPr>
            </w:pPr>
            <w:r>
              <w:t>-</w:t>
            </w:r>
            <w:r>
              <w:tab/>
            </w:r>
            <w:r>
              <w:t xml:space="preserve">if the UE detects a DCI format 2_0 and a value of the search space set </w:t>
            </w:r>
            <w:r>
              <w:rPr>
                <w:lang w:val="en-US"/>
              </w:rPr>
              <w:t xml:space="preserve">group </w:t>
            </w:r>
            <w:r>
              <w:t xml:space="preserve">switching </w:t>
            </w:r>
            <w:r>
              <w:rPr>
                <w:lang w:val="en-US"/>
              </w:rPr>
              <w:t xml:space="preserve">flag </w:t>
            </w:r>
            <w:r>
              <w:t xml:space="preserve">field in the DCI format 2_0 is </w:t>
            </w:r>
            <w:r>
              <w:rPr>
                <w:lang w:val="en-US"/>
              </w:rPr>
              <w:t>1</w:t>
            </w:r>
            <w:r>
              <w:t xml:space="preserve">, the UE starts monitoring PDCCH according to search space sets with group index 1, and stops monitoring PDCCH according to search space sets with group index 0,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ctrlPr>
                    <w:rPr>
                      <w:rFonts w:ascii="Cambria Math" w:hAnsi="Cambria Math"/>
                      <w:i/>
                      <w:strike/>
                      <w:color w:val="FF0000"/>
                    </w:rPr>
                  </m:ctrlPr>
                </m:e>
                <m:sub>
                  <m:r>
                    <w:rPr>
                      <w:rFonts w:ascii="Cambria Math" w:hAnsi="Cambria Math"/>
                      <w:strike/>
                      <w:color w:val="FF0000"/>
                    </w:rPr>
                    <m:t>switch</m:t>
                  </m:r>
                  <m:ctrlPr>
                    <w:rPr>
                      <w:rFonts w:ascii="Cambria Math" w:hAnsi="Cambria Math"/>
                      <w:i/>
                      <w:strike/>
                      <w:color w:val="FF0000"/>
                    </w:rPr>
                  </m:ctrlPr>
                </m:sub>
              </m:sSub>
            </m:oMath>
            <w:r>
              <w:rPr>
                <w:strike/>
                <w:color w:val="FF0000"/>
              </w:rPr>
              <w:t xml:space="preserve"> symbols after the last symbol of the PDCCH with the DCI format 2_0, and the UE </w:t>
            </w:r>
            <w:r>
              <w:rPr>
                <w:strike/>
                <w:color w:val="FF0000"/>
                <w:lang w:eastAsia="zh-CN"/>
              </w:rPr>
              <w:t xml:space="preserve">sets the timer value to the value provided by </w:t>
            </w:r>
            <w:r>
              <w:rPr>
                <w:i/>
                <w:strike/>
                <w:color w:val="FF0000"/>
                <w:lang w:eastAsia="zh-CN"/>
              </w:rPr>
              <w:t>searchSpaceSwitchTimer</w:t>
            </w:r>
          </w:p>
          <w:p>
            <w:pPr>
              <w:pStyle w:val="103"/>
              <w:widowControl w:val="0"/>
              <w:numPr>
                <w:ilvl w:val="0"/>
                <w:numId w:val="51"/>
              </w:numPr>
              <w:snapToGrid w:val="0"/>
              <w:spacing w:after="120" w:afterLines="5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ctrlPr>
                    <w:rPr>
                      <w:rFonts w:ascii="Cambria Math" w:hAnsi="Cambria Math"/>
                      <w:color w:val="FF0000"/>
                    </w:rPr>
                  </m:ctrlPr>
                </m:e>
              </m:d>
            </m:oMath>
            <w:r>
              <w:t xml:space="preserve"> at a first slot that is at least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t xml:space="preserve"> symbols after the last symbol of the PDCCH with the DCI format 2_0</w:t>
            </w:r>
            <w:r>
              <w:rPr>
                <w:color w:val="FF0000"/>
              </w:rPr>
              <w:t>,</w:t>
            </w:r>
            <w:r>
              <w:t xml:space="preserve"> </w:t>
            </w:r>
            <w:r>
              <w:rPr>
                <w:color w:val="FF0000"/>
              </w:rPr>
              <w:t xml:space="preserve">and </w:t>
            </w:r>
          </w:p>
          <w:p>
            <w:pPr>
              <w:pStyle w:val="103"/>
              <w:widowControl w:val="0"/>
              <w:numPr>
                <w:ilvl w:val="0"/>
                <w:numId w:val="51"/>
              </w:numPr>
              <w:snapToGrid w:val="0"/>
              <w:spacing w:after="120" w:afterLines="5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ctrlPr>
                    <w:rPr>
                      <w:rFonts w:ascii="Cambria Math" w:hAnsi="Cambria Math"/>
                      <w:color w:val="FF0000"/>
                    </w:rPr>
                  </m:ctrlP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ctrlPr>
                    <w:rPr>
                      <w:rFonts w:ascii="Cambria Math" w:hAnsi="Cambria Math"/>
                      <w:i/>
                      <w:color w:val="FF0000"/>
                    </w:rPr>
                  </m:ctrlPr>
                </m:e>
                <m:sub>
                  <m:r>
                    <w:rPr>
                      <w:rFonts w:ascii="Cambria Math" w:hAnsi="Cambria Math"/>
                      <w:color w:val="FF0000"/>
                    </w:rPr>
                    <m:t>switch</m:t>
                  </m:r>
                  <m:ctrlPr>
                    <w:rPr>
                      <w:rFonts w:ascii="Cambria Math" w:hAnsi="Cambria Math"/>
                      <w:i/>
                      <w:color w:val="FF0000"/>
                    </w:rPr>
                  </m:ctrlPr>
                </m:sub>
              </m:sSub>
            </m:oMath>
            <w:r>
              <w:rPr>
                <w:color w:val="FF0000"/>
              </w:rPr>
              <w:t xml:space="preserve"> symbols after the last symbol of the PDCCH with the DCI format 2_0,</w:t>
            </w:r>
          </w:p>
          <w:p>
            <w:pPr>
              <w:pStyle w:val="103"/>
              <w:widowControl w:val="0"/>
              <w:snapToGrid w:val="0"/>
              <w:spacing w:after="120" w:afterLines="50" w:line="240" w:lineRule="auto"/>
              <w:rPr>
                <w:color w:val="FF0000"/>
              </w:rPr>
            </w:pPr>
            <w:r>
              <w:rPr>
                <w:color w:val="FF0000"/>
              </w:rPr>
              <w:t xml:space="preserve">and the UE </w:t>
            </w:r>
            <w:r>
              <w:rPr>
                <w:color w:val="FF0000"/>
                <w:lang w:eastAsia="zh-CN"/>
              </w:rPr>
              <w:t xml:space="preserve">sets the timer value to the value provided by </w:t>
            </w:r>
            <w:r>
              <w:rPr>
                <w:i/>
                <w:color w:val="FF0000"/>
                <w:lang w:eastAsia="zh-CN"/>
              </w:rPr>
              <w:t>searchSpaceSwitchTimer</w:t>
            </w:r>
          </w:p>
          <w:p>
            <w:pPr>
              <w:pStyle w:val="103"/>
              <w:widowControl w:val="0"/>
              <w:snapToGrid w:val="0"/>
              <w:spacing w:after="120" w:afterLines="50" w:line="240" w:lineRule="auto"/>
            </w:pPr>
            <w:r>
              <w:t>-</w:t>
            </w:r>
            <w:r>
              <w:tab/>
            </w:r>
            <w:r>
              <w:t xml:space="preserve">if the UE monitors PDCCH </w:t>
            </w:r>
            <w:r>
              <w:rPr>
                <w:lang w:val="en-US"/>
              </w:rPr>
              <w:t>for</w:t>
            </w:r>
            <w:r>
              <w:t xml:space="preserve"> a serving cell according to search space sets with group index 1, the UE starts monitoring PDCCH </w:t>
            </w:r>
            <w:r>
              <w:rPr>
                <w:lang w:val="en-US"/>
              </w:rPr>
              <w:t>for</w:t>
            </w:r>
            <w:r>
              <w:t xml:space="preserve"> the serving cell according to search space sets with group index 0, and stops monitoring PDCCH according to search space sets with group index 1, </w:t>
            </w:r>
            <w:r>
              <w:rPr>
                <w:strike/>
                <w:color w:val="FF0000"/>
                <w:lang w:val="en-US"/>
              </w:rPr>
              <w:t>for</w:t>
            </w:r>
            <w:r>
              <w:rPr>
                <w:strike/>
                <w:color w:val="FF0000"/>
              </w:rPr>
              <w:t xml:space="preserve"> the serving cell at the beginning of the first slot that is at least </w:t>
            </w:r>
            <m:oMath>
              <m:sSub>
                <m:sSubPr>
                  <m:ctrlPr>
                    <w:rPr>
                      <w:rFonts w:ascii="Cambria Math" w:hAnsi="Cambria Math"/>
                      <w:i/>
                      <w:strike/>
                      <w:color w:val="FF0000"/>
                    </w:rPr>
                  </m:ctrlPr>
                </m:sSubPr>
                <m:e>
                  <m:r>
                    <w:rPr>
                      <w:rFonts w:ascii="Cambria Math" w:hAnsi="Cambria Math"/>
                      <w:strike/>
                      <w:color w:val="FF0000"/>
                    </w:rPr>
                    <m:t>P</m:t>
                  </m:r>
                  <m:ctrlPr>
                    <w:rPr>
                      <w:rFonts w:ascii="Cambria Math" w:hAnsi="Cambria Math"/>
                      <w:i/>
                      <w:strike/>
                      <w:color w:val="FF0000"/>
                    </w:rPr>
                  </m:ctrlPr>
                </m:e>
                <m:sub>
                  <m:r>
                    <w:rPr>
                      <w:rFonts w:ascii="Cambria Math" w:hAnsi="Cambria Math"/>
                      <w:strike/>
                      <w:color w:val="FF0000"/>
                    </w:rPr>
                    <m:t>switch</m:t>
                  </m:r>
                  <m:ctrlPr>
                    <w:rPr>
                      <w:rFonts w:ascii="Cambria Math" w:hAnsi="Cambria Math"/>
                      <w:i/>
                      <w:strike/>
                      <w:color w:val="FF0000"/>
                    </w:rPr>
                  </m:ctrlPr>
                </m:sub>
              </m:sSub>
            </m:oMath>
            <w:r>
              <w:rPr>
                <w:strike/>
                <w:color w:val="FF0000"/>
              </w:rPr>
              <w:t xml:space="preserve"> symbols after a slot where the timer expires or after a last </w:t>
            </w:r>
            <w:r>
              <w:rPr>
                <w:strike/>
                <w:color w:val="FF0000"/>
                <w:lang w:val="en-US"/>
              </w:rPr>
              <w:t>symbol</w:t>
            </w:r>
            <w:r>
              <w:rPr>
                <w:strike/>
                <w:color w:val="FF0000"/>
              </w:rPr>
              <w:t xml:space="preserve"> of a remaining channel occupancy duration for the serving cell if indicated by DCI format 2_0</w:t>
            </w:r>
          </w:p>
          <w:p>
            <w:pPr>
              <w:pStyle w:val="103"/>
              <w:widowControl w:val="0"/>
              <w:numPr>
                <w:ilvl w:val="0"/>
                <w:numId w:val="51"/>
              </w:numPr>
              <w:snapToGrid w:val="0"/>
              <w:spacing w:after="120" w:afterLines="5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ctrlPr>
                    <w:rPr>
                      <w:rFonts w:ascii="Cambria Math" w:hAnsi="Cambria Math"/>
                      <w:color w:val="FF0000"/>
                    </w:rPr>
                  </m:ctrlPr>
                </m:e>
              </m:d>
            </m:oMath>
            <w:r>
              <w:t xml:space="preserve"> at the beginning of the first slot that is at least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t xml:space="preserve"> symbols after a slot where the timer expires or after a last </w:t>
            </w:r>
            <w:r>
              <w:rPr>
                <w:lang w:val="en-US"/>
              </w:rPr>
              <w:t>symbol</w:t>
            </w:r>
            <w:r>
              <w:t xml:space="preserve"> of a remaining channel occupancy duration for the serving cell if indicated by DCI format 2_0</w:t>
            </w:r>
            <w:r>
              <w:rPr>
                <w:color w:val="FF0000"/>
              </w:rPr>
              <w:t>,</w:t>
            </w:r>
            <w:r>
              <w:t xml:space="preserve"> </w:t>
            </w:r>
            <w:r>
              <w:rPr>
                <w:color w:val="FF0000"/>
              </w:rPr>
              <w:t xml:space="preserve">and </w:t>
            </w:r>
          </w:p>
          <w:p>
            <w:pPr>
              <w:pStyle w:val="103"/>
              <w:widowControl w:val="0"/>
              <w:numPr>
                <w:ilvl w:val="0"/>
                <w:numId w:val="51"/>
              </w:numPr>
              <w:snapToGrid w:val="0"/>
              <w:spacing w:after="120" w:afterLines="5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ctrlPr>
                    <w:rPr>
                      <w:rFonts w:ascii="Cambria Math" w:hAnsi="Cambria Math"/>
                      <w:color w:val="FF0000"/>
                    </w:rPr>
                  </m:ctrlPr>
                </m:e>
              </m:d>
            </m:oMath>
            <w:r>
              <w:rPr>
                <w:rFonts w:eastAsiaTheme="minorEastAsia"/>
                <w:color w:val="FF0000"/>
                <w:lang w:eastAsia="zh-CN"/>
              </w:rPr>
              <w:t xml:space="preserve"> </w:t>
            </w:r>
            <w:r>
              <w:rPr>
                <w:color w:val="FF0000"/>
              </w:rPr>
              <w:t xml:space="preserve">at the beginning of the first slot of a slot group that is at least </w:t>
            </w:r>
            <m:oMath>
              <m:sSub>
                <m:sSubPr>
                  <m:ctrlPr>
                    <w:rPr>
                      <w:rFonts w:ascii="Cambria Math" w:hAnsi="Cambria Math"/>
                      <w:i/>
                      <w:color w:val="FF0000"/>
                    </w:rPr>
                  </m:ctrlPr>
                </m:sSubPr>
                <m:e>
                  <m:r>
                    <w:rPr>
                      <w:rFonts w:ascii="Cambria Math" w:hAnsi="Cambria Math"/>
                      <w:color w:val="FF0000"/>
                    </w:rPr>
                    <m:t>P</m:t>
                  </m:r>
                  <m:ctrlPr>
                    <w:rPr>
                      <w:rFonts w:ascii="Cambria Math" w:hAnsi="Cambria Math"/>
                      <w:i/>
                      <w:color w:val="FF0000"/>
                    </w:rPr>
                  </m:ctrlPr>
                </m:e>
                <m:sub>
                  <m:r>
                    <w:rPr>
                      <w:rFonts w:ascii="Cambria Math" w:hAnsi="Cambria Math"/>
                      <w:color w:val="FF0000"/>
                    </w:rPr>
                    <m:t>switch</m:t>
                  </m:r>
                  <m:ctrlPr>
                    <w:rPr>
                      <w:rFonts w:ascii="Cambria Math" w:hAnsi="Cambria Math"/>
                      <w:i/>
                      <w:color w:val="FF0000"/>
                    </w:rPr>
                  </m:ctrlPr>
                </m:sub>
              </m:sSub>
            </m:oMath>
            <w:r>
              <w:rPr>
                <w:color w:val="FF0000"/>
              </w:rPr>
              <w:t xml:space="preserve"> symbols after a slot where the timer expires or after a last </w:t>
            </w:r>
            <w:r>
              <w:rPr>
                <w:color w:val="FF0000"/>
                <w:lang w:val="en-US"/>
              </w:rPr>
              <w:t>symbol</w:t>
            </w:r>
            <w:r>
              <w:rPr>
                <w:color w:val="FF0000"/>
              </w:rPr>
              <w:t xml:space="preserve"> of a remaining channel occupancy duration for the serving cell if indicated by DCI format 2_0</w:t>
            </w:r>
          </w:p>
          <w:p>
            <w:pPr>
              <w:widowControl w:val="0"/>
              <w:spacing w:afterLines="50"/>
            </w:pPr>
            <w:r>
              <w:rPr>
                <w:lang w:eastAsia="zh-CN"/>
              </w:rPr>
              <w:t>If a UE is not provided</w:t>
            </w:r>
            <w:r>
              <w:t xml:space="preserve"> </w:t>
            </w:r>
            <w:r>
              <w:rPr>
                <w:i/>
                <w:iCs/>
              </w:rPr>
              <w:t>SearchSpaceSwitchTrigger</w:t>
            </w:r>
            <w:r>
              <w:rPr>
                <w:iCs/>
              </w:rPr>
              <w:t xml:space="preserve"> for a serving cell</w:t>
            </w:r>
            <w:r>
              <w:t>,</w:t>
            </w:r>
          </w:p>
          <w:p>
            <w:pPr>
              <w:pStyle w:val="103"/>
              <w:widowControl w:val="0"/>
              <w:snapToGrid w:val="0"/>
              <w:spacing w:after="120" w:afterLines="50" w:line="240" w:lineRule="auto"/>
              <w:rPr>
                <w:strike/>
                <w:color w:val="FF0000"/>
              </w:rPr>
            </w:pPr>
            <w:r>
              <w:t>-</w:t>
            </w:r>
            <w:r>
              <w:tab/>
            </w:r>
            <w:r>
              <w:t xml:space="preserve">if the UE detects a DCI format by monitoring PDCCH according to a search space set with group index 0, the UE starts monitoring PDCCH according to search space sets with group index 1, and stops monitoring PDCCH according to search space sets with group index 0,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ctrlPr>
                    <w:rPr>
                      <w:rFonts w:ascii="Cambria Math" w:hAnsi="Cambria Math"/>
                      <w:i/>
                      <w:strike/>
                      <w:color w:val="FF0000"/>
                    </w:rPr>
                  </m:ctrlPr>
                </m:e>
                <m:sub>
                  <m:r>
                    <w:rPr>
                      <w:rFonts w:ascii="Cambria Math" w:hAnsi="Cambria Math"/>
                      <w:strike/>
                      <w:color w:val="FF0000"/>
                    </w:rPr>
                    <m:t>switch</m:t>
                  </m:r>
                  <m:ctrlPr>
                    <w:rPr>
                      <w:rFonts w:ascii="Cambria Math" w:hAnsi="Cambria Math"/>
                      <w:i/>
                      <w:strike/>
                      <w:color w:val="FF0000"/>
                    </w:rPr>
                  </m:ctrlPr>
                </m:sub>
              </m:sSub>
            </m:oMath>
            <w:r>
              <w:rPr>
                <w:strike/>
                <w:color w:val="FF0000"/>
              </w:rPr>
              <w:t xml:space="preserve"> symbols after the last symbol of the PDCCH with the DCI format, the UE sets the timer value to the value provided by </w:t>
            </w:r>
            <w:r>
              <w:rPr>
                <w:i/>
                <w:strike/>
                <w:color w:val="FF0000"/>
                <w:lang w:eastAsia="zh-CN"/>
              </w:rPr>
              <w:t>searchSpaceSwitchTimer</w:t>
            </w:r>
            <w:r>
              <w:rPr>
                <w:strike/>
                <w:color w:val="FF0000"/>
                <w:lang w:eastAsia="zh-CN"/>
              </w:rPr>
              <w:t xml:space="preserve"> if the UE detects a DCI format </w:t>
            </w:r>
            <w:r>
              <w:rPr>
                <w:strike/>
                <w:color w:val="FF0000"/>
              </w:rPr>
              <w:t>by monitoring PDCCH in any search space set</w:t>
            </w:r>
          </w:p>
          <w:p>
            <w:pPr>
              <w:pStyle w:val="103"/>
              <w:widowControl w:val="0"/>
              <w:numPr>
                <w:ilvl w:val="0"/>
                <w:numId w:val="51"/>
              </w:numPr>
              <w:snapToGrid w:val="0"/>
              <w:spacing w:after="120" w:afterLines="5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ctrlPr>
                    <w:rPr>
                      <w:rFonts w:ascii="Cambria Math" w:hAnsi="Cambria Math"/>
                      <w:color w:val="FF0000"/>
                    </w:rPr>
                  </m:ctrlPr>
                </m:e>
              </m:d>
            </m:oMath>
            <w:r>
              <w:t xml:space="preserve"> at a first slot that is at least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t xml:space="preserve"> symbols after the last symbol of the PDCCH with the DCI format</w:t>
            </w:r>
            <w:r>
              <w:rPr>
                <w:color w:val="FF0000"/>
              </w:rPr>
              <w:t>,</w:t>
            </w:r>
            <w:r>
              <w:t xml:space="preserve"> </w:t>
            </w:r>
            <w:r>
              <w:rPr>
                <w:color w:val="FF0000"/>
              </w:rPr>
              <w:t xml:space="preserve">and </w:t>
            </w:r>
          </w:p>
          <w:p>
            <w:pPr>
              <w:pStyle w:val="103"/>
              <w:widowControl w:val="0"/>
              <w:numPr>
                <w:ilvl w:val="0"/>
                <w:numId w:val="51"/>
              </w:numPr>
              <w:snapToGrid w:val="0"/>
              <w:spacing w:after="120" w:afterLines="5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ctrlPr>
                    <w:rPr>
                      <w:rFonts w:ascii="Cambria Math" w:hAnsi="Cambria Math"/>
                      <w:color w:val="FF0000"/>
                    </w:rPr>
                  </m:ctrlP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ctrlPr>
                    <w:rPr>
                      <w:rFonts w:ascii="Cambria Math" w:hAnsi="Cambria Math"/>
                      <w:i/>
                      <w:color w:val="FF0000"/>
                    </w:rPr>
                  </m:ctrlPr>
                </m:e>
                <m:sub>
                  <m:r>
                    <w:rPr>
                      <w:rFonts w:ascii="Cambria Math" w:hAnsi="Cambria Math"/>
                      <w:color w:val="FF0000"/>
                    </w:rPr>
                    <m:t>switch</m:t>
                  </m:r>
                  <m:ctrlPr>
                    <w:rPr>
                      <w:rFonts w:ascii="Cambria Math" w:hAnsi="Cambria Math"/>
                      <w:i/>
                      <w:color w:val="FF0000"/>
                    </w:rPr>
                  </m:ctrlPr>
                </m:sub>
              </m:sSub>
            </m:oMath>
            <w:r>
              <w:rPr>
                <w:color w:val="FF0000"/>
              </w:rPr>
              <w:t xml:space="preserve"> symbols after the last symbol of the PDCCH with the DCI format</w:t>
            </w:r>
          </w:p>
          <w:p>
            <w:pPr>
              <w:pStyle w:val="103"/>
              <w:widowControl w:val="0"/>
              <w:snapToGrid w:val="0"/>
              <w:spacing w:after="120" w:afterLines="50" w:line="240" w:lineRule="auto"/>
              <w:ind w:left="284" w:firstLine="0"/>
              <w:rPr>
                <w:color w:val="FF0000"/>
              </w:rPr>
            </w:pPr>
            <w:r>
              <w:rPr>
                <w:color w:val="FF0000"/>
              </w:rPr>
              <w:t xml:space="preserve">the UE sets the timer value to the value provided by </w:t>
            </w:r>
            <w:r>
              <w:rPr>
                <w:i/>
                <w:color w:val="FF0000"/>
                <w:lang w:eastAsia="zh-CN"/>
              </w:rPr>
              <w:t>searchSpaceSwitchTimer</w:t>
            </w:r>
            <w:r>
              <w:rPr>
                <w:color w:val="FF0000"/>
                <w:lang w:eastAsia="zh-CN"/>
              </w:rPr>
              <w:t xml:space="preserve"> if the UE detects a DCI format </w:t>
            </w:r>
            <w:r>
              <w:rPr>
                <w:color w:val="FF0000"/>
              </w:rPr>
              <w:t>by monitoring PDCCH in any search space set</w:t>
            </w:r>
          </w:p>
          <w:p>
            <w:pPr>
              <w:pStyle w:val="103"/>
              <w:widowControl w:val="0"/>
              <w:snapToGrid w:val="0"/>
              <w:spacing w:after="120" w:afterLines="50" w:line="240" w:lineRule="auto"/>
              <w:rPr>
                <w:strike/>
              </w:rPr>
            </w:pPr>
            <w:r>
              <w:t>-</w:t>
            </w:r>
            <w:r>
              <w:tab/>
            </w:r>
            <w:r>
              <w:t xml:space="preserve">if the UE monitors PDCCH </w:t>
            </w:r>
            <w:r>
              <w:rPr>
                <w:lang w:val="en-US"/>
              </w:rPr>
              <w:t>for</w:t>
            </w:r>
            <w:r>
              <w:t xml:space="preserve"> a serving cell according to search space sets with group index 1, the UE starts monitoring PDCCH </w:t>
            </w:r>
            <w:r>
              <w:rPr>
                <w:lang w:val="en-US"/>
              </w:rPr>
              <w:t>for</w:t>
            </w:r>
            <w:r>
              <w:t xml:space="preserve"> the serving cell according to search space sets with group index 0, and stops monitoring PDCCH according to search space sets with group index 1,</w:t>
            </w:r>
            <w:r>
              <w:rPr>
                <w:color w:val="FF0000"/>
              </w:rPr>
              <w:t xml:space="preserve"> </w:t>
            </w:r>
            <w:r>
              <w:rPr>
                <w:strike/>
                <w:color w:val="FF0000"/>
                <w:lang w:val="en-US"/>
              </w:rPr>
              <w:t>for</w:t>
            </w:r>
            <w:r>
              <w:rPr>
                <w:strike/>
                <w:color w:val="FF0000"/>
              </w:rPr>
              <w:t xml:space="preserve"> the serving cell at the beginning of the first slot that is at least </w:t>
            </w:r>
            <m:oMath>
              <m:sSub>
                <m:sSubPr>
                  <m:ctrlPr>
                    <w:rPr>
                      <w:rFonts w:ascii="Cambria Math" w:hAnsi="Cambria Math"/>
                      <w:i/>
                      <w:strike/>
                      <w:color w:val="FF0000"/>
                    </w:rPr>
                  </m:ctrlPr>
                </m:sSubPr>
                <m:e>
                  <m:r>
                    <w:rPr>
                      <w:rFonts w:ascii="Cambria Math" w:hAnsi="Cambria Math"/>
                      <w:strike/>
                      <w:color w:val="FF0000"/>
                    </w:rPr>
                    <m:t>P</m:t>
                  </m:r>
                  <m:ctrlPr>
                    <w:rPr>
                      <w:rFonts w:ascii="Cambria Math" w:hAnsi="Cambria Math"/>
                      <w:i/>
                      <w:strike/>
                      <w:color w:val="FF0000"/>
                    </w:rPr>
                  </m:ctrlPr>
                </m:e>
                <m:sub>
                  <m:r>
                    <w:rPr>
                      <w:rFonts w:ascii="Cambria Math" w:hAnsi="Cambria Math"/>
                      <w:strike/>
                      <w:color w:val="FF0000"/>
                    </w:rPr>
                    <m:t>switch</m:t>
                  </m:r>
                  <m:ctrlPr>
                    <w:rPr>
                      <w:rFonts w:ascii="Cambria Math" w:hAnsi="Cambria Math"/>
                      <w:i/>
                      <w:strike/>
                      <w:color w:val="FF0000"/>
                    </w:rPr>
                  </m:ctrlPr>
                </m:sub>
              </m:sSub>
            </m:oMath>
            <w:r>
              <w:rPr>
                <w:strike/>
                <w:color w:val="FF0000"/>
              </w:rPr>
              <w:t xml:space="preserve"> symbols after a slot where the timer expires or, if the UE is provided a search space set to monitor PDCCH for detecting a DCI format 2_0, after a last </w:t>
            </w:r>
            <w:r>
              <w:rPr>
                <w:strike/>
                <w:color w:val="FF0000"/>
                <w:lang w:val="en-US"/>
              </w:rPr>
              <w:t>symbol</w:t>
            </w:r>
            <w:r>
              <w:rPr>
                <w:strike/>
                <w:color w:val="FF0000"/>
              </w:rPr>
              <w:t xml:space="preserve"> of a remaining channel occupancy duration for the serving cell if indicated by DCI format 2_0</w:t>
            </w:r>
          </w:p>
          <w:p>
            <w:pPr>
              <w:pStyle w:val="103"/>
              <w:widowControl w:val="0"/>
              <w:numPr>
                <w:ilvl w:val="0"/>
                <w:numId w:val="51"/>
              </w:numPr>
              <w:snapToGrid w:val="0"/>
              <w:spacing w:after="120" w:afterLines="5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ctrlPr>
                    <w:rPr>
                      <w:rFonts w:ascii="Cambria Math" w:hAnsi="Cambria Math"/>
                      <w:color w:val="FF0000"/>
                    </w:rPr>
                  </m:ctrlPr>
                </m:e>
              </m:d>
            </m:oMath>
            <w:r>
              <w:t xml:space="preserve"> at the beginning of the first slot that is at least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t xml:space="preserve"> symbols after a slot where the timer expires or, if the UE is provided a search space set to monitor PDCCH for detecting a DCI format 2_0, after a last </w:t>
            </w:r>
            <w:r>
              <w:rPr>
                <w:lang w:val="en-US"/>
              </w:rPr>
              <w:t>symbol</w:t>
            </w:r>
            <w:r>
              <w:t xml:space="preserve"> of a remaining channel occupancy duration for the serving cell if indicated by DCI format 2_0</w:t>
            </w:r>
            <w:r>
              <w:rPr>
                <w:color w:val="FF0000"/>
              </w:rPr>
              <w:t>,</w:t>
            </w:r>
            <w:r>
              <w:t xml:space="preserve"> </w:t>
            </w:r>
            <w:r>
              <w:rPr>
                <w:color w:val="FF0000"/>
              </w:rPr>
              <w:t xml:space="preserve">and </w:t>
            </w:r>
          </w:p>
          <w:p>
            <w:pPr>
              <w:pStyle w:val="103"/>
              <w:widowControl w:val="0"/>
              <w:numPr>
                <w:ilvl w:val="0"/>
                <w:numId w:val="51"/>
              </w:numPr>
              <w:snapToGrid w:val="0"/>
              <w:spacing w:after="120" w:afterLines="50" w:line="240" w:lineRule="auto"/>
              <w:ind w:left="930"/>
              <w:rPr>
                <w:color w:val="FF0000"/>
              </w:rPr>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ctrlPr>
                    <w:rPr>
                      <w:rFonts w:ascii="Cambria Math" w:hAnsi="Cambria Math"/>
                      <w:color w:val="FF0000"/>
                    </w:rPr>
                  </m:ctrlPr>
                </m:e>
              </m:d>
            </m:oMath>
            <w:r>
              <w:rPr>
                <w:rFonts w:eastAsiaTheme="minorEastAsia"/>
                <w:color w:val="FF0000"/>
                <w:lang w:eastAsia="zh-CN"/>
              </w:rPr>
              <w:t xml:space="preserve"> </w:t>
            </w:r>
            <w:r>
              <w:rPr>
                <w:color w:val="FF0000"/>
              </w:rPr>
              <w:t xml:space="preserve">at the beginning of the first slot of a slot group that is at least </w:t>
            </w:r>
            <m:oMath>
              <m:sSub>
                <m:sSubPr>
                  <m:ctrlPr>
                    <w:rPr>
                      <w:rFonts w:ascii="Cambria Math" w:hAnsi="Cambria Math"/>
                      <w:i/>
                      <w:color w:val="FF0000"/>
                    </w:rPr>
                  </m:ctrlPr>
                </m:sSubPr>
                <m:e>
                  <m:r>
                    <w:rPr>
                      <w:rFonts w:ascii="Cambria Math" w:hAnsi="Cambria Math"/>
                      <w:color w:val="FF0000"/>
                    </w:rPr>
                    <m:t>P</m:t>
                  </m:r>
                  <m:ctrlPr>
                    <w:rPr>
                      <w:rFonts w:ascii="Cambria Math" w:hAnsi="Cambria Math"/>
                      <w:i/>
                      <w:color w:val="FF0000"/>
                    </w:rPr>
                  </m:ctrlPr>
                </m:e>
                <m:sub>
                  <m:r>
                    <w:rPr>
                      <w:rFonts w:ascii="Cambria Math" w:hAnsi="Cambria Math"/>
                      <w:color w:val="FF0000"/>
                    </w:rPr>
                    <m:t>switch</m:t>
                  </m:r>
                  <m:ctrlPr>
                    <w:rPr>
                      <w:rFonts w:ascii="Cambria Math" w:hAnsi="Cambria Math"/>
                      <w:i/>
                      <w:color w:val="FF0000"/>
                    </w:rPr>
                  </m:ctrlPr>
                </m:sub>
              </m:sSub>
            </m:oMath>
            <w:r>
              <w:rPr>
                <w:color w:val="FF0000"/>
              </w:rPr>
              <w:t xml:space="preserve"> symbols after a slot where the timer expires or, if the UE is provided a search space set to monitor PDCCH for detecting a DCI format 2_0, after a last </w:t>
            </w:r>
            <w:r>
              <w:rPr>
                <w:color w:val="FF0000"/>
                <w:lang w:val="en-US"/>
              </w:rPr>
              <w:t>symbol</w:t>
            </w:r>
            <w:r>
              <w:rPr>
                <w:color w:val="FF0000"/>
              </w:rPr>
              <w:t xml:space="preserve"> of a remaining channel occupancy duration for the serving cell if indicated by DCI format 2_0</w:t>
            </w:r>
          </w:p>
          <w:p>
            <w:pPr>
              <w:widowControl w:val="0"/>
              <w:jc w:val="center"/>
              <w:rPr>
                <w:rFonts w:asciiTheme="minorHAnsi" w:hAnsiTheme="minorHAnsi" w:cstheme="minorHAnsi"/>
              </w:rPr>
            </w:pPr>
            <w:r>
              <w:rPr>
                <w:color w:val="FF0000"/>
                <w:lang w:eastAsia="zh-CN"/>
              </w:rPr>
              <w:t>*** Unchanged text is omitted ***</w:t>
            </w:r>
          </w:p>
        </w:tc>
      </w:tr>
    </w:tbl>
    <w:p>
      <w:pPr>
        <w:rPr>
          <w:lang w:eastAsia="zh-CN"/>
        </w:rPr>
      </w:pPr>
    </w:p>
    <w:p>
      <w:pPr>
        <w:rPr>
          <w:bCs/>
          <w:sz w:val="20"/>
          <w:szCs w:val="20"/>
        </w:rPr>
      </w:pPr>
      <w:r>
        <w:rPr>
          <w:bCs/>
          <w:sz w:val="20"/>
          <w:szCs w:val="20"/>
          <w:lang w:eastAsia="zh-CN"/>
        </w:rPr>
        <w:t>Please comment whether Text Proposal A2-5.2 is agreeable, provided proposal A2-5.1 is agreed.</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We are ok with the TP in general (there seems some typo on the change mark, which can be handled if we try to agree on the TP).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Ericsson</w:t>
            </w:r>
          </w:p>
        </w:tc>
        <w:tc>
          <w:tcPr>
            <w:tcW w:w="12176" w:type="dxa"/>
            <w:vAlign w:val="center"/>
          </w:tcPr>
          <w:p>
            <w:pPr>
              <w:widowControl w:val="0"/>
              <w:rPr>
                <w:sz w:val="20"/>
                <w:lang w:eastAsia="zh-CN"/>
              </w:rPr>
            </w:pPr>
            <w:r>
              <w:rPr>
                <w:sz w:val="20"/>
                <w:lang w:eastAsia="zh-CN"/>
              </w:rPr>
              <w:t>Agree with the intention of the TP, but maybe the spec implementation details can be left to the spec editor? The key point to agree on is that the UE starts or stops monitoring a SS not earlier than the first slot of a slot group that occurs after the slot in which the UE determines that a SSSG switch should occur (either by detecting DCI 2_0, detecting a DCI format in Group0, or by timer expiry).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Qualcomm</w:t>
            </w:r>
          </w:p>
        </w:tc>
        <w:tc>
          <w:tcPr>
            <w:tcW w:w="12176" w:type="dxa"/>
            <w:vAlign w:val="center"/>
          </w:tcPr>
          <w:p>
            <w:pPr>
              <w:widowControl w:val="0"/>
              <w:rPr>
                <w:sz w:val="20"/>
                <w:lang w:eastAsia="zh-CN"/>
              </w:rPr>
            </w:pPr>
            <w:r>
              <w:rPr>
                <w:sz w:val="20"/>
                <w:lang w:eastAsia="zh-CN"/>
              </w:rPr>
              <w:t>We support the TP.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Nokia, NSB</w:t>
            </w:r>
          </w:p>
        </w:tc>
        <w:tc>
          <w:tcPr>
            <w:tcW w:w="12176" w:type="dxa"/>
            <w:vAlign w:val="center"/>
          </w:tcPr>
          <w:p>
            <w:pPr>
              <w:widowControl w:val="0"/>
              <w:rPr>
                <w:sz w:val="20"/>
                <w:lang w:eastAsia="zh-CN"/>
              </w:rPr>
            </w:pPr>
            <w:r>
              <w:rPr>
                <w:sz w:val="20"/>
                <w:lang w:eastAsia="zh-CN"/>
              </w:rPr>
              <w:t xml:space="preserve">Agree in principle.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We prefer to wait until ‘</w:t>
            </w:r>
            <w:r>
              <w:rPr>
                <w:rFonts w:hint="eastAsia"/>
                <w:lang w:eastAsia="zh-CN"/>
              </w:rPr>
              <w:t>FL</w:t>
            </w:r>
            <w:r>
              <w:rPr>
                <w:lang w:eastAsia="zh-CN"/>
              </w:rPr>
              <w:t xml:space="preserve"> </w:t>
            </w:r>
            <w:r>
              <w:rPr>
                <w:rFonts w:hint="eastAsia"/>
                <w:lang w:eastAsia="zh-CN"/>
              </w:rPr>
              <w:t>note</w:t>
            </w:r>
            <w:r>
              <w:rPr>
                <w:lang w:eastAsia="zh-CN"/>
              </w:rPr>
              <w:t xml:space="preserve">’ is resolved.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sz w:val="20"/>
                <w:lang w:eastAsia="zh-CN"/>
              </w:rPr>
              <w:t>We are generally ok with this TP.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sz w:val="20"/>
                <w:lang w:eastAsia="ja-JP"/>
              </w:rPr>
              <w:t>N</w:t>
            </w:r>
            <w:r>
              <w:rPr>
                <w:rFonts w:eastAsia="MS Mincho"/>
                <w:sz w:val="20"/>
                <w:lang w:eastAsia="ja-JP"/>
              </w:rPr>
              <w:t>TT DOCOMO</w:t>
            </w:r>
          </w:p>
        </w:tc>
        <w:tc>
          <w:tcPr>
            <w:tcW w:w="12176" w:type="dxa"/>
            <w:vAlign w:val="center"/>
          </w:tcPr>
          <w:p>
            <w:pPr>
              <w:widowControl w:val="0"/>
              <w:rPr>
                <w:sz w:val="20"/>
                <w:lang w:eastAsia="zh-CN"/>
              </w:rPr>
            </w:pPr>
            <w:r>
              <w:rPr>
                <w:rFonts w:eastAsia="MS Mincho"/>
                <w:szCs w:val="28"/>
                <w:lang w:eastAsia="ja-JP"/>
              </w:rPr>
              <w:t>We support the TP.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sz w:val="20"/>
                <w:lang w:eastAsia="ja-JP"/>
              </w:rPr>
            </w:pPr>
            <w:r>
              <w:rPr>
                <w:sz w:val="20"/>
              </w:rPr>
              <w:t>LG Electronics</w:t>
            </w:r>
          </w:p>
        </w:tc>
        <w:tc>
          <w:tcPr>
            <w:tcW w:w="12176" w:type="dxa"/>
            <w:vAlign w:val="center"/>
          </w:tcPr>
          <w:p>
            <w:pPr>
              <w:widowControl w:val="0"/>
              <w:rPr>
                <w:rFonts w:eastAsia="MS Mincho"/>
                <w:szCs w:val="28"/>
                <w:lang w:eastAsia="ja-JP"/>
              </w:rPr>
            </w:pPr>
            <w:r>
              <w:rPr>
                <w:sz w:val="20"/>
                <w:lang w:eastAsia="zh-CN"/>
              </w:rPr>
              <w:t>Agree with the intention of the TP, but it would be good to discuss the TP after conclusion of Proposal A2-5.1.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Apple</w:t>
            </w:r>
          </w:p>
        </w:tc>
        <w:tc>
          <w:tcPr>
            <w:tcW w:w="12176" w:type="dxa"/>
            <w:vAlign w:val="center"/>
          </w:tcPr>
          <w:p>
            <w:pPr>
              <w:widowControl w:val="0"/>
              <w:rPr>
                <w:sz w:val="20"/>
                <w:lang w:eastAsia="zh-CN"/>
              </w:rPr>
            </w:pPr>
            <w:r>
              <w:rPr>
                <w:sz w:val="20"/>
                <w:lang w:eastAsia="zh-CN"/>
              </w:rPr>
              <w:t>We are fine with the TP in general.</w:t>
            </w:r>
          </w:p>
        </w:tc>
      </w:tr>
    </w:tbl>
    <w:tbl>
      <w:tblPr>
        <w:tblStyle w:val="276"/>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sz w:val="20"/>
                <w:lang w:eastAsia="ja-JP"/>
              </w:rPr>
            </w:pPr>
            <w:r>
              <w:rPr>
                <w:sz w:val="20"/>
                <w:lang w:eastAsia="ja-JP"/>
              </w:rPr>
              <w:t>Futurewei</w:t>
            </w:r>
          </w:p>
        </w:tc>
        <w:tc>
          <w:tcPr>
            <w:tcW w:w="12176" w:type="dxa"/>
            <w:vAlign w:val="center"/>
          </w:tcPr>
          <w:p>
            <w:pPr>
              <w:widowControl w:val="0"/>
              <w:spacing w:line="240" w:lineRule="auto"/>
              <w:rPr>
                <w:sz w:val="20"/>
                <w:lang w:eastAsia="zh-CN"/>
              </w:rPr>
            </w:pPr>
            <w:r>
              <w:rPr>
                <w:sz w:val="20"/>
                <w:lang w:eastAsia="zh-CN"/>
              </w:rPr>
              <w:t>We support the TP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sz w:val="20"/>
                <w:lang w:eastAsia="ja-JP"/>
              </w:rPr>
            </w:pPr>
            <w:r>
              <w:rPr>
                <w:sz w:val="20"/>
                <w:lang w:eastAsia="ja-JP"/>
              </w:rPr>
              <w:t>Lenovo</w:t>
            </w:r>
          </w:p>
        </w:tc>
        <w:tc>
          <w:tcPr>
            <w:tcW w:w="12176" w:type="dxa"/>
            <w:vAlign w:val="center"/>
          </w:tcPr>
          <w:p>
            <w:pPr>
              <w:widowControl w:val="0"/>
              <w:spacing w:line="240" w:lineRule="auto"/>
              <w:rPr>
                <w:sz w:val="20"/>
                <w:lang w:eastAsia="zh-CN"/>
              </w:rPr>
            </w:pPr>
            <w:r>
              <w:rPr>
                <w:sz w:val="20"/>
                <w:lang w:eastAsia="zh-CN"/>
              </w:rPr>
              <w:t>We are open to agree on a TP after finalising the technical agreement, but we can also give it as recommendation to the spec editor if that is preferred.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FFFF" w:themeFill="background1"/>
            <w:vAlign w:val="center"/>
          </w:tcPr>
          <w:p>
            <w:pPr>
              <w:widowControl w:val="0"/>
              <w:spacing w:line="240" w:lineRule="auto"/>
              <w:rPr>
                <w:sz w:val="20"/>
                <w:lang w:eastAsia="ja-JP"/>
              </w:rPr>
            </w:pPr>
            <w:r>
              <w:rPr>
                <w:sz w:val="20"/>
                <w:lang w:eastAsia="ja-JP"/>
              </w:rPr>
              <w:t>Huawei, HiSilicon</w:t>
            </w:r>
          </w:p>
        </w:tc>
        <w:tc>
          <w:tcPr>
            <w:tcW w:w="12176" w:type="dxa"/>
            <w:shd w:val="clear" w:color="auto" w:fill="FFFFFF" w:themeFill="background1"/>
            <w:vAlign w:val="center"/>
          </w:tcPr>
          <w:p>
            <w:pPr>
              <w:widowControl w:val="0"/>
              <w:spacing w:line="240" w:lineRule="auto"/>
              <w:rPr>
                <w:sz w:val="20"/>
                <w:lang w:eastAsia="zh-CN"/>
              </w:rPr>
            </w:pPr>
            <w:r>
              <w:rPr>
                <w:sz w:val="20"/>
                <w:lang w:eastAsia="zh-CN"/>
              </w:rPr>
              <w:t>Support the TP</w:t>
            </w:r>
          </w:p>
        </w:tc>
      </w:tr>
    </w:tbl>
    <w:p>
      <w:pPr>
        <w:pStyle w:val="5"/>
      </w:pPr>
      <w:r>
        <w:t>First round discussion summary</w:t>
      </w:r>
    </w:p>
    <w:p>
      <w:pPr>
        <w:rPr>
          <w:sz w:val="20"/>
          <w:szCs w:val="20"/>
          <w:lang w:eastAsia="zh-CN"/>
        </w:rPr>
      </w:pPr>
      <w:r>
        <w:rPr>
          <w:sz w:val="20"/>
          <w:szCs w:val="20"/>
          <w:lang w:eastAsia="zh-CN"/>
        </w:rPr>
        <w:t>Most companies support Proposal A2-5.1, although it seems further discussion is necessary whether an additional sentence is necessary to cover switching between different slot group sizes.</w:t>
      </w:r>
    </w:p>
    <w:p>
      <w:pPr>
        <w:rPr>
          <w:sz w:val="20"/>
          <w:szCs w:val="20"/>
          <w:lang w:eastAsia="zh-CN"/>
        </w:rPr>
      </w:pPr>
      <w:r>
        <w:rPr>
          <w:sz w:val="20"/>
          <w:szCs w:val="20"/>
          <w:highlight w:val="yellow"/>
          <w:lang w:eastAsia="zh-CN"/>
        </w:rPr>
        <w:t>FL suggests to agree on Proposal A2-5.1b, and continue TP A2-5.2 discussion after progress in A2-6.</w:t>
      </w:r>
    </w:p>
    <w:p>
      <w:pPr>
        <w:rPr>
          <w:b/>
          <w:bCs/>
          <w:sz w:val="20"/>
          <w:szCs w:val="20"/>
          <w:u w:val="single"/>
          <w:lang w:val="en-GB" w:eastAsia="zh-CN"/>
        </w:rPr>
      </w:pPr>
      <w:r>
        <w:rPr>
          <w:b/>
          <w:bCs/>
          <w:sz w:val="20"/>
          <w:szCs w:val="20"/>
          <w:u w:val="single"/>
          <w:lang w:val="en-GB" w:eastAsia="zh-CN"/>
        </w:rPr>
        <w:t>Proposal A2-5.1a:</w:t>
      </w:r>
    </w:p>
    <w:p>
      <w:pPr>
        <w:pStyle w:val="82"/>
        <w:numPr>
          <w:ilvl w:val="0"/>
          <w:numId w:val="52"/>
        </w:numPr>
        <w:rPr>
          <w:sz w:val="20"/>
          <w:szCs w:val="20"/>
          <w:lang w:val="en-GB" w:eastAsia="zh-CN"/>
        </w:rPr>
      </w:pPr>
      <w:r>
        <w:rPr>
          <w:sz w:val="20"/>
          <w:szCs w:val="20"/>
          <w:lang w:val="en-GB" w:eastAsia="zh-CN"/>
        </w:rPr>
        <w:t>For multi-slot PDCCH monitoring for 480/960 kHz SCSs, the boundary of SSSG switching is always aligned with the boundary of a slot group.</w:t>
      </w:r>
    </w:p>
    <w:p>
      <w:pPr>
        <w:pStyle w:val="82"/>
        <w:numPr>
          <w:ilvl w:val="0"/>
          <w:numId w:val="52"/>
        </w:numPr>
        <w:rPr>
          <w:sz w:val="20"/>
          <w:szCs w:val="20"/>
          <w:lang w:val="en-GB" w:eastAsia="zh-CN"/>
        </w:rPr>
      </w:pPr>
      <w:r>
        <w:rPr>
          <w:sz w:val="20"/>
          <w:szCs w:val="20"/>
          <w:lang w:val="en-GB" w:eastAsia="zh-CN"/>
        </w:rPr>
        <w:t>Note: If switching between different slot group sizes is supported, continue discussion on the following:</w:t>
      </w:r>
    </w:p>
    <w:p>
      <w:pPr>
        <w:pStyle w:val="82"/>
        <w:numPr>
          <w:ilvl w:val="1"/>
          <w:numId w:val="52"/>
        </w:numPr>
        <w:rPr>
          <w:sz w:val="20"/>
          <w:szCs w:val="20"/>
          <w:lang w:val="en-GB" w:eastAsia="zh-CN"/>
        </w:rPr>
      </w:pPr>
      <w:r>
        <w:rPr>
          <w:sz w:val="20"/>
          <w:szCs w:val="20"/>
          <w:lang w:val="en-GB" w:eastAsia="zh-CN"/>
        </w:rPr>
        <w:t>If the SSSGs before and after switching are associated with different slot group sizes Xs, the alignment is determined by the slot group boundary of the largest Xs value among the SSSGs.</w:t>
      </w:r>
    </w:p>
    <w:p>
      <w:pPr>
        <w:rPr>
          <w:lang w:eastAsia="zh-CN"/>
        </w:rPr>
      </w:pPr>
    </w:p>
    <w:p>
      <w:pPr>
        <w:spacing w:before="100" w:beforeAutospacing="1" w:after="100" w:afterAutospacing="1"/>
        <w:rPr>
          <w:lang w:eastAsia="zh-CN"/>
        </w:rPr>
      </w:pPr>
      <w:r>
        <w:rPr>
          <w:rStyle w:val="62"/>
          <w:color w:val="000000"/>
          <w:sz w:val="20"/>
          <w:szCs w:val="20"/>
          <w:u w:val="single"/>
          <w:shd w:val="clear" w:color="auto" w:fill="FFFF00"/>
          <w:lang w:eastAsia="zh-CN"/>
        </w:rPr>
        <w:t>Proposal A2-5.1b:</w:t>
      </w:r>
    </w:p>
    <w:p>
      <w:pPr>
        <w:numPr>
          <w:ilvl w:val="0"/>
          <w:numId w:val="53"/>
        </w:numPr>
        <w:autoSpaceDE/>
        <w:autoSpaceDN/>
        <w:adjustRightInd/>
        <w:snapToGrid/>
        <w:spacing w:before="100" w:beforeAutospacing="1" w:after="100" w:afterAutospacing="1" w:line="240" w:lineRule="auto"/>
        <w:rPr>
          <w:rFonts w:eastAsia="Times New Roman"/>
          <w:lang w:val="en-GB" w:eastAsia="zh-CN"/>
        </w:rPr>
      </w:pPr>
      <w:r>
        <w:rPr>
          <w:rFonts w:eastAsia="Times New Roman"/>
          <w:sz w:val="20"/>
          <w:szCs w:val="20"/>
          <w:lang w:val="en-GB" w:eastAsia="zh-CN"/>
        </w:rPr>
        <w:t>For multi-slot PDCCH monitoring for 480/960 kHz SCSs, the boundary of SSSG switching is always aligned with the boundary of a slot group.</w:t>
      </w:r>
    </w:p>
    <w:p>
      <w:pPr>
        <w:rPr>
          <w:lang w:val="en-GB" w:eastAsia="zh-CN"/>
        </w:rPr>
      </w:pPr>
    </w:p>
    <w:p>
      <w:pPr>
        <w:pStyle w:val="4"/>
      </w:pPr>
      <w:r>
        <w:t xml:space="preserve">Issue A2-6: SS set group switching configuration with </w:t>
      </w:r>
      <w:r>
        <w:rPr>
          <w:color w:val="000000"/>
        </w:rPr>
        <w:t xml:space="preserve">same or different </w:t>
      </w:r>
      <m:oMath>
        <m:d>
          <m:dPr>
            <m:ctrlPr>
              <w:rPr>
                <w:rFonts w:ascii="Cambria Math" w:hAnsi="Cambria Math"/>
              </w:rPr>
            </m:ctrlPr>
          </m:dPr>
          <m:e>
            <m:sSub>
              <m:sSubPr>
                <m:ctrlPr>
                  <w:rPr>
                    <w:rFonts w:ascii="Cambria Math" w:hAnsi="Cambria Math"/>
                  </w:rPr>
                </m:ctrlPr>
              </m:sSubPr>
              <m:e>
                <m:r>
                  <m:rPr>
                    <m:sty m:val="b"/>
                  </m:rPr>
                  <w:rPr>
                    <w:rFonts w:ascii="Cambria Math" w:hAnsi="Cambria Math"/>
                  </w:rPr>
                  <m:t>X</m:t>
                </m:r>
                <m:ctrlPr>
                  <w:rPr>
                    <w:rFonts w:ascii="Cambria Math" w:hAnsi="Cambria Math"/>
                  </w:rPr>
                </m:ctrlPr>
              </m:e>
              <m:sub>
                <m:r>
                  <m:rPr>
                    <m:sty m:val="b"/>
                  </m:rPr>
                  <w:rPr>
                    <w:rFonts w:ascii="Cambria Math" w:hAnsi="Cambria Math"/>
                  </w:rPr>
                  <m:t>s</m:t>
                </m:r>
                <m:ctrlPr>
                  <w:rPr>
                    <w:rFonts w:ascii="Cambria Math" w:hAnsi="Cambria Math"/>
                  </w:rPr>
                </m:ctrlPr>
              </m:sub>
            </m:sSub>
            <m:r>
              <m:rPr>
                <m:sty m:val="b"/>
              </m:rPr>
              <w:rPr>
                <w:rFonts w:ascii="Cambria Math" w:hAnsi="Cambria Math"/>
              </w:rPr>
              <m:t>,</m:t>
            </m:r>
            <m:sSub>
              <m:sSubPr>
                <m:ctrlPr>
                  <w:rPr>
                    <w:rFonts w:ascii="Cambria Math" w:hAnsi="Cambria Math"/>
                  </w:rPr>
                </m:ctrlPr>
              </m:sSubPr>
              <m:e>
                <m:r>
                  <m:rPr>
                    <m:sty m:val="b"/>
                  </m:rPr>
                  <w:rPr>
                    <w:rFonts w:ascii="Cambria Math" w:hAnsi="Cambria Math"/>
                  </w:rPr>
                  <m:t>Y</m:t>
                </m:r>
                <m:ctrlPr>
                  <w:rPr>
                    <w:rFonts w:ascii="Cambria Math" w:hAnsi="Cambria Math"/>
                  </w:rPr>
                </m:ctrlPr>
              </m:e>
              <m:sub>
                <m:r>
                  <m:rPr>
                    <m:sty m:val="b"/>
                  </m:rPr>
                  <w:rPr>
                    <w:rFonts w:ascii="Cambria Math" w:hAnsi="Cambria Math"/>
                  </w:rPr>
                  <m:t>s</m:t>
                </m:r>
                <m:ctrlPr>
                  <w:rPr>
                    <w:rFonts w:ascii="Cambria Math" w:hAnsi="Cambria Math"/>
                  </w:rPr>
                </m:ctrlPr>
              </m:sub>
            </m:sSub>
            <m:ctrlPr>
              <w:rPr>
                <w:rFonts w:ascii="Cambria Math" w:hAnsi="Cambria Math"/>
              </w:rPr>
            </m:ctrlPr>
          </m:e>
        </m:d>
      </m:oMath>
      <w:r>
        <w:t xml:space="preserve"> </w:t>
      </w:r>
    </w:p>
    <w:p>
      <w:pPr>
        <w:pStyle w:val="5"/>
      </w:pPr>
      <w:r>
        <w:t>First round discussion</w:t>
      </w:r>
    </w:p>
    <w:p>
      <w:pPr>
        <w:spacing w:after="0" w:line="260" w:lineRule="auto"/>
        <w:rPr>
          <w:b/>
          <w:color w:val="000000"/>
          <w:sz w:val="21"/>
          <w:szCs w:val="21"/>
        </w:rPr>
      </w:pPr>
      <w:r>
        <w:rPr>
          <w:b/>
          <w:sz w:val="20"/>
          <w:szCs w:val="20"/>
          <w:highlight w:val="yellow"/>
          <w:u w:val="single"/>
        </w:rPr>
        <w:t>Proposal A2-6.1</w:t>
      </w:r>
      <w:r>
        <w:rPr>
          <w:b/>
          <w:sz w:val="20"/>
          <w:szCs w:val="20"/>
        </w:rPr>
        <w:t xml:space="preserve">: </w:t>
      </w:r>
      <w:r>
        <w:rPr>
          <w:b/>
          <w:color w:val="000000"/>
          <w:sz w:val="21"/>
          <w:szCs w:val="21"/>
        </w:rPr>
        <w:t xml:space="preserve">SSSG switching is supported between SSSGs that correspond to the same or different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ctrlPr>
                  <w:rPr>
                    <w:rFonts w:ascii="Cambria Math" w:hAnsi="Cambria Math"/>
                    <w:b/>
                    <w:sz w:val="21"/>
                    <w:szCs w:val="21"/>
                  </w:rPr>
                </m:ctrlPr>
              </m:e>
              <m:sub>
                <m:r>
                  <m:rPr>
                    <m:sty m:val="b"/>
                  </m:rPr>
                  <w:rPr>
                    <w:rFonts w:ascii="Cambria Math" w:hAnsi="Cambria Math"/>
                    <w:sz w:val="21"/>
                    <w:szCs w:val="21"/>
                  </w:rPr>
                  <m:t>s</m:t>
                </m:r>
                <m:ctrlPr>
                  <w:rPr>
                    <w:rFonts w:ascii="Cambria Math" w:hAnsi="Cambria Math"/>
                    <w:b/>
                    <w:sz w:val="21"/>
                    <w:szCs w:val="21"/>
                  </w:rPr>
                </m:ctrlP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ctrlPr>
                  <w:rPr>
                    <w:rFonts w:ascii="Cambria Math" w:hAnsi="Cambria Math"/>
                    <w:b/>
                    <w:sz w:val="21"/>
                    <w:szCs w:val="21"/>
                  </w:rPr>
                </m:ctrlPr>
              </m:e>
              <m:sub>
                <m:r>
                  <m:rPr>
                    <m:sty m:val="b"/>
                  </m:rPr>
                  <w:rPr>
                    <w:rFonts w:ascii="Cambria Math" w:hAnsi="Cambria Math"/>
                    <w:sz w:val="21"/>
                    <w:szCs w:val="21"/>
                  </w:rPr>
                  <m:t>s</m:t>
                </m:r>
                <m:ctrlPr>
                  <w:rPr>
                    <w:rFonts w:ascii="Cambria Math" w:hAnsi="Cambria Math"/>
                    <w:b/>
                    <w:sz w:val="21"/>
                    <w:szCs w:val="21"/>
                  </w:rPr>
                </m:ctrlP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pPr>
        <w:spacing w:after="0" w:line="260" w:lineRule="auto"/>
        <w:rPr>
          <w:b/>
          <w:color w:val="000000"/>
          <w:sz w:val="21"/>
          <w:szCs w:val="21"/>
        </w:rPr>
      </w:pPr>
    </w:p>
    <w:p>
      <w:pPr>
        <w:spacing w:after="0" w:line="260" w:lineRule="auto"/>
        <w:rPr>
          <w:b/>
          <w:color w:val="000000"/>
          <w:sz w:val="21"/>
          <w:szCs w:val="21"/>
        </w:rPr>
      </w:pPr>
      <w:r>
        <w:rPr>
          <w:b/>
          <w:sz w:val="20"/>
          <w:szCs w:val="20"/>
          <w:highlight w:val="yellow"/>
          <w:u w:val="single"/>
        </w:rPr>
        <w:t>Proposal A2-6.2</w:t>
      </w:r>
      <w:r>
        <w:rPr>
          <w:b/>
          <w:sz w:val="20"/>
          <w:szCs w:val="20"/>
        </w:rPr>
        <w:t xml:space="preserve">: </w:t>
      </w:r>
      <w:r>
        <w:rPr>
          <w:b/>
          <w:color w:val="000000"/>
          <w:sz w:val="21"/>
          <w:szCs w:val="21"/>
        </w:rPr>
        <w:t xml:space="preserve">SSSG switching is restricted to SSSGs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ctrlPr>
                  <w:rPr>
                    <w:rFonts w:ascii="Cambria Math" w:hAnsi="Cambria Math"/>
                    <w:b/>
                    <w:sz w:val="21"/>
                    <w:szCs w:val="21"/>
                  </w:rPr>
                </m:ctrlPr>
              </m:e>
              <m:sub>
                <m:r>
                  <m:rPr>
                    <m:sty m:val="b"/>
                  </m:rPr>
                  <w:rPr>
                    <w:rFonts w:ascii="Cambria Math" w:hAnsi="Cambria Math"/>
                    <w:sz w:val="21"/>
                    <w:szCs w:val="21"/>
                  </w:rPr>
                  <m:t>s</m:t>
                </m:r>
                <m:ctrlPr>
                  <w:rPr>
                    <w:rFonts w:ascii="Cambria Math" w:hAnsi="Cambria Math"/>
                    <w:b/>
                    <w:sz w:val="21"/>
                    <w:szCs w:val="21"/>
                  </w:rPr>
                </m:ctrlP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ctrlPr>
                  <w:rPr>
                    <w:rFonts w:ascii="Cambria Math" w:hAnsi="Cambria Math"/>
                    <w:b/>
                    <w:sz w:val="21"/>
                    <w:szCs w:val="21"/>
                  </w:rPr>
                </m:ctrlPr>
              </m:e>
              <m:sub>
                <m:r>
                  <m:rPr>
                    <m:sty m:val="b"/>
                  </m:rPr>
                  <w:rPr>
                    <w:rFonts w:ascii="Cambria Math" w:hAnsi="Cambria Math"/>
                    <w:sz w:val="21"/>
                    <w:szCs w:val="21"/>
                  </w:rPr>
                  <m:t>s</m:t>
                </m:r>
                <m:ctrlPr>
                  <w:rPr>
                    <w:rFonts w:ascii="Cambria Math" w:hAnsi="Cambria Math"/>
                    <w:b/>
                    <w:sz w:val="21"/>
                    <w:szCs w:val="21"/>
                  </w:rPr>
                </m:ctrlP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p>
      <w:pPr>
        <w:rPr>
          <w:bCs/>
          <w:sz w:val="20"/>
          <w:szCs w:val="20"/>
          <w:lang w:eastAsia="zh-CN"/>
        </w:rPr>
      </w:pPr>
      <w:r>
        <w:rPr>
          <w:bCs/>
          <w:sz w:val="20"/>
          <w:szCs w:val="20"/>
          <w:lang w:eastAsia="zh-CN"/>
        </w:rPr>
        <w:t>FL Summary: A majority of submitted documents supports SSSG switching with different Xs,Ys combinations. Therefore FL suggests to agree on Proposal A2-8.1.</w:t>
      </w:r>
    </w:p>
    <w:p>
      <w:pPr>
        <w:spacing w:after="0" w:line="260" w:lineRule="auto"/>
        <w:rPr>
          <w:bCs/>
          <w:iCs/>
          <w:color w:val="000000"/>
          <w:sz w:val="20"/>
          <w:szCs w:val="20"/>
          <w:lang w:val="en-GB"/>
        </w:rPr>
      </w:pPr>
      <w:r>
        <w:rPr>
          <w:bCs/>
          <w:iCs/>
          <w:color w:val="000000"/>
          <w:sz w:val="20"/>
          <w:szCs w:val="20"/>
          <w:lang w:val="en-GB"/>
        </w:rPr>
        <w:t xml:space="preserve">FL Note: Please see FL Note for Issue A2-5 in case </w:t>
      </w:r>
      <w:r>
        <w:rPr>
          <w:bCs/>
          <w:sz w:val="20"/>
          <w:szCs w:val="20"/>
          <w:lang w:eastAsia="zh-CN"/>
        </w:rPr>
        <w:t>Proposal A2-6.1 is agreed.</w:t>
      </w:r>
    </w:p>
    <w:p>
      <w:pPr>
        <w:rPr>
          <w:bCs/>
          <w:sz w:val="20"/>
          <w:szCs w:val="20"/>
          <w:lang w:val="en-GB"/>
        </w:rPr>
      </w:pP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MediaTek</w:t>
            </w:r>
          </w:p>
        </w:tc>
        <w:tc>
          <w:tcPr>
            <w:tcW w:w="12176" w:type="dxa"/>
            <w:vAlign w:val="center"/>
          </w:tcPr>
          <w:p>
            <w:pPr>
              <w:widowControl w:val="0"/>
              <w:rPr>
                <w:lang w:eastAsia="zh-CN"/>
              </w:rPr>
            </w:pPr>
            <w:r>
              <w:rPr>
                <w:lang w:eastAsia="zh-CN"/>
              </w:rPr>
              <w:t xml:space="preserve">We support Proposal A2-6.2. At least the same (Xs, Ys) before and after SSSG switching should be supported and used as baseline to discuss A2-6.2. Also, such basic SSSG switching behavior implies simple solution to at least issue A2-5 and A2-4, which is preferred in maintenance phase.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lang w:eastAsia="zh-CN"/>
              </w:rPr>
              <w:t>Samsung</w:t>
            </w:r>
          </w:p>
        </w:tc>
        <w:tc>
          <w:tcPr>
            <w:tcW w:w="12176" w:type="dxa"/>
            <w:vAlign w:val="center"/>
          </w:tcPr>
          <w:p>
            <w:pPr>
              <w:widowControl w:val="0"/>
              <w:rPr>
                <w:sz w:val="20"/>
                <w:lang w:eastAsia="zh-CN"/>
              </w:rPr>
            </w:pPr>
            <w:r>
              <w:rPr>
                <w:lang w:eastAsia="zh-CN"/>
              </w:rPr>
              <w:t xml:space="preserve">We prefer Proposal A2-6.1 for better flexibility.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Ericsson</w:t>
            </w:r>
          </w:p>
        </w:tc>
        <w:tc>
          <w:tcPr>
            <w:tcW w:w="12176" w:type="dxa"/>
            <w:vAlign w:val="center"/>
          </w:tcPr>
          <w:p>
            <w:pPr>
              <w:widowControl w:val="0"/>
              <w:rPr>
                <w:sz w:val="20"/>
                <w:lang w:eastAsia="zh-CN"/>
              </w:rPr>
            </w:pPr>
            <w:r>
              <w:rPr>
                <w:sz w:val="20"/>
                <w:lang w:eastAsia="zh-CN"/>
              </w:rPr>
              <w:t>Support Proposal A2-6.1 for better flexibility.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lang w:eastAsia="zh-CN"/>
              </w:rPr>
              <w:t>Qualcomm</w:t>
            </w:r>
          </w:p>
        </w:tc>
        <w:tc>
          <w:tcPr>
            <w:tcW w:w="12176" w:type="dxa"/>
            <w:vAlign w:val="center"/>
          </w:tcPr>
          <w:p>
            <w:pPr>
              <w:widowControl w:val="0"/>
              <w:rPr>
                <w:sz w:val="20"/>
                <w:lang w:eastAsia="zh-CN"/>
              </w:rPr>
            </w:pPr>
            <w:r>
              <w:rPr>
                <w:lang w:eastAsia="zh-CN"/>
              </w:rPr>
              <w:t>We support Proposal A2-6.1.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Sharp</w:t>
            </w:r>
          </w:p>
        </w:tc>
        <w:tc>
          <w:tcPr>
            <w:tcW w:w="12176" w:type="dxa"/>
            <w:vAlign w:val="center"/>
          </w:tcPr>
          <w:p>
            <w:pPr>
              <w:widowControl w:val="0"/>
              <w:rPr>
                <w:lang w:eastAsia="zh-CN"/>
              </w:rPr>
            </w:pPr>
            <w:r>
              <w:rPr>
                <w:rFonts w:hint="eastAsia" w:eastAsia="MS Mincho"/>
                <w:lang w:eastAsia="ja-JP"/>
              </w:rPr>
              <w:t>We support Proposal A2-6-1</w:t>
            </w:r>
            <w:r>
              <w:rPr>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sz w:val="20"/>
                <w:lang w:eastAsia="zh-CN"/>
              </w:rPr>
              <w:t>v</w:t>
            </w:r>
            <w:r>
              <w:rPr>
                <w:sz w:val="20"/>
                <w:lang w:eastAsia="zh-CN"/>
              </w:rPr>
              <w:t>ivo</w:t>
            </w:r>
          </w:p>
        </w:tc>
        <w:tc>
          <w:tcPr>
            <w:tcW w:w="12176" w:type="dxa"/>
            <w:vAlign w:val="center"/>
          </w:tcPr>
          <w:p>
            <w:pPr>
              <w:widowControl w:val="0"/>
              <w:rPr>
                <w:sz w:val="20"/>
                <w:lang w:eastAsia="zh-CN"/>
              </w:rPr>
            </w:pPr>
            <w:r>
              <w:rPr>
                <w:sz w:val="20"/>
                <w:lang w:eastAsia="zh-CN"/>
              </w:rPr>
              <w:t>Just a clarification: this proposal implies that whether to comply (Xs, Ys) is checked per SSSG?</w:t>
            </w:r>
          </w:p>
          <w:p>
            <w:pPr>
              <w:widowControl w:val="0"/>
              <w:rPr>
                <w:rFonts w:eastAsia="MS Mincho"/>
                <w:lang w:eastAsia="ja-JP"/>
              </w:rPr>
            </w:pPr>
            <w:r>
              <w:rPr>
                <w:rFonts w:hint="eastAsia"/>
                <w:sz w:val="20"/>
                <w:lang w:eastAsia="zh-CN"/>
              </w:rPr>
              <w:t>H</w:t>
            </w:r>
            <w:r>
              <w:rPr>
                <w:sz w:val="20"/>
                <w:lang w:eastAsia="zh-CN"/>
              </w:rPr>
              <w:t>owever, in SSSG switching case, current BD/CCE dropping rule is defined for the whole search spaces, not per SSSG. If agreeing this proposal, does it mean that dropping rule should be changed to per SSSG?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Nokia, NSB</w:t>
            </w:r>
          </w:p>
        </w:tc>
        <w:tc>
          <w:tcPr>
            <w:tcW w:w="12176" w:type="dxa"/>
            <w:vAlign w:val="center"/>
          </w:tcPr>
          <w:p>
            <w:pPr>
              <w:widowControl w:val="0"/>
              <w:rPr>
                <w:rFonts w:eastAsia="MS Mincho"/>
                <w:lang w:eastAsia="ja-JP"/>
              </w:rPr>
            </w:pPr>
            <w:r>
              <w:rPr>
                <w:rFonts w:hint="eastAsia" w:eastAsia="MS Mincho"/>
                <w:lang w:eastAsia="ja-JP"/>
              </w:rPr>
              <w:t>We support Proposal A2-6-1</w:t>
            </w:r>
            <w:r>
              <w:rPr>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N</w:t>
            </w:r>
            <w:r>
              <w:rPr>
                <w:lang w:eastAsia="zh-CN"/>
              </w:rPr>
              <w:t>EC</w:t>
            </w:r>
          </w:p>
        </w:tc>
        <w:tc>
          <w:tcPr>
            <w:tcW w:w="12176" w:type="dxa"/>
            <w:vAlign w:val="center"/>
          </w:tcPr>
          <w:p>
            <w:pPr>
              <w:widowControl w:val="0"/>
              <w:rPr>
                <w:rFonts w:eastAsia="MS Mincho"/>
                <w:lang w:eastAsia="ja-JP"/>
              </w:rPr>
            </w:pPr>
            <w:r>
              <w:rPr>
                <w:rFonts w:hint="eastAsia" w:eastAsia="MS Mincho"/>
                <w:lang w:eastAsia="ja-JP"/>
              </w:rPr>
              <w:t>We support Proposal A2-6-1</w:t>
            </w:r>
            <w:r>
              <w:rPr>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We support A2-6.1 and we prefer to make a joint proposal under A2-5.1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sz w:val="21"/>
                <w:szCs w:val="21"/>
                <w:lang w:eastAsia="zh-CN"/>
              </w:rPr>
              <w:t>ZTE, Sanechips</w:t>
            </w:r>
          </w:p>
        </w:tc>
        <w:tc>
          <w:tcPr>
            <w:tcW w:w="12176" w:type="dxa"/>
            <w:vAlign w:val="center"/>
          </w:tcPr>
          <w:p>
            <w:pPr>
              <w:widowControl w:val="0"/>
              <w:rPr>
                <w:lang w:eastAsia="zh-CN"/>
              </w:rPr>
            </w:pPr>
            <w:r>
              <w:rPr>
                <w:rFonts w:hint="eastAsia"/>
                <w:sz w:val="21"/>
                <w:szCs w:val="21"/>
                <w:lang w:eastAsia="zh-CN"/>
              </w:rPr>
              <w:t xml:space="preserve">We prefer </w:t>
            </w:r>
            <w:r>
              <w:rPr>
                <w:sz w:val="21"/>
                <w:szCs w:val="21"/>
                <w:lang w:eastAsia="zh-CN"/>
              </w:rPr>
              <w:t>Proposal A2-6.</w:t>
            </w:r>
            <w:r>
              <w:rPr>
                <w:rFonts w:hint="eastAsia"/>
                <w:sz w:val="21"/>
                <w:szCs w:val="21"/>
                <w:lang w:eastAsia="zh-CN"/>
              </w:rPr>
              <w:t>2,  in our understanding, t</w:t>
            </w:r>
            <w:r>
              <w:rPr>
                <w:sz w:val="21"/>
                <w:szCs w:val="21"/>
                <w:lang w:eastAsia="zh-CN"/>
              </w:rPr>
              <w:t xml:space="preserve">he UE expects to monitor PDCCH according to the same </w:t>
            </w:r>
            <w:r>
              <w:rPr>
                <w:sz w:val="21"/>
                <w:szCs w:val="21"/>
                <w:lang w:eastAsia="ko-KR"/>
              </w:rPr>
              <w:t xml:space="preserve">combination </w:t>
            </w:r>
            <m:oMath>
              <m:d>
                <m:dPr>
                  <m:ctrlPr>
                    <w:rPr>
                      <w:rFonts w:ascii="Cambria Math" w:hAnsi="Cambria Math"/>
                      <w:i/>
                      <w:sz w:val="21"/>
                      <w:szCs w:val="21"/>
                    </w:rPr>
                  </m:ctrlPr>
                </m:dPr>
                <m:e>
                  <m:sSub>
                    <m:sSubPr>
                      <m:ctrlPr>
                        <w:rPr>
                          <w:rFonts w:ascii="Cambria Math" w:hAnsi="Cambria Math"/>
                          <w:i/>
                          <w:sz w:val="21"/>
                          <w:szCs w:val="21"/>
                          <w:lang w:eastAsia="zh-CN"/>
                        </w:rPr>
                      </m:ctrlPr>
                    </m:sSubPr>
                    <m:e>
                      <m:r>
                        <w:rPr>
                          <w:rFonts w:ascii="Cambria Math" w:hAnsi="Cambria Math"/>
                          <w:sz w:val="21"/>
                          <w:szCs w:val="21"/>
                          <w:lang w:eastAsia="zh-CN"/>
                        </w:rPr>
                        <m:t>X</m:t>
                      </m:r>
                      <m:ctrlPr>
                        <w:rPr>
                          <w:rFonts w:ascii="Cambria Math" w:hAnsi="Cambria Math"/>
                          <w:i/>
                          <w:sz w:val="21"/>
                          <w:szCs w:val="21"/>
                          <w:lang w:eastAsia="zh-CN"/>
                        </w:rPr>
                      </m:ctrlPr>
                    </m:e>
                    <m:sub>
                      <m:r>
                        <w:rPr>
                          <w:rFonts w:ascii="Cambria Math" w:hAnsi="Cambria Math"/>
                          <w:sz w:val="21"/>
                          <w:szCs w:val="21"/>
                          <w:lang w:eastAsia="zh-CN"/>
                        </w:rPr>
                        <m:t>s</m:t>
                      </m:r>
                      <m:ctrlPr>
                        <w:rPr>
                          <w:rFonts w:ascii="Cambria Math" w:hAnsi="Cambria Math"/>
                          <w:i/>
                          <w:sz w:val="21"/>
                          <w:szCs w:val="21"/>
                          <w:lang w:eastAsia="zh-CN"/>
                        </w:rPr>
                      </m:ctrlPr>
                    </m:sub>
                  </m:sSub>
                  <m:r>
                    <w:rPr>
                      <w:rFonts w:ascii="Cambria Math" w:hAnsi="Cambria Math"/>
                      <w:sz w:val="21"/>
                      <w:szCs w:val="21"/>
                      <w:lang w:eastAsia="zh-CN"/>
                    </w:rPr>
                    <m:t>,</m:t>
                  </m:r>
                  <m:sSub>
                    <m:sSubPr>
                      <m:ctrlPr>
                        <w:rPr>
                          <w:rFonts w:ascii="Cambria Math" w:hAnsi="Cambria Math"/>
                          <w:i/>
                          <w:sz w:val="21"/>
                          <w:szCs w:val="21"/>
                          <w:lang w:eastAsia="zh-CN"/>
                        </w:rPr>
                      </m:ctrlPr>
                    </m:sSubPr>
                    <m:e>
                      <m:r>
                        <w:rPr>
                          <w:rFonts w:ascii="Cambria Math" w:hAnsi="Cambria Math"/>
                          <w:sz w:val="21"/>
                          <w:szCs w:val="21"/>
                          <w:lang w:eastAsia="zh-CN"/>
                        </w:rPr>
                        <m:t>Y</m:t>
                      </m:r>
                      <m:ctrlPr>
                        <w:rPr>
                          <w:rFonts w:ascii="Cambria Math" w:hAnsi="Cambria Math"/>
                          <w:i/>
                          <w:sz w:val="21"/>
                          <w:szCs w:val="21"/>
                          <w:lang w:eastAsia="zh-CN"/>
                        </w:rPr>
                      </m:ctrlPr>
                    </m:e>
                    <m:sub>
                      <m:r>
                        <w:rPr>
                          <w:rFonts w:ascii="Cambria Math" w:hAnsi="Cambria Math"/>
                          <w:sz w:val="21"/>
                          <w:szCs w:val="21"/>
                          <w:lang w:eastAsia="zh-CN"/>
                        </w:rPr>
                        <m:t>s</m:t>
                      </m:r>
                      <m:ctrlPr>
                        <w:rPr>
                          <w:rFonts w:ascii="Cambria Math" w:hAnsi="Cambria Math"/>
                          <w:i/>
                          <w:sz w:val="21"/>
                          <w:szCs w:val="21"/>
                          <w:lang w:eastAsia="zh-CN"/>
                        </w:rPr>
                      </m:ctrlPr>
                    </m:sub>
                  </m:sSub>
                  <m:ctrlPr>
                    <w:rPr>
                      <w:rFonts w:ascii="Cambria Math" w:hAnsi="Cambria Math"/>
                      <w:i/>
                      <w:sz w:val="21"/>
                      <w:szCs w:val="21"/>
                    </w:rPr>
                  </m:ctrlPr>
                </m:e>
              </m:d>
            </m:oMath>
            <w:r>
              <w:rPr>
                <w:rFonts w:hint="eastAsia"/>
                <w:sz w:val="21"/>
                <w:szCs w:val="21"/>
                <w:lang w:eastAsia="zh-CN"/>
              </w:rPr>
              <w:t xml:space="preserve"> </w:t>
            </w:r>
            <w:r>
              <w:rPr>
                <w:sz w:val="21"/>
                <w:szCs w:val="21"/>
                <w:lang w:eastAsia="zh-CN"/>
              </w:rPr>
              <w:t>in every slot</w:t>
            </w:r>
            <w:r>
              <w:rPr>
                <w:rFonts w:hint="eastAsia"/>
                <w:sz w:val="21"/>
                <w:szCs w:val="21"/>
                <w:lang w:eastAsia="zh-CN"/>
              </w:rPr>
              <w:t xml:space="preserve"> group</w:t>
            </w:r>
            <w:r>
              <w:rPr>
                <w:sz w:val="21"/>
                <w:szCs w:val="21"/>
                <w:lang w:eastAsia="zh-CN"/>
              </w:rPr>
              <w:t xml:space="preserve"> on the active DL BWP of a cell</w:t>
            </w:r>
            <w:r>
              <w:rPr>
                <w:rFonts w:hint="eastAsia"/>
                <w:sz w:val="21"/>
                <w:szCs w:val="21"/>
                <w:lang w:eastAsia="zh-CN"/>
              </w:rPr>
              <w:t xml:space="preserve">. Therefore, we can conclude that SSSG is only supported between SSSGs that have the same </w:t>
            </w:r>
            <m:oMath>
              <m:d>
                <m:dPr>
                  <m:ctrlPr>
                    <w:rPr>
                      <w:rFonts w:ascii="Cambria Math" w:hAnsi="Cambria Math"/>
                      <w:i/>
                      <w:sz w:val="21"/>
                      <w:szCs w:val="21"/>
                    </w:rPr>
                  </m:ctrlPr>
                </m:dPr>
                <m:e>
                  <m:sSub>
                    <m:sSubPr>
                      <m:ctrlPr>
                        <w:rPr>
                          <w:rFonts w:ascii="Cambria Math" w:hAnsi="Cambria Math"/>
                          <w:i/>
                          <w:sz w:val="21"/>
                          <w:szCs w:val="21"/>
                          <w:lang w:eastAsia="zh-CN"/>
                        </w:rPr>
                      </m:ctrlPr>
                    </m:sSubPr>
                    <m:e>
                      <m:r>
                        <w:rPr>
                          <w:rFonts w:ascii="Cambria Math" w:hAnsi="Cambria Math"/>
                          <w:sz w:val="21"/>
                          <w:szCs w:val="21"/>
                          <w:lang w:eastAsia="zh-CN"/>
                        </w:rPr>
                        <m:t>X</m:t>
                      </m:r>
                      <m:ctrlPr>
                        <w:rPr>
                          <w:rFonts w:ascii="Cambria Math" w:hAnsi="Cambria Math"/>
                          <w:i/>
                          <w:sz w:val="21"/>
                          <w:szCs w:val="21"/>
                          <w:lang w:eastAsia="zh-CN"/>
                        </w:rPr>
                      </m:ctrlPr>
                    </m:e>
                    <m:sub>
                      <m:r>
                        <w:rPr>
                          <w:rFonts w:ascii="Cambria Math" w:hAnsi="Cambria Math"/>
                          <w:sz w:val="21"/>
                          <w:szCs w:val="21"/>
                          <w:lang w:eastAsia="zh-CN"/>
                        </w:rPr>
                        <m:t>s</m:t>
                      </m:r>
                      <m:ctrlPr>
                        <w:rPr>
                          <w:rFonts w:ascii="Cambria Math" w:hAnsi="Cambria Math"/>
                          <w:i/>
                          <w:sz w:val="21"/>
                          <w:szCs w:val="21"/>
                          <w:lang w:eastAsia="zh-CN"/>
                        </w:rPr>
                      </m:ctrlPr>
                    </m:sub>
                  </m:sSub>
                  <m:r>
                    <w:rPr>
                      <w:rFonts w:ascii="Cambria Math" w:hAnsi="Cambria Math"/>
                      <w:sz w:val="21"/>
                      <w:szCs w:val="21"/>
                      <w:lang w:eastAsia="zh-CN"/>
                    </w:rPr>
                    <m:t>,</m:t>
                  </m:r>
                  <m:sSub>
                    <m:sSubPr>
                      <m:ctrlPr>
                        <w:rPr>
                          <w:rFonts w:ascii="Cambria Math" w:hAnsi="Cambria Math"/>
                          <w:i/>
                          <w:sz w:val="21"/>
                          <w:szCs w:val="21"/>
                          <w:lang w:eastAsia="zh-CN"/>
                        </w:rPr>
                      </m:ctrlPr>
                    </m:sSubPr>
                    <m:e>
                      <m:r>
                        <w:rPr>
                          <w:rFonts w:ascii="Cambria Math" w:hAnsi="Cambria Math"/>
                          <w:sz w:val="21"/>
                          <w:szCs w:val="21"/>
                          <w:lang w:eastAsia="zh-CN"/>
                        </w:rPr>
                        <m:t>Y</m:t>
                      </m:r>
                      <m:ctrlPr>
                        <w:rPr>
                          <w:rFonts w:ascii="Cambria Math" w:hAnsi="Cambria Math"/>
                          <w:i/>
                          <w:sz w:val="21"/>
                          <w:szCs w:val="21"/>
                          <w:lang w:eastAsia="zh-CN"/>
                        </w:rPr>
                      </m:ctrlPr>
                    </m:e>
                    <m:sub>
                      <m:r>
                        <w:rPr>
                          <w:rFonts w:ascii="Cambria Math" w:hAnsi="Cambria Math"/>
                          <w:sz w:val="21"/>
                          <w:szCs w:val="21"/>
                          <w:lang w:eastAsia="zh-CN"/>
                        </w:rPr>
                        <m:t>s</m:t>
                      </m:r>
                      <m:ctrlPr>
                        <w:rPr>
                          <w:rFonts w:ascii="Cambria Math" w:hAnsi="Cambria Math"/>
                          <w:i/>
                          <w:sz w:val="21"/>
                          <w:szCs w:val="21"/>
                          <w:lang w:eastAsia="zh-CN"/>
                        </w:rPr>
                      </m:ctrlPr>
                    </m:sub>
                  </m:sSub>
                  <m:ctrlPr>
                    <w:rPr>
                      <w:rFonts w:ascii="Cambria Math" w:hAnsi="Cambria Math"/>
                      <w:i/>
                      <w:sz w:val="21"/>
                      <w:szCs w:val="21"/>
                    </w:rPr>
                  </m:ctrlPr>
                </m:e>
              </m:d>
            </m:oMath>
            <w:r>
              <w:rPr>
                <w:sz w:val="21"/>
                <w:szCs w:val="21"/>
                <w:lang w:eastAsia="zh-CN"/>
              </w:rPr>
              <w:t xml:space="preserve"> PDCCH</w:t>
            </w:r>
            <w:r>
              <w:rPr>
                <w:rFonts w:hint="eastAsia"/>
                <w:sz w:val="21"/>
                <w:szCs w:val="21"/>
                <w:lang w:eastAsia="zh-CN"/>
              </w:rPr>
              <w:t xml:space="preserve"> monitoring capability </w:t>
            </w:r>
            <w:r>
              <w:rPr>
                <w:sz w:val="21"/>
                <w:szCs w:val="21"/>
                <w:lang w:eastAsia="zh-CN"/>
              </w:rPr>
              <w:t>on the active DL BWP of a cell</w:t>
            </w:r>
            <w:r>
              <w:rPr>
                <w:rFonts w:hint="eastAsia"/>
                <w:sz w:val="21"/>
                <w:szCs w:val="21"/>
                <w:lang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1"/>
                <w:szCs w:val="21"/>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sz w:val="21"/>
                <w:szCs w:val="21"/>
                <w:lang w:eastAsia="zh-CN"/>
              </w:rPr>
            </w:pPr>
            <w:r>
              <w:rPr>
                <w:rFonts w:eastAsia="MS Mincho"/>
                <w:lang w:eastAsia="ja-JP"/>
              </w:rPr>
              <w:t>We support Proposal A2-6.2 to avoid back-to back monitoring issue around SSSG switching boundary.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Panasonic</w:t>
            </w:r>
          </w:p>
        </w:tc>
        <w:tc>
          <w:tcPr>
            <w:tcW w:w="12176" w:type="dxa"/>
            <w:vAlign w:val="center"/>
          </w:tcPr>
          <w:p>
            <w:pPr>
              <w:widowControl w:val="0"/>
              <w:rPr>
                <w:rFonts w:eastAsia="MS Mincho"/>
                <w:lang w:eastAsia="ja-JP"/>
              </w:rPr>
            </w:pPr>
            <w:r>
              <w:rPr>
                <w:rFonts w:eastAsia="MS Mincho"/>
                <w:lang w:eastAsia="ja-JP"/>
              </w:rPr>
              <w:t>We support Proposal A2-6-1 for better flexibility.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lang w:eastAsia="zh-CN"/>
              </w:rPr>
              <w:t>LG Electronics</w:t>
            </w:r>
          </w:p>
        </w:tc>
        <w:tc>
          <w:tcPr>
            <w:tcW w:w="12176" w:type="dxa"/>
            <w:vAlign w:val="center"/>
          </w:tcPr>
          <w:p>
            <w:pPr>
              <w:widowControl w:val="0"/>
              <w:rPr>
                <w:lang w:eastAsia="zh-CN"/>
              </w:rPr>
            </w:pPr>
            <w:r>
              <w:rPr>
                <w:lang w:eastAsia="zh-CN"/>
              </w:rPr>
              <w:t xml:space="preserve">We support Proposal A2-6.2. </w:t>
            </w:r>
          </w:p>
          <w:p>
            <w:pPr>
              <w:widowControl w:val="0"/>
              <w:rPr>
                <w:rFonts w:eastAsia="MS Mincho"/>
                <w:lang w:eastAsia="ja-JP"/>
              </w:rPr>
            </w:pPr>
            <w:r>
              <w:rPr>
                <w:lang w:eastAsia="zh-CN"/>
              </w:rPr>
              <w:t>Proposal A2-6.1 appears to be a way to provide additional flexibility to change (Xs,Ys) via SSSG switching in a certain BWP. By the way, it is ambiguous to us whether (Xs,Ys) combination is defined per BWP or per SSSG. If there is only one active (Xs,Ys) for a given BWP, then Proposal A2-6.1 need not be discussed. However, if (Xs,Ys) can be defined per SSSG, then Proposal A2-6.1 needs to be further discussed. So, we think this should be discussed first.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lang w:eastAsia="zh-CN"/>
              </w:rPr>
            </w:pPr>
            <w:r>
              <w:rPr>
                <w:lang w:eastAsia="zh-CN"/>
              </w:rPr>
              <w:t>We are fine with Proposal A2-6.1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lang w:eastAsia="zh-CN"/>
              </w:rPr>
              <w:t xml:space="preserve">We prefer Proposal A2-6.2. We share the same view as LG that the </w:t>
            </w:r>
            <w:r>
              <w:rPr>
                <w:lang w:eastAsia="zh-CN"/>
              </w:rPr>
              <w:t>(Xs,Ys) combination is defined per BWP</w:t>
            </w:r>
            <w:r>
              <w:rPr>
                <w:rFonts w:hint="eastAsia"/>
                <w:lang w:eastAsia="zh-CN"/>
              </w:rPr>
              <w:t>. Therefore, Proposal A2-6.1 is not a valid case.</w:t>
            </w:r>
          </w:p>
        </w:tc>
      </w:tr>
    </w:tbl>
    <w:tbl>
      <w:tblPr>
        <w:tblStyle w:val="277"/>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lang w:eastAsia="zh-CN"/>
              </w:rPr>
            </w:pPr>
            <w:r>
              <w:rPr>
                <w:lang w:eastAsia="zh-CN"/>
              </w:rPr>
              <w:t>Futurewei</w:t>
            </w:r>
          </w:p>
        </w:tc>
        <w:tc>
          <w:tcPr>
            <w:tcW w:w="12176" w:type="dxa"/>
            <w:vAlign w:val="center"/>
          </w:tcPr>
          <w:p>
            <w:pPr>
              <w:widowControl w:val="0"/>
              <w:spacing w:line="240" w:lineRule="auto"/>
              <w:rPr>
                <w:lang w:eastAsia="zh-CN"/>
              </w:rPr>
            </w:pPr>
            <w:r>
              <w:rPr>
                <w:lang w:eastAsia="zh-CN"/>
              </w:rPr>
              <w:t>We prefer Proposal A2-6.1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lang w:eastAsia="zh-CN"/>
              </w:rPr>
            </w:pPr>
            <w:r>
              <w:rPr>
                <w:lang w:eastAsia="zh-CN"/>
              </w:rPr>
              <w:t>Sony</w:t>
            </w:r>
          </w:p>
        </w:tc>
        <w:tc>
          <w:tcPr>
            <w:tcW w:w="12176" w:type="dxa"/>
            <w:vAlign w:val="center"/>
          </w:tcPr>
          <w:p>
            <w:pPr>
              <w:widowControl w:val="0"/>
              <w:spacing w:line="240" w:lineRule="auto"/>
              <w:rPr>
                <w:lang w:eastAsia="zh-CN"/>
              </w:rPr>
            </w:pPr>
            <w:r>
              <w:rPr>
                <w:lang w:eastAsia="zh-CN"/>
              </w:rPr>
              <w:t>Prefer Proposal A2-6.1 as it provides better flexibility for the network.</w:t>
            </w:r>
          </w:p>
        </w:tc>
      </w:tr>
    </w:tbl>
    <w:p/>
    <w:p>
      <w:pPr>
        <w:pStyle w:val="5"/>
      </w:pPr>
      <w:r>
        <w:t>First round discussion summary</w:t>
      </w:r>
    </w:p>
    <w:p>
      <w:pPr>
        <w:rPr>
          <w:sz w:val="20"/>
          <w:szCs w:val="20"/>
          <w:lang w:eastAsia="zh-CN"/>
        </w:rPr>
      </w:pPr>
      <w:r>
        <w:rPr>
          <w:sz w:val="20"/>
          <w:szCs w:val="20"/>
          <w:lang w:eastAsia="zh-CN"/>
        </w:rPr>
        <w:t>A majority of companies supports Proposal A2-6.1. However vivo, ZTE and LG have raised points for clarification that would be good to resolve before formally agreeing.</w:t>
      </w:r>
    </w:p>
    <w:p>
      <w:pPr>
        <w:rPr>
          <w:sz w:val="20"/>
          <w:szCs w:val="20"/>
          <w:lang w:eastAsia="zh-CN"/>
        </w:rPr>
      </w:pPr>
      <w:r>
        <w:rPr>
          <w:sz w:val="20"/>
          <w:szCs w:val="20"/>
          <w:lang w:eastAsia="zh-CN"/>
        </w:rPr>
        <w:t>FL suggests to continue discussion, particularly addressing points raised by vivo, ZTE and LG.</w:t>
      </w:r>
    </w:p>
    <w:p>
      <w:pPr>
        <w:pStyle w:val="5"/>
      </w:pPr>
      <w:r>
        <w:t>Second round discussion</w:t>
      </w:r>
    </w:p>
    <w:p>
      <w:pPr>
        <w:rPr>
          <w:bCs/>
          <w:sz w:val="20"/>
          <w:szCs w:val="20"/>
          <w:lang w:val="en-GB" w:eastAsia="zh-CN"/>
        </w:rPr>
      </w:pPr>
      <w:r>
        <w:rPr>
          <w:bCs/>
          <w:sz w:val="20"/>
          <w:szCs w:val="20"/>
          <w:highlight w:val="yellow"/>
          <w:lang w:val="en-GB" w:eastAsia="zh-CN"/>
        </w:rPr>
        <w:t>Please continue the discussion,</w:t>
      </w:r>
      <w:r>
        <w:rPr>
          <w:sz w:val="20"/>
          <w:szCs w:val="20"/>
          <w:highlight w:val="yellow"/>
          <w:lang w:eastAsia="zh-CN"/>
        </w:rPr>
        <w:t xml:space="preserve"> particularly addressing points raised by vivo, ZTE and LG</w:t>
      </w:r>
      <w:r>
        <w:rPr>
          <w:bCs/>
          <w:sz w:val="20"/>
          <w:szCs w:val="20"/>
          <w:highlight w:val="yellow"/>
          <w:lang w:val="en-GB" w:eastAsia="zh-CN"/>
        </w:rPr>
        <w:t xml:space="preserve"> (copied for convenience).</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1F1F1" w:themeFill="background1" w:themeFillShade="F2"/>
            <w:vAlign w:val="center"/>
          </w:tcPr>
          <w:p>
            <w:pPr>
              <w:widowControl w:val="0"/>
              <w:rPr>
                <w:sz w:val="20"/>
                <w:szCs w:val="20"/>
                <w:lang w:eastAsia="zh-CN"/>
              </w:rPr>
            </w:pPr>
            <w:r>
              <w:rPr>
                <w:rFonts w:hint="eastAsia"/>
                <w:sz w:val="20"/>
                <w:szCs w:val="20"/>
                <w:lang w:eastAsia="zh-CN"/>
              </w:rPr>
              <w:t>v</w:t>
            </w:r>
            <w:r>
              <w:rPr>
                <w:sz w:val="20"/>
                <w:szCs w:val="20"/>
                <w:lang w:eastAsia="zh-CN"/>
              </w:rPr>
              <w:t>ivo (from first round)</w:t>
            </w:r>
          </w:p>
        </w:tc>
        <w:tc>
          <w:tcPr>
            <w:tcW w:w="12176" w:type="dxa"/>
            <w:shd w:val="clear" w:color="auto" w:fill="F1F1F1" w:themeFill="background1" w:themeFillShade="F2"/>
            <w:vAlign w:val="center"/>
          </w:tcPr>
          <w:p>
            <w:pPr>
              <w:widowControl w:val="0"/>
              <w:rPr>
                <w:sz w:val="20"/>
                <w:szCs w:val="20"/>
                <w:lang w:eastAsia="zh-CN"/>
              </w:rPr>
            </w:pPr>
            <w:r>
              <w:rPr>
                <w:sz w:val="20"/>
                <w:szCs w:val="20"/>
                <w:lang w:eastAsia="zh-CN"/>
              </w:rPr>
              <w:t>Just a clarification: this proposal implies that whether to comply (Xs, Ys) is checked per SSSG?</w:t>
            </w:r>
          </w:p>
          <w:p>
            <w:pPr>
              <w:widowControl w:val="0"/>
              <w:rPr>
                <w:sz w:val="20"/>
                <w:szCs w:val="20"/>
                <w:lang w:eastAsia="zh-CN"/>
              </w:rPr>
            </w:pPr>
            <w:r>
              <w:rPr>
                <w:rFonts w:hint="eastAsia"/>
                <w:sz w:val="20"/>
                <w:szCs w:val="20"/>
                <w:lang w:eastAsia="zh-CN"/>
              </w:rPr>
              <w:t>H</w:t>
            </w:r>
            <w:r>
              <w:rPr>
                <w:sz w:val="20"/>
                <w:szCs w:val="20"/>
                <w:lang w:eastAsia="zh-CN"/>
              </w:rPr>
              <w:t>owever, in SSSG switching case, current BD/CCE dropping rule is defined for the whole search spaces, not per SSSG. If agreeing this proposal, does it mean that dropping rule should be changed to per SSSG?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1F1F1" w:themeFill="background1" w:themeFillShade="F2"/>
            <w:vAlign w:val="center"/>
          </w:tcPr>
          <w:p>
            <w:pPr>
              <w:widowControl w:val="0"/>
              <w:rPr>
                <w:sz w:val="20"/>
                <w:szCs w:val="20"/>
              </w:rPr>
            </w:pPr>
            <w:r>
              <w:rPr>
                <w:rFonts w:hint="eastAsia"/>
                <w:sz w:val="20"/>
                <w:szCs w:val="20"/>
                <w:lang w:eastAsia="zh-CN"/>
              </w:rPr>
              <w:t>ZTE, Sanechips</w:t>
            </w:r>
            <w:r>
              <w:rPr>
                <w:sz w:val="20"/>
                <w:szCs w:val="20"/>
                <w:lang w:eastAsia="zh-CN"/>
              </w:rPr>
              <w:t xml:space="preserve"> (from first round)</w:t>
            </w:r>
          </w:p>
        </w:tc>
        <w:tc>
          <w:tcPr>
            <w:tcW w:w="12176" w:type="dxa"/>
            <w:shd w:val="clear" w:color="auto" w:fill="F1F1F1" w:themeFill="background1" w:themeFillShade="F2"/>
            <w:vAlign w:val="center"/>
          </w:tcPr>
          <w:p>
            <w:pPr>
              <w:widowControl w:val="0"/>
              <w:rPr>
                <w:sz w:val="20"/>
                <w:szCs w:val="20"/>
                <w:lang w:eastAsia="zh-CN"/>
              </w:rPr>
            </w:pPr>
            <w:r>
              <w:rPr>
                <w:rFonts w:hint="eastAsia"/>
                <w:sz w:val="20"/>
                <w:szCs w:val="20"/>
                <w:lang w:eastAsia="zh-CN"/>
              </w:rPr>
              <w:t xml:space="preserve">We prefer </w:t>
            </w:r>
            <w:r>
              <w:rPr>
                <w:sz w:val="20"/>
                <w:szCs w:val="20"/>
                <w:lang w:eastAsia="zh-CN"/>
              </w:rPr>
              <w:t>Proposal A2-6.</w:t>
            </w:r>
            <w:r>
              <w:rPr>
                <w:rFonts w:hint="eastAsia"/>
                <w:sz w:val="20"/>
                <w:szCs w:val="20"/>
                <w:lang w:eastAsia="zh-CN"/>
              </w:rPr>
              <w:t>2,  in our understanding, t</w:t>
            </w:r>
            <w:r>
              <w:rPr>
                <w:sz w:val="20"/>
                <w:szCs w:val="20"/>
                <w:lang w:eastAsia="zh-CN"/>
              </w:rPr>
              <w:t xml:space="preserve">he UE expects to monitor PDCCH according to the same </w:t>
            </w:r>
            <w:r>
              <w:rPr>
                <w:sz w:val="20"/>
                <w:szCs w:val="20"/>
                <w:lang w:eastAsia="ko-KR"/>
              </w:rPr>
              <w:t xml:space="preserve">combination </w:t>
            </w:r>
            <m:oMath>
              <m:d>
                <m:dPr>
                  <m:ctrlPr>
                    <w:rPr>
                      <w:rFonts w:ascii="Cambria Math" w:hAnsi="Cambria Math"/>
                      <w:i/>
                      <w:sz w:val="20"/>
                      <w:szCs w:val="20"/>
                    </w:rPr>
                  </m:ctrlPr>
                </m:dPr>
                <m:e>
                  <m:sSub>
                    <m:sSubPr>
                      <m:ctrlPr>
                        <w:rPr>
                          <w:rFonts w:ascii="Cambria Math" w:hAnsi="Cambria Math"/>
                          <w:i/>
                          <w:sz w:val="20"/>
                          <w:szCs w:val="20"/>
                          <w:lang w:eastAsia="zh-CN"/>
                        </w:rPr>
                      </m:ctrlPr>
                    </m:sSubPr>
                    <m:e>
                      <m:r>
                        <w:rPr>
                          <w:rFonts w:ascii="Cambria Math" w:hAnsi="Cambria Math"/>
                          <w:sz w:val="20"/>
                          <w:szCs w:val="20"/>
                          <w:lang w:eastAsia="zh-CN"/>
                        </w:rPr>
                        <m:t>X</m:t>
                      </m:r>
                      <m:ctrlPr>
                        <w:rPr>
                          <w:rFonts w:ascii="Cambria Math" w:hAnsi="Cambria Math"/>
                          <w:i/>
                          <w:sz w:val="20"/>
                          <w:szCs w:val="20"/>
                          <w:lang w:eastAsia="zh-CN"/>
                        </w:rPr>
                      </m:ctrlPr>
                    </m:e>
                    <m:sub>
                      <m:r>
                        <w:rPr>
                          <w:rFonts w:ascii="Cambria Math" w:hAnsi="Cambria Math"/>
                          <w:sz w:val="20"/>
                          <w:szCs w:val="20"/>
                          <w:lang w:eastAsia="zh-CN"/>
                        </w:rPr>
                        <m:t>s</m:t>
                      </m:r>
                      <m:ctrlPr>
                        <w:rPr>
                          <w:rFonts w:ascii="Cambria Math" w:hAnsi="Cambria Math"/>
                          <w:i/>
                          <w:sz w:val="20"/>
                          <w:szCs w:val="20"/>
                          <w:lang w:eastAsia="zh-CN"/>
                        </w:rPr>
                      </m:ctrlP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Y</m:t>
                      </m:r>
                      <m:ctrlPr>
                        <w:rPr>
                          <w:rFonts w:ascii="Cambria Math" w:hAnsi="Cambria Math"/>
                          <w:i/>
                          <w:sz w:val="20"/>
                          <w:szCs w:val="20"/>
                          <w:lang w:eastAsia="zh-CN"/>
                        </w:rPr>
                      </m:ctrlPr>
                    </m:e>
                    <m:sub>
                      <m:r>
                        <w:rPr>
                          <w:rFonts w:ascii="Cambria Math" w:hAnsi="Cambria Math"/>
                          <w:sz w:val="20"/>
                          <w:szCs w:val="20"/>
                          <w:lang w:eastAsia="zh-CN"/>
                        </w:rPr>
                        <m:t>s</m:t>
                      </m:r>
                      <m:ctrlPr>
                        <w:rPr>
                          <w:rFonts w:ascii="Cambria Math" w:hAnsi="Cambria Math"/>
                          <w:i/>
                          <w:sz w:val="20"/>
                          <w:szCs w:val="20"/>
                          <w:lang w:eastAsia="zh-CN"/>
                        </w:rPr>
                      </m:ctrlPr>
                    </m:sub>
                  </m:sSub>
                  <m:ctrlPr>
                    <w:rPr>
                      <w:rFonts w:ascii="Cambria Math" w:hAnsi="Cambria Math"/>
                      <w:i/>
                      <w:sz w:val="20"/>
                      <w:szCs w:val="20"/>
                    </w:rPr>
                  </m:ctrlPr>
                </m:e>
              </m:d>
            </m:oMath>
            <w:r>
              <w:rPr>
                <w:rFonts w:hint="eastAsia"/>
                <w:sz w:val="20"/>
                <w:szCs w:val="20"/>
                <w:lang w:eastAsia="zh-CN"/>
              </w:rPr>
              <w:t xml:space="preserve"> </w:t>
            </w:r>
            <w:r>
              <w:rPr>
                <w:sz w:val="20"/>
                <w:szCs w:val="20"/>
                <w:lang w:eastAsia="zh-CN"/>
              </w:rPr>
              <w:t>in every slot</w:t>
            </w:r>
            <w:r>
              <w:rPr>
                <w:rFonts w:hint="eastAsia"/>
                <w:sz w:val="20"/>
                <w:szCs w:val="20"/>
                <w:lang w:eastAsia="zh-CN"/>
              </w:rPr>
              <w:t xml:space="preserve"> group</w:t>
            </w:r>
            <w:r>
              <w:rPr>
                <w:sz w:val="20"/>
                <w:szCs w:val="20"/>
                <w:lang w:eastAsia="zh-CN"/>
              </w:rPr>
              <w:t xml:space="preserve"> on the active DL BWP of a cell</w:t>
            </w:r>
            <w:r>
              <w:rPr>
                <w:rFonts w:hint="eastAsia"/>
                <w:sz w:val="20"/>
                <w:szCs w:val="20"/>
                <w:lang w:eastAsia="zh-CN"/>
              </w:rPr>
              <w:t xml:space="preserve">. Therefore, we can conclude that SSSG is only supported between SSSGs that have the same </w:t>
            </w:r>
            <m:oMath>
              <m:d>
                <m:dPr>
                  <m:ctrlPr>
                    <w:rPr>
                      <w:rFonts w:ascii="Cambria Math" w:hAnsi="Cambria Math"/>
                      <w:i/>
                      <w:sz w:val="20"/>
                      <w:szCs w:val="20"/>
                    </w:rPr>
                  </m:ctrlPr>
                </m:dPr>
                <m:e>
                  <m:sSub>
                    <m:sSubPr>
                      <m:ctrlPr>
                        <w:rPr>
                          <w:rFonts w:ascii="Cambria Math" w:hAnsi="Cambria Math"/>
                          <w:i/>
                          <w:sz w:val="20"/>
                          <w:szCs w:val="20"/>
                          <w:lang w:eastAsia="zh-CN"/>
                        </w:rPr>
                      </m:ctrlPr>
                    </m:sSubPr>
                    <m:e>
                      <m:r>
                        <w:rPr>
                          <w:rFonts w:ascii="Cambria Math" w:hAnsi="Cambria Math"/>
                          <w:sz w:val="20"/>
                          <w:szCs w:val="20"/>
                          <w:lang w:eastAsia="zh-CN"/>
                        </w:rPr>
                        <m:t>X</m:t>
                      </m:r>
                      <m:ctrlPr>
                        <w:rPr>
                          <w:rFonts w:ascii="Cambria Math" w:hAnsi="Cambria Math"/>
                          <w:i/>
                          <w:sz w:val="20"/>
                          <w:szCs w:val="20"/>
                          <w:lang w:eastAsia="zh-CN"/>
                        </w:rPr>
                      </m:ctrlPr>
                    </m:e>
                    <m:sub>
                      <m:r>
                        <w:rPr>
                          <w:rFonts w:ascii="Cambria Math" w:hAnsi="Cambria Math"/>
                          <w:sz w:val="20"/>
                          <w:szCs w:val="20"/>
                          <w:lang w:eastAsia="zh-CN"/>
                        </w:rPr>
                        <m:t>s</m:t>
                      </m:r>
                      <m:ctrlPr>
                        <w:rPr>
                          <w:rFonts w:ascii="Cambria Math" w:hAnsi="Cambria Math"/>
                          <w:i/>
                          <w:sz w:val="20"/>
                          <w:szCs w:val="20"/>
                          <w:lang w:eastAsia="zh-CN"/>
                        </w:rPr>
                      </m:ctrlP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Y</m:t>
                      </m:r>
                      <m:ctrlPr>
                        <w:rPr>
                          <w:rFonts w:ascii="Cambria Math" w:hAnsi="Cambria Math"/>
                          <w:i/>
                          <w:sz w:val="20"/>
                          <w:szCs w:val="20"/>
                          <w:lang w:eastAsia="zh-CN"/>
                        </w:rPr>
                      </m:ctrlPr>
                    </m:e>
                    <m:sub>
                      <m:r>
                        <w:rPr>
                          <w:rFonts w:ascii="Cambria Math" w:hAnsi="Cambria Math"/>
                          <w:sz w:val="20"/>
                          <w:szCs w:val="20"/>
                          <w:lang w:eastAsia="zh-CN"/>
                        </w:rPr>
                        <m:t>s</m:t>
                      </m:r>
                      <m:ctrlPr>
                        <w:rPr>
                          <w:rFonts w:ascii="Cambria Math" w:hAnsi="Cambria Math"/>
                          <w:i/>
                          <w:sz w:val="20"/>
                          <w:szCs w:val="20"/>
                          <w:lang w:eastAsia="zh-CN"/>
                        </w:rPr>
                      </m:ctrlPr>
                    </m:sub>
                  </m:sSub>
                  <m:ctrlPr>
                    <w:rPr>
                      <w:rFonts w:ascii="Cambria Math" w:hAnsi="Cambria Math"/>
                      <w:i/>
                      <w:sz w:val="20"/>
                      <w:szCs w:val="20"/>
                    </w:rPr>
                  </m:ctrlPr>
                </m:e>
              </m:d>
            </m:oMath>
            <w:r>
              <w:rPr>
                <w:sz w:val="20"/>
                <w:szCs w:val="20"/>
                <w:lang w:eastAsia="zh-CN"/>
              </w:rPr>
              <w:t xml:space="preserve"> PDCCH</w:t>
            </w:r>
            <w:r>
              <w:rPr>
                <w:rFonts w:hint="eastAsia"/>
                <w:sz w:val="20"/>
                <w:szCs w:val="20"/>
                <w:lang w:eastAsia="zh-CN"/>
              </w:rPr>
              <w:t xml:space="preserve"> monitoring capability </w:t>
            </w:r>
            <w:r>
              <w:rPr>
                <w:sz w:val="20"/>
                <w:szCs w:val="20"/>
                <w:lang w:eastAsia="zh-CN"/>
              </w:rPr>
              <w:t>on the active DL BWP of a cell</w:t>
            </w:r>
            <w:r>
              <w:rPr>
                <w:rFonts w:hint="eastAsia"/>
                <w:sz w:val="20"/>
                <w:szCs w:val="20"/>
                <w:lang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1F1F1" w:themeFill="background1" w:themeFillShade="F2"/>
            <w:vAlign w:val="center"/>
          </w:tcPr>
          <w:p>
            <w:pPr>
              <w:widowControl w:val="0"/>
              <w:rPr>
                <w:sz w:val="20"/>
                <w:szCs w:val="20"/>
                <w:lang w:eastAsia="zh-CN"/>
              </w:rPr>
            </w:pPr>
            <w:r>
              <w:rPr>
                <w:sz w:val="20"/>
                <w:szCs w:val="20"/>
                <w:lang w:eastAsia="zh-CN"/>
              </w:rPr>
              <w:t>LG Electronics (from first round)</w:t>
            </w:r>
          </w:p>
        </w:tc>
        <w:tc>
          <w:tcPr>
            <w:tcW w:w="12176" w:type="dxa"/>
            <w:shd w:val="clear" w:color="auto" w:fill="F1F1F1" w:themeFill="background1" w:themeFillShade="F2"/>
            <w:vAlign w:val="center"/>
          </w:tcPr>
          <w:p>
            <w:pPr>
              <w:widowControl w:val="0"/>
              <w:rPr>
                <w:sz w:val="20"/>
                <w:szCs w:val="20"/>
                <w:lang w:eastAsia="zh-CN"/>
              </w:rPr>
            </w:pPr>
            <w:r>
              <w:rPr>
                <w:sz w:val="20"/>
                <w:szCs w:val="20"/>
                <w:lang w:eastAsia="zh-CN"/>
              </w:rPr>
              <w:t xml:space="preserve">We support Proposal A2-6.2. </w:t>
            </w:r>
          </w:p>
          <w:p>
            <w:pPr>
              <w:widowControl w:val="0"/>
              <w:rPr>
                <w:sz w:val="20"/>
                <w:szCs w:val="20"/>
                <w:lang w:eastAsia="zh-CN"/>
              </w:rPr>
            </w:pPr>
            <w:r>
              <w:rPr>
                <w:sz w:val="20"/>
                <w:szCs w:val="20"/>
                <w:lang w:eastAsia="zh-CN"/>
              </w:rPr>
              <w:t>Proposal A2-6.1 appears to be a way to provide additional flexibility to change (Xs,Ys) via SSSG switching in a certain BWP. By the way, it is ambiguous to us whether (Xs,Ys) combination is defined per BWP or per SSSG. If there is only one active (Xs,Ys) for a given BWP, then Proposal A2-6.1 need not be discussed. However, if (Xs,Ys) can be defined per SSSG, then Proposal A2-6.1 needs to be further discussed. So, we think this should be discussed first.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FFFF" w:themeFill="background1"/>
            <w:vAlign w:val="center"/>
          </w:tcPr>
          <w:p>
            <w:pPr>
              <w:widowControl w:val="0"/>
              <w:rPr>
                <w:lang w:eastAsia="zh-CN"/>
              </w:rPr>
            </w:pPr>
            <w:r>
              <w:rPr>
                <w:lang w:eastAsia="zh-CN"/>
              </w:rPr>
              <w:t>Huawei, HiSilicon</w:t>
            </w:r>
          </w:p>
        </w:tc>
        <w:tc>
          <w:tcPr>
            <w:tcW w:w="12176" w:type="dxa"/>
            <w:shd w:val="clear" w:color="auto" w:fill="FFFFFF" w:themeFill="background1"/>
            <w:vAlign w:val="center"/>
          </w:tcPr>
          <w:p>
            <w:pPr>
              <w:widowControl w:val="0"/>
              <w:rPr>
                <w:lang w:eastAsia="zh-CN"/>
              </w:rPr>
            </w:pPr>
            <w:r>
              <w:rPr>
                <w:lang w:eastAsia="zh-CN"/>
              </w:rPr>
              <w:t xml:space="preserve">We support </w:t>
            </w:r>
            <w:r>
              <w:rPr>
                <w:b/>
                <w:sz w:val="20"/>
                <w:szCs w:val="20"/>
                <w:u w:val="single"/>
              </w:rPr>
              <w:t xml:space="preserve">Proposal A2-6.1 </w:t>
            </w:r>
            <w:r>
              <w:rPr>
                <w:b/>
                <w:sz w:val="20"/>
                <w:szCs w:val="20"/>
              </w:rPr>
              <w:t>and we don’t see</w:t>
            </w:r>
            <w:r>
              <w:rPr>
                <w:lang w:eastAsia="zh-CN"/>
              </w:rPr>
              <w:t xml:space="preserve"> a strong justification for the additional restriction in </w:t>
            </w:r>
            <w:r>
              <w:rPr>
                <w:b/>
                <w:sz w:val="20"/>
                <w:szCs w:val="20"/>
                <w:u w:val="single"/>
              </w:rPr>
              <w:t xml:space="preserve">Proposal A2-6.2. </w:t>
            </w:r>
            <w:r>
              <w:rPr>
                <w:lang w:eastAsia="zh-CN"/>
              </w:rPr>
              <w:t>Ys MO slots within a distance less than Xs slots on either side of SSSG switching boundary can be avoided by gNB using a proper switching trigger time or by UE using discarding the first MO in the second SSSG after switching.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sz w:val="21"/>
                <w:szCs w:val="21"/>
                <w:lang w:eastAsia="zh-CN"/>
              </w:rPr>
              <w:t>ZTE, Sanechips</w:t>
            </w:r>
          </w:p>
        </w:tc>
        <w:tc>
          <w:tcPr>
            <w:tcW w:w="12176" w:type="dxa"/>
            <w:vAlign w:val="center"/>
          </w:tcPr>
          <w:p>
            <w:pPr>
              <w:widowControl w:val="0"/>
              <w:rPr>
                <w:lang w:eastAsia="zh-CN"/>
              </w:rPr>
            </w:pPr>
            <w:r>
              <w:rPr>
                <w:rFonts w:hint="eastAsia"/>
                <w:lang w:eastAsia="zh-CN"/>
              </w:rPr>
              <w:t xml:space="preserve">In Rel-16, the UE expects to monitor PDCCH according to the same combination (X, Y) in every slot on the active DL BWP of a cell (please refer to TS 38.213). Similarly, we think the </w:t>
            </w:r>
            <w:r>
              <w:rPr>
                <w:lang w:eastAsia="zh-CN"/>
              </w:rPr>
              <w:t>(Xs,Ys) combination is defined per BWP</w:t>
            </w:r>
            <w:r>
              <w:rPr>
                <w:rFonts w:hint="eastAsia"/>
                <w:lang w:eastAsia="zh-CN"/>
              </w:rPr>
              <w:t>, not per SSSG. We still prefer the following proposal:</w:t>
            </w:r>
          </w:p>
          <w:p>
            <w:pPr>
              <w:widowControl w:val="0"/>
              <w:spacing w:after="0" w:line="260" w:lineRule="auto"/>
              <w:rPr>
                <w:b/>
                <w:color w:val="000000"/>
                <w:sz w:val="21"/>
                <w:szCs w:val="21"/>
              </w:rPr>
            </w:pPr>
            <w:r>
              <w:rPr>
                <w:b/>
                <w:sz w:val="20"/>
                <w:szCs w:val="20"/>
                <w:u w:val="single"/>
              </w:rPr>
              <w:t>Proposal A2-6.2</w:t>
            </w:r>
            <w:r>
              <w:rPr>
                <w:b/>
                <w:sz w:val="20"/>
                <w:szCs w:val="20"/>
              </w:rPr>
              <w:t xml:space="preserve">: </w:t>
            </w:r>
            <w:r>
              <w:rPr>
                <w:b/>
                <w:color w:val="000000"/>
                <w:sz w:val="21"/>
                <w:szCs w:val="21"/>
              </w:rPr>
              <w:t xml:space="preserve">SSSG switching is restricted to SSSGs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ctrlPr>
                        <w:rPr>
                          <w:rFonts w:ascii="Cambria Math" w:hAnsi="Cambria Math"/>
                          <w:b/>
                          <w:sz w:val="21"/>
                          <w:szCs w:val="21"/>
                        </w:rPr>
                      </m:ctrlPr>
                    </m:e>
                    <m:sub>
                      <m:r>
                        <m:rPr>
                          <m:sty m:val="b"/>
                        </m:rPr>
                        <w:rPr>
                          <w:rFonts w:ascii="Cambria Math" w:hAnsi="Cambria Math"/>
                          <w:sz w:val="21"/>
                          <w:szCs w:val="21"/>
                        </w:rPr>
                        <m:t>s</m:t>
                      </m:r>
                      <m:ctrlPr>
                        <w:rPr>
                          <w:rFonts w:ascii="Cambria Math" w:hAnsi="Cambria Math"/>
                          <w:b/>
                          <w:sz w:val="21"/>
                          <w:szCs w:val="21"/>
                        </w:rPr>
                      </m:ctrlP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ctrlPr>
                        <w:rPr>
                          <w:rFonts w:ascii="Cambria Math" w:hAnsi="Cambria Math"/>
                          <w:b/>
                          <w:sz w:val="21"/>
                          <w:szCs w:val="21"/>
                        </w:rPr>
                      </m:ctrlPr>
                    </m:e>
                    <m:sub>
                      <m:r>
                        <m:rPr>
                          <m:sty m:val="b"/>
                        </m:rPr>
                        <w:rPr>
                          <w:rFonts w:ascii="Cambria Math" w:hAnsi="Cambria Math"/>
                          <w:sz w:val="21"/>
                          <w:szCs w:val="21"/>
                        </w:rPr>
                        <m:t>s</m:t>
                      </m:r>
                      <m:ctrlPr>
                        <w:rPr>
                          <w:rFonts w:ascii="Cambria Math" w:hAnsi="Cambria Math"/>
                          <w:b/>
                          <w:sz w:val="21"/>
                          <w:szCs w:val="21"/>
                        </w:rPr>
                      </m:ctrlP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pPr>
              <w:widowControl w:val="0"/>
              <w:spacing w:after="0" w:line="260" w:lineRule="auto"/>
              <w:rPr>
                <w:b/>
                <w:color w:val="000000"/>
                <w:sz w:val="21"/>
                <w:szCs w:val="21"/>
                <w:lang w:eastAsia="zh-CN"/>
              </w:rPr>
            </w:pPr>
            <w:r>
              <w:rPr>
                <w:rFonts w:hint="eastAsia"/>
                <w:lang w:eastAsia="zh-CN"/>
              </w:rPr>
              <w:t xml:space="preserve">If SSSG switching is supported between SSSGs that correspond to the same or different </w:t>
            </w:r>
            <w:r>
              <w:rPr>
                <w:lang w:eastAsia="zh-CN"/>
              </w:rPr>
              <w:t xml:space="preserve">(Xs,Ys) </w:t>
            </w:r>
            <w:r>
              <w:rPr>
                <w:rFonts w:hint="eastAsia"/>
                <w:lang w:eastAsia="zh-CN"/>
              </w:rPr>
              <w:t xml:space="preserve"> PDCCH monitoring combinations, the </w:t>
            </w:r>
            <w:r>
              <w:rPr>
                <w:lang w:eastAsia="zh-CN"/>
              </w:rPr>
              <w:t xml:space="preserve">(Xs,Ys) </w:t>
            </w:r>
            <w:r>
              <w:rPr>
                <w:rFonts w:hint="eastAsia"/>
                <w:lang w:eastAsia="zh-CN"/>
              </w:rPr>
              <w:t xml:space="preserve"> needed to be defined per SSSG.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1"/>
                <w:szCs w:val="21"/>
                <w:lang w:eastAsia="zh-CN"/>
              </w:rPr>
            </w:pPr>
            <w:r>
              <w:rPr>
                <w:sz w:val="21"/>
                <w:szCs w:val="21"/>
                <w:lang w:eastAsia="zh-CN"/>
              </w:rPr>
              <w:t>Intel</w:t>
            </w:r>
          </w:p>
        </w:tc>
        <w:tc>
          <w:tcPr>
            <w:tcW w:w="12176" w:type="dxa"/>
            <w:vAlign w:val="center"/>
          </w:tcPr>
          <w:p>
            <w:pPr>
              <w:widowControl w:val="0"/>
              <w:rPr>
                <w:lang w:eastAsia="zh-CN"/>
              </w:rPr>
            </w:pPr>
            <w:r>
              <w:rPr>
                <w:lang w:eastAsia="zh-CN"/>
              </w:rPr>
              <w:t xml:space="preserve">We support A2-6.1 for better flexibility. Since BD/CCE budget (20/32) is rather small, it would be helpful if a fine control on PDCCH monitoring can be allowed.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1"/>
                <w:szCs w:val="21"/>
                <w:lang w:eastAsia="zh-CN"/>
              </w:rPr>
            </w:pPr>
            <w:r>
              <w:rPr>
                <w:sz w:val="21"/>
                <w:szCs w:val="21"/>
                <w:lang w:eastAsia="zh-CN"/>
              </w:rPr>
              <w:t>Samsung</w:t>
            </w:r>
          </w:p>
        </w:tc>
        <w:tc>
          <w:tcPr>
            <w:tcW w:w="12176" w:type="dxa"/>
            <w:vAlign w:val="center"/>
          </w:tcPr>
          <w:p>
            <w:pPr>
              <w:widowControl w:val="0"/>
              <w:rPr>
                <w:lang w:eastAsia="zh-CN"/>
              </w:rPr>
            </w:pPr>
            <w:r>
              <w:rPr>
                <w:lang w:eastAsia="zh-CN"/>
              </w:rPr>
              <w:t xml:space="preserve">Our understanding is (Xs, Ys) combination is associated with the BWP, and determined by the UE. At one time instance, only one valid (Xs, Ys) combination is valid, but the value may change e.g. due to the change of SS configuration or SSSG switch.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1"/>
                <w:szCs w:val="21"/>
                <w:lang w:eastAsia="zh-CN"/>
              </w:rPr>
            </w:pPr>
            <w:r>
              <w:rPr>
                <w:rFonts w:hint="eastAsia" w:eastAsia="MS Mincho"/>
                <w:lang w:eastAsia="ja-JP"/>
              </w:rPr>
              <w:t>Sharp</w:t>
            </w:r>
          </w:p>
        </w:tc>
        <w:tc>
          <w:tcPr>
            <w:tcW w:w="12176" w:type="dxa"/>
            <w:vAlign w:val="center"/>
          </w:tcPr>
          <w:p>
            <w:pPr>
              <w:widowControl w:val="0"/>
              <w:rPr>
                <w:lang w:eastAsia="zh-CN"/>
              </w:rPr>
            </w:pPr>
            <w:r>
              <w:rPr>
                <w:rFonts w:eastAsia="MS Mincho"/>
                <w:lang w:eastAsia="ja-JP"/>
              </w:rPr>
              <w:t>We agree with Huawei and Intel’s view.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MediaTek</w:t>
            </w:r>
          </w:p>
        </w:tc>
        <w:tc>
          <w:tcPr>
            <w:tcW w:w="12176" w:type="dxa"/>
            <w:vAlign w:val="center"/>
          </w:tcPr>
          <w:p>
            <w:pPr>
              <w:widowControl w:val="0"/>
              <w:rPr>
                <w:rFonts w:eastAsia="MS Mincho"/>
                <w:lang w:eastAsia="ja-JP"/>
              </w:rPr>
            </w:pPr>
            <w:r>
              <w:rPr>
                <w:rFonts w:eastAsia="MS Mincho"/>
                <w:lang w:eastAsia="ja-JP"/>
              </w:rPr>
              <w:t>We support A2-6.2, which should be agreed first as the baseline. Changing PDCCH configuration with different monitoring capabilities, e.g., different (Xs,Ys), by SSSG switching in same BWP is not supported in current spec and the consequence is UE needs to adapt the dropping rule accordingly. Such UE behavior will need to be discussed along with the associated timelines, e.g., P_switch in A2-4, which is not desirable at this stage.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lang w:eastAsia="zh-CN"/>
              </w:rPr>
              <w:t>v</w:t>
            </w:r>
            <w:r>
              <w:rPr>
                <w:lang w:eastAsia="zh-CN"/>
              </w:rPr>
              <w:t>ivo</w:t>
            </w:r>
          </w:p>
        </w:tc>
        <w:tc>
          <w:tcPr>
            <w:tcW w:w="12176" w:type="dxa"/>
            <w:vAlign w:val="center"/>
          </w:tcPr>
          <w:p>
            <w:pPr>
              <w:widowControl w:val="0"/>
              <w:rPr>
                <w:lang w:eastAsia="zh-CN"/>
              </w:rPr>
            </w:pPr>
            <w:r>
              <w:rPr>
                <w:rFonts w:hint="eastAsia"/>
                <w:lang w:eastAsia="zh-CN"/>
              </w:rPr>
              <w:t>B</w:t>
            </w:r>
            <w:r>
              <w:rPr>
                <w:lang w:eastAsia="zh-CN"/>
              </w:rPr>
              <w:t xml:space="preserve">efore agreeing </w:t>
            </w:r>
            <w:r>
              <w:rPr>
                <w:rFonts w:eastAsia="MS Mincho"/>
                <w:lang w:eastAsia="ja-JP"/>
              </w:rPr>
              <w:t>A2-6.2, the following issues should be discussed first:</w:t>
            </w:r>
            <w:r>
              <w:rPr>
                <w:rFonts w:hint="eastAsia"/>
                <w:lang w:eastAsia="zh-CN"/>
              </w:rPr>
              <w:t xml:space="preserve"> </w:t>
            </w:r>
          </w:p>
          <w:p>
            <w:pPr>
              <w:pStyle w:val="82"/>
              <w:widowControl w:val="0"/>
              <w:ind w:left="502"/>
              <w:rPr>
                <w:lang w:eastAsia="zh-CN"/>
              </w:rPr>
            </w:pPr>
            <w:r>
              <w:rPr>
                <w:lang w:eastAsia="zh-CN"/>
              </w:rPr>
              <w:t>Whether (Xs, Ys) combination is defined per BWP or per SSSG as LG indicates.</w:t>
            </w:r>
          </w:p>
          <w:p>
            <w:pPr>
              <w:widowControl w:val="0"/>
              <w:rPr>
                <w:rFonts w:eastAsia="MS Mincho"/>
                <w:lang w:eastAsia="ja-JP"/>
              </w:rPr>
            </w:pPr>
            <w:r>
              <w:rPr>
                <w:rFonts w:hint="eastAsia"/>
                <w:lang w:eastAsia="zh-CN"/>
              </w:rPr>
              <w:t>W</w:t>
            </w:r>
            <w:r>
              <w:rPr>
                <w:lang w:eastAsia="zh-CN"/>
              </w:rPr>
              <w:t>hether BD/CCE budget is defined per BWP or per SSSG? In current SSSG switching, BD/CCE budget is defined per BWP</w:t>
            </w:r>
            <w:r>
              <w:rPr>
                <w:rFonts w:hint="eastAsia"/>
                <w:lang w:eastAsia="zh-CN"/>
              </w:rPr>
              <w:t>,</w:t>
            </w:r>
            <w:r>
              <w:rPr>
                <w:lang w:eastAsia="zh-CN"/>
              </w:rPr>
              <w:t xml:space="preserve"> i.e. all the search spaces in the BWP follows the BD/CCE budget.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sz w:val="21"/>
                <w:szCs w:val="21"/>
                <w:lang w:eastAsia="ja-JP"/>
              </w:rPr>
              <w:t>N</w:t>
            </w:r>
            <w:r>
              <w:rPr>
                <w:rFonts w:eastAsia="MS Mincho"/>
                <w:sz w:val="21"/>
                <w:szCs w:val="21"/>
                <w:lang w:eastAsia="ja-JP"/>
              </w:rPr>
              <w:t>TT DOCOMO</w:t>
            </w:r>
          </w:p>
        </w:tc>
        <w:tc>
          <w:tcPr>
            <w:tcW w:w="12176" w:type="dxa"/>
            <w:vAlign w:val="center"/>
          </w:tcPr>
          <w:p>
            <w:pPr>
              <w:widowControl w:val="0"/>
              <w:rPr>
                <w:lang w:eastAsia="zh-CN"/>
              </w:rPr>
            </w:pPr>
            <w:r>
              <w:rPr>
                <w:rFonts w:eastAsia="MS Mincho"/>
                <w:lang w:eastAsia="ja-JP"/>
              </w:rPr>
              <w:t>We are fine to support Proposal A2-6.1 if majority of campanies support it. However, in our understanding, it was agreed that the location of Ys in a slot group is maintained across consecutive slot groups to a</w:t>
            </w:r>
            <w:r>
              <w:rPr>
                <w:rFonts w:hint="eastAsia" w:eastAsia="MS Mincho"/>
                <w:lang w:eastAsia="ja-JP"/>
              </w:rPr>
              <w:t>v</w:t>
            </w:r>
            <w:r>
              <w:rPr>
                <w:rFonts w:eastAsia="MS Mincho"/>
                <w:lang w:eastAsia="ja-JP"/>
              </w:rPr>
              <w:t>oid back-to-back monitoring issue. If Proposal A2-6.1 is supported, it means that the location of Ys in a slot group would be maintained as long as the same (Xs, Ys) is applied but can be changed by switching. According to the agreement, it is unclear whether the location of Ys is fixed within BWP or SSSG. Thus, we think the previous agreement needs to be clarified if Proposal A2-6.1 is supported.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sz w:val="21"/>
                <w:szCs w:val="21"/>
                <w:lang w:eastAsia="ja-JP"/>
              </w:rPr>
            </w:pPr>
            <w:r>
              <w:rPr>
                <w:rFonts w:eastAsia="MS Mincho"/>
                <w:sz w:val="21"/>
                <w:szCs w:val="21"/>
                <w:lang w:eastAsia="ja-JP"/>
              </w:rPr>
              <w:t>Apple</w:t>
            </w:r>
          </w:p>
        </w:tc>
        <w:tc>
          <w:tcPr>
            <w:tcW w:w="12176" w:type="dxa"/>
            <w:vAlign w:val="center"/>
          </w:tcPr>
          <w:p>
            <w:pPr>
              <w:widowControl w:val="0"/>
              <w:rPr>
                <w:rFonts w:eastAsia="MS Mincho"/>
                <w:lang w:eastAsia="ja-JP"/>
              </w:rPr>
            </w:pPr>
            <w:r>
              <w:rPr>
                <w:rFonts w:eastAsia="MS Mincho"/>
                <w:lang w:eastAsia="ja-JP"/>
              </w:rPr>
              <w:t xml:space="preserve">Based on the discussions so far, it seems there is a coupling between A-2-6 and A-3-4 and they should be discussed together. Also, if there is concern about UE’s needing to adapt their dropping rules, A-2-6.2 could be decided as baseline with A-2-6.1 as an enhanced capability.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sz w:val="21"/>
                <w:szCs w:val="21"/>
                <w:lang w:eastAsia="ja-JP"/>
              </w:rPr>
            </w:pPr>
            <w:r>
              <w:rPr>
                <w:rFonts w:eastAsia="MS Mincho"/>
                <w:sz w:val="21"/>
                <w:szCs w:val="21"/>
                <w:lang w:eastAsia="ja-JP"/>
              </w:rPr>
              <w:t>LG Electronics</w:t>
            </w:r>
          </w:p>
        </w:tc>
        <w:tc>
          <w:tcPr>
            <w:tcW w:w="12176" w:type="dxa"/>
            <w:vAlign w:val="center"/>
          </w:tcPr>
          <w:p>
            <w:pPr>
              <w:widowControl w:val="0"/>
              <w:rPr>
                <w:rFonts w:eastAsia="MS Mincho"/>
                <w:lang w:eastAsia="ja-JP"/>
              </w:rPr>
            </w:pPr>
            <w:r>
              <w:rPr>
                <w:rFonts w:eastAsia="MS Mincho"/>
                <w:lang w:eastAsia="ja-JP"/>
              </w:rPr>
              <w:t>We share the view with MediaTek, vivo and DOCOMO that adopting A2-6.1 may create follow-up discussions (e.g., dropping rule to avoid back-to-back moitoring issue). This is not desired at this stage.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Futurewei</w:t>
            </w:r>
          </w:p>
        </w:tc>
        <w:tc>
          <w:tcPr>
            <w:tcW w:w="12176" w:type="dxa"/>
            <w:vAlign w:val="center"/>
          </w:tcPr>
          <w:p>
            <w:pPr>
              <w:widowControl w:val="0"/>
              <w:rPr>
                <w:rFonts w:eastAsia="MS Mincho"/>
                <w:lang w:eastAsia="ja-JP"/>
              </w:rPr>
            </w:pPr>
            <w:r>
              <w:rPr>
                <w:rFonts w:eastAsia="MS Mincho"/>
                <w:lang w:eastAsia="ja-JP"/>
              </w:rPr>
              <w:t>We agree with other companies we may need additional clarifications related to the BD/CCE budget per BWP or SSSG  (</w:t>
            </w:r>
            <w:r>
              <w:rPr>
                <w:rFonts w:hint="eastAsia"/>
                <w:lang w:eastAsia="zh-CN"/>
              </w:rPr>
              <w:t xml:space="preserve">the </w:t>
            </w:r>
            <w:r>
              <w:rPr>
                <w:lang w:eastAsia="zh-CN"/>
              </w:rPr>
              <w:t>(Xs,Ys) combination is defined per BWP</w:t>
            </w:r>
            <w:r>
              <w:rPr>
                <w:rFonts w:hint="eastAsia"/>
                <w:lang w:eastAsia="zh-CN"/>
              </w:rPr>
              <w:t xml:space="preserve">, </w:t>
            </w:r>
            <w:r>
              <w:rPr>
                <w:lang w:eastAsia="zh-CN"/>
              </w:rPr>
              <w:t xml:space="preserve">or </w:t>
            </w:r>
            <w:r>
              <w:rPr>
                <w:rFonts w:hint="eastAsia"/>
                <w:lang w:eastAsia="zh-CN"/>
              </w:rPr>
              <w:t>per SSSG</w:t>
            </w:r>
            <w:r>
              <w:rPr>
                <w:rFonts w:eastAsia="MS Mincho"/>
                <w:lang w:eastAsia="ja-JP"/>
              </w:rPr>
              <w:t xml:space="preserve"> ) before taking a decision</w:t>
            </w:r>
          </w:p>
        </w:tc>
      </w:tr>
    </w:tbl>
    <w:p>
      <w:pPr>
        <w:rPr>
          <w:lang w:val="en-GB"/>
        </w:rPr>
      </w:pPr>
    </w:p>
    <w:p>
      <w:pPr>
        <w:pStyle w:val="5"/>
      </w:pPr>
      <w:r>
        <w:t>Second round discussion summary</w:t>
      </w:r>
    </w:p>
    <w:p>
      <w:pPr>
        <w:rPr>
          <w:sz w:val="21"/>
          <w:szCs w:val="21"/>
          <w:lang w:eastAsia="zh-CN"/>
        </w:rPr>
      </w:pPr>
      <w:r>
        <w:rPr>
          <w:sz w:val="21"/>
          <w:szCs w:val="21"/>
          <w:lang w:eastAsia="zh-CN"/>
        </w:rPr>
        <w:t>Opinions on this matter are still diverging. It seems further discussion in the third round is necessary.</w:t>
      </w:r>
    </w:p>
    <w:p>
      <w:pPr>
        <w:pStyle w:val="5"/>
      </w:pPr>
      <w:r>
        <w:t>Third round discussion</w:t>
      </w:r>
    </w:p>
    <w:p>
      <w:pPr>
        <w:autoSpaceDE/>
        <w:autoSpaceDN/>
        <w:adjustRightInd/>
        <w:snapToGrid/>
        <w:spacing w:after="0" w:line="240" w:lineRule="auto"/>
        <w:rPr>
          <w:bCs/>
        </w:rPr>
      </w:pPr>
      <w:r>
        <w:rPr>
          <w:bCs/>
        </w:rPr>
        <w:t>Please continue the second round discussion, I have copied some of the earlier comments for convenience. In addition to the two existing proposals, let's see if there is sufficient support for Apple's suggestion to define a UE capability for SSSG switching:</w:t>
      </w:r>
    </w:p>
    <w:p>
      <w:pPr>
        <w:autoSpaceDE/>
        <w:autoSpaceDN/>
        <w:adjustRightInd/>
        <w:snapToGrid/>
        <w:spacing w:after="0" w:line="240" w:lineRule="auto"/>
        <w:rPr>
          <w:bCs/>
        </w:rPr>
      </w:pPr>
    </w:p>
    <w:p>
      <w:pPr>
        <w:spacing w:after="0" w:line="260" w:lineRule="auto"/>
        <w:rPr>
          <w:b/>
          <w:color w:val="000000"/>
        </w:rPr>
      </w:pPr>
      <w:r>
        <w:rPr>
          <w:b/>
          <w:highlight w:val="yellow"/>
          <w:u w:val="single"/>
        </w:rPr>
        <w:t>Proposal A2-6.3</w:t>
      </w:r>
      <w:r>
        <w:rPr>
          <w:b/>
        </w:rPr>
        <w:t xml:space="preserve">: UE indicates a capability whether it supports SSSG switching between </w:t>
      </w:r>
      <w:r>
        <w:rPr>
          <w:b/>
          <w:color w:val="000000"/>
        </w:rPr>
        <w:t xml:space="preserve">SSSGs that correspond to different </w:t>
      </w:r>
      <m:oMath>
        <m:d>
          <m:dPr>
            <m:ctrlPr>
              <w:rPr>
                <w:rFonts w:ascii="Cambria Math" w:hAnsi="Cambria Math"/>
                <w:b/>
                <w:lang w:eastAsia="zh-CN"/>
              </w:rPr>
            </m:ctrlPr>
          </m:dPr>
          <m:e>
            <m:sSub>
              <m:sSubPr>
                <m:ctrlPr>
                  <w:rPr>
                    <w:rFonts w:ascii="Cambria Math" w:hAnsi="Cambria Math"/>
                    <w:b/>
                  </w:rPr>
                </m:ctrlPr>
              </m:sSubPr>
              <m:e>
                <m:r>
                  <m:rPr>
                    <m:sty m:val="b"/>
                  </m:rPr>
                  <w:rPr>
                    <w:rFonts w:ascii="Cambria Math" w:hAnsi="Cambria Math"/>
                  </w:rPr>
                  <m:t>X</m:t>
                </m:r>
                <m:ctrlPr>
                  <w:rPr>
                    <w:rFonts w:ascii="Cambria Math" w:hAnsi="Cambria Math"/>
                    <w:b/>
                  </w:rPr>
                </m:ctrlPr>
              </m:e>
              <m:sub>
                <m:r>
                  <m:rPr>
                    <m:sty m:val="b"/>
                  </m:rPr>
                  <w:rPr>
                    <w:rFonts w:ascii="Cambria Math" w:hAnsi="Cambria Math"/>
                  </w:rPr>
                  <m:t>s</m:t>
                </m:r>
                <m:ctrlPr>
                  <w:rPr>
                    <w:rFonts w:ascii="Cambria Math" w:hAnsi="Cambria Math"/>
                    <w:b/>
                  </w:rPr>
                </m:ctrlPr>
              </m:sub>
            </m:sSub>
            <m:r>
              <m:rPr>
                <m:sty m:val="b"/>
              </m:rPr>
              <w:rPr>
                <w:rFonts w:ascii="Cambria Math" w:hAnsi="Cambria Math"/>
              </w:rPr>
              <m:t>,</m:t>
            </m:r>
            <m:sSub>
              <m:sSubPr>
                <m:ctrlPr>
                  <w:rPr>
                    <w:rFonts w:ascii="Cambria Math" w:hAnsi="Cambria Math"/>
                    <w:b/>
                  </w:rPr>
                </m:ctrlPr>
              </m:sSubPr>
              <m:e>
                <m:r>
                  <m:rPr>
                    <m:sty m:val="b"/>
                  </m:rPr>
                  <w:rPr>
                    <w:rFonts w:ascii="Cambria Math" w:hAnsi="Cambria Math"/>
                  </w:rPr>
                  <m:t>Y</m:t>
                </m:r>
                <m:ctrlPr>
                  <w:rPr>
                    <w:rFonts w:ascii="Cambria Math" w:hAnsi="Cambria Math"/>
                    <w:b/>
                  </w:rPr>
                </m:ctrlPr>
              </m:e>
              <m:sub>
                <m:r>
                  <m:rPr>
                    <m:sty m:val="b"/>
                  </m:rPr>
                  <w:rPr>
                    <w:rFonts w:ascii="Cambria Math" w:hAnsi="Cambria Math"/>
                  </w:rPr>
                  <m:t>s</m:t>
                </m:r>
                <m:ctrlPr>
                  <w:rPr>
                    <w:rFonts w:ascii="Cambria Math" w:hAnsi="Cambria Math"/>
                    <w:b/>
                  </w:rPr>
                </m:ctrlPr>
              </m:sub>
            </m:sSub>
            <m:ctrlPr>
              <w:rPr>
                <w:rFonts w:ascii="Cambria Math" w:hAnsi="Cambria Math"/>
                <w:b/>
              </w:rPr>
            </m:ctrlPr>
          </m:e>
        </m:d>
      </m:oMath>
      <w:r>
        <w:rPr>
          <w:b/>
          <w:lang w:eastAsia="zh-CN"/>
        </w:rPr>
        <w:t xml:space="preserve"> </w:t>
      </w:r>
      <w:r>
        <w:rPr>
          <w:b/>
          <w:color w:val="000000"/>
        </w:rPr>
        <w:t xml:space="preserve">PDCCH monitoring combinations. A UE not indicating the capability is capable of switching between </w:t>
      </w:r>
      <w:r>
        <w:rPr>
          <w:b/>
          <w:color w:val="000000"/>
          <w:sz w:val="21"/>
          <w:szCs w:val="21"/>
        </w:rPr>
        <w:t xml:space="preserve">SSSG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ctrlPr>
                  <w:rPr>
                    <w:rFonts w:ascii="Cambria Math" w:hAnsi="Cambria Math"/>
                    <w:b/>
                    <w:sz w:val="21"/>
                    <w:szCs w:val="21"/>
                  </w:rPr>
                </m:ctrlPr>
              </m:e>
              <m:sub>
                <m:r>
                  <m:rPr>
                    <m:sty m:val="b"/>
                  </m:rPr>
                  <w:rPr>
                    <w:rFonts w:ascii="Cambria Math" w:hAnsi="Cambria Math"/>
                    <w:sz w:val="21"/>
                    <w:szCs w:val="21"/>
                  </w:rPr>
                  <m:t>s</m:t>
                </m:r>
                <m:ctrlPr>
                  <w:rPr>
                    <w:rFonts w:ascii="Cambria Math" w:hAnsi="Cambria Math"/>
                    <w:b/>
                    <w:sz w:val="21"/>
                    <w:szCs w:val="21"/>
                  </w:rPr>
                </m:ctrlP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ctrlPr>
                  <w:rPr>
                    <w:rFonts w:ascii="Cambria Math" w:hAnsi="Cambria Math"/>
                    <w:b/>
                    <w:sz w:val="21"/>
                    <w:szCs w:val="21"/>
                  </w:rPr>
                </m:ctrlPr>
              </m:e>
              <m:sub>
                <m:r>
                  <m:rPr>
                    <m:sty m:val="b"/>
                  </m:rPr>
                  <w:rPr>
                    <w:rFonts w:ascii="Cambria Math" w:hAnsi="Cambria Math"/>
                    <w:sz w:val="21"/>
                    <w:szCs w:val="21"/>
                  </w:rPr>
                  <m:t>s</m:t>
                </m:r>
                <m:ctrlPr>
                  <w:rPr>
                    <w:rFonts w:ascii="Cambria Math" w:hAnsi="Cambria Math"/>
                    <w:b/>
                    <w:sz w:val="21"/>
                    <w:szCs w:val="21"/>
                  </w:rPr>
                </m:ctrlP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w:t>
      </w:r>
    </w:p>
    <w:p>
      <w:pPr>
        <w:spacing w:after="0" w:line="260" w:lineRule="auto"/>
        <w:rPr>
          <w:b/>
          <w:color w:val="000000"/>
          <w:sz w:val="21"/>
          <w:szCs w:val="21"/>
        </w:rPr>
      </w:pPr>
    </w:p>
    <w:p>
      <w:pPr>
        <w:autoSpaceDE/>
        <w:autoSpaceDN/>
        <w:adjustRightInd/>
        <w:snapToGrid/>
        <w:spacing w:after="0" w:line="240" w:lineRule="auto"/>
        <w:rPr>
          <w:bCs/>
          <w:lang w:eastAsia="zh-CN"/>
        </w:rPr>
      </w:pP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1F1F1" w:themeFill="background1" w:themeFillShade="F2"/>
            <w:vAlign w:val="center"/>
          </w:tcPr>
          <w:p>
            <w:pPr>
              <w:widowControl w:val="0"/>
              <w:rPr>
                <w:lang w:eastAsia="zh-CN"/>
              </w:rPr>
            </w:pPr>
            <w:r>
              <w:rPr>
                <w:rFonts w:hint="eastAsia"/>
                <w:lang w:eastAsia="zh-CN"/>
              </w:rPr>
              <w:t>v</w:t>
            </w:r>
            <w:r>
              <w:rPr>
                <w:lang w:eastAsia="zh-CN"/>
              </w:rPr>
              <w:t>ivo (from second round)</w:t>
            </w:r>
          </w:p>
        </w:tc>
        <w:tc>
          <w:tcPr>
            <w:tcW w:w="12176" w:type="dxa"/>
            <w:shd w:val="clear" w:color="auto" w:fill="F1F1F1" w:themeFill="background1" w:themeFillShade="F2"/>
            <w:vAlign w:val="center"/>
          </w:tcPr>
          <w:p>
            <w:pPr>
              <w:widowControl w:val="0"/>
              <w:rPr>
                <w:lang w:eastAsia="zh-CN"/>
              </w:rPr>
            </w:pPr>
            <w:r>
              <w:rPr>
                <w:rFonts w:hint="eastAsia"/>
                <w:lang w:eastAsia="zh-CN"/>
              </w:rPr>
              <w:t>B</w:t>
            </w:r>
            <w:r>
              <w:rPr>
                <w:lang w:eastAsia="zh-CN"/>
              </w:rPr>
              <w:t xml:space="preserve">efore agreeing </w:t>
            </w:r>
            <w:r>
              <w:rPr>
                <w:rFonts w:eastAsia="MS Mincho"/>
                <w:lang w:eastAsia="ja-JP"/>
              </w:rPr>
              <w:t>A2-6.2, the following issues should be discussed first:</w:t>
            </w:r>
            <w:r>
              <w:rPr>
                <w:rFonts w:hint="eastAsia"/>
                <w:lang w:eastAsia="zh-CN"/>
              </w:rPr>
              <w:t xml:space="preserve"> </w:t>
            </w:r>
          </w:p>
          <w:p>
            <w:pPr>
              <w:pStyle w:val="82"/>
              <w:widowControl w:val="0"/>
              <w:ind w:left="502"/>
              <w:rPr>
                <w:lang w:eastAsia="zh-CN"/>
              </w:rPr>
            </w:pPr>
            <w:r>
              <w:rPr>
                <w:lang w:eastAsia="zh-CN"/>
              </w:rPr>
              <w:t>Whether (Xs, Ys) combination is defined per BWP or per SSSG as LG indicates.</w:t>
            </w:r>
          </w:p>
          <w:p>
            <w:pPr>
              <w:widowControl w:val="0"/>
              <w:rPr>
                <w:lang w:eastAsia="zh-CN"/>
              </w:rPr>
            </w:pPr>
            <w:r>
              <w:rPr>
                <w:rFonts w:hint="eastAsia"/>
                <w:lang w:eastAsia="zh-CN"/>
              </w:rPr>
              <w:t>W</w:t>
            </w:r>
            <w:r>
              <w:rPr>
                <w:lang w:eastAsia="zh-CN"/>
              </w:rPr>
              <w:t>hether BD/CCE budget is defined per BWP or per SSSG? In current SSSG switching, BD/CCE budget is defined per BWP</w:t>
            </w:r>
            <w:r>
              <w:rPr>
                <w:rFonts w:hint="eastAsia"/>
                <w:lang w:eastAsia="zh-CN"/>
              </w:rPr>
              <w:t>,</w:t>
            </w:r>
            <w:r>
              <w:rPr>
                <w:lang w:eastAsia="zh-CN"/>
              </w:rPr>
              <w:t xml:space="preserve"> i.e. all the search spaces in the BWP follows the BD/CCE budget.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1F1F1" w:themeFill="background1" w:themeFillShade="F2"/>
            <w:vAlign w:val="center"/>
          </w:tcPr>
          <w:p>
            <w:pPr>
              <w:widowControl w:val="0"/>
              <w:rPr>
                <w:sz w:val="20"/>
              </w:rPr>
            </w:pPr>
            <w:r>
              <w:rPr>
                <w:rFonts w:hint="eastAsia" w:eastAsia="MS Mincho"/>
                <w:sz w:val="21"/>
                <w:szCs w:val="21"/>
                <w:lang w:eastAsia="ja-JP"/>
              </w:rPr>
              <w:t>N</w:t>
            </w:r>
            <w:r>
              <w:rPr>
                <w:rFonts w:eastAsia="MS Mincho"/>
                <w:sz w:val="21"/>
                <w:szCs w:val="21"/>
                <w:lang w:eastAsia="ja-JP"/>
              </w:rPr>
              <w:t>TT DOCOMO (from second round)</w:t>
            </w:r>
          </w:p>
        </w:tc>
        <w:tc>
          <w:tcPr>
            <w:tcW w:w="12176" w:type="dxa"/>
            <w:shd w:val="clear" w:color="auto" w:fill="F1F1F1" w:themeFill="background1" w:themeFillShade="F2"/>
            <w:vAlign w:val="center"/>
          </w:tcPr>
          <w:p>
            <w:pPr>
              <w:widowControl w:val="0"/>
              <w:rPr>
                <w:sz w:val="20"/>
                <w:lang w:eastAsia="zh-CN"/>
              </w:rPr>
            </w:pPr>
            <w:r>
              <w:rPr>
                <w:rFonts w:eastAsia="MS Mincho"/>
                <w:lang w:eastAsia="ja-JP"/>
              </w:rPr>
              <w:t>We are fine to support Proposal A2-6.1 if majority of campanies support it. However, in our understanding, it was agreed that the location of Ys in a slot group is maintained across consecutive slot groups to a</w:t>
            </w:r>
            <w:r>
              <w:rPr>
                <w:rFonts w:hint="eastAsia" w:eastAsia="MS Mincho"/>
                <w:lang w:eastAsia="ja-JP"/>
              </w:rPr>
              <w:t>v</w:t>
            </w:r>
            <w:r>
              <w:rPr>
                <w:rFonts w:eastAsia="MS Mincho"/>
                <w:lang w:eastAsia="ja-JP"/>
              </w:rPr>
              <w:t>oid back-to-back monitoring issue. If Proposal A2-6.1 is supported, it means that the location of Ys in a slot group would be maintained as long as the same (Xs, Ys) is applied but can be changed by switching. According to the agreement, it is unclear whether the location of Ys is fixed within BWP or SSSG. Thus, we think the previous agreement needs to be clarified if Proposal A2-6.1 is supported.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1F1F1" w:themeFill="background1" w:themeFillShade="F2"/>
            <w:vAlign w:val="center"/>
          </w:tcPr>
          <w:p>
            <w:pPr>
              <w:widowControl w:val="0"/>
              <w:rPr>
                <w:rFonts w:eastAsia="MS Mincho"/>
                <w:sz w:val="21"/>
                <w:szCs w:val="21"/>
                <w:lang w:eastAsia="ja-JP"/>
              </w:rPr>
            </w:pPr>
            <w:r>
              <w:rPr>
                <w:rFonts w:eastAsia="MS Mincho"/>
                <w:sz w:val="21"/>
                <w:szCs w:val="21"/>
                <w:lang w:eastAsia="ja-JP"/>
              </w:rPr>
              <w:t>Apple (from second round)</w:t>
            </w:r>
          </w:p>
        </w:tc>
        <w:tc>
          <w:tcPr>
            <w:tcW w:w="12176" w:type="dxa"/>
            <w:shd w:val="clear" w:color="auto" w:fill="F1F1F1" w:themeFill="background1" w:themeFillShade="F2"/>
            <w:vAlign w:val="center"/>
          </w:tcPr>
          <w:p>
            <w:pPr>
              <w:widowControl w:val="0"/>
              <w:rPr>
                <w:rFonts w:eastAsia="MS Mincho"/>
                <w:lang w:eastAsia="ja-JP"/>
              </w:rPr>
            </w:pPr>
            <w:r>
              <w:rPr>
                <w:rFonts w:eastAsia="MS Mincho"/>
                <w:lang w:eastAsia="ja-JP"/>
              </w:rPr>
              <w:t xml:space="preserve">Based on the discussions so far, it seems there is a coupling between A-2-6 and A-3-4 and they should be discussed together. Also, if there is concern about UE’s needing to adapt their dropping rules, A-2-6.2 could be decided as baseline with A-2-6.1 as an enhanced capability.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sz w:val="21"/>
                <w:szCs w:val="21"/>
                <w:lang w:eastAsia="ja-JP"/>
              </w:rPr>
            </w:pPr>
            <w:r>
              <w:rPr>
                <w:rFonts w:hint="eastAsia" w:eastAsia="MS Mincho"/>
                <w:sz w:val="21"/>
                <w:szCs w:val="21"/>
                <w:lang w:eastAsia="ja-JP"/>
              </w:rPr>
              <w:t>N</w:t>
            </w:r>
            <w:r>
              <w:rPr>
                <w:rFonts w:eastAsia="MS Mincho"/>
                <w:sz w:val="21"/>
                <w:szCs w:val="21"/>
                <w:lang w:eastAsia="ja-JP"/>
              </w:rPr>
              <w:t>TT DOCOMO</w:t>
            </w:r>
          </w:p>
        </w:tc>
        <w:tc>
          <w:tcPr>
            <w:tcW w:w="12176" w:type="dxa"/>
            <w:vAlign w:val="center"/>
          </w:tcPr>
          <w:p>
            <w:pPr>
              <w:widowControl w:val="0"/>
              <w:rPr>
                <w:rFonts w:eastAsia="MS Mincho"/>
                <w:lang w:eastAsia="ja-JP"/>
              </w:rPr>
            </w:pPr>
            <w:r>
              <w:rPr>
                <w:rFonts w:eastAsia="MS Mincho"/>
                <w:lang w:eastAsia="ja-JP"/>
              </w:rPr>
              <w:t>We agree with LGE and vivo that it should be clarified whether the combination of (Xs, Ys) and the location of Ys in a slot group is determined per BWP or per SSSG.  Also we agree with LGE that Proposal A2-6.1 can avoid such discussion and our preference is supporting Proposal A2-6.1.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sz w:val="21"/>
                <w:szCs w:val="21"/>
                <w:lang w:eastAsia="ja-JP"/>
              </w:rPr>
            </w:pPr>
            <w:r>
              <w:rPr>
                <w:rFonts w:eastAsia="MS Mincho"/>
                <w:sz w:val="21"/>
                <w:szCs w:val="21"/>
                <w:lang w:eastAsia="ja-JP"/>
              </w:rPr>
              <w:t>MediaTek</w:t>
            </w:r>
          </w:p>
        </w:tc>
        <w:tc>
          <w:tcPr>
            <w:tcW w:w="12176" w:type="dxa"/>
            <w:vAlign w:val="center"/>
          </w:tcPr>
          <w:p>
            <w:pPr>
              <w:widowControl w:val="0"/>
              <w:rPr>
                <w:rFonts w:eastAsia="MS Mincho"/>
                <w:lang w:eastAsia="ja-JP"/>
              </w:rPr>
            </w:pPr>
            <w:r>
              <w:rPr>
                <w:rFonts w:eastAsia="MS Mincho"/>
                <w:lang w:eastAsia="ja-JP"/>
              </w:rPr>
              <w:t xml:space="preserve">We don’t see the need to introduce a capability for different (Xs,Ys) before and after switching. As LG, vivo pointed out, further discussion on dropping rule might be necessary. Also, all the SSSG switching timelines need to be re-evaluated to accommodate such PDCCH capability changing. Therefore, we still prefer to support Proposal A2-6.2 as baseline.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sz w:val="21"/>
                <w:szCs w:val="21"/>
                <w:lang w:eastAsia="ja-JP"/>
              </w:rPr>
            </w:pPr>
            <w:r>
              <w:rPr>
                <w:rFonts w:hint="eastAsia"/>
                <w:lang w:eastAsia="zh-CN"/>
              </w:rPr>
              <w:t>ZTE, Sanechips</w:t>
            </w:r>
          </w:p>
        </w:tc>
        <w:tc>
          <w:tcPr>
            <w:tcW w:w="12176" w:type="dxa"/>
            <w:vAlign w:val="center"/>
          </w:tcPr>
          <w:p>
            <w:pPr>
              <w:widowControl w:val="0"/>
              <w:rPr>
                <w:rFonts w:hint="eastAsia" w:eastAsia="宋体"/>
                <w:lang w:val="en-US" w:eastAsia="zh-CN"/>
              </w:rPr>
            </w:pPr>
            <w:r>
              <w:rPr>
                <w:rFonts w:hint="eastAsia" w:eastAsia="宋体"/>
                <w:lang w:val="en-US" w:eastAsia="zh-CN"/>
              </w:rPr>
              <w:t>We prefer Proposal A2-6.2. According to the agreement made in RAN1 #107-e, the location of the Ys consecutive slots within the slot group of Xs slots is maintained across different slot groups. If Proposal A2-6.1 or Proposal A2-6.3 is supported, we can not maintain the location of Ys when the (Xs, Ys) is defined per BWP.</w:t>
            </w:r>
          </w:p>
          <w:p>
            <w:pPr>
              <w:widowControl w:val="0"/>
              <w:rPr>
                <w:rFonts w:eastAsia="MS Mincho"/>
                <w:lang w:eastAsia="ja-JP"/>
              </w:rPr>
            </w:pPr>
            <w:r>
              <w:rPr>
                <w:rFonts w:hint="eastAsia" w:eastAsia="宋体"/>
                <w:lang w:val="en-US" w:eastAsia="zh-CN"/>
              </w:rPr>
              <w:t xml:space="preserve">To NTT DOCOMO: In our understanding, LGE </w:t>
            </w:r>
            <w:r>
              <w:rPr>
                <w:lang w:eastAsia="zh-CN"/>
              </w:rPr>
              <w:t>support Proposal A2-6.2</w:t>
            </w:r>
            <w:r>
              <w:rPr>
                <w:rFonts w:hint="eastAsia"/>
                <w:lang w:val="en-US" w:eastAsia="zh-CN"/>
              </w:rPr>
              <w:t xml:space="preserve"> too, do you type the wrong proposal number by accident?</w:t>
            </w:r>
          </w:p>
        </w:tc>
      </w:tr>
    </w:tbl>
    <w:p>
      <w:pPr>
        <w:autoSpaceDE/>
        <w:autoSpaceDN/>
        <w:adjustRightInd/>
        <w:snapToGrid/>
        <w:spacing w:after="0" w:line="240" w:lineRule="auto"/>
        <w:rPr>
          <w:bCs/>
          <w:lang w:eastAsia="zh-CN"/>
        </w:rPr>
      </w:pPr>
    </w:p>
    <w:p/>
    <w:p>
      <w:pPr>
        <w:pStyle w:val="4"/>
      </w:pPr>
      <w:r>
        <w:t xml:space="preserve">(Closed) Issue A2-7: </w:t>
      </w:r>
      <w:r>
        <w:rPr>
          <w:highlight w:val="cyan"/>
          <w:lang w:val="en-US" w:eastAsia="ko-KR"/>
        </w:rPr>
        <w:t>[High Priority]</w:t>
      </w:r>
      <w:r>
        <w:rPr>
          <w:lang w:val="en-US" w:eastAsia="ko-KR"/>
        </w:rPr>
        <w:t xml:space="preserve"> </w:t>
      </w:r>
      <w:r>
        <w:t xml:space="preserve">Maximum value for </w:t>
      </w:r>
      <w:r>
        <w:rPr>
          <w:i/>
          <w:iCs/>
        </w:rPr>
        <w:t>searchSpaceSwitchTimer</w:t>
      </w:r>
    </w:p>
    <w:p>
      <w:pPr>
        <w:pStyle w:val="5"/>
      </w:pPr>
      <w:r>
        <w:t>First round discussion</w:t>
      </w:r>
    </w:p>
    <w:p>
      <w:pPr>
        <w:spacing w:after="0" w:line="260" w:lineRule="auto"/>
        <w:rPr>
          <w:b/>
          <w:color w:val="000000"/>
          <w:sz w:val="21"/>
          <w:szCs w:val="21"/>
        </w:rPr>
      </w:pPr>
      <w:r>
        <w:rPr>
          <w:b/>
          <w:sz w:val="20"/>
          <w:szCs w:val="20"/>
          <w:u w:val="single"/>
        </w:rPr>
        <w:t>Proposal A2-7.1</w:t>
      </w:r>
      <w:r>
        <w:rPr>
          <w:b/>
          <w:sz w:val="20"/>
          <w:szCs w:val="20"/>
        </w:rPr>
        <w:t xml:space="preserve"> (see R1-2202336): </w:t>
      </w:r>
      <w:r>
        <w:rPr>
          <w:rFonts w:eastAsia="Batang"/>
          <w:b/>
          <w:lang w:eastAsia="ko-KR"/>
        </w:rPr>
        <w:t xml:space="preserve">For operation with shared spectrum channel access, define 40/160/320 slots as the maximum value of </w:t>
      </w:r>
      <w:r>
        <w:rPr>
          <w:rFonts w:eastAsia="Batang"/>
          <w:b/>
          <w:i/>
          <w:lang w:eastAsia="ko-KR"/>
        </w:rPr>
        <w:t>searchSpaceSwitchTimer</w:t>
      </w:r>
      <w:r>
        <w:rPr>
          <w:rFonts w:eastAsia="Batang"/>
          <w:b/>
          <w:lang w:eastAsia="ko-KR"/>
        </w:rPr>
        <w:t xml:space="preserve"> for 120/480/960 kHz SCS, respectively.</w:t>
      </w:r>
    </w:p>
    <w:p/>
    <w:p>
      <w:pPr>
        <w:rPr>
          <w:bCs/>
          <w:sz w:val="20"/>
          <w:szCs w:val="20"/>
          <w:lang w:eastAsia="zh-CN"/>
        </w:rPr>
      </w:pPr>
      <w:r>
        <w:rPr>
          <w:bCs/>
          <w:sz w:val="20"/>
          <w:szCs w:val="20"/>
          <w:lang w:eastAsia="zh-CN"/>
        </w:rPr>
        <w:t>FL Summary: Discussion in RAN1#107bis-e showed a majority support for the proposal. Therefore FL suggests to agree on Proposal A2-7.1.</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We prefer to scaling the maximum value based on Rel-16 NR-U values: 20/40/80 for 15/30/60 kHz. We don’t think it’s reasonable to support a smaller maximum value for 120 kHz than 60 kHz.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Ericsson</w:t>
            </w:r>
          </w:p>
        </w:tc>
        <w:tc>
          <w:tcPr>
            <w:tcW w:w="12176" w:type="dxa"/>
            <w:vAlign w:val="center"/>
          </w:tcPr>
          <w:p>
            <w:pPr>
              <w:widowControl w:val="0"/>
              <w:rPr>
                <w:sz w:val="20"/>
                <w:lang w:eastAsia="zh-CN"/>
              </w:rPr>
            </w:pPr>
            <w:r>
              <w:rPr>
                <w:sz w:val="20"/>
                <w:lang w:eastAsia="zh-CN"/>
              </w:rPr>
              <w:t>Agree with Samsung's view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InterDigital</w:t>
            </w:r>
          </w:p>
        </w:tc>
        <w:tc>
          <w:tcPr>
            <w:tcW w:w="12176" w:type="dxa"/>
            <w:vAlign w:val="center"/>
          </w:tcPr>
          <w:p>
            <w:pPr>
              <w:widowControl w:val="0"/>
              <w:rPr>
                <w:sz w:val="20"/>
                <w:lang w:eastAsia="zh-CN"/>
              </w:rPr>
            </w:pPr>
            <w:r>
              <w:rPr>
                <w:sz w:val="20"/>
                <w:lang w:eastAsia="zh-CN"/>
              </w:rPr>
              <w:t xml:space="preserve">We agree with Samsung that supporting the scaled maximum values are reasonable.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szCs w:val="20"/>
              </w:rPr>
            </w:pPr>
            <w:r>
              <w:rPr>
                <w:sz w:val="20"/>
                <w:szCs w:val="20"/>
              </w:rPr>
              <w:t>LG Electronics</w:t>
            </w:r>
          </w:p>
        </w:tc>
        <w:tc>
          <w:tcPr>
            <w:tcW w:w="12176" w:type="dxa"/>
            <w:vAlign w:val="center"/>
          </w:tcPr>
          <w:p>
            <w:pPr>
              <w:widowControl w:val="0"/>
              <w:rPr>
                <w:sz w:val="20"/>
                <w:szCs w:val="20"/>
                <w:lang w:eastAsia="zh-CN"/>
              </w:rPr>
            </w:pPr>
            <w:r>
              <w:rPr>
                <w:sz w:val="20"/>
                <w:szCs w:val="20"/>
                <w:lang w:eastAsia="zh-CN"/>
              </w:rPr>
              <w:t xml:space="preserve">We support the proposal as a proponent. For 15/30/60 kHz, the maximum value of </w:t>
            </w:r>
            <w:r>
              <w:rPr>
                <w:i/>
                <w:sz w:val="20"/>
                <w:szCs w:val="20"/>
                <w:lang w:eastAsia="zh-CN"/>
              </w:rPr>
              <w:t>searchSpaceSwitchTimer</w:t>
            </w:r>
            <w:r>
              <w:rPr>
                <w:sz w:val="20"/>
                <w:szCs w:val="20"/>
                <w:lang w:eastAsia="zh-CN"/>
              </w:rPr>
              <w:t xml:space="preserve"> is 20/40/80, respectively. These values are corresponding to the maximum COT duration, 20 msec. However, the maximum COT duration in FR2-2 is 5 msec, and the proposed values is derived from such 5 msec. That’s the motivation of the proposal. However, we do not intend to stick strongly with these values. We are open to discuss.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szCs w:val="20"/>
              </w:rPr>
            </w:pPr>
            <w:r>
              <w:rPr>
                <w:rFonts w:hint="eastAsia" w:eastAsia="MS Mincho"/>
                <w:lang w:eastAsia="ja-JP"/>
              </w:rPr>
              <w:t>Sharp</w:t>
            </w:r>
          </w:p>
        </w:tc>
        <w:tc>
          <w:tcPr>
            <w:tcW w:w="12176" w:type="dxa"/>
            <w:vAlign w:val="center"/>
          </w:tcPr>
          <w:p>
            <w:pPr>
              <w:widowControl w:val="0"/>
              <w:rPr>
                <w:sz w:val="20"/>
                <w:szCs w:val="20"/>
                <w:lang w:eastAsia="zh-CN"/>
              </w:rPr>
            </w:pPr>
            <w:r>
              <w:rPr>
                <w:rFonts w:eastAsia="MS Mincho"/>
                <w:lang w:eastAsia="ja-JP"/>
              </w:rPr>
              <w:t xml:space="preserve">The value scaled with respect to Rel-16 is a reasonable for </w:t>
            </w:r>
            <w:r>
              <w:rPr>
                <w:rFonts w:eastAsia="MS Mincho"/>
                <w:i/>
                <w:lang w:eastAsia="ja-JP"/>
              </w:rPr>
              <w:t>searchSpaceSwitchTimer</w:t>
            </w:r>
            <w:r>
              <w:rPr>
                <w:rFonts w:eastAsia="MS Mincho"/>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Huawei, HiSilicon</w:t>
            </w:r>
          </w:p>
        </w:tc>
        <w:tc>
          <w:tcPr>
            <w:tcW w:w="12176" w:type="dxa"/>
            <w:vAlign w:val="center"/>
          </w:tcPr>
          <w:p>
            <w:pPr>
              <w:widowControl w:val="0"/>
              <w:rPr>
                <w:sz w:val="20"/>
                <w:lang w:eastAsia="zh-CN"/>
              </w:rPr>
            </w:pPr>
            <w:r>
              <w:rPr>
                <w:sz w:val="20"/>
                <w:lang w:eastAsia="zh-CN"/>
              </w:rPr>
              <w:t xml:space="preserve">We prefer to follow the convention in Rel-17 and just scale the </w:t>
            </w:r>
            <w:r>
              <w:rPr>
                <w:i/>
                <w:sz w:val="20"/>
                <w:lang w:eastAsia="zh-CN"/>
              </w:rPr>
              <w:t>searchSpaceSwitchTimer</w:t>
            </w:r>
            <w:r>
              <w:rPr>
                <w:sz w:val="20"/>
                <w:lang w:eastAsia="zh-CN"/>
              </w:rPr>
              <w:t xml:space="preserve"> values.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sz w:val="20"/>
                <w:lang w:eastAsia="zh-CN"/>
              </w:rPr>
              <w:t>X</w:t>
            </w:r>
            <w:r>
              <w:rPr>
                <w:sz w:val="20"/>
                <w:lang w:eastAsia="zh-CN"/>
              </w:rPr>
              <w:t>iaomi</w:t>
            </w:r>
          </w:p>
        </w:tc>
        <w:tc>
          <w:tcPr>
            <w:tcW w:w="12176" w:type="dxa"/>
            <w:vAlign w:val="center"/>
          </w:tcPr>
          <w:p>
            <w:pPr>
              <w:widowControl w:val="0"/>
              <w:rPr>
                <w:sz w:val="20"/>
                <w:lang w:eastAsia="zh-CN"/>
              </w:rPr>
            </w:pPr>
            <w:r>
              <w:rPr>
                <w:sz w:val="20"/>
                <w:lang w:eastAsia="zh-CN"/>
              </w:rPr>
              <w:t xml:space="preserve">Agree with Samsung's view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rPr>
              <w:t>Ericsson</w:t>
            </w:r>
          </w:p>
        </w:tc>
        <w:tc>
          <w:tcPr>
            <w:tcW w:w="12176" w:type="dxa"/>
            <w:vAlign w:val="center"/>
          </w:tcPr>
          <w:p>
            <w:pPr>
              <w:widowControl w:val="0"/>
              <w:rPr>
                <w:sz w:val="20"/>
                <w:lang w:eastAsia="zh-CN"/>
              </w:rPr>
            </w:pPr>
            <w:r>
              <w:rPr>
                <w:sz w:val="20"/>
                <w:lang w:eastAsia="zh-CN"/>
              </w:rPr>
              <w:t>Agree with Samsung's view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Nokia, NSB</w:t>
            </w:r>
          </w:p>
        </w:tc>
        <w:tc>
          <w:tcPr>
            <w:tcW w:w="12176" w:type="dxa"/>
            <w:vAlign w:val="center"/>
          </w:tcPr>
          <w:p>
            <w:pPr>
              <w:widowControl w:val="0"/>
              <w:rPr>
                <w:sz w:val="20"/>
                <w:lang w:eastAsia="zh-CN"/>
              </w:rPr>
            </w:pPr>
            <w:r>
              <w:rPr>
                <w:sz w:val="20"/>
                <w:lang w:eastAsia="zh-CN"/>
              </w:rPr>
              <w:t>We support the FL proposal (and agree with Huawei).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sz w:val="20"/>
                <w:lang w:eastAsia="zh-CN"/>
              </w:rPr>
              <w:t>Agree with Samsung's view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sz w:val="20"/>
                <w:lang w:eastAsia="zh-CN"/>
              </w:rPr>
            </w:pPr>
            <w:r>
              <w:rPr>
                <w:rFonts w:hint="eastAsia"/>
                <w:sz w:val="20"/>
                <w:lang w:eastAsia="zh-CN"/>
              </w:rPr>
              <w:t>We agree with LG</w:t>
            </w:r>
            <w:r>
              <w:rPr>
                <w:sz w:val="20"/>
                <w:lang w:eastAsia="zh-CN"/>
              </w:rPr>
              <w:t>’</w:t>
            </w:r>
            <w:r>
              <w:rPr>
                <w:rFonts w:hint="eastAsia"/>
                <w:sz w:val="20"/>
                <w:lang w:eastAsia="zh-CN"/>
              </w:rPr>
              <w:t>s comments and we can</w:t>
            </w:r>
            <w:r>
              <w:rPr>
                <w:sz w:val="20"/>
                <w:lang w:eastAsia="zh-CN"/>
              </w:rPr>
              <w:t>’</w:t>
            </w:r>
            <w:r>
              <w:rPr>
                <w:rFonts w:hint="eastAsia"/>
                <w:sz w:val="20"/>
                <w:lang w:eastAsia="zh-CN"/>
              </w:rPr>
              <w:t>t simply scale the maximum COT duration value based on Rel-16 NR-U as Samsung claims.</w:t>
            </w:r>
            <w:r>
              <w:rPr>
                <w:sz w:val="20"/>
                <w:szCs w:val="20"/>
                <w:lang w:eastAsia="zh-CN"/>
              </w:rPr>
              <w:t xml:space="preserve"> </w:t>
            </w:r>
            <w:r>
              <w:rPr>
                <w:rFonts w:hint="eastAsia"/>
                <w:sz w:val="20"/>
                <w:szCs w:val="20"/>
                <w:lang w:eastAsia="zh-CN"/>
              </w:rPr>
              <w:t>T</w:t>
            </w:r>
            <w:r>
              <w:rPr>
                <w:sz w:val="20"/>
                <w:szCs w:val="20"/>
                <w:lang w:eastAsia="zh-CN"/>
              </w:rPr>
              <w:t>he maximum COT duration in FR2-2 is 5 ms</w:t>
            </w:r>
            <w:r>
              <w:rPr>
                <w:rFonts w:hint="eastAsia"/>
                <w:sz w:val="20"/>
                <w:szCs w:val="20"/>
                <w:lang w:eastAsia="zh-CN"/>
              </w:rPr>
              <w:t xml:space="preserve"> which is different from 20ms for 15/30/60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sz w:val="20"/>
                <w:szCs w:val="20"/>
              </w:rPr>
              <w:t>Apple</w:t>
            </w:r>
          </w:p>
        </w:tc>
        <w:tc>
          <w:tcPr>
            <w:tcW w:w="12176" w:type="dxa"/>
            <w:vAlign w:val="center"/>
          </w:tcPr>
          <w:p>
            <w:pPr>
              <w:widowControl w:val="0"/>
              <w:rPr>
                <w:sz w:val="20"/>
                <w:lang w:eastAsia="zh-CN"/>
              </w:rPr>
            </w:pPr>
            <w:r>
              <w:rPr>
                <w:sz w:val="20"/>
                <w:szCs w:val="20"/>
                <w:lang w:eastAsia="zh-CN"/>
              </w:rPr>
              <w:t>We agree with Samsung/ Huawei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szCs w:val="20"/>
                <w:lang w:eastAsia="zh-CN"/>
              </w:rPr>
            </w:pPr>
            <w:r>
              <w:rPr>
                <w:rFonts w:hint="eastAsia"/>
                <w:sz w:val="20"/>
                <w:szCs w:val="20"/>
                <w:lang w:eastAsia="zh-CN"/>
              </w:rPr>
              <w:t>Transsion</w:t>
            </w:r>
          </w:p>
        </w:tc>
        <w:tc>
          <w:tcPr>
            <w:tcW w:w="12176" w:type="dxa"/>
            <w:vAlign w:val="center"/>
          </w:tcPr>
          <w:p>
            <w:pPr>
              <w:widowControl w:val="0"/>
              <w:rPr>
                <w:sz w:val="20"/>
                <w:szCs w:val="20"/>
                <w:lang w:eastAsia="zh-CN"/>
              </w:rPr>
            </w:pPr>
            <w:r>
              <w:rPr>
                <w:rFonts w:hint="eastAsia"/>
                <w:sz w:val="20"/>
                <w:szCs w:val="20"/>
                <w:lang w:eastAsia="zh-CN"/>
              </w:rPr>
              <w:t>Agree with Samsung</w:t>
            </w:r>
            <w:r>
              <w:rPr>
                <w:sz w:val="20"/>
                <w:szCs w:val="20"/>
                <w:lang w:eastAsia="zh-CN"/>
              </w:rPr>
              <w:t>’</w:t>
            </w:r>
            <w:r>
              <w:rPr>
                <w:rFonts w:hint="eastAsia"/>
                <w:sz w:val="20"/>
                <w:szCs w:val="20"/>
                <w:lang w:eastAsia="zh-CN"/>
              </w:rPr>
              <w:t>s and Huawei</w:t>
            </w:r>
            <w:r>
              <w:rPr>
                <w:sz w:val="20"/>
                <w:szCs w:val="20"/>
                <w:lang w:eastAsia="zh-CN"/>
              </w:rPr>
              <w:t>’</w:t>
            </w:r>
            <w:r>
              <w:rPr>
                <w:rFonts w:hint="eastAsia"/>
                <w:sz w:val="20"/>
                <w:szCs w:val="20"/>
                <w:lang w:eastAsia="zh-CN"/>
              </w:rPr>
              <w:t xml:space="preserve">s view </w:t>
            </w:r>
          </w:p>
        </w:tc>
      </w:tr>
    </w:tbl>
    <w:tbl>
      <w:tblPr>
        <w:tblStyle w:val="278"/>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sz w:val="20"/>
                <w:szCs w:val="20"/>
                <w:lang w:eastAsia="ja-JP"/>
              </w:rPr>
            </w:pPr>
            <w:r>
              <w:rPr>
                <w:sz w:val="20"/>
                <w:szCs w:val="20"/>
                <w:lang w:eastAsia="ja-JP"/>
              </w:rPr>
              <w:t>Futurewei</w:t>
            </w:r>
          </w:p>
        </w:tc>
        <w:tc>
          <w:tcPr>
            <w:tcW w:w="12176" w:type="dxa"/>
            <w:vAlign w:val="center"/>
          </w:tcPr>
          <w:p>
            <w:pPr>
              <w:widowControl w:val="0"/>
              <w:spacing w:line="240" w:lineRule="auto"/>
              <w:rPr>
                <w:sz w:val="20"/>
                <w:szCs w:val="20"/>
                <w:lang w:eastAsia="zh-CN"/>
              </w:rPr>
            </w:pPr>
            <w:r>
              <w:rPr>
                <w:sz w:val="20"/>
                <w:szCs w:val="20"/>
                <w:lang w:eastAsia="zh-CN"/>
              </w:rPr>
              <w:t>We agree with Samsung and Huawei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sz w:val="20"/>
                <w:szCs w:val="20"/>
                <w:lang w:eastAsia="ja-JP"/>
              </w:rPr>
            </w:pPr>
            <w:r>
              <w:rPr>
                <w:sz w:val="20"/>
                <w:szCs w:val="20"/>
                <w:lang w:eastAsia="ja-JP"/>
              </w:rPr>
              <w:t>CATT</w:t>
            </w:r>
          </w:p>
        </w:tc>
        <w:tc>
          <w:tcPr>
            <w:tcW w:w="12176" w:type="dxa"/>
            <w:vAlign w:val="center"/>
          </w:tcPr>
          <w:p>
            <w:pPr>
              <w:widowControl w:val="0"/>
              <w:spacing w:line="240" w:lineRule="auto"/>
              <w:rPr>
                <w:sz w:val="20"/>
                <w:szCs w:val="20"/>
                <w:lang w:eastAsia="zh-CN"/>
              </w:rPr>
            </w:pPr>
            <w:r>
              <w:rPr>
                <w:sz w:val="20"/>
                <w:szCs w:val="20"/>
                <w:lang w:eastAsia="zh-CN"/>
              </w:rPr>
              <w:t>We agree with Samsung/ Huawei</w:t>
            </w:r>
          </w:p>
        </w:tc>
      </w:tr>
    </w:tbl>
    <w:p/>
    <w:p>
      <w:pPr>
        <w:pStyle w:val="5"/>
      </w:pPr>
      <w:r>
        <w:t>First round discussion summary</w:t>
      </w:r>
    </w:p>
    <w:p>
      <w:pPr>
        <w:rPr>
          <w:sz w:val="20"/>
          <w:szCs w:val="20"/>
          <w:lang w:eastAsia="zh-CN"/>
        </w:rPr>
      </w:pPr>
      <w:r>
        <w:rPr>
          <w:sz w:val="20"/>
          <w:szCs w:val="20"/>
          <w:lang w:eastAsia="zh-CN"/>
        </w:rPr>
        <w:t>Most companies prefer to scale the maximum value for 120/480/960 kHz, although some companies think that MCOT for FR2-2 is 5 ms whereas it is 20 ms for 15/30/60 kHz. FL notes that even though regional regulations may impose an MCOT of less than 20 ms, there is no harm in allowing larger MCOT values in 3GPP specifications. Therefore FL suggests to agree on the scaled values as in Proposal A2-7.1a. Note that 160/640/1280 slots reflects scaled 15/30/60 kHz values.</w:t>
      </w:r>
    </w:p>
    <w:p>
      <w:pPr>
        <w:rPr>
          <w:sz w:val="20"/>
          <w:szCs w:val="20"/>
          <w:lang w:val="en-GB" w:eastAsia="zh-CN"/>
        </w:rPr>
      </w:pPr>
      <w:r>
        <w:rPr>
          <w:b/>
          <w:bCs/>
          <w:sz w:val="20"/>
          <w:szCs w:val="20"/>
          <w:highlight w:val="yellow"/>
          <w:u w:val="single"/>
          <w:lang w:val="en-GB" w:eastAsia="zh-CN"/>
        </w:rPr>
        <w:t>Proposal A2-7.1a:</w:t>
      </w:r>
      <w:r>
        <w:rPr>
          <w:sz w:val="20"/>
          <w:szCs w:val="20"/>
          <w:lang w:val="en-GB" w:eastAsia="zh-CN"/>
        </w:rPr>
        <w:t xml:space="preserve"> For operation with shared spectrum channel access, define 160/640/1280 slots as the maximum value of searchSpaceSwitchTimer for 120/480/960 kHz SCS, respectively.</w:t>
      </w:r>
    </w:p>
    <w:p>
      <w:pPr>
        <w:pStyle w:val="5"/>
      </w:pPr>
      <w:r>
        <w:t>Second round discussion</w:t>
      </w:r>
    </w:p>
    <w:p>
      <w:pPr>
        <w:rPr>
          <w:bCs/>
          <w:sz w:val="20"/>
          <w:szCs w:val="20"/>
          <w:lang w:val="en-GB" w:eastAsia="zh-CN"/>
        </w:rPr>
      </w:pPr>
      <w:r>
        <w:rPr>
          <w:bCs/>
          <w:sz w:val="20"/>
          <w:szCs w:val="20"/>
          <w:highlight w:val="yellow"/>
          <w:lang w:val="en-GB" w:eastAsia="zh-CN"/>
        </w:rPr>
        <w:t>Please comment only if you have a strong concern with Proposal A2-7.1a (see above).</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FFFF" w:themeFill="background1"/>
            <w:vAlign w:val="center"/>
          </w:tcPr>
          <w:p>
            <w:pPr>
              <w:widowControl w:val="0"/>
              <w:rPr>
                <w:lang w:eastAsia="zh-CN"/>
              </w:rPr>
            </w:pPr>
            <w:r>
              <w:rPr>
                <w:lang w:eastAsia="zh-CN"/>
              </w:rPr>
              <w:t>Huawei, HiSilicon</w:t>
            </w:r>
          </w:p>
        </w:tc>
        <w:tc>
          <w:tcPr>
            <w:tcW w:w="12176" w:type="dxa"/>
            <w:shd w:val="clear" w:color="auto" w:fill="FFFFFF" w:themeFill="background1"/>
            <w:vAlign w:val="center"/>
          </w:tcPr>
          <w:p>
            <w:pPr>
              <w:widowControl w:val="0"/>
              <w:rPr>
                <w:lang w:eastAsia="zh-CN"/>
              </w:rPr>
            </w:pPr>
            <w:r>
              <w:rPr>
                <w:lang w:eastAsia="zh-CN"/>
              </w:rPr>
              <w:t>We support Proposal A2-7.1a: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sz w:val="21"/>
                <w:szCs w:val="21"/>
                <w:lang w:eastAsia="zh-CN"/>
              </w:rPr>
              <w:t>ZTE, Sanechips</w:t>
            </w:r>
          </w:p>
        </w:tc>
        <w:tc>
          <w:tcPr>
            <w:tcW w:w="12176" w:type="dxa"/>
            <w:vAlign w:val="center"/>
          </w:tcPr>
          <w:p>
            <w:pPr>
              <w:widowControl w:val="0"/>
              <w:rPr>
                <w:lang w:eastAsia="zh-CN"/>
              </w:rPr>
            </w:pPr>
            <w:r>
              <w:rPr>
                <w:rFonts w:hint="eastAsia"/>
                <w:lang w:eastAsia="zh-CN"/>
              </w:rPr>
              <w:t>We can understand FL</w:t>
            </w:r>
            <w:r>
              <w:rPr>
                <w:lang w:eastAsia="zh-CN"/>
              </w:rPr>
              <w:t>’</w:t>
            </w:r>
            <w:r>
              <w:rPr>
                <w:rFonts w:hint="eastAsia"/>
                <w:lang w:eastAsia="zh-CN"/>
              </w:rPr>
              <w:t>suggestion, even if the MCOT for FR2-2  is different from MCOT for 15/30/60kHz, it won</w:t>
            </w:r>
            <w:r>
              <w:rPr>
                <w:lang w:eastAsia="zh-CN"/>
              </w:rPr>
              <w:t>’</w:t>
            </w:r>
            <w:r>
              <w:rPr>
                <w:rFonts w:hint="eastAsia"/>
                <w:lang w:eastAsia="zh-CN"/>
              </w:rPr>
              <w:t>t cause additional trouble by defining a larger maximum value of searchSpaceSwitchTimer for 120/480/960 kHz SCS. We are open with Proposal A2-7.1a.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We are OK with the propsoal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Moderator</w:t>
            </w:r>
          </w:p>
        </w:tc>
        <w:tc>
          <w:tcPr>
            <w:tcW w:w="12176" w:type="dxa"/>
            <w:vAlign w:val="center"/>
          </w:tcPr>
          <w:p>
            <w:pPr>
              <w:widowControl w:val="0"/>
              <w:rPr>
                <w:lang w:eastAsia="zh-CN"/>
              </w:rPr>
            </w:pPr>
            <w:r>
              <w:rPr>
                <w:lang w:eastAsia="zh-CN"/>
              </w:rPr>
              <w:t>As no strong concerns have been raised so far, I will suggest email approval for Proposal A2-7.1a. If there are any concerns, please raise them by email.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Ericsson</w:t>
            </w:r>
          </w:p>
        </w:tc>
        <w:tc>
          <w:tcPr>
            <w:tcW w:w="12176" w:type="dxa"/>
            <w:vAlign w:val="center"/>
          </w:tcPr>
          <w:p>
            <w:pPr>
              <w:widowControl w:val="0"/>
              <w:rPr>
                <w:sz w:val="20"/>
                <w:lang w:eastAsia="zh-CN"/>
              </w:rPr>
            </w:pPr>
            <w:r>
              <w:rPr>
                <w:sz w:val="20"/>
                <w:lang w:eastAsia="zh-CN"/>
              </w:rPr>
              <w:t>Support Proposal A2-7.1a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lang w:eastAsia="zh-CN"/>
              </w:rPr>
              <w:t>LG Electronics</w:t>
            </w:r>
          </w:p>
        </w:tc>
        <w:tc>
          <w:tcPr>
            <w:tcW w:w="12176" w:type="dxa"/>
            <w:vAlign w:val="center"/>
          </w:tcPr>
          <w:p>
            <w:pPr>
              <w:widowControl w:val="0"/>
              <w:rPr>
                <w:sz w:val="20"/>
                <w:lang w:eastAsia="zh-CN"/>
              </w:rPr>
            </w:pPr>
            <w:r>
              <w:rPr>
                <w:lang w:eastAsia="zh-CN"/>
              </w:rPr>
              <w:t>With FL’s kind explanation, we are fine with Proposal A2-7.1a.</w:t>
            </w:r>
            <w:r>
              <w:t xml:space="preserve"> </w:t>
            </w:r>
            <w:r>
              <w:rPr>
                <w:lang w:eastAsia="zh-CN"/>
              </w:rPr>
              <w:t>The efficient use of the Timer value can be left up to the gNB implementation.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top"/>
          </w:tcPr>
          <w:p>
            <w:pPr>
              <w:widowControl w:val="0"/>
              <w:rPr>
                <w:lang w:eastAsia="zh-CN"/>
              </w:rPr>
            </w:pPr>
            <w:r>
              <w:rPr>
                <w:lang w:eastAsia="zh-CN"/>
              </w:rPr>
              <w:t>CATT</w:t>
            </w:r>
          </w:p>
        </w:tc>
        <w:tc>
          <w:tcPr>
            <w:tcW w:w="12176" w:type="dxa"/>
            <w:vAlign w:val="top"/>
          </w:tcPr>
          <w:p>
            <w:pPr>
              <w:widowControl w:val="0"/>
              <w:rPr>
                <w:lang w:eastAsia="zh-CN"/>
              </w:rPr>
            </w:pPr>
            <w:r>
              <w:rPr>
                <w:lang w:eastAsia="zh-CN"/>
              </w:rPr>
              <w:t>We support Proposal A2-7.1a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top"/>
          </w:tcPr>
          <w:p>
            <w:pPr>
              <w:widowControl w:val="0"/>
              <w:rPr>
                <w:lang w:eastAsia="zh-CN"/>
              </w:rPr>
            </w:pPr>
            <w:r>
              <w:rPr>
                <w:rFonts w:hint="eastAsia"/>
                <w:lang w:eastAsia="zh-CN"/>
              </w:rPr>
              <w:t>v</w:t>
            </w:r>
            <w:r>
              <w:rPr>
                <w:lang w:eastAsia="zh-CN"/>
              </w:rPr>
              <w:t>ivo</w:t>
            </w:r>
          </w:p>
        </w:tc>
        <w:tc>
          <w:tcPr>
            <w:tcW w:w="12176" w:type="dxa"/>
            <w:vAlign w:val="top"/>
          </w:tcPr>
          <w:p>
            <w:pPr>
              <w:widowControl w:val="0"/>
              <w:rPr>
                <w:lang w:eastAsia="zh-CN"/>
              </w:rPr>
            </w:pPr>
            <w:r>
              <w:rPr>
                <w:lang w:eastAsia="zh-CN"/>
              </w:rPr>
              <w:t>We support Proposal A2-7.1a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top"/>
          </w:tcPr>
          <w:p>
            <w:pPr>
              <w:widowControl w:val="0"/>
              <w:rPr>
                <w:lang w:eastAsia="zh-CN"/>
              </w:rPr>
            </w:pPr>
            <w:r>
              <w:rPr>
                <w:lang w:eastAsia="zh-CN"/>
              </w:rPr>
              <w:t>Futurewei</w:t>
            </w:r>
          </w:p>
        </w:tc>
        <w:tc>
          <w:tcPr>
            <w:tcW w:w="12176" w:type="dxa"/>
            <w:vAlign w:val="top"/>
          </w:tcPr>
          <w:p>
            <w:pPr>
              <w:widowControl w:val="0"/>
              <w:rPr>
                <w:lang w:eastAsia="zh-CN"/>
              </w:rPr>
            </w:pPr>
            <w:r>
              <w:rPr>
                <w:lang w:eastAsia="zh-CN"/>
              </w:rPr>
              <w:t>We support Proposal A2-7.1a</w:t>
            </w:r>
          </w:p>
        </w:tc>
      </w:tr>
    </w:tbl>
    <w:p/>
    <w:p>
      <w:pPr>
        <w:pStyle w:val="4"/>
      </w:pPr>
      <w:r>
        <w:t xml:space="preserve">Issue A2-8: </w:t>
      </w:r>
      <w:r>
        <w:rPr>
          <w:highlight w:val="cyan"/>
          <w:lang w:val="en-US" w:eastAsia="ko-KR"/>
        </w:rPr>
        <w:t>[High Priority]</w:t>
      </w:r>
      <w:r>
        <w:rPr>
          <w:lang w:val="en-US" w:eastAsia="ko-KR"/>
        </w:rPr>
        <w:t xml:space="preserve"> </w:t>
      </w:r>
      <w:r>
        <w:t xml:space="preserve">Harmonization of SSSG switching with Rel-17 power saving (e.g. </w:t>
      </w:r>
      <w:r>
        <w:rPr>
          <w:i/>
          <w:szCs w:val="21"/>
        </w:rPr>
        <w:t xml:space="preserve">searchSpaceSwitchTimer-r17, </w:t>
      </w:r>
      <w:r>
        <w:t>PDCCH skipping)</w:t>
      </w:r>
    </w:p>
    <w:p>
      <w:pPr>
        <w:pStyle w:val="5"/>
      </w:pPr>
      <w:r>
        <w:t xml:space="preserve">First round discussion </w:t>
      </w:r>
    </w:p>
    <w:p>
      <w:r>
        <w:t xml:space="preserve">Several documents show support for </w:t>
      </w:r>
      <w:r>
        <w:rPr>
          <w:sz w:val="20"/>
          <w:szCs w:val="20"/>
          <w:lang w:eastAsia="zh-CN"/>
        </w:rPr>
        <w:t>supporting Rel-17 PDCCH skipping feature also in FR2-2.</w:t>
      </w:r>
    </w:p>
    <w:p>
      <w:pPr>
        <w:rPr>
          <w:b/>
          <w:bCs/>
        </w:rPr>
      </w:pPr>
      <w:r>
        <w:rPr>
          <w:b/>
          <w:bCs/>
          <w:sz w:val="20"/>
          <w:szCs w:val="20"/>
          <w:highlight w:val="yellow"/>
          <w:u w:val="single"/>
        </w:rPr>
        <w:t>Proposal A2-8.1</w:t>
      </w:r>
      <w:r>
        <w:rPr>
          <w:b/>
          <w:bCs/>
          <w:sz w:val="20"/>
          <w:szCs w:val="20"/>
        </w:rPr>
        <w:t xml:space="preserve"> (see R1-2200953): </w:t>
      </w:r>
      <w:r>
        <w:rPr>
          <w:b/>
          <w:bCs/>
          <w:color w:val="000000"/>
        </w:rPr>
        <w:t xml:space="preserve">In unit of slots, </w:t>
      </w:r>
      <w:r>
        <w:rPr>
          <w:b/>
          <w:bCs/>
        </w:rPr>
        <w:t xml:space="preserve">the supported values for </w:t>
      </w:r>
      <w:r>
        <w:rPr>
          <w:b/>
          <w:bCs/>
          <w:i/>
        </w:rPr>
        <w:t>searchSpaceSwitchTimer-r17</w:t>
      </w:r>
      <w:r>
        <w:rPr>
          <w:b/>
          <w:bCs/>
        </w:rPr>
        <w:t xml:space="preserve"> and </w:t>
      </w:r>
      <w:r>
        <w:rPr>
          <w:b/>
          <w:bCs/>
          <w:i/>
        </w:rPr>
        <w:t>PDCCHSkippingDuration</w:t>
      </w:r>
      <w:r>
        <w:rPr>
          <w:b/>
          <w:bCs/>
        </w:rPr>
        <w:t xml:space="preserve"> for 480 kHz and 960 kHz are respectively 4x and 8x of their supported values for 120 kHz.</w:t>
      </w:r>
    </w:p>
    <w:p>
      <w:pPr>
        <w:rPr>
          <w:b/>
          <w:bCs/>
          <w:sz w:val="20"/>
          <w:szCs w:val="20"/>
        </w:rPr>
      </w:pPr>
      <w:r>
        <w:rPr>
          <w:b/>
          <w:bCs/>
          <w:sz w:val="20"/>
          <w:szCs w:val="20"/>
          <w:highlight w:val="yellow"/>
          <w:u w:val="single"/>
        </w:rPr>
        <w:t>Proposal A2-8.2</w:t>
      </w:r>
      <w:r>
        <w:rPr>
          <w:b/>
          <w:bCs/>
          <w:sz w:val="20"/>
          <w:szCs w:val="20"/>
        </w:rPr>
        <w:t xml:space="preserve"> (based on R1-22001663):</w:t>
      </w:r>
    </w:p>
    <w:p>
      <w:pPr>
        <w:pStyle w:val="82"/>
        <w:numPr>
          <w:ilvl w:val="0"/>
          <w:numId w:val="54"/>
        </w:numPr>
        <w:rPr>
          <w:b/>
          <w:bCs/>
          <w:sz w:val="20"/>
          <w:szCs w:val="20"/>
        </w:rPr>
      </w:pPr>
      <w:r>
        <w:rPr>
          <w:b/>
          <w:bCs/>
          <w:sz w:val="20"/>
          <w:szCs w:val="20"/>
        </w:rPr>
        <w:t>Support PDCCH skipping feature also in FR2-2</w:t>
      </w:r>
    </w:p>
    <w:p>
      <w:pPr>
        <w:pStyle w:val="82"/>
        <w:numPr>
          <w:ilvl w:val="0"/>
          <w:numId w:val="54"/>
        </w:numPr>
        <w:rPr>
          <w:b/>
          <w:bCs/>
          <w:sz w:val="20"/>
          <w:szCs w:val="20"/>
        </w:rPr>
      </w:pPr>
      <w:r>
        <w:rPr>
          <w:b/>
          <w:bCs/>
          <w:sz w:val="20"/>
          <w:szCs w:val="20"/>
        </w:rPr>
        <w:t>PDCCH Skipping lasts till the next slot group boundary after the skipping duration expires</w:t>
      </w:r>
    </w:p>
    <w:p>
      <w:pPr>
        <w:pStyle w:val="82"/>
        <w:numPr>
          <w:ilvl w:val="0"/>
          <w:numId w:val="54"/>
        </w:numPr>
        <w:rPr>
          <w:b/>
          <w:bCs/>
          <w:sz w:val="20"/>
          <w:szCs w:val="20"/>
        </w:rPr>
      </w:pPr>
      <w:r>
        <w:rPr>
          <w:b/>
          <w:bCs/>
          <w:sz w:val="20"/>
          <w:szCs w:val="20"/>
          <w:lang w:eastAsia="zh-CN"/>
        </w:rPr>
        <w:t>Support following skipping durations</w:t>
      </w:r>
    </w:p>
    <w:p>
      <w:pPr>
        <w:pStyle w:val="82"/>
        <w:numPr>
          <w:ilvl w:val="1"/>
          <w:numId w:val="54"/>
        </w:numPr>
        <w:rPr>
          <w:b/>
          <w:bCs/>
          <w:sz w:val="20"/>
          <w:szCs w:val="20"/>
        </w:rPr>
      </w:pPr>
      <w:r>
        <w:rPr>
          <w:b/>
          <w:bCs/>
          <w:sz w:val="20"/>
          <w:szCs w:val="20"/>
        </w:rPr>
        <w:t xml:space="preserve">{2,3,4,8,12,16,…636,640,720,…,1200,1280, 1440, 1600, 1760,…,3040,3200} for 480kHz SCS </w:t>
      </w:r>
    </w:p>
    <w:p>
      <w:pPr>
        <w:pStyle w:val="82"/>
        <w:numPr>
          <w:ilvl w:val="2"/>
          <w:numId w:val="54"/>
        </w:numPr>
        <w:rPr>
          <w:b/>
          <w:bCs/>
          <w:sz w:val="20"/>
          <w:szCs w:val="20"/>
        </w:rPr>
      </w:pPr>
      <w:r>
        <w:rPr>
          <w:b/>
          <w:bCs/>
          <w:sz w:val="20"/>
          <w:szCs w:val="20"/>
        </w:rPr>
        <w:t>Note: This is based on {2,3,[4:4:636],[640:80:1200],[1280:160:3200]}</w:t>
      </w:r>
    </w:p>
    <w:p>
      <w:pPr>
        <w:pStyle w:val="82"/>
        <w:numPr>
          <w:ilvl w:val="1"/>
          <w:numId w:val="54"/>
        </w:numPr>
        <w:rPr>
          <w:b/>
          <w:bCs/>
          <w:sz w:val="20"/>
          <w:szCs w:val="20"/>
        </w:rPr>
      </w:pPr>
      <w:r>
        <w:rPr>
          <w:b/>
          <w:bCs/>
          <w:sz w:val="20"/>
          <w:szCs w:val="20"/>
          <w:lang w:eastAsia="zh-CN"/>
        </w:rPr>
        <w:t>{2,4,7,8,16,24,…1280,1440,1600,2400,2560,2880,3200,…,6080,6400 } for 960kHz SCS</w:t>
      </w:r>
    </w:p>
    <w:p>
      <w:pPr>
        <w:pStyle w:val="82"/>
        <w:numPr>
          <w:ilvl w:val="2"/>
          <w:numId w:val="54"/>
        </w:numPr>
        <w:rPr>
          <w:b/>
          <w:bCs/>
          <w:sz w:val="20"/>
          <w:szCs w:val="20"/>
        </w:rPr>
      </w:pPr>
      <w:r>
        <w:rPr>
          <w:b/>
          <w:bCs/>
          <w:sz w:val="20"/>
          <w:szCs w:val="20"/>
        </w:rPr>
        <w:t xml:space="preserve">Note: This is based on </w:t>
      </w:r>
      <w:r>
        <w:rPr>
          <w:b/>
          <w:bCs/>
          <w:sz w:val="20"/>
          <w:szCs w:val="20"/>
          <w:lang w:eastAsia="zh-CN"/>
        </w:rPr>
        <w:t>{2,4,7,[8:8:1280],[1440:160:2560],[2880:320:6400]}</w:t>
      </w:r>
    </w:p>
    <w:p>
      <w:pPr>
        <w:rPr>
          <w:bCs/>
          <w:sz w:val="20"/>
          <w:szCs w:val="20"/>
          <w:highlight w:val="yellow"/>
          <w:lang w:eastAsia="zh-CN"/>
        </w:rPr>
      </w:pPr>
    </w:p>
    <w:p>
      <w:pPr>
        <w:rPr>
          <w:bCs/>
          <w:sz w:val="20"/>
          <w:szCs w:val="20"/>
          <w:lang w:eastAsia="zh-CN"/>
        </w:rPr>
      </w:pPr>
      <w:r>
        <w:rPr>
          <w:bCs/>
          <w:sz w:val="20"/>
          <w:szCs w:val="20"/>
          <w:highlight w:val="yellow"/>
          <w:lang w:eastAsia="zh-CN"/>
        </w:rPr>
        <w:t>Please comment whether you support any of proposals A2-8.1 and A2-8.2.</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We support Rel-17 power saving in FR2-2, and support Proposal A2-8.1.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Ericsson</w:t>
            </w:r>
          </w:p>
        </w:tc>
        <w:tc>
          <w:tcPr>
            <w:tcW w:w="12176" w:type="dxa"/>
            <w:vAlign w:val="center"/>
          </w:tcPr>
          <w:p>
            <w:pPr>
              <w:widowControl w:val="0"/>
              <w:rPr>
                <w:sz w:val="20"/>
                <w:lang w:eastAsia="zh-CN"/>
              </w:rPr>
            </w:pPr>
            <w:r>
              <w:rPr>
                <w:sz w:val="20"/>
                <w:lang w:eastAsia="zh-CN"/>
              </w:rPr>
              <w:t>Suppport Proposal A2-8.1.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Qualcomm</w:t>
            </w:r>
          </w:p>
        </w:tc>
        <w:tc>
          <w:tcPr>
            <w:tcW w:w="12176" w:type="dxa"/>
            <w:vAlign w:val="center"/>
          </w:tcPr>
          <w:p>
            <w:pPr>
              <w:widowControl w:val="0"/>
              <w:rPr>
                <w:sz w:val="20"/>
                <w:lang w:eastAsia="zh-CN"/>
              </w:rPr>
            </w:pPr>
            <w:r>
              <w:rPr>
                <w:sz w:val="20"/>
                <w:lang w:eastAsia="zh-CN"/>
              </w:rPr>
              <w:t xml:space="preserve">We are generally fine with the idea of scaling the values for 120 kHz by factor of 4 or 8, and support Proposal A2-8.1. However, the granularity of values may need further discussion. Since Xs = 4 is optionally supported for 960 kHz SCS, if we simply scale the values for 120 kHz by 8, it will restrict the skipping duration to be unit of two slot groups.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szCs w:val="20"/>
              </w:rPr>
            </w:pPr>
            <w:r>
              <w:rPr>
                <w:sz w:val="20"/>
                <w:szCs w:val="20"/>
              </w:rPr>
              <w:t>LG Electronics</w:t>
            </w:r>
          </w:p>
        </w:tc>
        <w:tc>
          <w:tcPr>
            <w:tcW w:w="12176" w:type="dxa"/>
            <w:vAlign w:val="center"/>
          </w:tcPr>
          <w:p>
            <w:pPr>
              <w:widowControl w:val="0"/>
              <w:rPr>
                <w:sz w:val="20"/>
                <w:szCs w:val="20"/>
                <w:lang w:eastAsia="zh-CN"/>
              </w:rPr>
            </w:pPr>
            <w:r>
              <w:rPr>
                <w:sz w:val="20"/>
                <w:szCs w:val="20"/>
                <w:lang w:eastAsia="zh-CN"/>
              </w:rPr>
              <w:t xml:space="preserve">For the Proposal A2-8.1, we agree the principle that the supported values for 480/960 kHz are respectively 4x and 8x of their supported values for 120 kHz. We had two clarification questions for the proposal. </w:t>
            </w:r>
          </w:p>
          <w:p>
            <w:pPr>
              <w:pStyle w:val="82"/>
              <w:widowControl w:val="0"/>
              <w:numPr>
                <w:ilvl w:val="0"/>
                <w:numId w:val="55"/>
              </w:numPr>
              <w:rPr>
                <w:sz w:val="20"/>
                <w:szCs w:val="20"/>
                <w:lang w:eastAsia="zh-CN"/>
              </w:rPr>
            </w:pPr>
            <w:r>
              <w:rPr>
                <w:sz w:val="20"/>
                <w:szCs w:val="20"/>
                <w:lang w:eastAsia="zh-CN"/>
              </w:rPr>
              <w:t xml:space="preserve">Does the proposal mean to define the same set of values for </w:t>
            </w:r>
            <w:r>
              <w:rPr>
                <w:i/>
                <w:sz w:val="20"/>
                <w:szCs w:val="20"/>
                <w:lang w:eastAsia="zh-CN"/>
              </w:rPr>
              <w:t>searchSpaceSwitchTimer-r17</w:t>
            </w:r>
            <w:r>
              <w:rPr>
                <w:sz w:val="20"/>
                <w:szCs w:val="20"/>
                <w:lang w:eastAsia="zh-CN"/>
              </w:rPr>
              <w:t xml:space="preserve"> for both LBT case and non-LBT case? </w:t>
            </w:r>
          </w:p>
          <w:p>
            <w:pPr>
              <w:pStyle w:val="82"/>
              <w:widowControl w:val="0"/>
              <w:numPr>
                <w:ilvl w:val="0"/>
                <w:numId w:val="55"/>
              </w:numPr>
              <w:rPr>
                <w:sz w:val="20"/>
                <w:szCs w:val="20"/>
                <w:lang w:eastAsia="zh-CN"/>
              </w:rPr>
            </w:pPr>
            <w:r>
              <w:rPr>
                <w:sz w:val="20"/>
                <w:szCs w:val="20"/>
                <w:lang w:eastAsia="zh-CN"/>
              </w:rPr>
              <w:t xml:space="preserve">What is the supported values for </w:t>
            </w:r>
            <w:r>
              <w:rPr>
                <w:i/>
                <w:sz w:val="20"/>
                <w:szCs w:val="20"/>
                <w:lang w:eastAsia="zh-CN"/>
              </w:rPr>
              <w:t>searchSpaceSwitchTimer-r17</w:t>
            </w:r>
            <w:r>
              <w:rPr>
                <w:sz w:val="20"/>
                <w:szCs w:val="20"/>
                <w:lang w:eastAsia="zh-CN"/>
              </w:rPr>
              <w:t xml:space="preserve"> for 120 kHz SCS?  Does the proposal mean that the value for 480 kHz or 960 kHz should be scaled regardless of that value?</w:t>
            </w:r>
          </w:p>
          <w:p>
            <w:pPr>
              <w:widowControl w:val="0"/>
              <w:rPr>
                <w:sz w:val="20"/>
                <w:szCs w:val="20"/>
                <w:lang w:eastAsia="zh-CN"/>
              </w:rPr>
            </w:pPr>
            <w:r>
              <w:rPr>
                <w:sz w:val="20"/>
                <w:szCs w:val="20"/>
                <w:lang w:eastAsia="zh-CN"/>
              </w:rPr>
              <w:t>For the Proposal A2-8.2, we support the concept of lasting PDCCH skipping till the next slot-group boundary</w:t>
            </w:r>
            <w:r>
              <w:rPr>
                <w:sz w:val="20"/>
                <w:szCs w:val="20"/>
              </w:rPr>
              <w:t xml:space="preserve"> </w:t>
            </w:r>
            <w:r>
              <w:rPr>
                <w:sz w:val="20"/>
                <w:szCs w:val="20"/>
                <w:lang w:eastAsia="zh-CN"/>
              </w:rPr>
              <w:t>after the kipping duration expires. However, we had two clarification questions for the proposal.</w:t>
            </w:r>
          </w:p>
          <w:p>
            <w:pPr>
              <w:pStyle w:val="82"/>
              <w:widowControl w:val="0"/>
              <w:numPr>
                <w:ilvl w:val="0"/>
                <w:numId w:val="56"/>
              </w:numPr>
              <w:rPr>
                <w:sz w:val="20"/>
                <w:szCs w:val="20"/>
                <w:lang w:eastAsia="zh-CN"/>
              </w:rPr>
            </w:pPr>
            <w:r>
              <w:rPr>
                <w:sz w:val="20"/>
                <w:szCs w:val="20"/>
                <w:lang w:eastAsia="zh-CN"/>
              </w:rPr>
              <w:t>Why do we need values that are not integer multiples of X (e.g., {2,3} for 480 kHz)?</w:t>
            </w:r>
          </w:p>
          <w:p>
            <w:pPr>
              <w:pStyle w:val="82"/>
              <w:widowControl w:val="0"/>
              <w:numPr>
                <w:ilvl w:val="0"/>
                <w:numId w:val="56"/>
              </w:numPr>
              <w:rPr>
                <w:sz w:val="20"/>
                <w:szCs w:val="20"/>
                <w:lang w:eastAsia="zh-CN"/>
              </w:rPr>
            </w:pPr>
            <w:r>
              <w:rPr>
                <w:sz w:val="20"/>
                <w:szCs w:val="20"/>
                <w:lang w:eastAsia="zh-CN"/>
              </w:rPr>
              <w:t xml:space="preserve">The skipping duration for 120 kHz in PS WI was determined as </w:t>
            </w:r>
            <w:r>
              <w:rPr>
                <w:sz w:val="20"/>
                <w:szCs w:val="20"/>
              </w:rPr>
              <w:t>{1, 2, 3, …,160, 240, 320,400, 480, 640, 800}, and this set of values consists of a total of 166 values. However, the proposed set of values in the proposal consists of a total of 182 values for 480 kHz or 183 values for 960 kHz. Is this an intention of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szCs w:val="20"/>
              </w:rPr>
            </w:pPr>
            <w:r>
              <w:rPr>
                <w:rFonts w:eastAsia="MS Mincho"/>
                <w:lang w:eastAsia="ja-JP"/>
              </w:rPr>
              <w:t>Sharp</w:t>
            </w:r>
          </w:p>
        </w:tc>
        <w:tc>
          <w:tcPr>
            <w:tcW w:w="12176" w:type="dxa"/>
            <w:vAlign w:val="center"/>
          </w:tcPr>
          <w:p>
            <w:pPr>
              <w:widowControl w:val="0"/>
              <w:rPr>
                <w:sz w:val="20"/>
                <w:szCs w:val="20"/>
                <w:lang w:eastAsia="zh-CN"/>
              </w:rPr>
            </w:pPr>
            <w:r>
              <w:rPr>
                <w:rFonts w:hint="eastAsia" w:eastAsia="MS Mincho"/>
                <w:lang w:eastAsia="ja-JP"/>
              </w:rPr>
              <w:t>We support</w:t>
            </w:r>
            <w:r>
              <w:rPr>
                <w:rFonts w:eastAsia="MS Mincho"/>
                <w:lang w:eastAsia="ja-JP"/>
              </w:rPr>
              <w:t xml:space="preserve"> Proposal A2-8-1.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p>
        </w:tc>
        <w:tc>
          <w:tcPr>
            <w:tcW w:w="12176" w:type="dxa"/>
            <w:vAlign w:val="center"/>
          </w:tcPr>
          <w:p>
            <w:pPr>
              <w:widowControl w:val="0"/>
              <w:rPr>
                <w:rFonts w:eastAsia="MS Mincho"/>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Huawei, HiSilicon</w:t>
            </w:r>
          </w:p>
        </w:tc>
        <w:tc>
          <w:tcPr>
            <w:tcW w:w="12176" w:type="dxa"/>
            <w:vAlign w:val="center"/>
          </w:tcPr>
          <w:p>
            <w:pPr>
              <w:widowControl w:val="0"/>
              <w:rPr>
                <w:sz w:val="20"/>
                <w:lang w:eastAsia="zh-CN"/>
              </w:rPr>
            </w:pPr>
            <w:r>
              <w:rPr>
                <w:sz w:val="20"/>
                <w:lang w:eastAsia="zh-CN"/>
              </w:rPr>
              <w:t>Suppport Proposal A2-8.1.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sz w:val="20"/>
                <w:lang w:eastAsia="zh-CN"/>
              </w:rPr>
              <w:t>X</w:t>
            </w:r>
            <w:r>
              <w:rPr>
                <w:sz w:val="20"/>
                <w:lang w:eastAsia="zh-CN"/>
              </w:rPr>
              <w:t>iaomi</w:t>
            </w:r>
          </w:p>
        </w:tc>
        <w:tc>
          <w:tcPr>
            <w:tcW w:w="12176" w:type="dxa"/>
            <w:vAlign w:val="center"/>
          </w:tcPr>
          <w:p>
            <w:pPr>
              <w:widowControl w:val="0"/>
              <w:rPr>
                <w:sz w:val="20"/>
                <w:lang w:eastAsia="zh-CN"/>
              </w:rPr>
            </w:pPr>
            <w:r>
              <w:rPr>
                <w:lang w:eastAsia="zh-CN"/>
              </w:rPr>
              <w:t>We support Rel-17 power saving in FR2-2, and support Proposal A2-8.1.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lang w:eastAsia="zh-CN"/>
              </w:rPr>
              <w:t>Nokia, NSB</w:t>
            </w:r>
          </w:p>
        </w:tc>
        <w:tc>
          <w:tcPr>
            <w:tcW w:w="12176" w:type="dxa"/>
            <w:vAlign w:val="center"/>
          </w:tcPr>
          <w:p>
            <w:pPr>
              <w:widowControl w:val="0"/>
              <w:rPr>
                <w:lang w:eastAsia="zh-CN"/>
              </w:rPr>
            </w:pPr>
            <w:r>
              <w:rPr>
                <w:lang w:eastAsia="zh-CN"/>
              </w:rPr>
              <w:t xml:space="preserve">Agree </w:t>
            </w:r>
            <w:r>
              <w:rPr>
                <w:sz w:val="20"/>
                <w:lang w:eastAsia="zh-CN"/>
              </w:rPr>
              <w:t>Proposal A2-8.1</w:t>
            </w:r>
            <w:r>
              <w:rPr>
                <w:lang w:eastAsia="zh-CN"/>
              </w:rPr>
              <w:t xml:space="preserve"> in principle. </w:t>
            </w:r>
          </w:p>
          <w:p>
            <w:pPr>
              <w:widowControl w:val="0"/>
              <w:rPr>
                <w:sz w:val="20"/>
                <w:lang w:eastAsia="zh-CN"/>
              </w:rPr>
            </w:pPr>
            <w:r>
              <w:rPr>
                <w:lang w:eastAsia="zh-CN"/>
              </w:rPr>
              <w:t>However, we think that should be discussed in Rel-17 UE power saving AI (and not here)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 xml:space="preserve">We prefer proposal A2-8.1for simplicity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sz w:val="20"/>
                <w:lang w:eastAsia="zh-CN"/>
              </w:rPr>
              <w:t>We s</w:t>
            </w:r>
            <w:r>
              <w:rPr>
                <w:sz w:val="20"/>
                <w:lang w:eastAsia="zh-CN"/>
              </w:rPr>
              <w:t>uppport Proposal A2-8.1.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sz w:val="20"/>
                <w:lang w:eastAsia="zh-CN"/>
              </w:rPr>
              <w:t>Panasonic</w:t>
            </w:r>
          </w:p>
        </w:tc>
        <w:tc>
          <w:tcPr>
            <w:tcW w:w="12176" w:type="dxa"/>
            <w:vAlign w:val="center"/>
          </w:tcPr>
          <w:p>
            <w:pPr>
              <w:widowControl w:val="0"/>
              <w:rPr>
                <w:sz w:val="20"/>
                <w:lang w:eastAsia="zh-CN"/>
              </w:rPr>
            </w:pPr>
            <w:r>
              <w:rPr>
                <w:lang w:eastAsia="zh-CN"/>
              </w:rPr>
              <w:t>We support Proposal A2-8.1.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szCs w:val="20"/>
              </w:rPr>
              <w:t>Apple</w:t>
            </w:r>
          </w:p>
        </w:tc>
        <w:tc>
          <w:tcPr>
            <w:tcW w:w="12176" w:type="dxa"/>
            <w:vAlign w:val="center"/>
          </w:tcPr>
          <w:p>
            <w:pPr>
              <w:widowControl w:val="0"/>
              <w:rPr>
                <w:lang w:eastAsia="zh-CN"/>
              </w:rPr>
            </w:pPr>
            <w:r>
              <w:rPr>
                <w:sz w:val="20"/>
                <w:szCs w:val="20"/>
                <w:lang w:eastAsia="zh-CN"/>
              </w:rPr>
              <w:t xml:space="preserve">We support Proposal A2-8.1.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szCs w:val="20"/>
                <w:lang w:eastAsia="zh-CN"/>
              </w:rPr>
            </w:pPr>
            <w:r>
              <w:rPr>
                <w:rFonts w:hint="eastAsia"/>
                <w:sz w:val="20"/>
                <w:szCs w:val="20"/>
                <w:lang w:eastAsia="zh-CN"/>
              </w:rPr>
              <w:t>Transsion</w:t>
            </w:r>
          </w:p>
        </w:tc>
        <w:tc>
          <w:tcPr>
            <w:tcW w:w="12176" w:type="dxa"/>
            <w:vAlign w:val="center"/>
          </w:tcPr>
          <w:p>
            <w:pPr>
              <w:widowControl w:val="0"/>
              <w:rPr>
                <w:sz w:val="20"/>
                <w:szCs w:val="20"/>
                <w:lang w:eastAsia="zh-CN"/>
              </w:rPr>
            </w:pPr>
            <w:r>
              <w:rPr>
                <w:rFonts w:hint="eastAsia"/>
                <w:sz w:val="20"/>
                <w:szCs w:val="20"/>
                <w:lang w:eastAsia="zh-CN"/>
              </w:rPr>
              <w:t>We support Proposal A2-8.1.</w:t>
            </w:r>
          </w:p>
        </w:tc>
      </w:tr>
    </w:tbl>
    <w:tbl>
      <w:tblPr>
        <w:tblStyle w:val="279"/>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sz w:val="20"/>
                <w:szCs w:val="20"/>
                <w:lang w:eastAsia="ja-JP"/>
              </w:rPr>
            </w:pPr>
            <w:r>
              <w:rPr>
                <w:sz w:val="20"/>
                <w:szCs w:val="20"/>
                <w:lang w:eastAsia="ja-JP"/>
              </w:rPr>
              <w:t>Futurewei</w:t>
            </w:r>
          </w:p>
        </w:tc>
        <w:tc>
          <w:tcPr>
            <w:tcW w:w="12176" w:type="dxa"/>
            <w:vAlign w:val="center"/>
          </w:tcPr>
          <w:p>
            <w:pPr>
              <w:widowControl w:val="0"/>
              <w:spacing w:line="240" w:lineRule="auto"/>
              <w:rPr>
                <w:sz w:val="20"/>
                <w:szCs w:val="20"/>
                <w:lang w:eastAsia="zh-CN"/>
              </w:rPr>
            </w:pPr>
            <w:r>
              <w:rPr>
                <w:sz w:val="20"/>
                <w:szCs w:val="20"/>
                <w:lang w:eastAsia="zh-CN"/>
              </w:rPr>
              <w:t>Support Proposal A2-8.1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sz w:val="20"/>
                <w:szCs w:val="20"/>
                <w:lang w:eastAsia="ja-JP"/>
              </w:rPr>
            </w:pPr>
            <w:r>
              <w:rPr>
                <w:sz w:val="20"/>
                <w:lang w:eastAsia="ja-JP"/>
              </w:rPr>
              <w:t>CATT</w:t>
            </w:r>
          </w:p>
        </w:tc>
        <w:tc>
          <w:tcPr>
            <w:tcW w:w="12176" w:type="dxa"/>
            <w:vAlign w:val="center"/>
          </w:tcPr>
          <w:p>
            <w:pPr>
              <w:widowControl w:val="0"/>
              <w:spacing w:line="240" w:lineRule="auto"/>
              <w:rPr>
                <w:sz w:val="20"/>
                <w:szCs w:val="20"/>
                <w:lang w:eastAsia="zh-CN"/>
              </w:rPr>
            </w:pPr>
            <w:r>
              <w:rPr>
                <w:sz w:val="20"/>
                <w:lang w:eastAsia="zh-CN"/>
              </w:rPr>
              <w:t>Support Proposal A2-8.1.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spacing w:line="240" w:lineRule="auto"/>
              <w:rPr>
                <w:sz w:val="20"/>
                <w:lang w:eastAsia="ja-JP"/>
              </w:rPr>
            </w:pPr>
            <w:r>
              <w:rPr>
                <w:sz w:val="20"/>
                <w:lang w:eastAsia="ja-JP"/>
              </w:rPr>
              <w:t>Moderator (Lenovo)</w:t>
            </w:r>
          </w:p>
        </w:tc>
        <w:tc>
          <w:tcPr>
            <w:tcW w:w="12176" w:type="dxa"/>
            <w:shd w:val="clear" w:color="auto" w:fill="FFC000"/>
            <w:vAlign w:val="center"/>
          </w:tcPr>
          <w:p>
            <w:pPr>
              <w:widowControl w:val="0"/>
              <w:spacing w:line="240" w:lineRule="auto"/>
              <w:rPr>
                <w:sz w:val="20"/>
                <w:lang w:eastAsia="zh-CN"/>
              </w:rPr>
            </w:pPr>
            <w:r>
              <w:rPr>
                <w:sz w:val="20"/>
                <w:lang w:eastAsia="zh-CN"/>
              </w:rPr>
              <w:t>Per chairman's guidance:</w:t>
            </w:r>
          </w:p>
          <w:p>
            <w:pPr>
              <w:pStyle w:val="82"/>
              <w:widowControl/>
              <w:numPr>
                <w:ilvl w:val="0"/>
                <w:numId w:val="57"/>
              </w:numPr>
              <w:spacing w:line="240" w:lineRule="auto"/>
              <w:rPr>
                <w:sz w:val="20"/>
                <w:lang w:val="en-GB" w:eastAsia="zh-CN"/>
              </w:rPr>
            </w:pPr>
            <w:r>
              <w:rPr>
                <w:sz w:val="20"/>
                <w:lang w:eastAsia="zh-CN"/>
              </w:rPr>
              <w:t>Consolidate the email discussion for searchSpaceSwitchTimer-r17 and PDCCHSkippingDuration under [108-e-NR-52-71GHz-02]. This will also be announced by Xiaodong over [108-e-R17-PowSav-03].</w:t>
            </w:r>
          </w:p>
          <w:p>
            <w:pPr>
              <w:pStyle w:val="82"/>
              <w:widowControl/>
              <w:numPr>
                <w:ilvl w:val="0"/>
                <w:numId w:val="57"/>
              </w:numPr>
              <w:spacing w:line="240" w:lineRule="auto"/>
              <w:rPr>
                <w:sz w:val="20"/>
                <w:lang w:val="en-GB" w:eastAsia="zh-CN"/>
              </w:rPr>
            </w:pPr>
            <w:r>
              <w:rPr>
                <w:sz w:val="20"/>
                <w:lang w:eastAsia="zh-CN"/>
              </w:rPr>
              <w:t>If there is a need to have GTW discussion for this topic, we will have it in the 60 GHz GTW session. In this case, the joint session will be announced in advance and we will find a time slot that does not overlap with UE power savings.</w:t>
            </w:r>
          </w:p>
          <w:p>
            <w:pPr>
              <w:pStyle w:val="82"/>
              <w:widowControl w:val="0"/>
              <w:numPr>
                <w:ilvl w:val="0"/>
                <w:numId w:val="57"/>
              </w:numPr>
              <w:spacing w:line="240" w:lineRule="auto"/>
              <w:rPr>
                <w:sz w:val="20"/>
                <w:lang w:val="en-GB" w:eastAsia="zh-CN"/>
              </w:rPr>
            </w:pPr>
            <w:r>
              <w:rPr>
                <w:sz w:val="20"/>
                <w:lang w:eastAsia="zh-CN"/>
              </w:rPr>
              <w:t>With regards the related working assumption in the UE power savings session, it is to be confirmed in 8.7. The discussion in the 60GHz agenda for this issue will continue after the WA is confirmed.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spacing w:line="240" w:lineRule="auto"/>
              <w:rPr>
                <w:sz w:val="20"/>
                <w:lang w:eastAsia="ja-JP"/>
              </w:rPr>
            </w:pPr>
            <w:r>
              <w:rPr>
                <w:sz w:val="20"/>
                <w:lang w:eastAsia="ja-JP"/>
              </w:rPr>
              <w:t>Moderator</w:t>
            </w:r>
          </w:p>
        </w:tc>
        <w:tc>
          <w:tcPr>
            <w:tcW w:w="12176" w:type="dxa"/>
            <w:shd w:val="clear" w:color="auto" w:fill="FFC000"/>
            <w:vAlign w:val="center"/>
          </w:tcPr>
          <w:p>
            <w:pPr>
              <w:widowControl w:val="0"/>
              <w:spacing w:line="240" w:lineRule="auto"/>
              <w:rPr>
                <w:sz w:val="20"/>
                <w:lang w:eastAsia="zh-CN"/>
              </w:rPr>
            </w:pPr>
            <w:r>
              <w:rPr>
                <w:sz w:val="20"/>
                <w:lang w:eastAsia="zh-CN"/>
              </w:rPr>
              <w:t>The following agreements have been made in the power saving AI.</w:t>
            </w:r>
          </w:p>
          <w:p>
            <w:pPr>
              <w:widowControl w:val="0"/>
              <w:spacing w:line="240" w:lineRule="auto"/>
              <w:rPr>
                <w:rFonts w:ascii="Times" w:hAnsi="Times" w:eastAsia="宋体"/>
                <w:color w:val="000000"/>
                <w:sz w:val="20"/>
                <w:szCs w:val="20"/>
                <w:lang w:eastAsia="zh-CN"/>
              </w:rPr>
            </w:pPr>
            <w:r>
              <w:rPr>
                <w:rFonts w:ascii="Times" w:hAnsi="Times"/>
                <w:color w:val="000000"/>
                <w:sz w:val="20"/>
                <w:szCs w:val="20"/>
                <w:highlight w:val="green"/>
                <w:lang w:val="en-GB" w:eastAsia="zh-CN"/>
              </w:rPr>
              <w:t>Agreement</w:t>
            </w:r>
          </w:p>
          <w:p>
            <w:pPr>
              <w:pStyle w:val="31"/>
              <w:widowControl w:val="0"/>
              <w:spacing w:line="280" w:lineRule="atLeast"/>
              <w:ind w:hanging="420"/>
              <w:jc w:val="both"/>
              <w:rPr>
                <w:rFonts w:ascii="Times" w:hAnsi="Times" w:eastAsia="宋体"/>
                <w:color w:val="000000"/>
                <w:lang w:eastAsia="zh-CN"/>
              </w:rPr>
            </w:pPr>
            <w:r>
              <w:rPr>
                <w:color w:val="000000"/>
                <w:lang w:val="en-GB" w:eastAsia="zh-CN"/>
              </w:rPr>
              <w:t>-</w:t>
            </w:r>
            <w:r>
              <w:rPr>
                <w:color w:val="000000"/>
                <w:sz w:val="14"/>
                <w:szCs w:val="14"/>
                <w:lang w:val="en-GB" w:eastAsia="zh-CN"/>
              </w:rPr>
              <w:t>            </w:t>
            </w:r>
            <w:r>
              <w:rPr>
                <w:color w:val="000000"/>
                <w:lang w:val="en-GB" w:eastAsia="zh-CN"/>
              </w:rPr>
              <w:t xml:space="preserve"> The 480kHz and 960kHz SCS are also supported for Rel-17 PDCCH monitoring adaptation.</w:t>
            </w:r>
          </w:p>
          <w:p>
            <w:pPr>
              <w:widowControl w:val="0"/>
              <w:spacing w:line="240" w:lineRule="auto"/>
              <w:rPr>
                <w:rFonts w:ascii="Times" w:hAnsi="Times" w:eastAsia="宋体"/>
                <w:color w:val="000000"/>
                <w:sz w:val="20"/>
                <w:szCs w:val="20"/>
                <w:lang w:eastAsia="zh-CN"/>
              </w:rPr>
            </w:pPr>
            <w:r>
              <w:rPr>
                <w:rFonts w:ascii="Times" w:hAnsi="Times"/>
                <w:color w:val="000000"/>
                <w:sz w:val="20"/>
                <w:szCs w:val="20"/>
                <w:highlight w:val="green"/>
                <w:lang w:val="en-GB" w:eastAsia="zh-CN"/>
              </w:rPr>
              <w:t>Agreement</w:t>
            </w:r>
          </w:p>
          <w:p>
            <w:pPr>
              <w:pStyle w:val="31"/>
              <w:widowControl w:val="0"/>
              <w:spacing w:line="280" w:lineRule="atLeast"/>
              <w:ind w:hanging="420"/>
              <w:jc w:val="both"/>
              <w:rPr>
                <w:rFonts w:ascii="Times" w:hAnsi="Times"/>
                <w:color w:val="000000"/>
                <w:sz w:val="21"/>
                <w:szCs w:val="21"/>
                <w:lang w:eastAsia="zh-CN"/>
              </w:rPr>
            </w:pPr>
            <w:r>
              <w:rPr>
                <w:color w:val="000000"/>
                <w:sz w:val="21"/>
                <w:szCs w:val="21"/>
                <w:lang w:val="en-GB" w:eastAsia="zh-CN"/>
              </w:rPr>
              <w:t>-</w:t>
            </w:r>
            <w:r>
              <w:rPr>
                <w:color w:val="000000"/>
                <w:sz w:val="14"/>
                <w:szCs w:val="14"/>
                <w:lang w:val="en-GB" w:eastAsia="zh-CN"/>
              </w:rPr>
              <w:t>         </w:t>
            </w:r>
            <w:r>
              <w:rPr>
                <w:color w:val="000000"/>
                <w:sz w:val="21"/>
                <w:szCs w:val="21"/>
                <w:lang w:val="en-GB" w:eastAsia="zh-CN"/>
              </w:rPr>
              <w:t>   It is up to B52.6GHz to deicide the values for candidate skipping values and SSSG switching initial timer values.</w:t>
            </w:r>
          </w:p>
          <w:p>
            <w:pPr>
              <w:widowControl w:val="0"/>
              <w:spacing w:line="240" w:lineRule="auto"/>
              <w:rPr>
                <w:sz w:val="20"/>
                <w:lang w:eastAsia="zh-CN"/>
              </w:rPr>
            </w:pPr>
          </w:p>
          <w:p>
            <w:pPr>
              <w:widowControl w:val="0"/>
              <w:spacing w:line="240" w:lineRule="auto"/>
              <w:rPr>
                <w:sz w:val="20"/>
                <w:lang w:eastAsia="zh-CN"/>
              </w:rPr>
            </w:pPr>
            <w:r>
              <w:rPr>
                <w:sz w:val="20"/>
                <w:highlight w:val="yellow"/>
                <w:lang w:eastAsia="zh-CN"/>
              </w:rPr>
              <w:t>If there are any additional comments, please continue your input here.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sz w:val="20"/>
                <w:lang w:eastAsia="ja-JP"/>
              </w:rPr>
            </w:pPr>
            <w:r>
              <w:rPr>
                <w:rFonts w:hint="eastAsia"/>
                <w:lang w:eastAsia="zh-CN"/>
              </w:rPr>
              <w:t>ZTE, Sanechips</w:t>
            </w:r>
          </w:p>
        </w:tc>
        <w:tc>
          <w:tcPr>
            <w:tcW w:w="12176" w:type="dxa"/>
            <w:vAlign w:val="center"/>
          </w:tcPr>
          <w:p>
            <w:pPr>
              <w:widowControl w:val="0"/>
              <w:spacing w:line="240" w:lineRule="auto"/>
              <w:rPr>
                <w:sz w:val="21"/>
                <w:szCs w:val="21"/>
                <w:lang w:eastAsia="zh-CN"/>
              </w:rPr>
            </w:pPr>
            <w:r>
              <w:rPr>
                <w:rFonts w:hint="eastAsia"/>
                <w:sz w:val="21"/>
                <w:szCs w:val="21"/>
                <w:lang w:eastAsia="zh-CN"/>
              </w:rPr>
              <w:t>We have several concerns about the Rel-17 PDCCH SSSG switching parameter,</w:t>
            </w:r>
          </w:p>
          <w:p>
            <w:pPr>
              <w:widowControl w:val="0"/>
              <w:numPr>
                <w:ilvl w:val="0"/>
                <w:numId w:val="58"/>
              </w:numPr>
              <w:spacing w:line="240" w:lineRule="auto"/>
              <w:rPr>
                <w:sz w:val="21"/>
                <w:szCs w:val="21"/>
                <w:lang w:eastAsia="zh-CN"/>
              </w:rPr>
            </w:pPr>
            <w:r>
              <w:rPr>
                <w:rFonts w:hint="eastAsia"/>
                <w:sz w:val="21"/>
                <w:szCs w:val="21"/>
                <w:lang w:eastAsia="zh-CN"/>
              </w:rPr>
              <w:t xml:space="preserve">We share the similar view with LGE addressed above, do we support the Rel-17 PDCCH SSSG switching </w:t>
            </w:r>
            <w:r>
              <w:rPr>
                <w:sz w:val="21"/>
                <w:szCs w:val="21"/>
                <w:lang w:eastAsia="zh-CN"/>
              </w:rPr>
              <w:t>for both LBT case and non-LBT case</w:t>
            </w:r>
            <w:r>
              <w:rPr>
                <w:rFonts w:hint="eastAsia"/>
                <w:sz w:val="21"/>
                <w:szCs w:val="21"/>
                <w:lang w:eastAsia="zh-CN"/>
              </w:rPr>
              <w:t>?</w:t>
            </w:r>
          </w:p>
          <w:p>
            <w:pPr>
              <w:widowControl w:val="0"/>
              <w:numPr>
                <w:ilvl w:val="0"/>
                <w:numId w:val="58"/>
              </w:numPr>
              <w:spacing w:line="240" w:lineRule="auto"/>
              <w:rPr>
                <w:sz w:val="21"/>
                <w:szCs w:val="24"/>
                <w:lang w:eastAsia="zh-CN"/>
              </w:rPr>
            </w:pPr>
            <w:r>
              <w:rPr>
                <w:rFonts w:hint="eastAsia"/>
                <w:sz w:val="21"/>
                <w:szCs w:val="21"/>
                <w:lang w:eastAsia="zh-CN"/>
              </w:rPr>
              <w:t xml:space="preserve">If we can support the Rel-17 PDCCH SSSG switching </w:t>
            </w:r>
            <w:r>
              <w:rPr>
                <w:sz w:val="21"/>
                <w:szCs w:val="21"/>
                <w:lang w:eastAsia="zh-CN"/>
              </w:rPr>
              <w:t>for LBT case</w:t>
            </w:r>
            <w:r>
              <w:rPr>
                <w:rFonts w:hint="eastAsia"/>
                <w:sz w:val="21"/>
                <w:szCs w:val="21"/>
                <w:lang w:eastAsia="zh-CN"/>
              </w:rPr>
              <w:t xml:space="preserve">, we need to make sure </w:t>
            </w:r>
            <w:r>
              <w:rPr>
                <w:rFonts w:hint="eastAsia"/>
                <w:sz w:val="21"/>
                <w:szCs w:val="21"/>
                <w:lang w:eastAsia="ja-JP"/>
              </w:rPr>
              <w:t xml:space="preserve">the </w:t>
            </w:r>
            <w:r>
              <w:rPr>
                <w:sz w:val="21"/>
                <w:szCs w:val="21"/>
                <w:lang w:eastAsia="ja-JP"/>
              </w:rPr>
              <w:t xml:space="preserve">candidate </w:t>
            </w:r>
            <w:r>
              <w:rPr>
                <w:rFonts w:hint="eastAsia"/>
                <w:sz w:val="21"/>
                <w:szCs w:val="21"/>
                <w:lang w:eastAsia="ja-JP"/>
              </w:rPr>
              <w:t xml:space="preserve">SSSG timer value </w:t>
            </w:r>
            <w:r>
              <w:rPr>
                <w:rFonts w:hint="eastAsia"/>
                <w:sz w:val="21"/>
                <w:szCs w:val="21"/>
                <w:lang w:eastAsia="zh-CN"/>
              </w:rPr>
              <w:t>is</w:t>
            </w:r>
            <w:r>
              <w:rPr>
                <w:rFonts w:hint="eastAsia"/>
                <w:sz w:val="21"/>
                <w:szCs w:val="21"/>
                <w:lang w:eastAsia="ja-JP"/>
              </w:rPr>
              <w:t xml:space="preserve"> longer than the application delay</w:t>
            </w:r>
            <w:r>
              <w:rPr>
                <w:rFonts w:hint="eastAsia"/>
                <w:sz w:val="21"/>
                <w:szCs w:val="21"/>
                <w:lang w:eastAsia="zh-CN"/>
              </w:rPr>
              <w:t xml:space="preserve"> (P</w:t>
            </w:r>
            <w:r>
              <w:rPr>
                <w:rFonts w:hint="eastAsia"/>
                <w:sz w:val="21"/>
                <w:szCs w:val="21"/>
                <w:vertAlign w:val="subscript"/>
                <w:lang w:eastAsia="zh-CN"/>
              </w:rPr>
              <w:t>switch</w:t>
            </w:r>
            <w:r>
              <w:rPr>
                <w:rFonts w:hint="eastAsia"/>
                <w:sz w:val="21"/>
                <w:szCs w:val="21"/>
                <w:lang w:eastAsia="zh-CN"/>
              </w:rPr>
              <w:t>)</w:t>
            </w:r>
            <w:r>
              <w:rPr>
                <w:rFonts w:hint="eastAsia"/>
                <w:sz w:val="21"/>
                <w:szCs w:val="21"/>
                <w:lang w:eastAsia="ja-JP"/>
              </w:rPr>
              <w:t>.</w:t>
            </w:r>
            <w:r>
              <w:rPr>
                <w:rFonts w:hint="eastAsia"/>
                <w:sz w:val="21"/>
                <w:szCs w:val="21"/>
                <w:lang w:eastAsia="zh-CN"/>
              </w:rPr>
              <w:t xml:space="preserve"> I</w:t>
            </w:r>
            <w:r>
              <w:rPr>
                <w:rFonts w:hint="eastAsia"/>
                <w:sz w:val="21"/>
                <w:szCs w:val="21"/>
                <w:lang w:eastAsia="ja-JP"/>
              </w:rPr>
              <w:t xml:space="preserve">f the application delay of timer based SSSG switching is smaller than the application delay of DCI based SSSG switching, the </w:t>
            </w:r>
            <w:r>
              <w:rPr>
                <w:sz w:val="21"/>
                <w:szCs w:val="21"/>
                <w:lang w:eastAsia="ja-JP"/>
              </w:rPr>
              <w:t xml:space="preserve">UE will never monitor </w:t>
            </w:r>
            <w:r>
              <w:rPr>
                <w:rFonts w:hint="eastAsia"/>
                <w:sz w:val="21"/>
                <w:szCs w:val="21"/>
                <w:lang w:eastAsia="ja-JP"/>
              </w:rPr>
              <w:t xml:space="preserve">SSSG #1 and SSSG #2 </w:t>
            </w:r>
            <w:r>
              <w:rPr>
                <w:sz w:val="21"/>
                <w:szCs w:val="21"/>
                <w:lang w:eastAsia="ja-JP"/>
              </w:rPr>
              <w:t>as the SSSG timer expires before the end of application delay</w:t>
            </w:r>
            <w:r>
              <w:rPr>
                <w:rFonts w:hint="eastAsia"/>
                <w:sz w:val="21"/>
                <w:szCs w:val="21"/>
                <w:lang w:eastAsia="zh-CN"/>
              </w:rPr>
              <w:t xml:space="preserve"> [please refer to the Tdoc R1-2201133]. </w:t>
            </w:r>
            <w:r>
              <w:rPr>
                <w:rFonts w:hint="eastAsia"/>
                <w:sz w:val="21"/>
                <w:szCs w:val="21"/>
                <w:lang w:eastAsia="ja-JP"/>
              </w:rPr>
              <w:t xml:space="preserve">According to the </w:t>
            </w:r>
            <w:r>
              <w:rPr>
                <w:sz w:val="21"/>
                <w:szCs w:val="21"/>
                <w:lang w:eastAsia="ja-JP"/>
              </w:rPr>
              <w:t>WA</w:t>
            </w:r>
            <w:r>
              <w:rPr>
                <w:rFonts w:hint="eastAsia"/>
                <w:sz w:val="21"/>
                <w:szCs w:val="21"/>
                <w:lang w:eastAsia="ja-JP"/>
              </w:rPr>
              <w:t>, for 480</w:t>
            </w:r>
            <w:r>
              <w:rPr>
                <w:sz w:val="21"/>
                <w:szCs w:val="21"/>
                <w:lang w:eastAsia="ja-JP"/>
              </w:rPr>
              <w:t xml:space="preserve"> </w:t>
            </w:r>
            <w:r>
              <w:rPr>
                <w:rFonts w:hint="eastAsia"/>
                <w:sz w:val="21"/>
                <w:szCs w:val="21"/>
                <w:lang w:eastAsia="ja-JP"/>
              </w:rPr>
              <w:t>kHz and 960</w:t>
            </w:r>
            <w:r>
              <w:rPr>
                <w:sz w:val="21"/>
                <w:szCs w:val="21"/>
                <w:lang w:eastAsia="ja-JP"/>
              </w:rPr>
              <w:t xml:space="preserve"> </w:t>
            </w:r>
            <w:r>
              <w:rPr>
                <w:rFonts w:hint="eastAsia"/>
                <w:sz w:val="21"/>
                <w:szCs w:val="21"/>
                <w:lang w:eastAsia="ja-JP"/>
              </w:rPr>
              <w:t>kHz, the P</w:t>
            </w:r>
            <w:r>
              <w:rPr>
                <w:rFonts w:hint="eastAsia"/>
                <w:sz w:val="21"/>
                <w:szCs w:val="21"/>
                <w:vertAlign w:val="subscript"/>
                <w:lang w:eastAsia="ja-JP"/>
              </w:rPr>
              <w:t>switch</w:t>
            </w:r>
            <w:r>
              <w:rPr>
                <w:rFonts w:hint="eastAsia"/>
                <w:sz w:val="21"/>
                <w:szCs w:val="21"/>
                <w:lang w:eastAsia="ja-JP"/>
              </w:rPr>
              <w:t xml:space="preserve"> </w:t>
            </w:r>
            <w:r>
              <w:rPr>
                <w:sz w:val="21"/>
                <w:szCs w:val="21"/>
                <w:lang w:eastAsia="ja-JP"/>
              </w:rPr>
              <w:t>is</w:t>
            </w:r>
            <w:r>
              <w:rPr>
                <w:rFonts w:hint="eastAsia"/>
                <w:sz w:val="21"/>
                <w:szCs w:val="21"/>
                <w:lang w:eastAsia="ja-JP"/>
              </w:rPr>
              <w:t xml:space="preserve"> 160/14</w:t>
            </w:r>
            <w:r>
              <w:rPr>
                <w:rFonts w:ascii="Arial" w:hAnsi="Arial" w:cs="Arial"/>
                <w:sz w:val="21"/>
                <w:szCs w:val="21"/>
                <w:lang w:eastAsia="ja-JP"/>
              </w:rPr>
              <w:t>≈</w:t>
            </w:r>
            <w:r>
              <w:rPr>
                <w:rFonts w:hint="eastAsia"/>
                <w:sz w:val="21"/>
                <w:szCs w:val="21"/>
                <w:lang w:eastAsia="ja-JP"/>
              </w:rPr>
              <w:t xml:space="preserve">11.4 slots and 320/14 </w:t>
            </w:r>
            <w:r>
              <w:rPr>
                <w:rFonts w:ascii="Arial" w:hAnsi="Arial" w:cs="Arial"/>
                <w:sz w:val="21"/>
                <w:szCs w:val="21"/>
                <w:lang w:eastAsia="ja-JP"/>
              </w:rPr>
              <w:t>≈</w:t>
            </w:r>
            <w:r>
              <w:rPr>
                <w:rFonts w:hint="eastAsia"/>
                <w:sz w:val="21"/>
                <w:szCs w:val="21"/>
                <w:lang w:eastAsia="ja-JP"/>
              </w:rPr>
              <w:t xml:space="preserve"> 22.8 slots, respectively. Therefore, </w:t>
            </w:r>
            <w:r>
              <w:rPr>
                <w:rFonts w:hint="eastAsia"/>
                <w:sz w:val="21"/>
                <w:szCs w:val="21"/>
                <w:shd w:val="clear" w:color="FFFFFF" w:fill="D9D9D9"/>
                <w:lang w:eastAsia="ja-JP"/>
              </w:rPr>
              <w:t>the SSSG timer value should be larger than 11.4 slots and 22.8 slots for 480kHz and 960kHz</w:t>
            </w:r>
            <w:r>
              <w:rPr>
                <w:rFonts w:hint="eastAsia"/>
                <w:sz w:val="21"/>
                <w:szCs w:val="21"/>
                <w:lang w:eastAsia="ja-JP"/>
              </w:rPr>
              <w:t>, respectively.</w:t>
            </w:r>
            <w:r>
              <w:rPr>
                <w:rFonts w:hint="eastAsia"/>
                <w:sz w:val="21"/>
                <w:szCs w:val="21"/>
                <w:lang w:eastAsia="zh-CN"/>
              </w:rPr>
              <w:t xml:space="preserve"> We prefer to add one note as shown below (marked in red):</w:t>
            </w:r>
          </w:p>
          <w:p>
            <w:pPr>
              <w:widowControl w:val="0"/>
              <w:rPr>
                <w:b/>
                <w:bCs/>
                <w:lang w:eastAsia="ja-JP"/>
              </w:rPr>
            </w:pPr>
            <w:r>
              <w:rPr>
                <w:b/>
                <w:bCs/>
                <w:sz w:val="20"/>
                <w:szCs w:val="20"/>
                <w:highlight w:val="yellow"/>
                <w:u w:val="single"/>
                <w:lang w:eastAsia="ja-JP"/>
              </w:rPr>
              <w:t>Proposal A2-8.1</w:t>
            </w:r>
            <w:r>
              <w:rPr>
                <w:b/>
                <w:bCs/>
                <w:sz w:val="20"/>
                <w:szCs w:val="20"/>
                <w:lang w:eastAsia="ja-JP"/>
              </w:rPr>
              <w:t xml:space="preserve"> (see R1-2200953): </w:t>
            </w:r>
            <w:r>
              <w:rPr>
                <w:b/>
                <w:bCs/>
                <w:color w:val="000000"/>
                <w:lang w:eastAsia="ja-JP"/>
              </w:rPr>
              <w:t xml:space="preserve">In unit of slots, </w:t>
            </w:r>
            <w:r>
              <w:rPr>
                <w:b/>
                <w:bCs/>
                <w:lang w:eastAsia="ja-JP"/>
              </w:rPr>
              <w:t xml:space="preserve">the supported values for </w:t>
            </w:r>
            <w:r>
              <w:rPr>
                <w:b/>
                <w:bCs/>
                <w:i/>
                <w:lang w:eastAsia="ja-JP"/>
              </w:rPr>
              <w:t>searchSpaceSwitchTimer-r17</w:t>
            </w:r>
            <w:r>
              <w:rPr>
                <w:b/>
                <w:bCs/>
                <w:lang w:eastAsia="ja-JP"/>
              </w:rPr>
              <w:t xml:space="preserve"> and </w:t>
            </w:r>
            <w:r>
              <w:rPr>
                <w:b/>
                <w:bCs/>
                <w:i/>
                <w:lang w:eastAsia="ja-JP"/>
              </w:rPr>
              <w:t>PDCCHSkippingDuration</w:t>
            </w:r>
            <w:r>
              <w:rPr>
                <w:b/>
                <w:bCs/>
                <w:lang w:eastAsia="ja-JP"/>
              </w:rPr>
              <w:t xml:space="preserve"> for 480 kHz and 960 kHz are respectively 4x and 8x of their supported values for 120 kHz.</w:t>
            </w:r>
          </w:p>
          <w:p>
            <w:pPr>
              <w:widowControl w:val="0"/>
              <w:ind w:left="220" w:leftChars="100"/>
              <w:rPr>
                <w:b/>
                <w:bCs/>
                <w:lang w:eastAsia="zh-CN"/>
              </w:rPr>
            </w:pPr>
            <w:r>
              <w:rPr>
                <w:rFonts w:hint="eastAsia"/>
                <w:b/>
                <w:bCs/>
                <w:color w:val="C00000"/>
                <w:lang w:eastAsia="zh-CN"/>
              </w:rPr>
              <w:t>Note: If Rel-17 PDCCH SSSG switching is supported for LBT case, the candidate SSSG timer value should be longer than P</w:t>
            </w:r>
            <w:r>
              <w:rPr>
                <w:rFonts w:hint="eastAsia"/>
                <w:b/>
                <w:bCs/>
                <w:color w:val="C00000"/>
                <w:vertAlign w:val="subscript"/>
                <w:lang w:eastAsia="zh-CN"/>
              </w:rPr>
              <w:t>switch</w:t>
            </w:r>
            <w:r>
              <w:rPr>
                <w:rFonts w:hint="eastAsia"/>
                <w:b/>
                <w:bCs/>
                <w:color w:val="C00000"/>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FFFF" w:themeFill="background1"/>
            <w:vAlign w:val="center"/>
          </w:tcPr>
          <w:p>
            <w:pPr>
              <w:widowControl w:val="0"/>
              <w:spacing w:line="240" w:lineRule="auto"/>
              <w:rPr>
                <w:lang w:eastAsia="zh-CN"/>
              </w:rPr>
            </w:pPr>
            <w:r>
              <w:rPr>
                <w:lang w:eastAsia="zh-CN"/>
              </w:rPr>
              <w:t>Huawei, Hisilicon</w:t>
            </w:r>
          </w:p>
        </w:tc>
        <w:tc>
          <w:tcPr>
            <w:tcW w:w="12176" w:type="dxa"/>
            <w:shd w:val="clear" w:color="auto" w:fill="FFFFFF" w:themeFill="background1"/>
            <w:vAlign w:val="center"/>
          </w:tcPr>
          <w:p>
            <w:pPr>
              <w:widowControl w:val="0"/>
              <w:spacing w:line="240" w:lineRule="auto"/>
              <w:rPr>
                <w:sz w:val="21"/>
                <w:szCs w:val="21"/>
                <w:lang w:eastAsia="zh-CN"/>
              </w:rPr>
            </w:pPr>
            <w:r>
              <w:rPr>
                <w:sz w:val="21"/>
                <w:szCs w:val="21"/>
                <w:lang w:eastAsia="zh-CN"/>
              </w:rPr>
              <w:t>We can accept the proposal in its original form and without added note. We are not justified that such a note is necessary and cannot commit to it. If ZTE feels strong about it, the Note could be an FFS.</w:t>
            </w:r>
          </w:p>
        </w:tc>
      </w:tr>
    </w:tbl>
    <w:p/>
    <w:p/>
    <w:p>
      <w:pPr>
        <w:spacing w:after="0" w:line="260" w:lineRule="auto"/>
        <w:rPr>
          <w:b/>
          <w:iCs/>
          <w:szCs w:val="21"/>
        </w:rPr>
      </w:pPr>
      <w:bookmarkStart w:id="3" w:name="_Hlk96638268"/>
      <w:r>
        <w:rPr>
          <w:b/>
          <w:sz w:val="20"/>
          <w:szCs w:val="20"/>
          <w:highlight w:val="yellow"/>
          <w:u w:val="single"/>
        </w:rPr>
        <w:t>Proposal A2-8.3</w:t>
      </w:r>
      <w:r>
        <w:rPr>
          <w:b/>
          <w:sz w:val="20"/>
          <w:szCs w:val="20"/>
        </w:rPr>
        <w:t xml:space="preserve"> (see R1-2200953):</w:t>
      </w:r>
      <w:r>
        <w:rPr>
          <w:b/>
          <w:iCs/>
          <w:sz w:val="20"/>
          <w:szCs w:val="20"/>
        </w:rPr>
        <w:t xml:space="preserve"> </w:t>
      </w:r>
      <w:r>
        <w:rPr>
          <w:b/>
          <w:iCs/>
          <w:color w:val="000000"/>
          <w:sz w:val="21"/>
          <w:szCs w:val="21"/>
        </w:rPr>
        <w:t xml:space="preserve">A UE does not expect to be configured with Rel-16 SSSG switching parameters (such as </w:t>
      </w:r>
      <w:r>
        <w:rPr>
          <w:b/>
          <w:i/>
          <w:color w:val="000000"/>
          <w:sz w:val="21"/>
          <w:szCs w:val="21"/>
        </w:rPr>
        <w:t>searchSpaceSwitchTimer</w:t>
      </w:r>
      <w:r>
        <w:rPr>
          <w:b/>
          <w:iCs/>
          <w:color w:val="000000"/>
          <w:sz w:val="21"/>
          <w:szCs w:val="21"/>
        </w:rPr>
        <w:t xml:space="preserve"> and </w:t>
      </w:r>
      <w:r>
        <w:rPr>
          <w:b/>
          <w:i/>
          <w:color w:val="000000"/>
          <w:sz w:val="21"/>
          <w:szCs w:val="21"/>
        </w:rPr>
        <w:t>SearchSpaceSwitchTrigge</w:t>
      </w:r>
      <w:r>
        <w:rPr>
          <w:b/>
          <w:iCs/>
          <w:color w:val="000000"/>
          <w:sz w:val="21"/>
          <w:szCs w:val="21"/>
        </w:rPr>
        <w:t xml:space="preserve">r) and Rel-17 SSSG switching parameters (such as </w:t>
      </w:r>
      <w:r>
        <w:rPr>
          <w:b/>
          <w:i/>
          <w:color w:val="000000"/>
          <w:sz w:val="21"/>
          <w:szCs w:val="21"/>
        </w:rPr>
        <w:t>searchSpaceSwitchTimer-r17</w:t>
      </w:r>
      <w:r>
        <w:rPr>
          <w:b/>
          <w:iCs/>
          <w:color w:val="000000"/>
          <w:sz w:val="21"/>
          <w:szCs w:val="21"/>
        </w:rPr>
        <w:t xml:space="preserve"> and </w:t>
      </w:r>
      <w:r>
        <w:rPr>
          <w:b/>
          <w:i/>
          <w:color w:val="000000"/>
          <w:sz w:val="21"/>
          <w:szCs w:val="21"/>
        </w:rPr>
        <w:t>searchSpaceGroupIdList-r17</w:t>
      </w:r>
      <w:r>
        <w:rPr>
          <w:b/>
          <w:iCs/>
          <w:color w:val="000000"/>
          <w:sz w:val="21"/>
          <w:szCs w:val="21"/>
        </w:rPr>
        <w:t>) per cell simultaneously</w:t>
      </w:r>
      <w:r>
        <w:rPr>
          <w:b/>
          <w:iCs/>
          <w:szCs w:val="21"/>
        </w:rPr>
        <w:t>.</w:t>
      </w:r>
    </w:p>
    <w:bookmarkEnd w:id="3"/>
    <w:p>
      <w:pPr>
        <w:spacing w:after="0" w:line="260" w:lineRule="auto"/>
      </w:pPr>
    </w:p>
    <w:p>
      <w:pPr>
        <w:rPr>
          <w:bCs/>
          <w:sz w:val="20"/>
          <w:szCs w:val="20"/>
          <w:lang w:eastAsia="zh-CN"/>
        </w:rPr>
      </w:pPr>
      <w:r>
        <w:rPr>
          <w:bCs/>
          <w:sz w:val="20"/>
          <w:szCs w:val="20"/>
          <w:highlight w:val="yellow"/>
          <w:lang w:eastAsia="zh-CN"/>
        </w:rPr>
        <w:t xml:space="preserve">Some documents show support for proposal </w:t>
      </w:r>
      <w:r>
        <w:rPr>
          <w:bCs/>
          <w:sz w:val="20"/>
          <w:szCs w:val="20"/>
          <w:highlight w:val="yellow"/>
        </w:rPr>
        <w:t>A2-8.3</w:t>
      </w:r>
      <w:r>
        <w:rPr>
          <w:bCs/>
          <w:sz w:val="20"/>
          <w:szCs w:val="20"/>
          <w:highlight w:val="yellow"/>
          <w:lang w:eastAsia="zh-CN"/>
        </w:rPr>
        <w:t>. Please comment whether it can be agreed.</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We support Proposal A2-8.3.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Ericsson</w:t>
            </w:r>
          </w:p>
        </w:tc>
        <w:tc>
          <w:tcPr>
            <w:tcW w:w="12176" w:type="dxa"/>
            <w:vAlign w:val="center"/>
          </w:tcPr>
          <w:p>
            <w:pPr>
              <w:widowControl w:val="0"/>
              <w:rPr>
                <w:sz w:val="20"/>
                <w:lang w:eastAsia="zh-CN"/>
              </w:rPr>
            </w:pPr>
            <w:r>
              <w:rPr>
                <w:sz w:val="20"/>
                <w:lang w:eastAsia="zh-CN"/>
              </w:rPr>
              <w:t>Fine with Proposal A2-8.3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Qualcomm</w:t>
            </w:r>
          </w:p>
        </w:tc>
        <w:tc>
          <w:tcPr>
            <w:tcW w:w="12176" w:type="dxa"/>
            <w:vAlign w:val="center"/>
          </w:tcPr>
          <w:p>
            <w:pPr>
              <w:widowControl w:val="0"/>
              <w:rPr>
                <w:rFonts w:eastAsia="Yu Mincho"/>
                <w:lang w:eastAsia="ja-JP"/>
              </w:rPr>
            </w:pPr>
            <w:r>
              <w:rPr>
                <w:rFonts w:eastAsia="Yu Mincho"/>
                <w:lang w:eastAsia="ja-JP"/>
              </w:rPr>
              <w:t xml:space="preserve">We support the proposal. </w:t>
            </w:r>
          </w:p>
          <w:p>
            <w:pPr>
              <w:widowControl w:val="0"/>
              <w:rPr>
                <w:sz w:val="20"/>
                <w:lang w:eastAsia="zh-CN"/>
              </w:rPr>
            </w:pPr>
            <w:r>
              <w:rPr>
                <w:rFonts w:eastAsia="Yu Mincho"/>
                <w:lang w:eastAsia="ja-JP"/>
              </w:rPr>
              <w:t>Although both Rel-16 and Rel-17 SSSG switching rely on the notion of search space set group, the configuration of Rel-16 SSSG switching is per-cell, while the SSSG timer for Rel-17 SSSG switching is per-BWP. Thus, they are not compatible to each other, and it is preferred to disallow the joint configuration. Furthermore, SSSG switching for FR2-2 is an extension of Rel-16 SSSG switching, mainly for the unlicensed band operation and, thus, the joint configuration with Rel-17 SSSG switching in FR2-2 should be disallowed.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InterDigital</w:t>
            </w:r>
          </w:p>
        </w:tc>
        <w:tc>
          <w:tcPr>
            <w:tcW w:w="12176" w:type="dxa"/>
            <w:vAlign w:val="center"/>
          </w:tcPr>
          <w:p>
            <w:pPr>
              <w:widowControl w:val="0"/>
              <w:rPr>
                <w:rFonts w:eastAsia="Yu Mincho"/>
                <w:lang w:eastAsia="ja-JP"/>
              </w:rPr>
            </w:pPr>
            <w:r>
              <w:rPr>
                <w:sz w:val="20"/>
                <w:lang w:eastAsia="zh-CN"/>
              </w:rPr>
              <w:t>We support Proposal A2-8.3.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szCs w:val="20"/>
              </w:rPr>
            </w:pPr>
            <w:r>
              <w:rPr>
                <w:sz w:val="20"/>
                <w:szCs w:val="20"/>
              </w:rPr>
              <w:t>LG Electronics</w:t>
            </w:r>
          </w:p>
        </w:tc>
        <w:tc>
          <w:tcPr>
            <w:tcW w:w="12176" w:type="dxa"/>
            <w:vAlign w:val="center"/>
          </w:tcPr>
          <w:p>
            <w:pPr>
              <w:widowControl w:val="0"/>
              <w:rPr>
                <w:sz w:val="20"/>
                <w:szCs w:val="20"/>
                <w:lang w:eastAsia="zh-CN"/>
              </w:rPr>
            </w:pPr>
            <w:r>
              <w:rPr>
                <w:sz w:val="20"/>
                <w:szCs w:val="20"/>
                <w:lang w:eastAsia="zh-CN"/>
              </w:rPr>
              <w:t>We support Proposal A2-8.3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Huawei/HiSilicon</w:t>
            </w:r>
          </w:p>
        </w:tc>
        <w:tc>
          <w:tcPr>
            <w:tcW w:w="12176" w:type="dxa"/>
            <w:vAlign w:val="center"/>
          </w:tcPr>
          <w:p>
            <w:pPr>
              <w:widowControl w:val="0"/>
              <w:rPr>
                <w:rFonts w:eastAsia="Yu Mincho"/>
                <w:lang w:eastAsia="ja-JP"/>
              </w:rPr>
            </w:pPr>
            <w:r>
              <w:rPr>
                <w:lang w:eastAsia="zh-CN"/>
              </w:rPr>
              <w:t>We support Proposal A2-8.3.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lang w:eastAsia="zh-CN"/>
              </w:rPr>
              <w:t>Nokia, NSB</w:t>
            </w:r>
          </w:p>
        </w:tc>
        <w:tc>
          <w:tcPr>
            <w:tcW w:w="12176" w:type="dxa"/>
            <w:vAlign w:val="center"/>
          </w:tcPr>
          <w:p>
            <w:pPr>
              <w:widowControl w:val="0"/>
              <w:rPr>
                <w:lang w:eastAsia="zh-CN"/>
              </w:rPr>
            </w:pPr>
            <w:r>
              <w:rPr>
                <w:lang w:eastAsia="zh-CN"/>
              </w:rPr>
              <w:t xml:space="preserve">Agree with </w:t>
            </w:r>
            <w:r>
              <w:rPr>
                <w:sz w:val="20"/>
                <w:lang w:eastAsia="zh-CN"/>
              </w:rPr>
              <w:t>Proposal A2-8.3</w:t>
            </w:r>
            <w:r>
              <w:rPr>
                <w:lang w:eastAsia="zh-CN"/>
              </w:rPr>
              <w:t xml:space="preserve"> in principle. </w:t>
            </w:r>
          </w:p>
          <w:p>
            <w:pPr>
              <w:widowControl w:val="0"/>
              <w:rPr>
                <w:lang w:eastAsia="zh-CN"/>
              </w:rPr>
            </w:pPr>
            <w:r>
              <w:rPr>
                <w:lang w:eastAsia="zh-CN"/>
              </w:rPr>
              <w:t>However, we think that should be discussed in Rel-17 UE power saving AI (and not here)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We agree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sz w:val="20"/>
                <w:lang w:eastAsia="zh-CN"/>
              </w:rPr>
              <w:t xml:space="preserve">We are ok </w:t>
            </w:r>
            <w:r>
              <w:rPr>
                <w:sz w:val="20"/>
                <w:lang w:eastAsia="zh-CN"/>
              </w:rPr>
              <w:t>with Proposal A2-8.3</w:t>
            </w:r>
            <w:r>
              <w:rPr>
                <w:rFonts w:hint="eastAsia"/>
                <w:sz w:val="20"/>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sz w:val="20"/>
              </w:rPr>
              <w:t>Panasonic</w:t>
            </w:r>
          </w:p>
        </w:tc>
        <w:tc>
          <w:tcPr>
            <w:tcW w:w="12176" w:type="dxa"/>
            <w:vAlign w:val="center"/>
          </w:tcPr>
          <w:p>
            <w:pPr>
              <w:widowControl w:val="0"/>
              <w:rPr>
                <w:sz w:val="20"/>
                <w:lang w:eastAsia="zh-CN"/>
              </w:rPr>
            </w:pPr>
            <w:r>
              <w:rPr>
                <w:sz w:val="20"/>
                <w:szCs w:val="20"/>
                <w:lang w:eastAsia="zh-CN"/>
              </w:rPr>
              <w:t>We support Proposal A2-8.3.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szCs w:val="20"/>
              </w:rPr>
              <w:t>Apple</w:t>
            </w:r>
          </w:p>
        </w:tc>
        <w:tc>
          <w:tcPr>
            <w:tcW w:w="12176" w:type="dxa"/>
            <w:vAlign w:val="center"/>
          </w:tcPr>
          <w:p>
            <w:pPr>
              <w:widowControl w:val="0"/>
              <w:rPr>
                <w:sz w:val="20"/>
                <w:szCs w:val="20"/>
                <w:lang w:eastAsia="zh-CN"/>
              </w:rPr>
            </w:pPr>
            <w:r>
              <w:rPr>
                <w:sz w:val="20"/>
                <w:szCs w:val="20"/>
                <w:lang w:eastAsia="zh-CN"/>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szCs w:val="20"/>
                <w:lang w:eastAsia="zh-CN"/>
              </w:rPr>
            </w:pPr>
            <w:r>
              <w:rPr>
                <w:rFonts w:hint="eastAsia"/>
                <w:sz w:val="20"/>
                <w:szCs w:val="20"/>
                <w:lang w:eastAsia="zh-CN"/>
              </w:rPr>
              <w:t>Transsion</w:t>
            </w:r>
          </w:p>
        </w:tc>
        <w:tc>
          <w:tcPr>
            <w:tcW w:w="12176" w:type="dxa"/>
            <w:vAlign w:val="center"/>
          </w:tcPr>
          <w:p>
            <w:pPr>
              <w:widowControl w:val="0"/>
              <w:rPr>
                <w:sz w:val="20"/>
                <w:szCs w:val="20"/>
                <w:lang w:eastAsia="zh-CN"/>
              </w:rPr>
            </w:pPr>
            <w:r>
              <w:rPr>
                <w:rFonts w:hint="eastAsia"/>
                <w:sz w:val="20"/>
                <w:szCs w:val="20"/>
                <w:lang w:eastAsia="zh-CN"/>
              </w:rPr>
              <w:t>We support the proposal.</w:t>
            </w:r>
          </w:p>
        </w:tc>
      </w:tr>
    </w:tbl>
    <w:tbl>
      <w:tblPr>
        <w:tblStyle w:val="280"/>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sz w:val="20"/>
                <w:szCs w:val="20"/>
                <w:lang w:eastAsia="ja-JP"/>
              </w:rPr>
            </w:pPr>
            <w:r>
              <w:rPr>
                <w:sz w:val="20"/>
                <w:szCs w:val="20"/>
                <w:lang w:eastAsia="ja-JP"/>
              </w:rPr>
              <w:t>Futurewei</w:t>
            </w:r>
          </w:p>
        </w:tc>
        <w:tc>
          <w:tcPr>
            <w:tcW w:w="12176" w:type="dxa"/>
            <w:vAlign w:val="center"/>
          </w:tcPr>
          <w:p>
            <w:pPr>
              <w:widowControl w:val="0"/>
              <w:spacing w:line="240" w:lineRule="auto"/>
              <w:rPr>
                <w:sz w:val="20"/>
                <w:szCs w:val="20"/>
                <w:lang w:eastAsia="zh-CN"/>
              </w:rPr>
            </w:pPr>
            <w:r>
              <w:rPr>
                <w:sz w:val="20"/>
                <w:szCs w:val="20"/>
                <w:lang w:eastAsia="zh-CN"/>
              </w:rPr>
              <w:t>Support Proposal A2-8.3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sz w:val="20"/>
                <w:szCs w:val="20"/>
                <w:lang w:eastAsia="ja-JP"/>
              </w:rPr>
            </w:pPr>
            <w:r>
              <w:rPr>
                <w:sz w:val="20"/>
                <w:szCs w:val="20"/>
                <w:lang w:eastAsia="ja-JP"/>
              </w:rPr>
              <w:t>Lenovo</w:t>
            </w:r>
          </w:p>
        </w:tc>
        <w:tc>
          <w:tcPr>
            <w:tcW w:w="12176" w:type="dxa"/>
            <w:vAlign w:val="center"/>
          </w:tcPr>
          <w:p>
            <w:pPr>
              <w:widowControl w:val="0"/>
              <w:spacing w:line="240" w:lineRule="auto"/>
              <w:rPr>
                <w:sz w:val="20"/>
                <w:szCs w:val="20"/>
                <w:lang w:eastAsia="zh-CN"/>
              </w:rPr>
            </w:pPr>
            <w:r>
              <w:rPr>
                <w:sz w:val="20"/>
                <w:szCs w:val="20"/>
                <w:lang w:eastAsia="zh-CN"/>
              </w:rPr>
              <w:t>We support Proposal A2-8.3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spacing w:line="240" w:lineRule="auto"/>
              <w:rPr>
                <w:sz w:val="20"/>
                <w:szCs w:val="20"/>
                <w:lang w:eastAsia="ja-JP"/>
              </w:rPr>
            </w:pPr>
            <w:r>
              <w:rPr>
                <w:sz w:val="20"/>
                <w:lang w:eastAsia="ja-JP"/>
              </w:rPr>
              <w:t>Moderator (Lenovo)</w:t>
            </w:r>
          </w:p>
        </w:tc>
        <w:tc>
          <w:tcPr>
            <w:tcW w:w="12176" w:type="dxa"/>
            <w:shd w:val="clear" w:color="auto" w:fill="FFC000"/>
            <w:vAlign w:val="center"/>
          </w:tcPr>
          <w:p>
            <w:pPr>
              <w:widowControl w:val="0"/>
              <w:spacing w:line="240" w:lineRule="auto"/>
              <w:rPr>
                <w:sz w:val="20"/>
                <w:lang w:eastAsia="zh-CN"/>
              </w:rPr>
            </w:pPr>
            <w:r>
              <w:rPr>
                <w:sz w:val="20"/>
                <w:lang w:eastAsia="zh-CN"/>
              </w:rPr>
              <w:t>Per chairman's guidance:</w:t>
            </w:r>
          </w:p>
          <w:p>
            <w:pPr>
              <w:pStyle w:val="82"/>
              <w:widowControl w:val="0"/>
              <w:numPr>
                <w:ilvl w:val="0"/>
                <w:numId w:val="59"/>
              </w:numPr>
              <w:spacing w:line="240" w:lineRule="auto"/>
              <w:rPr>
                <w:sz w:val="20"/>
                <w:lang w:val="en-GB" w:eastAsia="zh-CN"/>
              </w:rPr>
            </w:pPr>
            <w:r>
              <w:rPr>
                <w:sz w:val="20"/>
                <w:lang w:eastAsia="zh-CN"/>
              </w:rPr>
              <w:t>Consolidate the email discussion for searchSpaceSwitchTimer-r17 and PDCCHSkippingDuration under [108-e-NR-52-71GHz-02]. This will also be announced by Xiaodong over [108-e-R17-PowSav-03].</w:t>
            </w:r>
          </w:p>
          <w:p>
            <w:pPr>
              <w:pStyle w:val="82"/>
              <w:widowControl w:val="0"/>
              <w:numPr>
                <w:ilvl w:val="0"/>
                <w:numId w:val="59"/>
              </w:numPr>
              <w:spacing w:line="240" w:lineRule="auto"/>
              <w:rPr>
                <w:sz w:val="20"/>
                <w:lang w:val="en-GB" w:eastAsia="zh-CN"/>
              </w:rPr>
            </w:pPr>
            <w:r>
              <w:rPr>
                <w:sz w:val="20"/>
                <w:lang w:eastAsia="zh-CN"/>
              </w:rPr>
              <w:t>If there is a need to have GTW discussion for this topic, we will have it in the 60 GHz GTW session. In this case, the joint session will be announced in advance and we will find a time slot that does not overlap with UE power savings.</w:t>
            </w:r>
          </w:p>
          <w:p>
            <w:pPr>
              <w:pStyle w:val="82"/>
              <w:widowControl w:val="0"/>
              <w:numPr>
                <w:ilvl w:val="0"/>
                <w:numId w:val="59"/>
              </w:numPr>
              <w:spacing w:line="240" w:lineRule="auto"/>
              <w:rPr>
                <w:sz w:val="20"/>
                <w:lang w:val="en-GB" w:eastAsia="zh-CN"/>
              </w:rPr>
            </w:pPr>
            <w:r>
              <w:rPr>
                <w:sz w:val="20"/>
                <w:lang w:eastAsia="zh-CN"/>
              </w:rPr>
              <w:t>With regards the related working assumption in the UE power savings session, it is to be confirmed in 8.7. The discussion in the 60GHz agenda for this issue will continue after the WA is confirmed.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spacing w:line="240" w:lineRule="auto"/>
              <w:rPr>
                <w:sz w:val="20"/>
                <w:lang w:eastAsia="ja-JP"/>
              </w:rPr>
            </w:pPr>
            <w:r>
              <w:rPr>
                <w:sz w:val="20"/>
                <w:lang w:eastAsia="ja-JP"/>
              </w:rPr>
              <w:t>Moderator</w:t>
            </w:r>
          </w:p>
        </w:tc>
        <w:tc>
          <w:tcPr>
            <w:tcW w:w="12176" w:type="dxa"/>
            <w:shd w:val="clear" w:color="auto" w:fill="FFC000"/>
            <w:vAlign w:val="center"/>
          </w:tcPr>
          <w:p>
            <w:pPr>
              <w:widowControl w:val="0"/>
              <w:spacing w:line="240" w:lineRule="auto"/>
              <w:rPr>
                <w:sz w:val="20"/>
                <w:lang w:eastAsia="zh-CN"/>
              </w:rPr>
            </w:pPr>
            <w:r>
              <w:rPr>
                <w:sz w:val="20"/>
                <w:lang w:eastAsia="zh-CN"/>
              </w:rPr>
              <w:t>The following agreements have been made in the power saving AI.</w:t>
            </w:r>
          </w:p>
          <w:p>
            <w:pPr>
              <w:widowControl w:val="0"/>
              <w:spacing w:line="240" w:lineRule="auto"/>
              <w:rPr>
                <w:rFonts w:ascii="Times" w:hAnsi="Times" w:eastAsia="宋体"/>
                <w:color w:val="000000"/>
                <w:sz w:val="20"/>
                <w:szCs w:val="20"/>
                <w:lang w:eastAsia="zh-CN"/>
              </w:rPr>
            </w:pPr>
            <w:r>
              <w:rPr>
                <w:rFonts w:ascii="Times" w:hAnsi="Times"/>
                <w:color w:val="000000"/>
                <w:sz w:val="20"/>
                <w:szCs w:val="20"/>
                <w:highlight w:val="green"/>
                <w:lang w:val="en-GB" w:eastAsia="zh-CN"/>
              </w:rPr>
              <w:t>Agreement</w:t>
            </w:r>
          </w:p>
          <w:p>
            <w:pPr>
              <w:pStyle w:val="31"/>
              <w:widowControl w:val="0"/>
              <w:spacing w:line="280" w:lineRule="atLeast"/>
              <w:ind w:hanging="420"/>
              <w:jc w:val="both"/>
              <w:rPr>
                <w:rFonts w:ascii="Times" w:hAnsi="Times" w:eastAsia="宋体"/>
                <w:color w:val="000000"/>
                <w:lang w:eastAsia="zh-CN"/>
              </w:rPr>
            </w:pPr>
            <w:r>
              <w:rPr>
                <w:color w:val="000000"/>
                <w:lang w:val="en-GB" w:eastAsia="zh-CN"/>
              </w:rPr>
              <w:t>-</w:t>
            </w:r>
            <w:r>
              <w:rPr>
                <w:color w:val="000000"/>
                <w:sz w:val="14"/>
                <w:szCs w:val="14"/>
                <w:lang w:val="en-GB" w:eastAsia="zh-CN"/>
              </w:rPr>
              <w:t>            </w:t>
            </w:r>
            <w:r>
              <w:rPr>
                <w:color w:val="000000"/>
                <w:lang w:val="en-GB" w:eastAsia="zh-CN"/>
              </w:rPr>
              <w:t xml:space="preserve"> The 480kHz and 960kHz SCS are also supported for Rel-17 PDCCH monitoring adaptation.</w:t>
            </w:r>
          </w:p>
          <w:p>
            <w:pPr>
              <w:widowControl w:val="0"/>
              <w:spacing w:line="240" w:lineRule="auto"/>
              <w:rPr>
                <w:rFonts w:ascii="Times" w:hAnsi="Times" w:eastAsia="宋体"/>
                <w:color w:val="000000"/>
                <w:sz w:val="20"/>
                <w:szCs w:val="20"/>
                <w:lang w:eastAsia="zh-CN"/>
              </w:rPr>
            </w:pPr>
            <w:r>
              <w:rPr>
                <w:rFonts w:ascii="Times" w:hAnsi="Times"/>
                <w:color w:val="000000"/>
                <w:sz w:val="20"/>
                <w:szCs w:val="20"/>
                <w:highlight w:val="green"/>
                <w:lang w:val="en-GB" w:eastAsia="zh-CN"/>
              </w:rPr>
              <w:t>Agreement</w:t>
            </w:r>
          </w:p>
          <w:p>
            <w:pPr>
              <w:pStyle w:val="31"/>
              <w:widowControl w:val="0"/>
              <w:spacing w:line="280" w:lineRule="atLeast"/>
              <w:ind w:hanging="420"/>
              <w:jc w:val="both"/>
              <w:rPr>
                <w:rFonts w:ascii="Times" w:hAnsi="Times"/>
                <w:color w:val="000000"/>
                <w:sz w:val="21"/>
                <w:szCs w:val="21"/>
                <w:lang w:eastAsia="zh-CN"/>
              </w:rPr>
            </w:pPr>
            <w:r>
              <w:rPr>
                <w:color w:val="000000"/>
                <w:sz w:val="21"/>
                <w:szCs w:val="21"/>
                <w:lang w:val="en-GB" w:eastAsia="zh-CN"/>
              </w:rPr>
              <w:t>-</w:t>
            </w:r>
            <w:r>
              <w:rPr>
                <w:color w:val="000000"/>
                <w:sz w:val="14"/>
                <w:szCs w:val="14"/>
                <w:lang w:val="en-GB" w:eastAsia="zh-CN"/>
              </w:rPr>
              <w:t>         </w:t>
            </w:r>
            <w:r>
              <w:rPr>
                <w:color w:val="000000"/>
                <w:sz w:val="21"/>
                <w:szCs w:val="21"/>
                <w:lang w:val="en-GB" w:eastAsia="zh-CN"/>
              </w:rPr>
              <w:t>   It is up to B52.6GHz to deicide the values for candidate skipping values and SSSG switching initial timer values.</w:t>
            </w:r>
          </w:p>
          <w:p>
            <w:pPr>
              <w:widowControl w:val="0"/>
              <w:spacing w:line="240" w:lineRule="auto"/>
              <w:rPr>
                <w:sz w:val="20"/>
                <w:lang w:eastAsia="zh-CN"/>
              </w:rPr>
            </w:pPr>
          </w:p>
          <w:p>
            <w:pPr>
              <w:widowControl w:val="0"/>
              <w:spacing w:line="240" w:lineRule="auto"/>
              <w:rPr>
                <w:sz w:val="20"/>
                <w:lang w:eastAsia="zh-CN"/>
              </w:rPr>
            </w:pPr>
            <w:r>
              <w:rPr>
                <w:sz w:val="20"/>
                <w:highlight w:val="yellow"/>
                <w:lang w:eastAsia="zh-CN"/>
              </w:rPr>
              <w:t>If there are any additional comments, please continue your input here.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auto"/>
            <w:vAlign w:val="center"/>
          </w:tcPr>
          <w:p>
            <w:pPr>
              <w:widowControl w:val="0"/>
              <w:spacing w:line="240" w:lineRule="auto"/>
              <w:rPr>
                <w:sz w:val="20"/>
                <w:lang w:eastAsia="ja-JP"/>
              </w:rPr>
            </w:pPr>
            <w:r>
              <w:rPr>
                <w:rFonts w:hint="eastAsia"/>
                <w:lang w:eastAsia="zh-CN"/>
              </w:rPr>
              <w:t>ZTE, Sanechips</w:t>
            </w:r>
          </w:p>
        </w:tc>
        <w:tc>
          <w:tcPr>
            <w:tcW w:w="12176" w:type="dxa"/>
            <w:shd w:val="clear" w:color="auto" w:fill="auto"/>
            <w:vAlign w:val="center"/>
          </w:tcPr>
          <w:p>
            <w:pPr>
              <w:widowControl w:val="0"/>
              <w:spacing w:line="240" w:lineRule="auto"/>
              <w:rPr>
                <w:sz w:val="20"/>
                <w:lang w:eastAsia="zh-CN"/>
              </w:rPr>
            </w:pPr>
            <w:r>
              <w:rPr>
                <w:rFonts w:hint="eastAsia"/>
                <w:sz w:val="20"/>
                <w:lang w:eastAsia="zh-CN"/>
              </w:rPr>
              <w:t>As shown in the 38.331 CR of power saving enhancement in R2-2201814:</w:t>
            </w:r>
          </w:p>
          <w:tbl>
            <w:tblPr>
              <w:tblStyle w:val="5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9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960" w:type="dxa"/>
                  <w:vAlign w:val="center"/>
                </w:tcPr>
                <w:p>
                  <w:pPr>
                    <w:keepNext/>
                    <w:keepLines/>
                    <w:widowControl w:val="0"/>
                    <w:spacing w:after="0"/>
                    <w:rPr>
                      <w:rFonts w:ascii="Arial" w:hAnsi="Arial"/>
                      <w:sz w:val="18"/>
                      <w:lang w:eastAsia="sv-SE"/>
                    </w:rPr>
                  </w:pPr>
                  <w:r>
                    <w:rPr>
                      <w:rFonts w:ascii="Arial" w:hAnsi="Arial"/>
                      <w:b/>
                      <w:i/>
                      <w:sz w:val="18"/>
                      <w:lang w:eastAsia="sv-SE"/>
                    </w:rPr>
                    <w:t>searchSpaceGroupIdList</w:t>
                  </w:r>
                </w:p>
                <w:p>
                  <w:pPr>
                    <w:widowControl w:val="0"/>
                    <w:spacing w:line="240" w:lineRule="auto"/>
                    <w:rPr>
                      <w:sz w:val="20"/>
                      <w:lang w:eastAsia="zh-CN"/>
                    </w:rPr>
                  </w:pPr>
                  <w:r>
                    <w:rPr>
                      <w:rFonts w:ascii="Arial" w:hAnsi="Arial"/>
                      <w:sz w:val="18"/>
                      <w:lang w:eastAsia="sv-SE"/>
                    </w:rPr>
                    <w:t>List of search space group IDs which the search space is associated with.</w:t>
                  </w:r>
                  <w:r>
                    <w:rPr>
                      <w:rFonts w:ascii="Arial" w:hAnsi="Arial"/>
                      <w:sz w:val="18"/>
                    </w:rPr>
                    <w:t xml:space="preserve"> The network configures at most 2 search space groups per BWP where the group ID is either 0 or 1.</w:t>
                  </w:r>
                  <w:ins w:id="859" w:author="Rapp after RAN2-116e" w:date="2021-11-30T11:40:00Z">
                    <w:r>
                      <w:rPr>
                        <w:rFonts w:ascii="Arial" w:hAnsi="Arial"/>
                        <w:sz w:val="18"/>
                      </w:rPr>
                      <w:t xml:space="preserve"> </w:t>
                    </w:r>
                  </w:ins>
                  <w:ins w:id="860" w:author="Rapp after RAN2-116e" w:date="2021-11-30T11:40:00Z">
                    <w:r>
                      <w:rPr>
                        <w:rFonts w:ascii="Arial" w:hAnsi="Arial" w:cs="Arial"/>
                        <w:sz w:val="18"/>
                        <w:szCs w:val="18"/>
                      </w:rPr>
                      <w:t xml:space="preserve">if </w:t>
                    </w:r>
                  </w:ins>
                  <w:ins w:id="861" w:author="Rapp after RAN2-116e" w:date="2021-11-30T11:40:00Z">
                    <w:r>
                      <w:rPr>
                        <w:rFonts w:ascii="Arial" w:hAnsi="Arial" w:cs="Arial"/>
                        <w:i/>
                        <w:sz w:val="18"/>
                        <w:szCs w:val="18"/>
                      </w:rPr>
                      <w:t>searchSpaceGroupIdList</w:t>
                    </w:r>
                  </w:ins>
                  <w:ins w:id="862" w:author="Rapp after RAN2-116e" w:date="2021-11-30T11:40:00Z">
                    <w:r>
                      <w:rPr>
                        <w:rFonts w:ascii="Arial" w:hAnsi="Arial" w:cs="Arial"/>
                        <w:sz w:val="18"/>
                        <w:szCs w:val="18"/>
                      </w:rPr>
                      <w:t xml:space="preserve"> </w:t>
                    </w:r>
                  </w:ins>
                  <w:ins w:id="863" w:author="Rapp after RAN2-116e" w:date="2021-11-30T11:40:00Z">
                    <w:r>
                      <w:rPr>
                        <w:rFonts w:ascii="Arial" w:hAnsi="Arial" w:cs="Arial"/>
                        <w:kern w:val="2"/>
                        <w:sz w:val="18"/>
                        <w:szCs w:val="18"/>
                        <w:lang w:eastAsia="en-GB"/>
                      </w:rPr>
                      <w:t>(i.e. without suffix)</w:t>
                    </w:r>
                  </w:ins>
                  <w:ins w:id="864" w:author="Rapp after RAN2-116e" w:date="2021-11-30T11:40:00Z">
                    <w:r>
                      <w:rPr>
                        <w:rFonts w:ascii="Arial" w:hAnsi="Arial" w:cs="Arial"/>
                        <w:kern w:val="2"/>
                        <w:sz w:val="18"/>
                        <w:szCs w:val="18"/>
                      </w:rPr>
                      <w:t xml:space="preserve"> is included</w:t>
                    </w:r>
                  </w:ins>
                  <w:ins w:id="865" w:author="Rapp after RAN2-116e" w:date="2021-11-30T11:40:00Z">
                    <w:r>
                      <w:rPr>
                        <w:rFonts w:ascii="Arial" w:hAnsi="Arial" w:cs="Arial"/>
                        <w:sz w:val="18"/>
                        <w:szCs w:val="18"/>
                      </w:rPr>
                      <w:t xml:space="preserve">. The network configures at most 3 search space groups per BWP where the group ID is either 0, 1 or 2 </w:t>
                    </w:r>
                  </w:ins>
                  <w:ins w:id="866" w:author="Rapp after RAN2-116e" w:date="2021-11-30T11:40:00Z">
                    <w:r>
                      <w:rPr>
                        <w:rFonts w:ascii="Arial" w:hAnsi="Arial" w:cs="Arial"/>
                        <w:sz w:val="18"/>
                        <w:szCs w:val="18"/>
                        <w:highlight w:val="yellow"/>
                      </w:rPr>
                      <w:t xml:space="preserve">if </w:t>
                    </w:r>
                  </w:ins>
                  <w:ins w:id="867" w:author="Rapp after RAN2-116e" w:date="2021-11-30T11:40:00Z">
                    <w:r>
                      <w:rPr>
                        <w:rFonts w:ascii="Arial" w:hAnsi="Arial" w:cs="Arial"/>
                        <w:i/>
                        <w:sz w:val="18"/>
                        <w:szCs w:val="18"/>
                        <w:highlight w:val="yellow"/>
                      </w:rPr>
                      <w:t>searchSpaceGroupIdList-r17</w:t>
                    </w:r>
                  </w:ins>
                  <w:ins w:id="868" w:author="Rapp after RAN2-116e" w:date="2021-11-30T11:40:00Z">
                    <w:r>
                      <w:rPr>
                        <w:rFonts w:ascii="Arial" w:hAnsi="Arial" w:cs="Arial"/>
                        <w:sz w:val="18"/>
                        <w:szCs w:val="18"/>
                        <w:highlight w:val="yellow"/>
                      </w:rPr>
                      <w:t xml:space="preserve"> is included. And if </w:t>
                    </w:r>
                  </w:ins>
                  <w:ins w:id="869" w:author="Rapp after RAN2-116e" w:date="2021-11-30T11:40:00Z">
                    <w:r>
                      <w:rPr>
                        <w:rFonts w:ascii="Arial" w:hAnsi="Arial" w:cs="Arial"/>
                        <w:i/>
                        <w:sz w:val="18"/>
                        <w:szCs w:val="18"/>
                        <w:highlight w:val="yellow"/>
                      </w:rPr>
                      <w:t>searchSpaceGroupIdList-r17</w:t>
                    </w:r>
                  </w:ins>
                  <w:ins w:id="870" w:author="Rapp after RAN2-116e" w:date="2021-11-30T11:40:00Z">
                    <w:r>
                      <w:rPr>
                        <w:rFonts w:ascii="Arial" w:hAnsi="Arial" w:cs="Arial"/>
                        <w:sz w:val="18"/>
                        <w:szCs w:val="18"/>
                        <w:highlight w:val="yellow"/>
                      </w:rPr>
                      <w:t xml:space="preserve"> is included, </w:t>
                    </w:r>
                  </w:ins>
                  <w:ins w:id="871" w:author="Rapp after RAN2-116e" w:date="2021-11-30T11:40:00Z">
                    <w:r>
                      <w:rPr>
                        <w:rFonts w:ascii="Arial" w:hAnsi="Arial" w:cs="Arial"/>
                        <w:i/>
                        <w:sz w:val="18"/>
                        <w:szCs w:val="18"/>
                        <w:highlight w:val="yellow"/>
                      </w:rPr>
                      <w:t>searchSpaceGroupIdList</w:t>
                    </w:r>
                  </w:ins>
                  <w:ins w:id="872" w:author="Rapp after RAN2-116e" w:date="2021-11-30T11:40:00Z">
                    <w:r>
                      <w:rPr>
                        <w:rFonts w:ascii="Arial" w:hAnsi="Arial" w:cs="Arial"/>
                        <w:sz w:val="18"/>
                        <w:szCs w:val="18"/>
                        <w:highlight w:val="yellow"/>
                      </w:rPr>
                      <w:t xml:space="preserve"> </w:t>
                    </w:r>
                  </w:ins>
                  <w:ins w:id="873" w:author="Rapp after RAN2-116e" w:date="2021-11-30T11:40:00Z">
                    <w:r>
                      <w:rPr>
                        <w:rFonts w:ascii="Arial" w:hAnsi="Arial" w:cs="Arial"/>
                        <w:kern w:val="2"/>
                        <w:sz w:val="18"/>
                        <w:szCs w:val="18"/>
                        <w:highlight w:val="yellow"/>
                        <w:lang w:eastAsia="en-GB"/>
                      </w:rPr>
                      <w:t>(i.e. without suffix)</w:t>
                    </w:r>
                  </w:ins>
                  <w:ins w:id="874" w:author="Rapp after RAN2-116e" w:date="2021-11-30T11:40:00Z">
                    <w:r>
                      <w:rPr>
                        <w:rFonts w:ascii="Arial" w:hAnsi="Arial" w:cs="Arial"/>
                        <w:kern w:val="2"/>
                        <w:sz w:val="18"/>
                        <w:szCs w:val="18"/>
                        <w:highlight w:val="yellow"/>
                      </w:rPr>
                      <w:t xml:space="preserve"> is ignored.</w:t>
                    </w:r>
                  </w:ins>
                </w:p>
              </w:tc>
            </w:tr>
          </w:tbl>
          <w:p>
            <w:pPr>
              <w:widowControl w:val="0"/>
              <w:spacing w:line="240" w:lineRule="auto"/>
              <w:rPr>
                <w:sz w:val="20"/>
                <w:lang w:eastAsia="zh-CN"/>
              </w:rPr>
            </w:pPr>
            <w:r>
              <w:rPr>
                <w:rFonts w:hint="eastAsia"/>
                <w:sz w:val="20"/>
                <w:lang w:eastAsia="zh-CN"/>
              </w:rPr>
              <w:t xml:space="preserve">We noticed that the 38.331 CR can already solve the issue we are discussing now, we still support </w:t>
            </w:r>
            <w:r>
              <w:rPr>
                <w:sz w:val="20"/>
                <w:lang w:eastAsia="zh-CN"/>
              </w:rPr>
              <w:t>Proposal A2-8.3</w:t>
            </w:r>
            <w:r>
              <w:rPr>
                <w:rFonts w:hint="eastAsia"/>
                <w:sz w:val="20"/>
                <w:lang w:eastAsia="zh-CN"/>
              </w:rPr>
              <w:t xml:space="preserve"> but this discussion may not needed anymore.</w:t>
            </w:r>
          </w:p>
        </w:tc>
      </w:tr>
    </w:tbl>
    <w:p/>
    <w:p>
      <w:pPr>
        <w:pStyle w:val="5"/>
      </w:pPr>
      <w:r>
        <w:t>First round discussion summary</w:t>
      </w:r>
    </w:p>
    <w:p>
      <w:pPr>
        <w:rPr>
          <w:sz w:val="20"/>
          <w:szCs w:val="20"/>
          <w:lang w:eastAsia="zh-CN"/>
        </w:rPr>
      </w:pPr>
      <w:r>
        <w:rPr>
          <w:sz w:val="20"/>
          <w:szCs w:val="20"/>
        </w:rPr>
        <w:t xml:space="preserve">There seems to be consensus to agree on Proposal </w:t>
      </w:r>
      <w:r>
        <w:rPr>
          <w:sz w:val="20"/>
          <w:szCs w:val="20"/>
          <w:lang w:eastAsia="zh-CN"/>
        </w:rPr>
        <w:t xml:space="preserve">A2-8.3, although ZTE commented that in view of a 38.331 CR for power saving, the proposal may not ne necessary. </w:t>
      </w:r>
      <w:r>
        <w:rPr>
          <w:sz w:val="20"/>
          <w:szCs w:val="20"/>
          <w:highlight w:val="yellow"/>
          <w:lang w:eastAsia="zh-CN"/>
        </w:rPr>
        <w:t xml:space="preserve">Still FL, suggests to agree on </w:t>
      </w:r>
      <w:r>
        <w:rPr>
          <w:sz w:val="20"/>
          <w:szCs w:val="20"/>
          <w:highlight w:val="yellow"/>
        </w:rPr>
        <w:t xml:space="preserve">Proposal </w:t>
      </w:r>
      <w:r>
        <w:rPr>
          <w:sz w:val="20"/>
          <w:szCs w:val="20"/>
          <w:highlight w:val="yellow"/>
          <w:lang w:eastAsia="zh-CN"/>
        </w:rPr>
        <w:t>A2-8.3 by email unless there are concerns.</w:t>
      </w:r>
    </w:p>
    <w:p>
      <w:pPr>
        <w:rPr>
          <w:sz w:val="20"/>
          <w:szCs w:val="20"/>
          <w:lang w:eastAsia="zh-CN"/>
        </w:rPr>
      </w:pPr>
      <w:r>
        <w:rPr>
          <w:sz w:val="20"/>
          <w:szCs w:val="20"/>
          <w:lang w:eastAsia="zh-CN"/>
        </w:rPr>
        <w:t xml:space="preserve">Most companies support Proposal A2-8.1 for the supported values for </w:t>
      </w:r>
      <w:r>
        <w:rPr>
          <w:i/>
          <w:iCs/>
          <w:sz w:val="20"/>
          <w:szCs w:val="20"/>
          <w:lang w:eastAsia="zh-CN"/>
        </w:rPr>
        <w:t>searchSpaceSwitchTimer-r17</w:t>
      </w:r>
      <w:r>
        <w:rPr>
          <w:sz w:val="20"/>
          <w:szCs w:val="20"/>
          <w:lang w:eastAsia="zh-CN"/>
        </w:rPr>
        <w:t xml:space="preserve"> and </w:t>
      </w:r>
      <w:r>
        <w:rPr>
          <w:i/>
          <w:iCs/>
          <w:sz w:val="20"/>
          <w:szCs w:val="20"/>
          <w:lang w:eastAsia="zh-CN"/>
        </w:rPr>
        <w:t>PDCCHSkippingDuration</w:t>
      </w:r>
      <w:r>
        <w:rPr>
          <w:sz w:val="20"/>
          <w:szCs w:val="20"/>
          <w:lang w:eastAsia="zh-CN"/>
        </w:rPr>
        <w:t xml:space="preserve"> for 480 kHz and 960 kHz, though ZTE prefers to add a note as reflected in Proposal A2-8.1a. </w:t>
      </w:r>
    </w:p>
    <w:p>
      <w:pPr>
        <w:rPr>
          <w:b/>
          <w:bCs/>
          <w:sz w:val="20"/>
          <w:szCs w:val="20"/>
        </w:rPr>
      </w:pPr>
      <w:bookmarkStart w:id="4" w:name="_Hlk96638187"/>
      <w:r>
        <w:rPr>
          <w:b/>
          <w:bCs/>
          <w:sz w:val="20"/>
          <w:szCs w:val="20"/>
          <w:highlight w:val="yellow"/>
          <w:u w:val="single"/>
        </w:rPr>
        <w:t>Proposal A2-8.1a</w:t>
      </w:r>
      <w:r>
        <w:rPr>
          <w:b/>
          <w:bCs/>
          <w:sz w:val="20"/>
          <w:szCs w:val="20"/>
        </w:rPr>
        <w:t>:</w:t>
      </w:r>
    </w:p>
    <w:p>
      <w:pPr>
        <w:pStyle w:val="82"/>
        <w:numPr>
          <w:ilvl w:val="0"/>
          <w:numId w:val="60"/>
        </w:numPr>
        <w:rPr>
          <w:sz w:val="20"/>
          <w:szCs w:val="20"/>
        </w:rPr>
      </w:pPr>
      <w:r>
        <w:rPr>
          <w:color w:val="000000"/>
        </w:rPr>
        <w:t xml:space="preserve">In unit of slots, </w:t>
      </w:r>
      <w:r>
        <w:t xml:space="preserve">the supported values for </w:t>
      </w:r>
      <w:r>
        <w:rPr>
          <w:i/>
        </w:rPr>
        <w:t>searchSpaceSwitchTimer-r17</w:t>
      </w:r>
      <w:r>
        <w:t xml:space="preserve"> and </w:t>
      </w:r>
      <w:r>
        <w:rPr>
          <w:i/>
        </w:rPr>
        <w:t>PDCCHSkippingDuration</w:t>
      </w:r>
      <w:r>
        <w:t xml:space="preserve"> for 480 kHz and 960 kHz are respectively 4x and 8x of their supported values for 120 kHz.</w:t>
      </w:r>
    </w:p>
    <w:p>
      <w:pPr>
        <w:pStyle w:val="82"/>
        <w:numPr>
          <w:ilvl w:val="0"/>
          <w:numId w:val="60"/>
        </w:numPr>
        <w:rPr>
          <w:color w:val="FF0000"/>
          <w:sz w:val="20"/>
          <w:szCs w:val="20"/>
        </w:rPr>
      </w:pPr>
      <w:r>
        <w:rPr>
          <w:rFonts w:hint="eastAsia"/>
          <w:color w:val="FF0000"/>
          <w:lang w:eastAsia="zh-CN"/>
        </w:rPr>
        <w:t>Note: If Rel-17 PDCCH SSSG switching is supported for LBT case, the candidate SSSG timer value should be longer than P</w:t>
      </w:r>
      <w:r>
        <w:rPr>
          <w:rFonts w:hint="eastAsia"/>
          <w:color w:val="FF0000"/>
          <w:vertAlign w:val="subscript"/>
          <w:lang w:eastAsia="zh-CN"/>
        </w:rPr>
        <w:t>switch</w:t>
      </w:r>
      <w:r>
        <w:rPr>
          <w:rFonts w:hint="eastAsia"/>
          <w:color w:val="FF0000"/>
          <w:lang w:eastAsia="zh-CN"/>
        </w:rPr>
        <w:t>.</w:t>
      </w:r>
    </w:p>
    <w:bookmarkEnd w:id="4"/>
    <w:p>
      <w:pPr>
        <w:rPr>
          <w:color w:val="FF0000"/>
          <w:sz w:val="20"/>
          <w:szCs w:val="20"/>
        </w:rPr>
      </w:pPr>
    </w:p>
    <w:p>
      <w:pPr>
        <w:rPr>
          <w:sz w:val="20"/>
          <w:szCs w:val="20"/>
        </w:rPr>
      </w:pPr>
      <w:r>
        <w:rPr>
          <w:sz w:val="20"/>
          <w:szCs w:val="20"/>
          <w:highlight w:val="yellow"/>
        </w:rPr>
        <w:t>FL suggests to clarify if other companies think that the proposal including the note is agreeable.</w:t>
      </w:r>
    </w:p>
    <w:p>
      <w:pPr>
        <w:pStyle w:val="3"/>
      </w:pPr>
      <w:r>
        <w:t>Topic A3: BD Budget/Dropping</w:t>
      </w:r>
    </w:p>
    <w:p>
      <w:pPr>
        <w:pStyle w:val="4"/>
      </w:pPr>
      <w:r>
        <w:t>Issue A3-1: BD/CCE budget (e.g. for Xs=4 at 960 kHz) for a single serving cell</w:t>
      </w:r>
    </w:p>
    <w:p>
      <w:pPr>
        <w:pStyle w:val="5"/>
      </w:pPr>
      <w:r>
        <w:t>First round discussion</w:t>
      </w:r>
    </w:p>
    <w:p>
      <w:pPr>
        <w:tabs>
          <w:tab w:val="left" w:pos="1300"/>
        </w:tabs>
        <w:spacing w:after="0"/>
        <w:jc w:val="both"/>
        <w:rPr>
          <w:rFonts w:eastAsia="宋体"/>
          <w:b/>
          <w:bCs/>
          <w:sz w:val="20"/>
          <w:szCs w:val="20"/>
          <w:lang w:eastAsia="zh-CN"/>
        </w:rPr>
      </w:pPr>
      <w:r>
        <w:rPr>
          <w:b/>
          <w:sz w:val="20"/>
          <w:szCs w:val="20"/>
          <w:u w:val="single"/>
        </w:rPr>
        <w:t>Proposal A3-1.1</w:t>
      </w:r>
      <w:r>
        <w:rPr>
          <w:b/>
          <w:sz w:val="20"/>
          <w:szCs w:val="20"/>
        </w:rPr>
        <w:t xml:space="preserve">: </w:t>
      </w:r>
      <w:r>
        <w:rPr>
          <w:rFonts w:hint="eastAsia" w:eastAsia="宋体"/>
          <w:b/>
          <w:bCs/>
          <w:sz w:val="20"/>
          <w:szCs w:val="20"/>
          <w:lang w:eastAsia="zh-CN"/>
        </w:rPr>
        <w:t xml:space="preserve">Confirm the working assumption: BD/CCE budget of 960 kHz for </w:t>
      </w:r>
      <m:oMath>
        <m:d>
          <m:dPr>
            <m:ctrlPr>
              <w:rPr>
                <w:rFonts w:ascii="Cambria Math" w:hAnsi="Cambria Math"/>
                <w:i/>
                <w:sz w:val="20"/>
                <w:szCs w:val="20"/>
              </w:rPr>
            </m:ctrlPr>
          </m:dPr>
          <m:e>
            <m:sSub>
              <m:sSubPr>
                <m:ctrlPr>
                  <w:rPr>
                    <w:rFonts w:ascii="Cambria Math" w:hAnsi="Cambria Math"/>
                    <w:i/>
                    <w:sz w:val="20"/>
                    <w:szCs w:val="20"/>
                    <w:lang w:eastAsia="zh-CN"/>
                  </w:rPr>
                </m:ctrlPr>
              </m:sSubPr>
              <m:e>
                <m:r>
                  <m:rPr>
                    <m:sty m:val="bi"/>
                  </m:rPr>
                  <w:rPr>
                    <w:rFonts w:ascii="Cambria Math" w:hAnsi="Cambria Math"/>
                    <w:sz w:val="20"/>
                    <w:szCs w:val="20"/>
                    <w:lang w:eastAsia="zh-CN"/>
                  </w:rPr>
                  <m:t>X</m:t>
                </m:r>
                <m:ctrlPr>
                  <w:rPr>
                    <w:rFonts w:ascii="Cambria Math" w:hAnsi="Cambria Math"/>
                    <w:i/>
                    <w:sz w:val="20"/>
                    <w:szCs w:val="20"/>
                    <w:lang w:eastAsia="zh-CN"/>
                  </w:rPr>
                </m:ctrlPr>
              </m:e>
              <m:sub>
                <m:r>
                  <m:rPr>
                    <m:sty m:val="bi"/>
                  </m:rPr>
                  <w:rPr>
                    <w:rFonts w:ascii="Cambria Math" w:hAnsi="Cambria Math"/>
                    <w:sz w:val="20"/>
                    <w:szCs w:val="20"/>
                    <w:lang w:eastAsia="zh-CN"/>
                  </w:rPr>
                  <m:t>s</m:t>
                </m:r>
                <m:ctrlPr>
                  <w:rPr>
                    <w:rFonts w:ascii="Cambria Math" w:hAnsi="Cambria Math"/>
                    <w:i/>
                    <w:sz w:val="20"/>
                    <w:szCs w:val="20"/>
                    <w:lang w:eastAsia="zh-CN"/>
                  </w:rPr>
                </m:ctrlPr>
              </m:sub>
            </m:sSub>
            <m:r>
              <m:rPr>
                <m:sty m:val="bi"/>
              </m:rPr>
              <w:rPr>
                <w:rFonts w:ascii="Cambria Math" w:hAnsi="Cambria Math"/>
                <w:sz w:val="20"/>
                <w:szCs w:val="20"/>
                <w:lang w:eastAsia="zh-CN"/>
              </w:rPr>
              <m:t>,</m:t>
            </m:r>
            <m:sSub>
              <m:sSubPr>
                <m:ctrlPr>
                  <w:rPr>
                    <w:rFonts w:ascii="Cambria Math" w:hAnsi="Cambria Math"/>
                    <w:i/>
                    <w:sz w:val="20"/>
                    <w:szCs w:val="20"/>
                    <w:lang w:eastAsia="zh-CN"/>
                  </w:rPr>
                </m:ctrlPr>
              </m:sSubPr>
              <m:e>
                <m:r>
                  <m:rPr>
                    <m:sty m:val="bi"/>
                  </m:rPr>
                  <w:rPr>
                    <w:rFonts w:ascii="Cambria Math" w:hAnsi="Cambria Math"/>
                    <w:sz w:val="20"/>
                    <w:szCs w:val="20"/>
                    <w:lang w:eastAsia="zh-CN"/>
                  </w:rPr>
                  <m:t>Y</m:t>
                </m:r>
                <m:ctrlPr>
                  <w:rPr>
                    <w:rFonts w:ascii="Cambria Math" w:hAnsi="Cambria Math"/>
                    <w:i/>
                    <w:sz w:val="20"/>
                    <w:szCs w:val="20"/>
                    <w:lang w:eastAsia="zh-CN"/>
                  </w:rPr>
                </m:ctrlPr>
              </m:e>
              <m:sub>
                <m:r>
                  <m:rPr>
                    <m:sty m:val="bi"/>
                  </m:rPr>
                  <w:rPr>
                    <w:rFonts w:ascii="Cambria Math" w:hAnsi="Cambria Math"/>
                    <w:sz w:val="20"/>
                    <w:szCs w:val="20"/>
                    <w:lang w:eastAsia="zh-CN"/>
                  </w:rPr>
                  <m:t>s</m:t>
                </m:r>
                <m:ctrlPr>
                  <w:rPr>
                    <w:rFonts w:ascii="Cambria Math" w:hAnsi="Cambria Math"/>
                    <w:i/>
                    <w:sz w:val="20"/>
                    <w:szCs w:val="20"/>
                    <w:lang w:eastAsia="zh-CN"/>
                  </w:rPr>
                </m:ctrlPr>
              </m:sub>
            </m:sSub>
            <m:ctrlPr>
              <w:rPr>
                <w:rFonts w:ascii="Cambria Math" w:hAnsi="Cambria Math"/>
                <w:i/>
                <w:sz w:val="20"/>
                <w:szCs w:val="20"/>
              </w:rPr>
            </m:ctrlPr>
          </m:e>
        </m:d>
      </m:oMath>
      <w:r>
        <w:rPr>
          <w:rFonts w:eastAsia="宋体"/>
          <w:sz w:val="20"/>
          <w:szCs w:val="20"/>
        </w:rPr>
        <w:t>=</w:t>
      </w:r>
      <w:r>
        <w:rPr>
          <w:rFonts w:hint="eastAsia" w:eastAsia="宋体"/>
          <w:b/>
          <w:bCs/>
          <w:sz w:val="20"/>
          <w:szCs w:val="20"/>
          <w:lang w:eastAsia="zh-CN"/>
        </w:rPr>
        <w:t xml:space="preserve"> (4,2), (4,1) is half that of X=8</w:t>
      </w:r>
      <w:r>
        <w:rPr>
          <w:rFonts w:eastAsia="宋体"/>
          <w:b/>
          <w:bCs/>
          <w:sz w:val="20"/>
          <w:szCs w:val="20"/>
          <w:lang w:eastAsia="zh-CN"/>
        </w:rPr>
        <w:t xml:space="preserve"> (i.e. 10/16)</w:t>
      </w:r>
    </w:p>
    <w:p>
      <w:pPr>
        <w:tabs>
          <w:tab w:val="left" w:pos="1300"/>
        </w:tabs>
        <w:spacing w:after="0"/>
        <w:jc w:val="both"/>
        <w:rPr>
          <w:rFonts w:eastAsia="宋体"/>
          <w:b/>
          <w:bCs/>
          <w:sz w:val="20"/>
          <w:szCs w:val="20"/>
          <w:lang w:eastAsia="zh-CN"/>
        </w:rPr>
      </w:pPr>
    </w:p>
    <w:p>
      <w:pPr>
        <w:tabs>
          <w:tab w:val="left" w:pos="1300"/>
        </w:tabs>
        <w:spacing w:after="0"/>
        <w:jc w:val="both"/>
        <w:rPr>
          <w:rFonts w:eastAsia="宋体"/>
          <w:b/>
          <w:bCs/>
          <w:sz w:val="20"/>
          <w:szCs w:val="20"/>
          <w:lang w:eastAsia="zh-CN"/>
        </w:rPr>
      </w:pPr>
      <w:r>
        <w:rPr>
          <w:b/>
          <w:sz w:val="20"/>
          <w:szCs w:val="20"/>
          <w:u w:val="single"/>
        </w:rPr>
        <w:t>Proposal A3-1.2</w:t>
      </w:r>
      <w:r>
        <w:rPr>
          <w:b/>
          <w:sz w:val="20"/>
          <w:szCs w:val="20"/>
        </w:rPr>
        <w:t xml:space="preserve"> (see R1-2201471): </w:t>
      </w:r>
      <w:r>
        <w:rPr>
          <w:rFonts w:eastAsia="宋体"/>
          <w:b/>
          <w:bCs/>
          <w:sz w:val="20"/>
          <w:szCs w:val="20"/>
          <w:lang w:eastAsia="zh-CN"/>
        </w:rPr>
        <w:t>Adopt</w:t>
      </w:r>
      <w:r>
        <w:rPr>
          <w:rFonts w:hint="eastAsia" w:eastAsia="宋体"/>
          <w:b/>
          <w:bCs/>
          <w:sz w:val="20"/>
          <w:szCs w:val="20"/>
          <w:lang w:eastAsia="zh-CN"/>
        </w:rPr>
        <w:t xml:space="preserve"> BD/CCE budget of 960 kHz for </w:t>
      </w:r>
      <m:oMath>
        <m:d>
          <m:dPr>
            <m:ctrlPr>
              <w:rPr>
                <w:rFonts w:ascii="Cambria Math" w:hAnsi="Cambria Math"/>
                <w:i/>
                <w:sz w:val="20"/>
                <w:szCs w:val="20"/>
              </w:rPr>
            </m:ctrlPr>
          </m:dPr>
          <m:e>
            <m:sSub>
              <m:sSubPr>
                <m:ctrlPr>
                  <w:rPr>
                    <w:rFonts w:ascii="Cambria Math" w:hAnsi="Cambria Math"/>
                    <w:i/>
                    <w:sz w:val="20"/>
                    <w:szCs w:val="20"/>
                    <w:lang w:eastAsia="zh-CN"/>
                  </w:rPr>
                </m:ctrlPr>
              </m:sSubPr>
              <m:e>
                <m:r>
                  <m:rPr>
                    <m:sty m:val="bi"/>
                  </m:rPr>
                  <w:rPr>
                    <w:rFonts w:ascii="Cambria Math" w:hAnsi="Cambria Math"/>
                    <w:sz w:val="20"/>
                    <w:szCs w:val="20"/>
                    <w:lang w:eastAsia="zh-CN"/>
                  </w:rPr>
                  <m:t>X</m:t>
                </m:r>
                <m:ctrlPr>
                  <w:rPr>
                    <w:rFonts w:ascii="Cambria Math" w:hAnsi="Cambria Math"/>
                    <w:i/>
                    <w:sz w:val="20"/>
                    <w:szCs w:val="20"/>
                    <w:lang w:eastAsia="zh-CN"/>
                  </w:rPr>
                </m:ctrlPr>
              </m:e>
              <m:sub>
                <m:r>
                  <m:rPr>
                    <m:sty m:val="bi"/>
                  </m:rPr>
                  <w:rPr>
                    <w:rFonts w:ascii="Cambria Math" w:hAnsi="Cambria Math"/>
                    <w:sz w:val="20"/>
                    <w:szCs w:val="20"/>
                    <w:lang w:eastAsia="zh-CN"/>
                  </w:rPr>
                  <m:t>s</m:t>
                </m:r>
                <m:ctrlPr>
                  <w:rPr>
                    <w:rFonts w:ascii="Cambria Math" w:hAnsi="Cambria Math"/>
                    <w:i/>
                    <w:sz w:val="20"/>
                    <w:szCs w:val="20"/>
                    <w:lang w:eastAsia="zh-CN"/>
                  </w:rPr>
                </m:ctrlPr>
              </m:sub>
            </m:sSub>
            <m:r>
              <m:rPr>
                <m:sty m:val="bi"/>
              </m:rPr>
              <w:rPr>
                <w:rFonts w:ascii="Cambria Math" w:hAnsi="Cambria Math"/>
                <w:sz w:val="20"/>
                <w:szCs w:val="20"/>
                <w:lang w:eastAsia="zh-CN"/>
              </w:rPr>
              <m:t>,</m:t>
            </m:r>
            <m:sSub>
              <m:sSubPr>
                <m:ctrlPr>
                  <w:rPr>
                    <w:rFonts w:ascii="Cambria Math" w:hAnsi="Cambria Math"/>
                    <w:i/>
                    <w:sz w:val="20"/>
                    <w:szCs w:val="20"/>
                    <w:lang w:eastAsia="zh-CN"/>
                  </w:rPr>
                </m:ctrlPr>
              </m:sSubPr>
              <m:e>
                <m:r>
                  <m:rPr>
                    <m:sty m:val="bi"/>
                  </m:rPr>
                  <w:rPr>
                    <w:rFonts w:ascii="Cambria Math" w:hAnsi="Cambria Math"/>
                    <w:sz w:val="20"/>
                    <w:szCs w:val="20"/>
                    <w:lang w:eastAsia="zh-CN"/>
                  </w:rPr>
                  <m:t>Y</m:t>
                </m:r>
                <m:ctrlPr>
                  <w:rPr>
                    <w:rFonts w:ascii="Cambria Math" w:hAnsi="Cambria Math"/>
                    <w:i/>
                    <w:sz w:val="20"/>
                    <w:szCs w:val="20"/>
                    <w:lang w:eastAsia="zh-CN"/>
                  </w:rPr>
                </m:ctrlPr>
              </m:e>
              <m:sub>
                <m:r>
                  <m:rPr>
                    <m:sty m:val="bi"/>
                  </m:rPr>
                  <w:rPr>
                    <w:rFonts w:ascii="Cambria Math" w:hAnsi="Cambria Math"/>
                    <w:sz w:val="20"/>
                    <w:szCs w:val="20"/>
                    <w:lang w:eastAsia="zh-CN"/>
                  </w:rPr>
                  <m:t>s</m:t>
                </m:r>
                <m:ctrlPr>
                  <w:rPr>
                    <w:rFonts w:ascii="Cambria Math" w:hAnsi="Cambria Math"/>
                    <w:i/>
                    <w:sz w:val="20"/>
                    <w:szCs w:val="20"/>
                    <w:lang w:eastAsia="zh-CN"/>
                  </w:rPr>
                </m:ctrlPr>
              </m:sub>
            </m:sSub>
            <m:ctrlPr>
              <w:rPr>
                <w:rFonts w:ascii="Cambria Math" w:hAnsi="Cambria Math"/>
                <w:i/>
                <w:sz w:val="20"/>
                <w:szCs w:val="20"/>
              </w:rPr>
            </m:ctrlPr>
          </m:e>
        </m:d>
      </m:oMath>
      <w:r>
        <w:rPr>
          <w:rFonts w:eastAsia="宋体"/>
          <w:sz w:val="20"/>
          <w:szCs w:val="20"/>
        </w:rPr>
        <w:t>=</w:t>
      </w:r>
      <w:r>
        <w:rPr>
          <w:rFonts w:hint="eastAsia" w:eastAsia="宋体"/>
          <w:b/>
          <w:bCs/>
          <w:sz w:val="20"/>
          <w:szCs w:val="20"/>
          <w:lang w:eastAsia="zh-CN"/>
        </w:rPr>
        <w:t xml:space="preserve"> (4,2), (4,1) </w:t>
      </w:r>
      <w:r>
        <w:rPr>
          <w:rFonts w:eastAsia="宋体"/>
          <w:b/>
          <w:bCs/>
          <w:sz w:val="20"/>
          <w:szCs w:val="20"/>
          <w:lang w:eastAsia="zh-CN"/>
        </w:rPr>
        <w:t>as 10/28</w:t>
      </w:r>
    </w:p>
    <w:p>
      <w:pPr>
        <w:tabs>
          <w:tab w:val="left" w:pos="1300"/>
        </w:tabs>
        <w:spacing w:after="0"/>
        <w:jc w:val="both"/>
        <w:rPr>
          <w:rFonts w:eastAsia="宋体"/>
          <w:b/>
          <w:bCs/>
          <w:sz w:val="20"/>
          <w:szCs w:val="20"/>
          <w:lang w:eastAsia="zh-CN"/>
        </w:rPr>
      </w:pPr>
    </w:p>
    <w:p>
      <w:pPr>
        <w:tabs>
          <w:tab w:val="left" w:pos="1300"/>
        </w:tabs>
        <w:spacing w:after="0"/>
        <w:jc w:val="both"/>
        <w:rPr>
          <w:rFonts w:eastAsia="宋体"/>
          <w:b/>
          <w:bCs/>
          <w:sz w:val="20"/>
          <w:szCs w:val="20"/>
          <w:lang w:eastAsia="zh-CN"/>
        </w:rPr>
      </w:pPr>
      <w:r>
        <w:rPr>
          <w:b/>
          <w:sz w:val="20"/>
          <w:szCs w:val="20"/>
          <w:u w:val="single"/>
        </w:rPr>
        <w:t>Proposal A3-1.3</w:t>
      </w:r>
      <w:r>
        <w:rPr>
          <w:b/>
          <w:sz w:val="20"/>
          <w:szCs w:val="20"/>
        </w:rPr>
        <w:t xml:space="preserve"> (see R1-2202072): </w:t>
      </w:r>
      <w:r>
        <w:rPr>
          <w:rFonts w:eastAsia="宋体"/>
          <w:b/>
          <w:bCs/>
          <w:sz w:val="20"/>
          <w:szCs w:val="20"/>
          <w:lang w:eastAsia="zh-CN"/>
        </w:rPr>
        <w:t>For Rel-17 960kHz multi-slot PDCCH monitoring, only (X,Y)=(8,1) and (8,4) are supported in a Pcell</w:t>
      </w:r>
    </w:p>
    <w:p/>
    <w:p>
      <w:pPr>
        <w:rPr>
          <w:bCs/>
          <w:sz w:val="20"/>
          <w:szCs w:val="20"/>
          <w:lang w:eastAsia="zh-CN"/>
        </w:rPr>
      </w:pPr>
      <w:r>
        <w:rPr>
          <w:bCs/>
          <w:sz w:val="20"/>
          <w:szCs w:val="20"/>
          <w:lang w:eastAsia="zh-CN"/>
        </w:rPr>
        <w:t>FL Summary: Most companies seemed to be fine with the confirming the working assumption without changing parameters or adding restrictions. One company raised a concern that the budget according to the WA is insufficient for monitoring CSS. Another company suggests that a PCell supports only (X,Y)=(8,1) and (8,4).</w:t>
      </w:r>
    </w:p>
    <w:p>
      <w:pPr>
        <w:rPr>
          <w:bCs/>
          <w:sz w:val="20"/>
          <w:szCs w:val="20"/>
        </w:rPr>
      </w:pPr>
      <w:r>
        <w:rPr>
          <w:bCs/>
          <w:sz w:val="20"/>
          <w:szCs w:val="20"/>
          <w:lang w:eastAsia="zh-CN"/>
        </w:rPr>
        <w:t>FL asks companies if they are supporting the increased CCE budget (Proposal A3-1.2) and/or the suggested limitation for a PCell (</w:t>
      </w:r>
      <w:r>
        <w:rPr>
          <w:bCs/>
          <w:sz w:val="20"/>
          <w:szCs w:val="20"/>
        </w:rPr>
        <w:t>Proposal A3-1.3</w:t>
      </w:r>
      <w:r>
        <w:rPr>
          <w:bCs/>
          <w:sz w:val="20"/>
          <w:szCs w:val="20"/>
          <w:lang w:eastAsia="zh-CN"/>
        </w:rPr>
        <w:t>). Otherwise it is suggested to just confirm the WA (Proposal A3-1.1) as is.</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MediaTek</w:t>
            </w:r>
          </w:p>
        </w:tc>
        <w:tc>
          <w:tcPr>
            <w:tcW w:w="12176" w:type="dxa"/>
            <w:vAlign w:val="center"/>
          </w:tcPr>
          <w:p>
            <w:pPr>
              <w:widowControl w:val="0"/>
              <w:rPr>
                <w:lang w:eastAsia="zh-CN"/>
              </w:rPr>
            </w:pPr>
            <w:r>
              <w:rPr>
                <w:lang w:eastAsia="zh-CN"/>
              </w:rPr>
              <w:t xml:space="preserve">We support A3-1.3 and can be acceptable to A3-1.1. However, as mentioned in our Tdoc, the PDCCH monitoring BD/CCE budget for SS#0 has been agreed and we don’t see the feasibility to support SS#0 under the BD/CCE=10/16 requirement. The solution can be either increasing the BD/CCE limit budget as proposal A3-1.2 or simply restricting the use cases of X=4 for 960kHz not in Pcell. From the UE implementation point of view, we don’t prefer to optimize BD/CCE budget for such purpose at the huge cost of UE implementation complexity. Note that BD/CCE budget is highly replated to processing timelines, which have been agreed for both mandatory and optional PDCCH monitoring capability. Therefore, increasing BD/CCE budget should not be considered at this stage.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lang w:eastAsia="zh-CN"/>
              </w:rPr>
              <w:t>Samsung</w:t>
            </w:r>
          </w:p>
        </w:tc>
        <w:tc>
          <w:tcPr>
            <w:tcW w:w="12176" w:type="dxa"/>
            <w:vAlign w:val="center"/>
          </w:tcPr>
          <w:p>
            <w:pPr>
              <w:widowControl w:val="0"/>
              <w:rPr>
                <w:lang w:eastAsia="zh-CN"/>
              </w:rPr>
            </w:pPr>
            <w:r>
              <w:rPr>
                <w:lang w:eastAsia="zh-CN"/>
              </w:rPr>
              <w:t xml:space="preserve">We are open to increase the BD/CCE budget for (4, 2) and (4, 1) with 960 kHz, and the exact value can be further discussed. </w:t>
            </w:r>
          </w:p>
          <w:p>
            <w:pPr>
              <w:widowControl w:val="0"/>
              <w:rPr>
                <w:sz w:val="20"/>
                <w:lang w:eastAsia="zh-CN"/>
              </w:rPr>
            </w:pPr>
            <w:r>
              <w:rPr>
                <w:lang w:eastAsia="zh-CN"/>
              </w:rPr>
              <w:t xml:space="preserve">We didn’t see a strong motivation to restrict using (4, 2) and (4, 1) with 960 kHz for PCell.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Ericsson</w:t>
            </w:r>
          </w:p>
        </w:tc>
        <w:tc>
          <w:tcPr>
            <w:tcW w:w="12176" w:type="dxa"/>
            <w:vAlign w:val="center"/>
          </w:tcPr>
          <w:p>
            <w:pPr>
              <w:widowControl w:val="0"/>
              <w:rPr>
                <w:sz w:val="20"/>
                <w:lang w:eastAsia="zh-CN"/>
              </w:rPr>
            </w:pPr>
            <w:r>
              <w:rPr>
                <w:sz w:val="20"/>
                <w:lang w:eastAsia="zh-CN"/>
              </w:rPr>
              <w:t>These is a problem with Proposal A3-1.1. We think that (4,2) and (4,1) with BD/CCE budget of 10/16 is flawed in that the CCE budget is not enough for Type0-PDCCH monitoring which requires 4 + 8 + 16 = 28 non-overlapping CCEs according to Table 10.1-1.</w:t>
            </w:r>
          </w:p>
          <w:p>
            <w:pPr>
              <w:keepNext/>
              <w:keepLines/>
              <w:widowControl w:val="0"/>
              <w:autoSpaceDE/>
              <w:autoSpaceDN/>
              <w:adjustRightInd/>
              <w:snapToGrid/>
              <w:spacing w:before="60" w:after="180" w:line="240" w:lineRule="auto"/>
              <w:jc w:val="center"/>
              <w:rPr>
                <w:rFonts w:ascii="Arial" w:hAnsi="Arial" w:eastAsia="宋体"/>
                <w:b/>
                <w:sz w:val="20"/>
                <w:szCs w:val="20"/>
                <w:lang w:val="en-GB"/>
              </w:rPr>
            </w:pPr>
            <w:r>
              <w:rPr>
                <w:rFonts w:ascii="Arial" w:hAnsi="Arial" w:eastAsia="宋体"/>
                <w:b/>
                <w:sz w:val="20"/>
                <w:szCs w:val="20"/>
                <w:lang w:val="en-GB"/>
              </w:rPr>
              <w:t xml:space="preserve">Table 10.1-1: CCE aggregation levels and maximum number of PDCCH candidates per CCE aggregation level for CSS sets </w:t>
            </w:r>
            <w:r>
              <w:rPr>
                <w:rFonts w:ascii="Arial" w:hAnsi="Arial" w:eastAsia="Yu Mincho"/>
                <w:b/>
                <w:sz w:val="20"/>
                <w:szCs w:val="20"/>
                <w:lang w:val="en-GB"/>
              </w:rPr>
              <w:t xml:space="preserve">configured by </w:t>
            </w:r>
            <w:r>
              <w:rPr>
                <w:rFonts w:ascii="Arial" w:hAnsi="Arial" w:eastAsia="宋体"/>
                <w:b/>
                <w:i/>
                <w:iCs/>
                <w:sz w:val="20"/>
                <w:szCs w:val="20"/>
                <w:lang w:eastAsia="zh-CN"/>
              </w:rPr>
              <w:t>searchSpaceSIB1</w:t>
            </w:r>
          </w:p>
          <w:tbl>
            <w:tblPr>
              <w:tblStyle w:val="54"/>
              <w:tblW w:w="60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2995"/>
              <w:gridCol w:w="3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2995" w:type="dxa"/>
                  <w:shd w:val="clear" w:color="auto" w:fill="E0E0E0"/>
                  <w:vAlign w:val="center"/>
                </w:tcPr>
                <w:p>
                  <w:pPr>
                    <w:keepNext/>
                    <w:keepLines/>
                    <w:autoSpaceDE/>
                    <w:autoSpaceDN/>
                    <w:adjustRightInd/>
                    <w:snapToGrid/>
                    <w:spacing w:after="0" w:line="240" w:lineRule="auto"/>
                    <w:jc w:val="center"/>
                    <w:rPr>
                      <w:rFonts w:eastAsia="宋体"/>
                      <w:b/>
                      <w:sz w:val="20"/>
                      <w:szCs w:val="20"/>
                      <w:lang w:val="en-GB"/>
                    </w:rPr>
                  </w:pPr>
                  <w:r>
                    <w:rPr>
                      <w:rFonts w:ascii="Arial" w:hAnsi="Arial" w:eastAsia="宋体"/>
                      <w:b/>
                      <w:sz w:val="18"/>
                      <w:szCs w:val="20"/>
                      <w:lang w:val="en-GB"/>
                    </w:rPr>
                    <w:t>CCE Aggregation Level</w:t>
                  </w:r>
                </w:p>
              </w:tc>
              <w:tc>
                <w:tcPr>
                  <w:tcW w:w="3096" w:type="dxa"/>
                  <w:shd w:val="clear" w:color="auto" w:fill="E0E0E0"/>
                  <w:vAlign w:val="center"/>
                </w:tcPr>
                <w:p>
                  <w:pPr>
                    <w:keepNext/>
                    <w:keepLines/>
                    <w:autoSpaceDE/>
                    <w:autoSpaceDN/>
                    <w:adjustRightInd/>
                    <w:snapToGrid/>
                    <w:spacing w:after="0" w:line="240" w:lineRule="auto"/>
                    <w:jc w:val="center"/>
                    <w:rPr>
                      <w:rFonts w:eastAsia="宋体"/>
                      <w:b/>
                      <w:sz w:val="20"/>
                      <w:szCs w:val="20"/>
                      <w:lang w:val="en-GB"/>
                    </w:rPr>
                  </w:pPr>
                  <w:r>
                    <w:rPr>
                      <w:rFonts w:ascii="Arial" w:hAnsi="Arial" w:eastAsia="宋体"/>
                      <w:b/>
                      <w:sz w:val="18"/>
                      <w:szCs w:val="20"/>
                      <w:lang w:val="en-GB"/>
                    </w:rPr>
                    <w:t>Number of Candidates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2995" w:type="dxa"/>
                  <w:vAlign w:val="center"/>
                </w:tcPr>
                <w:p>
                  <w:pPr>
                    <w:keepNext/>
                    <w:keepLines/>
                    <w:autoSpaceDE/>
                    <w:autoSpaceDN/>
                    <w:adjustRightInd/>
                    <w:snapToGrid/>
                    <w:spacing w:after="0" w:line="240" w:lineRule="auto"/>
                    <w:jc w:val="center"/>
                    <w:rPr>
                      <w:rFonts w:ascii="Arial" w:hAnsi="Arial" w:eastAsia="宋体"/>
                      <w:sz w:val="18"/>
                      <w:szCs w:val="20"/>
                      <w:lang w:val="en-GB"/>
                    </w:rPr>
                  </w:pPr>
                  <w:r>
                    <w:rPr>
                      <w:rFonts w:ascii="Arial" w:hAnsi="Arial" w:eastAsia="宋体"/>
                      <w:sz w:val="18"/>
                      <w:szCs w:val="20"/>
                      <w:lang w:val="en-GB"/>
                    </w:rPr>
                    <w:t>4</w:t>
                  </w:r>
                </w:p>
              </w:tc>
              <w:tc>
                <w:tcPr>
                  <w:tcW w:w="3096" w:type="dxa"/>
                  <w:vAlign w:val="center"/>
                </w:tcPr>
                <w:p>
                  <w:pPr>
                    <w:keepNext/>
                    <w:keepLines/>
                    <w:autoSpaceDE/>
                    <w:autoSpaceDN/>
                    <w:adjustRightInd/>
                    <w:snapToGrid/>
                    <w:spacing w:after="0" w:line="240" w:lineRule="auto"/>
                    <w:jc w:val="center"/>
                    <w:rPr>
                      <w:rFonts w:ascii="Arial" w:hAnsi="Arial" w:eastAsia="宋体"/>
                      <w:sz w:val="18"/>
                      <w:szCs w:val="20"/>
                      <w:lang w:val="en-GB"/>
                    </w:rPr>
                  </w:pPr>
                  <w:r>
                    <w:rPr>
                      <w:rFonts w:ascii="Arial" w:hAnsi="Arial" w:eastAsia="宋体"/>
                      <w:sz w:val="18"/>
                      <w:szCs w:val="20"/>
                      <w:lang w:val="en-GB"/>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2995" w:type="dxa"/>
                  <w:vAlign w:val="center"/>
                </w:tcPr>
                <w:p>
                  <w:pPr>
                    <w:keepNext/>
                    <w:keepLines/>
                    <w:autoSpaceDE/>
                    <w:autoSpaceDN/>
                    <w:adjustRightInd/>
                    <w:snapToGrid/>
                    <w:spacing w:after="0" w:line="240" w:lineRule="auto"/>
                    <w:jc w:val="center"/>
                    <w:rPr>
                      <w:rFonts w:ascii="Arial" w:hAnsi="Arial" w:eastAsia="宋体"/>
                      <w:sz w:val="18"/>
                      <w:szCs w:val="20"/>
                      <w:lang w:val="en-GB"/>
                    </w:rPr>
                  </w:pPr>
                  <w:r>
                    <w:rPr>
                      <w:rFonts w:ascii="Arial" w:hAnsi="Arial" w:eastAsia="宋体"/>
                      <w:sz w:val="18"/>
                      <w:szCs w:val="20"/>
                      <w:lang w:val="en-GB"/>
                    </w:rPr>
                    <w:t>8</w:t>
                  </w:r>
                </w:p>
              </w:tc>
              <w:tc>
                <w:tcPr>
                  <w:tcW w:w="3096" w:type="dxa"/>
                  <w:vAlign w:val="center"/>
                </w:tcPr>
                <w:p>
                  <w:pPr>
                    <w:keepNext/>
                    <w:keepLines/>
                    <w:autoSpaceDE/>
                    <w:autoSpaceDN/>
                    <w:adjustRightInd/>
                    <w:snapToGrid/>
                    <w:spacing w:after="0" w:line="240" w:lineRule="auto"/>
                    <w:jc w:val="center"/>
                    <w:rPr>
                      <w:rFonts w:ascii="Arial" w:hAnsi="Arial" w:eastAsia="宋体"/>
                      <w:sz w:val="18"/>
                      <w:szCs w:val="20"/>
                      <w:lang w:val="en-GB"/>
                    </w:rPr>
                  </w:pPr>
                  <w:r>
                    <w:rPr>
                      <w:rFonts w:ascii="Arial" w:hAnsi="Arial" w:eastAsia="宋体"/>
                      <w:sz w:val="18"/>
                      <w:szCs w:val="20"/>
                      <w:lang w:val="en-GB"/>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2995" w:type="dxa"/>
                  <w:vAlign w:val="center"/>
                </w:tcPr>
                <w:p>
                  <w:pPr>
                    <w:keepNext/>
                    <w:keepLines/>
                    <w:autoSpaceDE/>
                    <w:autoSpaceDN/>
                    <w:adjustRightInd/>
                    <w:snapToGrid/>
                    <w:spacing w:after="0" w:line="240" w:lineRule="auto"/>
                    <w:jc w:val="center"/>
                    <w:rPr>
                      <w:rFonts w:ascii="Arial" w:hAnsi="Arial" w:eastAsia="宋体"/>
                      <w:sz w:val="18"/>
                      <w:szCs w:val="20"/>
                      <w:lang w:val="en-GB"/>
                    </w:rPr>
                  </w:pPr>
                  <w:r>
                    <w:rPr>
                      <w:rFonts w:ascii="Arial" w:hAnsi="Arial" w:eastAsia="宋体"/>
                      <w:sz w:val="18"/>
                      <w:szCs w:val="20"/>
                      <w:lang w:val="en-GB"/>
                    </w:rPr>
                    <w:t>16</w:t>
                  </w:r>
                </w:p>
              </w:tc>
              <w:tc>
                <w:tcPr>
                  <w:tcW w:w="3096" w:type="dxa"/>
                  <w:vAlign w:val="center"/>
                </w:tcPr>
                <w:p>
                  <w:pPr>
                    <w:keepNext/>
                    <w:keepLines/>
                    <w:autoSpaceDE/>
                    <w:autoSpaceDN/>
                    <w:adjustRightInd/>
                    <w:snapToGrid/>
                    <w:spacing w:after="0" w:line="240" w:lineRule="auto"/>
                    <w:jc w:val="center"/>
                    <w:rPr>
                      <w:rFonts w:ascii="Arial" w:hAnsi="Arial" w:eastAsia="宋体"/>
                      <w:sz w:val="18"/>
                      <w:szCs w:val="20"/>
                      <w:lang w:val="en-GB"/>
                    </w:rPr>
                  </w:pPr>
                  <w:r>
                    <w:rPr>
                      <w:rFonts w:ascii="Arial" w:hAnsi="Arial" w:eastAsia="宋体"/>
                      <w:sz w:val="18"/>
                      <w:szCs w:val="20"/>
                      <w:lang w:val="en-GB"/>
                    </w:rPr>
                    <w:t>1</w:t>
                  </w:r>
                </w:p>
              </w:tc>
            </w:tr>
          </w:tbl>
          <w:p>
            <w:pPr>
              <w:widowControl w:val="0"/>
              <w:rPr>
                <w:sz w:val="20"/>
                <w:lang w:eastAsia="zh-CN"/>
              </w:rPr>
            </w:pPr>
          </w:p>
          <w:p>
            <w:pPr>
              <w:widowControl w:val="0"/>
              <w:rPr>
                <w:sz w:val="20"/>
                <w:lang w:eastAsia="zh-CN"/>
              </w:rPr>
            </w:pPr>
            <w:r>
              <w:rPr>
                <w:sz w:val="20"/>
                <w:lang w:eastAsia="zh-CN"/>
              </w:rPr>
              <w:t>To solve this issue, we suppport Proposal A3-1.2.</w:t>
            </w:r>
          </w:p>
          <w:p>
            <w:pPr>
              <w:widowControl w:val="0"/>
              <w:rPr>
                <w:sz w:val="20"/>
                <w:lang w:eastAsia="zh-CN"/>
              </w:rPr>
            </w:pPr>
            <w:r>
              <w:rPr>
                <w:sz w:val="20"/>
                <w:lang w:eastAsia="zh-CN"/>
              </w:rPr>
              <w:t>With Proposal A3-1.2, there doesn't seem to be a need for Proposal A3-1.3.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lang w:eastAsia="zh-CN"/>
              </w:rPr>
              <w:t>Qualcomm</w:t>
            </w:r>
          </w:p>
        </w:tc>
        <w:tc>
          <w:tcPr>
            <w:tcW w:w="12176" w:type="dxa"/>
            <w:vAlign w:val="center"/>
          </w:tcPr>
          <w:p>
            <w:pPr>
              <w:widowControl w:val="0"/>
              <w:rPr>
                <w:sz w:val="20"/>
                <w:lang w:eastAsia="zh-CN"/>
              </w:rPr>
            </w:pPr>
            <w:r>
              <w:rPr>
                <w:lang w:eastAsia="zh-CN"/>
              </w:rPr>
              <w:t>We support Proposal A3-1.1. However, we are also open to discuss Proposal A3-1.2, if there are sufficient interests.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Sharp</w:t>
            </w:r>
          </w:p>
        </w:tc>
        <w:tc>
          <w:tcPr>
            <w:tcW w:w="12176" w:type="dxa"/>
            <w:vAlign w:val="center"/>
          </w:tcPr>
          <w:p>
            <w:pPr>
              <w:widowControl w:val="0"/>
              <w:rPr>
                <w:lang w:eastAsia="zh-CN"/>
              </w:rPr>
            </w:pPr>
            <w:r>
              <w:rPr>
                <w:rFonts w:hint="eastAsia" w:eastAsia="MS Mincho"/>
                <w:lang w:eastAsia="ja-JP"/>
              </w:rPr>
              <w:t xml:space="preserve">We </w:t>
            </w:r>
            <w:r>
              <w:rPr>
                <w:rFonts w:eastAsia="MS Mincho"/>
                <w:lang w:eastAsia="ja-JP"/>
              </w:rPr>
              <w:t>generally suport Proposal A3-1.1 and A3-1.2. The specific budget values are worth discussing.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sz w:val="20"/>
                <w:lang w:eastAsia="zh-CN"/>
              </w:rPr>
              <w:t>v</w:t>
            </w:r>
            <w:r>
              <w:rPr>
                <w:sz w:val="20"/>
                <w:lang w:eastAsia="zh-CN"/>
              </w:rPr>
              <w:t>ivo</w:t>
            </w:r>
          </w:p>
        </w:tc>
        <w:tc>
          <w:tcPr>
            <w:tcW w:w="12176" w:type="dxa"/>
            <w:vAlign w:val="center"/>
          </w:tcPr>
          <w:p>
            <w:pPr>
              <w:widowControl w:val="0"/>
              <w:rPr>
                <w:rFonts w:eastAsia="MS Mincho"/>
                <w:lang w:eastAsia="ja-JP"/>
              </w:rPr>
            </w:pPr>
            <w:r>
              <w:rPr>
                <w:rFonts w:hint="eastAsia"/>
                <w:sz w:val="20"/>
                <w:lang w:eastAsia="zh-CN"/>
              </w:rPr>
              <w:t>W</w:t>
            </w:r>
            <w:r>
              <w:rPr>
                <w:sz w:val="20"/>
                <w:lang w:eastAsia="zh-CN"/>
              </w:rPr>
              <w:t>e are OK to confirm the working assumption.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Nokia, NSB</w:t>
            </w:r>
          </w:p>
        </w:tc>
        <w:tc>
          <w:tcPr>
            <w:tcW w:w="12176" w:type="dxa"/>
            <w:vAlign w:val="center"/>
          </w:tcPr>
          <w:p>
            <w:pPr>
              <w:widowControl w:val="0"/>
              <w:rPr>
                <w:rFonts w:eastAsia="MS Mincho"/>
                <w:lang w:eastAsia="ja-JP"/>
              </w:rPr>
            </w:pPr>
            <w:r>
              <w:rPr>
                <w:rFonts w:eastAsia="MS Mincho"/>
                <w:lang w:eastAsia="ja-JP"/>
              </w:rPr>
              <w:t xml:space="preserve">We support </w:t>
            </w:r>
            <w:r>
              <w:rPr>
                <w:bCs/>
                <w:sz w:val="20"/>
                <w:szCs w:val="20"/>
              </w:rPr>
              <w:t xml:space="preserve">Proposal A3-1.2.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We prefer to confirm the WA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sz w:val="20"/>
                <w:lang w:eastAsia="zh-CN"/>
              </w:rPr>
              <w:t xml:space="preserve">We are fine with the intention to enlarge the CCE budge of 960kHz for (Xs, Ys) = (4,2), (4,1). However, we failed to understand why the CCE budge is calculated by simply adding, i.e. </w:t>
            </w:r>
            <w:r>
              <w:rPr>
                <w:sz w:val="20"/>
                <w:lang w:eastAsia="zh-CN"/>
              </w:rPr>
              <w:t>4 + 8 + 16</w:t>
            </w:r>
            <w:r>
              <w:rPr>
                <w:rFonts w:hint="eastAsia"/>
                <w:sz w:val="20"/>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sz w:val="20"/>
                <w:lang w:eastAsia="zh-CN"/>
              </w:rPr>
            </w:pPr>
            <w:r>
              <w:rPr>
                <w:rFonts w:eastAsia="MS Mincho"/>
                <w:lang w:eastAsia="ja-JP"/>
              </w:rPr>
              <w:t xml:space="preserve">We support A3-1.2 and the exact values of increased CCE budget can be further discussed. In our view, Xs=4 slots for 960 kHz SCS can be supported as optional UE capability, so we don’t see the need to make CCE budget too small. Our concern on the current WA is that the available AL for the type0-PDCCH CSS can be limited, and/or </w:t>
            </w:r>
            <w:r>
              <w:t xml:space="preserve">type0-PDCCH monitoring can consume all the </w:t>
            </w:r>
            <w:r>
              <w:rPr>
                <w:rFonts w:hint="eastAsia"/>
              </w:rPr>
              <w:t>B</w:t>
            </w:r>
            <w:r>
              <w:t>D/CCE budgets in a slot group with Xs=4, then the UE cannot monitor other SSs including other CSSs than type0-PDCCH CSS in the same slot group</w:t>
            </w:r>
            <w:r>
              <w:rPr>
                <w:rFonts w:eastAsia="MS Mincho"/>
                <w:lang w:eastAsia="ja-JP"/>
              </w:rPr>
              <w:t xml:space="preserve">. In addition, we agreed to distribute monitored slot for type0-PDCCH CSS into different slot groups, i.e., n0 and n0+X0 slots, to ensure the configuration flexibility for type0-PDCCH CSS monitoring. Thus, for the same reason as the previous agreement, we suggest increase the maximum number of CCEs even for Xs= 4 slot with 960 kHz SCS.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lang w:eastAsia="zh-CN"/>
              </w:rPr>
              <w:t>LG Electronics</w:t>
            </w:r>
          </w:p>
        </w:tc>
        <w:tc>
          <w:tcPr>
            <w:tcW w:w="12176" w:type="dxa"/>
            <w:vAlign w:val="center"/>
          </w:tcPr>
          <w:p>
            <w:pPr>
              <w:widowControl w:val="0"/>
              <w:rPr>
                <w:lang w:eastAsia="zh-CN"/>
              </w:rPr>
            </w:pPr>
            <w:r>
              <w:rPr>
                <w:lang w:eastAsia="zh-CN"/>
              </w:rPr>
              <w:t>Same view with Qualcomm.</w:t>
            </w:r>
          </w:p>
          <w:p>
            <w:pPr>
              <w:widowControl w:val="0"/>
              <w:rPr>
                <w:rFonts w:eastAsia="MS Mincho"/>
                <w:lang w:eastAsia="ja-JP"/>
              </w:rPr>
            </w:pPr>
            <w:r>
              <w:rPr>
                <w:lang w:eastAsia="zh-CN"/>
              </w:rPr>
              <w:t>In addition, it should be noted that the BD/CCE budget for 960 kHz for (Xs,Ys)=(4,2) or (4,1) can be equally applied to a budget for 480 kHz for (Xs,Ys)=(2,1), if supported.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lang w:eastAsia="zh-CN"/>
              </w:rPr>
            </w:pPr>
            <w:r>
              <w:rPr>
                <w:lang w:eastAsia="zh-CN"/>
              </w:rPr>
              <w:t xml:space="preserve">We support Proposal A3-1.1.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lang w:eastAsia="zh-CN"/>
              </w:rPr>
              <w:t>We support Proposal A3-1.1.</w:t>
            </w:r>
          </w:p>
        </w:tc>
      </w:tr>
    </w:tbl>
    <w:tbl>
      <w:tblPr>
        <w:tblStyle w:val="281"/>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lang w:eastAsia="zh-CN"/>
              </w:rPr>
            </w:pPr>
            <w:r>
              <w:rPr>
                <w:lang w:eastAsia="zh-CN"/>
              </w:rPr>
              <w:t>Futurewei</w:t>
            </w:r>
          </w:p>
        </w:tc>
        <w:tc>
          <w:tcPr>
            <w:tcW w:w="12176" w:type="dxa"/>
            <w:vAlign w:val="center"/>
          </w:tcPr>
          <w:p>
            <w:pPr>
              <w:widowControl w:val="0"/>
              <w:spacing w:line="240" w:lineRule="auto"/>
              <w:rPr>
                <w:lang w:eastAsia="zh-CN"/>
              </w:rPr>
            </w:pPr>
            <w:r>
              <w:rPr>
                <w:lang w:eastAsia="zh-CN"/>
              </w:rPr>
              <w:t>We support Proposal A3-1.1 and open to discuss Proposal A3-1.2.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lang w:eastAsia="zh-CN"/>
              </w:rPr>
            </w:pPr>
            <w:r>
              <w:rPr>
                <w:lang w:eastAsia="zh-CN"/>
              </w:rPr>
              <w:t>Lenovo</w:t>
            </w:r>
          </w:p>
        </w:tc>
        <w:tc>
          <w:tcPr>
            <w:tcW w:w="12176" w:type="dxa"/>
            <w:vAlign w:val="center"/>
          </w:tcPr>
          <w:p>
            <w:pPr>
              <w:widowControl w:val="0"/>
              <w:spacing w:line="240" w:lineRule="auto"/>
              <w:rPr>
                <w:lang w:eastAsia="zh-CN"/>
              </w:rPr>
            </w:pPr>
            <w:r>
              <w:rPr>
                <w:lang w:eastAsia="zh-CN"/>
              </w:rPr>
              <w:t>Similar view as NTT DOCOMO and Ericsson. We think Proposal A3-1.2 makes sense since it will allow better use of these optional slot group sizes. We shouldn't intentionally limit in the flexibility.</w:t>
            </w:r>
          </w:p>
        </w:tc>
      </w:tr>
    </w:tbl>
    <w:p/>
    <w:p>
      <w:pPr>
        <w:pStyle w:val="5"/>
      </w:pPr>
      <w:r>
        <w:t>First round discussion summary</w:t>
      </w:r>
    </w:p>
    <w:p>
      <w:pPr>
        <w:rPr>
          <w:sz w:val="20"/>
          <w:szCs w:val="20"/>
          <w:lang w:eastAsia="zh-CN"/>
        </w:rPr>
      </w:pPr>
      <w:r>
        <w:rPr>
          <w:sz w:val="20"/>
          <w:szCs w:val="20"/>
          <w:lang w:eastAsia="zh-CN"/>
        </w:rPr>
        <w:t>A slight majority of companies prefers Proposal A3-1.1 (CCE budget = 16), a slight minority prefers Proposal A3-1.1 (CCE budget = 28). Several companies expressed interest in further discussing the detailed number for the CCE budget. There is no consensus to restrict 960kHz multi-slot PDCCH monitoring, only (X,Y)=(8,1) and (8,4) are supported in a Pcell. FL suggests to continue the discussion on BD/CCE budget of 960 kHz for (X_s,Y_s )= (4,2), (4,1) taking 10/16 and 10/28 as starting points.</w:t>
      </w:r>
    </w:p>
    <w:p>
      <w:pPr>
        <w:pStyle w:val="5"/>
      </w:pPr>
      <w:r>
        <w:t>Second round discussion</w:t>
      </w:r>
    </w:p>
    <w:p>
      <w:pPr>
        <w:rPr>
          <w:sz w:val="20"/>
          <w:szCs w:val="20"/>
          <w:highlight w:val="yellow"/>
          <w:lang w:eastAsia="zh-CN"/>
        </w:rPr>
      </w:pPr>
      <w:r>
        <w:rPr>
          <w:bCs/>
          <w:sz w:val="20"/>
          <w:szCs w:val="20"/>
          <w:highlight w:val="yellow"/>
          <w:lang w:val="en-GB" w:eastAsia="zh-CN"/>
        </w:rPr>
        <w:t xml:space="preserve">In view of the first round discussion, </w:t>
      </w:r>
      <w:r>
        <w:rPr>
          <w:sz w:val="20"/>
          <w:szCs w:val="20"/>
          <w:highlight w:val="yellow"/>
          <w:lang w:eastAsia="zh-CN"/>
        </w:rPr>
        <w:t>FL suggests to further discuss the BD/CCE budget for of 960 kHz for (X_s,Y_s )= (4,2), (4,1) taking 10/16 and 10/28 as starting points. If there is no consensus for a different value, it is suggested to adopt 16 CCEs as in the WA.</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1"/>
                <w:szCs w:val="21"/>
                <w:lang w:eastAsia="zh-CN"/>
              </w:rPr>
            </w:pPr>
            <w:r>
              <w:rPr>
                <w:rFonts w:hint="eastAsia"/>
                <w:sz w:val="21"/>
                <w:szCs w:val="21"/>
                <w:lang w:eastAsia="zh-CN"/>
              </w:rPr>
              <w:t>ZTE, Sanechips</w:t>
            </w:r>
          </w:p>
        </w:tc>
        <w:tc>
          <w:tcPr>
            <w:tcW w:w="12176" w:type="dxa"/>
            <w:vAlign w:val="center"/>
          </w:tcPr>
          <w:p>
            <w:pPr>
              <w:widowControl w:val="0"/>
              <w:rPr>
                <w:sz w:val="21"/>
                <w:szCs w:val="21"/>
                <w:lang w:eastAsia="zh-CN"/>
              </w:rPr>
            </w:pPr>
            <w:r>
              <w:rPr>
                <w:rFonts w:hint="eastAsia"/>
                <w:sz w:val="21"/>
                <w:szCs w:val="21"/>
                <w:lang w:eastAsia="zh-CN"/>
              </w:rPr>
              <w:t>As what we commented in the first round, we are fine with larger CCE budge of 960kHz but we just don</w:t>
            </w:r>
            <w:r>
              <w:rPr>
                <w:sz w:val="21"/>
                <w:szCs w:val="21"/>
                <w:lang w:eastAsia="zh-CN"/>
              </w:rPr>
              <w:t>’</w:t>
            </w:r>
            <w:r>
              <w:rPr>
                <w:rFonts w:hint="eastAsia"/>
                <w:sz w:val="21"/>
                <w:szCs w:val="21"/>
                <w:lang w:eastAsia="zh-CN"/>
              </w:rPr>
              <w:t>t think the calculation of 28=4+8+16 is reasonable. The PDCCH candidate can overlap and we only want to make sure the number of non-overlapped CCE is no less than 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lang w:eastAsia="zh-CN"/>
              </w:rPr>
              <w:t>MediaTek</w:t>
            </w:r>
          </w:p>
        </w:tc>
        <w:tc>
          <w:tcPr>
            <w:tcW w:w="12176" w:type="dxa"/>
            <w:vAlign w:val="center"/>
          </w:tcPr>
          <w:p>
            <w:pPr>
              <w:widowControl w:val="0"/>
              <w:rPr>
                <w:lang w:eastAsia="zh-CN"/>
              </w:rPr>
            </w:pPr>
            <w:r>
              <w:rPr>
                <w:lang w:eastAsia="zh-CN"/>
              </w:rPr>
              <w:t xml:space="preserve">Before making agreement on the BD/CCE budget, we suggest to align company views on whether BD/CCE=10/16 can be supported considering the SS#0 predetermined BD/CCE budget. In our view, based on the table below, we don’t think it is feasible to support SS#0 monitoring under BD/CCE=10/16 per slot group. Therefore, we can accept BD/CCE=10/16 with FFS on how to resolve BD/CCE insufficiency on SS#0 monitoring, if necessary. </w:t>
            </w:r>
            <w:r>
              <w:rPr>
                <w:lang w:eastAsia="zh-CN"/>
              </w:rPr>
              <w:br w:type="textWrapping"/>
            </w:r>
          </w:p>
          <w:tbl>
            <w:tblPr>
              <w:tblStyle w:val="54"/>
              <w:tblW w:w="60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2995"/>
              <w:gridCol w:w="3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2995" w:type="dxa"/>
                  <w:shd w:val="clear" w:color="auto" w:fill="E0E0E0"/>
                  <w:vAlign w:val="center"/>
                </w:tcPr>
                <w:p>
                  <w:pPr>
                    <w:keepNext/>
                    <w:keepLines/>
                    <w:autoSpaceDE/>
                    <w:autoSpaceDN/>
                    <w:adjustRightInd/>
                    <w:snapToGrid/>
                    <w:spacing w:after="0" w:line="240" w:lineRule="auto"/>
                    <w:jc w:val="center"/>
                    <w:rPr>
                      <w:rFonts w:eastAsia="宋体"/>
                      <w:b/>
                      <w:sz w:val="20"/>
                      <w:szCs w:val="20"/>
                      <w:lang w:val="en-GB"/>
                    </w:rPr>
                  </w:pPr>
                  <w:r>
                    <w:rPr>
                      <w:rFonts w:ascii="Arial" w:hAnsi="Arial" w:eastAsia="宋体"/>
                      <w:b/>
                      <w:sz w:val="18"/>
                      <w:szCs w:val="20"/>
                      <w:lang w:val="en-GB"/>
                    </w:rPr>
                    <w:t>CCE Aggregation Level</w:t>
                  </w:r>
                </w:p>
              </w:tc>
              <w:tc>
                <w:tcPr>
                  <w:tcW w:w="3096" w:type="dxa"/>
                  <w:shd w:val="clear" w:color="auto" w:fill="E0E0E0"/>
                  <w:vAlign w:val="center"/>
                </w:tcPr>
                <w:p>
                  <w:pPr>
                    <w:keepNext/>
                    <w:keepLines/>
                    <w:autoSpaceDE/>
                    <w:autoSpaceDN/>
                    <w:adjustRightInd/>
                    <w:snapToGrid/>
                    <w:spacing w:after="0" w:line="240" w:lineRule="auto"/>
                    <w:jc w:val="center"/>
                    <w:rPr>
                      <w:rFonts w:eastAsia="宋体"/>
                      <w:b/>
                      <w:sz w:val="20"/>
                      <w:szCs w:val="20"/>
                      <w:lang w:val="en-GB"/>
                    </w:rPr>
                  </w:pPr>
                  <w:r>
                    <w:rPr>
                      <w:rFonts w:ascii="Arial" w:hAnsi="Arial" w:eastAsia="宋体"/>
                      <w:b/>
                      <w:sz w:val="18"/>
                      <w:szCs w:val="20"/>
                      <w:lang w:val="en-GB"/>
                    </w:rPr>
                    <w:t>Number of Candidates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2995" w:type="dxa"/>
                  <w:vAlign w:val="center"/>
                </w:tcPr>
                <w:p>
                  <w:pPr>
                    <w:keepNext/>
                    <w:keepLines/>
                    <w:autoSpaceDE/>
                    <w:autoSpaceDN/>
                    <w:adjustRightInd/>
                    <w:snapToGrid/>
                    <w:spacing w:after="0" w:line="240" w:lineRule="auto"/>
                    <w:jc w:val="center"/>
                    <w:rPr>
                      <w:rFonts w:ascii="Arial" w:hAnsi="Arial" w:eastAsia="宋体"/>
                      <w:sz w:val="18"/>
                      <w:szCs w:val="20"/>
                      <w:lang w:val="en-GB"/>
                    </w:rPr>
                  </w:pPr>
                  <w:r>
                    <w:rPr>
                      <w:rFonts w:ascii="Arial" w:hAnsi="Arial" w:eastAsia="宋体"/>
                      <w:sz w:val="18"/>
                      <w:szCs w:val="20"/>
                      <w:lang w:val="en-GB"/>
                    </w:rPr>
                    <w:t>4</w:t>
                  </w:r>
                </w:p>
              </w:tc>
              <w:tc>
                <w:tcPr>
                  <w:tcW w:w="3096" w:type="dxa"/>
                  <w:vAlign w:val="center"/>
                </w:tcPr>
                <w:p>
                  <w:pPr>
                    <w:keepNext/>
                    <w:keepLines/>
                    <w:autoSpaceDE/>
                    <w:autoSpaceDN/>
                    <w:adjustRightInd/>
                    <w:snapToGrid/>
                    <w:spacing w:after="0" w:line="240" w:lineRule="auto"/>
                    <w:jc w:val="center"/>
                    <w:rPr>
                      <w:rFonts w:ascii="Arial" w:hAnsi="Arial" w:eastAsia="宋体"/>
                      <w:sz w:val="18"/>
                      <w:szCs w:val="20"/>
                      <w:lang w:val="en-GB"/>
                    </w:rPr>
                  </w:pPr>
                  <w:r>
                    <w:rPr>
                      <w:rFonts w:ascii="Arial" w:hAnsi="Arial" w:eastAsia="宋体"/>
                      <w:sz w:val="18"/>
                      <w:szCs w:val="20"/>
                      <w:lang w:val="en-GB"/>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2995" w:type="dxa"/>
                  <w:vAlign w:val="center"/>
                </w:tcPr>
                <w:p>
                  <w:pPr>
                    <w:keepNext/>
                    <w:keepLines/>
                    <w:autoSpaceDE/>
                    <w:autoSpaceDN/>
                    <w:adjustRightInd/>
                    <w:snapToGrid/>
                    <w:spacing w:after="0" w:line="240" w:lineRule="auto"/>
                    <w:jc w:val="center"/>
                    <w:rPr>
                      <w:rFonts w:ascii="Arial" w:hAnsi="Arial" w:eastAsia="宋体"/>
                      <w:sz w:val="18"/>
                      <w:szCs w:val="20"/>
                      <w:lang w:val="en-GB"/>
                    </w:rPr>
                  </w:pPr>
                  <w:r>
                    <w:rPr>
                      <w:rFonts w:ascii="Arial" w:hAnsi="Arial" w:eastAsia="宋体"/>
                      <w:sz w:val="18"/>
                      <w:szCs w:val="20"/>
                      <w:lang w:val="en-GB"/>
                    </w:rPr>
                    <w:t>8</w:t>
                  </w:r>
                </w:p>
              </w:tc>
              <w:tc>
                <w:tcPr>
                  <w:tcW w:w="3096" w:type="dxa"/>
                  <w:vAlign w:val="center"/>
                </w:tcPr>
                <w:p>
                  <w:pPr>
                    <w:keepNext/>
                    <w:keepLines/>
                    <w:autoSpaceDE/>
                    <w:autoSpaceDN/>
                    <w:adjustRightInd/>
                    <w:snapToGrid/>
                    <w:spacing w:after="0" w:line="240" w:lineRule="auto"/>
                    <w:jc w:val="center"/>
                    <w:rPr>
                      <w:rFonts w:ascii="Arial" w:hAnsi="Arial" w:eastAsia="宋体"/>
                      <w:sz w:val="18"/>
                      <w:szCs w:val="20"/>
                      <w:lang w:val="en-GB"/>
                    </w:rPr>
                  </w:pPr>
                  <w:r>
                    <w:rPr>
                      <w:rFonts w:ascii="Arial" w:hAnsi="Arial" w:eastAsia="宋体"/>
                      <w:sz w:val="18"/>
                      <w:szCs w:val="20"/>
                      <w:lang w:val="en-GB"/>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2995" w:type="dxa"/>
                  <w:vAlign w:val="center"/>
                </w:tcPr>
                <w:p>
                  <w:pPr>
                    <w:keepNext/>
                    <w:keepLines/>
                    <w:autoSpaceDE/>
                    <w:autoSpaceDN/>
                    <w:adjustRightInd/>
                    <w:snapToGrid/>
                    <w:spacing w:after="0" w:line="240" w:lineRule="auto"/>
                    <w:jc w:val="center"/>
                    <w:rPr>
                      <w:rFonts w:ascii="Arial" w:hAnsi="Arial" w:eastAsia="宋体"/>
                      <w:sz w:val="18"/>
                      <w:szCs w:val="20"/>
                      <w:lang w:val="en-GB"/>
                    </w:rPr>
                  </w:pPr>
                  <w:r>
                    <w:rPr>
                      <w:rFonts w:ascii="Arial" w:hAnsi="Arial" w:eastAsia="宋体"/>
                      <w:sz w:val="18"/>
                      <w:szCs w:val="20"/>
                      <w:lang w:val="en-GB"/>
                    </w:rPr>
                    <w:t>16</w:t>
                  </w:r>
                </w:p>
              </w:tc>
              <w:tc>
                <w:tcPr>
                  <w:tcW w:w="3096" w:type="dxa"/>
                  <w:vAlign w:val="center"/>
                </w:tcPr>
                <w:p>
                  <w:pPr>
                    <w:keepNext/>
                    <w:keepLines/>
                    <w:autoSpaceDE/>
                    <w:autoSpaceDN/>
                    <w:adjustRightInd/>
                    <w:snapToGrid/>
                    <w:spacing w:after="0" w:line="240" w:lineRule="auto"/>
                    <w:jc w:val="center"/>
                    <w:rPr>
                      <w:rFonts w:ascii="Arial" w:hAnsi="Arial" w:eastAsia="宋体"/>
                      <w:sz w:val="18"/>
                      <w:szCs w:val="20"/>
                      <w:lang w:val="en-GB"/>
                    </w:rPr>
                  </w:pPr>
                  <w:r>
                    <w:rPr>
                      <w:rFonts w:ascii="Arial" w:hAnsi="Arial" w:eastAsia="宋体"/>
                      <w:sz w:val="18"/>
                      <w:szCs w:val="20"/>
                      <w:lang w:val="en-GB"/>
                    </w:rPr>
                    <w:t>1</w:t>
                  </w:r>
                </w:p>
              </w:tc>
            </w:tr>
          </w:tbl>
          <w:p>
            <w:pPr>
              <w:widowControl w:val="0"/>
              <w:rPr>
                <w:sz w:val="20"/>
                <w:lang w:eastAsia="zh-CN"/>
              </w:rPr>
            </w:pPr>
            <w:r>
              <w:rPr>
                <w:lang w:eastAsia="zh-CN"/>
              </w:rPr>
              <w:t xml:space="preserve">As for 10/28, it will increase UE PDCCH detection complexity significantly since we only have one agreed processing timeline. Therefore, we can’t support such option.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strike/>
                <w:lang w:eastAsia="zh-CN"/>
              </w:rPr>
            </w:pPr>
            <w:r>
              <w:rPr>
                <w:strike/>
                <w:lang w:eastAsia="zh-CN"/>
              </w:rPr>
              <w:t>For a CORESET with 32 CCEs (96 PRBs, 2 symbols), how many CCEs will be mapped for 4/2/1 PDCCH with AL 4/8/16? Our calculation based on the PDCCH to CCE mapping is that it will occupy 32 CCEs. We would like to hear other companies’ views. If the calculation is confirmed, shall we change the other candidate to 10/32?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We are ok with increasing the CCE budget to 28.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lang w:eastAsia="zh-CN"/>
              </w:rPr>
            </w:pPr>
            <w:r>
              <w:rPr>
                <w:lang w:eastAsia="zh-CN"/>
              </w:rPr>
              <w:t>We have the same view as MTK.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Intel2</w:t>
            </w:r>
          </w:p>
        </w:tc>
        <w:tc>
          <w:tcPr>
            <w:tcW w:w="12176" w:type="dxa"/>
            <w:vAlign w:val="center"/>
          </w:tcPr>
          <w:p>
            <w:pPr>
              <w:widowControl w:val="0"/>
              <w:rPr>
                <w:lang w:eastAsia="zh-CN"/>
              </w:rPr>
            </w:pPr>
            <w:r>
              <w:rPr>
                <w:lang w:eastAsia="zh-CN"/>
              </w:rPr>
              <w:t xml:space="preserve">I would like to withdraw my early questions. The maximum value should be 28. </w:t>
            </w:r>
          </w:p>
          <w:p>
            <w:pPr>
              <w:widowControl w:val="0"/>
              <w:rPr>
                <w:lang w:eastAsia="zh-CN"/>
              </w:rPr>
            </w:pPr>
            <w:r>
              <w:rPr>
                <w:lang w:eastAsia="zh-CN"/>
              </w:rPr>
              <w:t xml:space="preserve">If majority companies want to revise the WA, we are fine with the new value.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Sharp</w:t>
            </w:r>
          </w:p>
        </w:tc>
        <w:tc>
          <w:tcPr>
            <w:tcW w:w="12176" w:type="dxa"/>
            <w:vAlign w:val="center"/>
          </w:tcPr>
          <w:p>
            <w:pPr>
              <w:widowControl w:val="0"/>
              <w:rPr>
                <w:lang w:eastAsia="zh-CN"/>
              </w:rPr>
            </w:pPr>
            <w:r>
              <w:rPr>
                <w:rFonts w:hint="eastAsia" w:eastAsia="MS Mincho"/>
                <w:lang w:eastAsia="ja-JP"/>
              </w:rPr>
              <w:t xml:space="preserve">We support </w:t>
            </w:r>
            <w:r>
              <w:rPr>
                <w:rFonts w:eastAsia="MS Mincho"/>
                <w:lang w:eastAsia="ja-JP"/>
              </w:rPr>
              <w:t>different BD/CCE budget of 960kHz for (Xs,Ys) = (4,1),(4,2), since the purpose of multi-slot monitoring is to ensure a budget.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N</w:t>
            </w:r>
            <w:r>
              <w:rPr>
                <w:rFonts w:eastAsia="MS Mincho"/>
                <w:lang w:eastAsia="ja-JP"/>
              </w:rPr>
              <w:t>TT DOCOMO</w:t>
            </w:r>
          </w:p>
        </w:tc>
        <w:tc>
          <w:tcPr>
            <w:tcW w:w="12176" w:type="dxa"/>
            <w:vAlign w:val="center"/>
          </w:tcPr>
          <w:p>
            <w:pPr>
              <w:widowControl w:val="0"/>
              <w:rPr>
                <w:rFonts w:eastAsia="MS Mincho"/>
                <w:lang w:eastAsia="ja-JP"/>
              </w:rPr>
            </w:pPr>
            <w:r>
              <w:rPr>
                <w:rFonts w:hint="eastAsia" w:eastAsia="MS Mincho"/>
                <w:lang w:eastAsia="ja-JP"/>
              </w:rPr>
              <w:t>W</w:t>
            </w:r>
            <w:r>
              <w:rPr>
                <w:rFonts w:eastAsia="MS Mincho"/>
                <w:lang w:eastAsia="ja-JP"/>
              </w:rPr>
              <w:t>e support to increase CCE to 28 when Xs=4 for 960 kHz SCS.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LG Electronics</w:t>
            </w:r>
          </w:p>
        </w:tc>
        <w:tc>
          <w:tcPr>
            <w:tcW w:w="12176" w:type="dxa"/>
            <w:vAlign w:val="center"/>
          </w:tcPr>
          <w:p>
            <w:pPr>
              <w:widowControl w:val="0"/>
              <w:rPr>
                <w:rFonts w:eastAsia="MS Mincho"/>
                <w:lang w:eastAsia="ja-JP"/>
              </w:rPr>
            </w:pPr>
            <w:r>
              <w:rPr>
                <w:rFonts w:eastAsia="MS Mincho"/>
                <w:lang w:eastAsia="ja-JP"/>
              </w:rPr>
              <w:t>We can support to increase CCE budget for Xs=4 for 960 kHz. BTW, is a CCE budget of 28 enough? In order to define a new value correctly (and to speed up the progress), it would be better for proponents to provide the necessary value considering all possible cases.</w:t>
            </w:r>
          </w:p>
        </w:tc>
      </w:tr>
    </w:tbl>
    <w:p>
      <w:pPr>
        <w:rPr>
          <w:sz w:val="20"/>
          <w:szCs w:val="20"/>
          <w:lang w:eastAsia="zh-CN"/>
        </w:rPr>
      </w:pPr>
    </w:p>
    <w:p>
      <w:pPr>
        <w:pStyle w:val="5"/>
      </w:pPr>
      <w:r>
        <w:t>Second round discussion summary</w:t>
      </w:r>
    </w:p>
    <w:p>
      <w:pPr>
        <w:rPr>
          <w:sz w:val="21"/>
          <w:szCs w:val="21"/>
          <w:lang w:eastAsia="zh-CN"/>
        </w:rPr>
      </w:pPr>
      <w:r>
        <w:rPr>
          <w:sz w:val="21"/>
          <w:szCs w:val="21"/>
          <w:lang w:eastAsia="zh-CN"/>
        </w:rPr>
        <w:t>Most companies support a CCE budget larger than 16 for Xs=4 with µ=6, where mainly 28 CCEs is being proposed and supported. However one company (MediaTek) seems to have strong concerns on increasing to 28 CCEs because of timeline reasons.</w:t>
      </w:r>
    </w:p>
    <w:p>
      <w:pPr>
        <w:pStyle w:val="5"/>
      </w:pPr>
      <w:r>
        <w:t>Third round discussion</w:t>
      </w:r>
    </w:p>
    <w:p>
      <w:pPr>
        <w:rPr>
          <w:sz w:val="21"/>
          <w:szCs w:val="21"/>
          <w:lang w:eastAsia="zh-CN"/>
        </w:rPr>
      </w:pPr>
      <w:r>
        <w:rPr>
          <w:sz w:val="21"/>
          <w:szCs w:val="21"/>
          <w:highlight w:val="yellow"/>
          <w:lang w:eastAsia="zh-CN"/>
        </w:rPr>
        <w:t>FL suggests to check if MediaTek (or other companies) has sustained concerns in view of the majority of companies are supporting 28 CCEs.</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sz w:val="21"/>
                <w:szCs w:val="21"/>
                <w:lang w:eastAsia="ja-JP"/>
              </w:rPr>
            </w:pPr>
            <w:r>
              <w:rPr>
                <w:rFonts w:eastAsia="MS Mincho"/>
                <w:sz w:val="21"/>
                <w:szCs w:val="21"/>
                <w:lang w:eastAsia="ja-JP"/>
              </w:rPr>
              <w:t>MediaTek</w:t>
            </w:r>
          </w:p>
        </w:tc>
        <w:tc>
          <w:tcPr>
            <w:tcW w:w="12176" w:type="dxa"/>
            <w:vAlign w:val="center"/>
          </w:tcPr>
          <w:p>
            <w:pPr>
              <w:widowControl w:val="0"/>
              <w:rPr>
                <w:rFonts w:eastAsia="MS Mincho"/>
                <w:lang w:eastAsia="ja-JP"/>
              </w:rPr>
            </w:pPr>
            <w:r>
              <w:rPr>
                <w:rFonts w:eastAsia="MS Mincho"/>
                <w:lang w:eastAsia="ja-JP"/>
              </w:rPr>
              <w:t xml:space="preserve">We have strong concern on supporting 28 CCEs for Xs=4 under 960kHz. As we mentioned, processing timelines have been agreed and we see no room to increase BD/CCE budget at maintenance stage, even it is optional. When we evaluate timeline, we took the assumption of 120kHz BD/CCE limit, which is almost half of 28 CCEs within 4 slots under 960kHz (if we scaled time accordingly). To us, increasing BD/CCE budget only for the purpose of monitoring SS#0 is not a desirable solution. Note that we spent several meetings to discuss how to adjust SS#0 monitoring configuration under the BD/CCE=20/32 limit in WI phase and it is not acceptable to us to change the BD/CCE limit now to accommodate SS#0 monitoring in maintenance phase. Therefore, we can’t accept such proposal. We can confirm the WA on 10/16 BD/CCEs and FFS on the how to resolve SS#0 monitoring.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sz w:val="21"/>
                <w:szCs w:val="21"/>
                <w:lang w:eastAsia="ja-JP"/>
              </w:rPr>
            </w:pPr>
          </w:p>
        </w:tc>
        <w:tc>
          <w:tcPr>
            <w:tcW w:w="12176" w:type="dxa"/>
            <w:vAlign w:val="center"/>
          </w:tcPr>
          <w:p>
            <w:pPr>
              <w:widowControl w:val="0"/>
              <w:rPr>
                <w:rFonts w:eastAsia="MS Mincho"/>
                <w:lang w:eastAsia="ja-JP"/>
              </w:rPr>
            </w:pPr>
          </w:p>
        </w:tc>
      </w:tr>
    </w:tbl>
    <w:p>
      <w:pPr>
        <w:autoSpaceDE/>
        <w:autoSpaceDN/>
        <w:adjustRightInd/>
        <w:snapToGrid/>
        <w:spacing w:after="0" w:line="240" w:lineRule="auto"/>
        <w:rPr>
          <w:bCs/>
          <w:lang w:eastAsia="zh-CN"/>
        </w:rPr>
      </w:pPr>
    </w:p>
    <w:p>
      <w:pPr>
        <w:rPr>
          <w:sz w:val="20"/>
          <w:szCs w:val="20"/>
          <w:lang w:eastAsia="zh-CN"/>
        </w:rPr>
      </w:pPr>
    </w:p>
    <w:p>
      <w:pPr>
        <w:pStyle w:val="4"/>
      </w:pPr>
      <w:r>
        <w:t>Issue A3-2: BD/CCE budget for MSM in multiple serving cells (e.g. carrier aggregation)</w:t>
      </w:r>
    </w:p>
    <w:p>
      <w:pPr>
        <w:pStyle w:val="5"/>
      </w:pPr>
      <w:r>
        <w:t>First round discussion</w:t>
      </w:r>
    </w:p>
    <w:p>
      <w:pPr>
        <w:spacing w:before="120" w:beforeLines="50" w:afterLines="50"/>
        <w:rPr>
          <w:szCs w:val="21"/>
        </w:rPr>
      </w:pPr>
      <w:r>
        <w:rPr>
          <w:szCs w:val="21"/>
        </w:rPr>
        <w:t>The documents submitted to RAN#108-e and the summary of the second round discussion in RAN1#107b-e identified the following alternatives (FL Note: Alt 1-1 marked as deleted as there was no support for it):</w:t>
      </w:r>
    </w:p>
    <w:p>
      <w:pPr>
        <w:numPr>
          <w:ilvl w:val="0"/>
          <w:numId w:val="28"/>
        </w:numPr>
        <w:rPr>
          <w:color w:val="000000"/>
          <w:szCs w:val="21"/>
        </w:rPr>
      </w:pPr>
      <w:r>
        <w:rPr>
          <w:color w:val="000000"/>
          <w:szCs w:val="21"/>
        </w:rPr>
        <w:t>Alt 1: Serving cells with the same PDCCH monitoring type including multi-slot-based capability are grouped together for further BD/CCE budget calculation</w:t>
      </w:r>
    </w:p>
    <w:p>
      <w:pPr>
        <w:numPr>
          <w:ilvl w:val="1"/>
          <w:numId w:val="28"/>
        </w:numPr>
        <w:rPr>
          <w:strike/>
          <w:color w:val="000000"/>
          <w:szCs w:val="21"/>
        </w:rPr>
      </w:pPr>
      <w:r>
        <w:rPr>
          <w:strike/>
          <w:color w:val="000000"/>
          <w:szCs w:val="21"/>
        </w:rPr>
        <w:t xml:space="preserve">Alt 1-1: Within a group of serving cells with multi-slot-based capability, the serving cells with the same SCS and </w:t>
      </w:r>
      <m:oMath>
        <m:d>
          <m:dPr>
            <m:ctrlPr>
              <w:rPr>
                <w:rFonts w:ascii="Cambria Math" w:hAnsi="Cambria Math"/>
                <w:strike/>
                <w:color w:val="000000"/>
                <w:szCs w:val="21"/>
              </w:rPr>
            </m:ctrlPr>
          </m:dPr>
          <m:e>
            <m:sSub>
              <m:sSubPr>
                <m:ctrlPr>
                  <w:rPr>
                    <w:rFonts w:ascii="Cambria Math" w:hAnsi="Cambria Math"/>
                    <w:strike/>
                    <w:szCs w:val="21"/>
                  </w:rPr>
                </m:ctrlPr>
              </m:sSubPr>
              <m:e>
                <m:r>
                  <w:rPr>
                    <w:rFonts w:ascii="Cambria Math" w:hAnsi="Cambria Math"/>
                    <w:strike/>
                    <w:szCs w:val="21"/>
                  </w:rPr>
                  <m:t>X</m:t>
                </m:r>
                <m:ctrlPr>
                  <w:rPr>
                    <w:rFonts w:ascii="Cambria Math" w:hAnsi="Cambria Math"/>
                    <w:i/>
                    <w:strike/>
                    <w:szCs w:val="21"/>
                  </w:rPr>
                </m:ctrlPr>
              </m:e>
              <m:sub>
                <m:r>
                  <m:rPr>
                    <m:sty m:val="p"/>
                  </m:rPr>
                  <w:rPr>
                    <w:rFonts w:ascii="Cambria Math" w:hAnsi="Cambria Math"/>
                    <w:strike/>
                    <w:szCs w:val="21"/>
                  </w:rPr>
                  <m:t>s</m:t>
                </m:r>
                <m:ctrlPr>
                  <w:rPr>
                    <w:rFonts w:ascii="Cambria Math" w:hAnsi="Cambria Math"/>
                    <w:strike/>
                    <w:szCs w:val="21"/>
                  </w:rPr>
                </m:ctrlPr>
              </m:sub>
            </m:sSub>
            <m:r>
              <w:rPr>
                <w:rFonts w:ascii="Cambria Math" w:hAnsi="Cambria Math"/>
                <w:strike/>
                <w:szCs w:val="21"/>
              </w:rPr>
              <m:t>,</m:t>
            </m:r>
            <m:sSub>
              <m:sSubPr>
                <m:ctrlPr>
                  <w:rPr>
                    <w:rFonts w:ascii="Cambria Math" w:hAnsi="Cambria Math"/>
                    <w:i/>
                    <w:strike/>
                    <w:szCs w:val="21"/>
                  </w:rPr>
                </m:ctrlPr>
              </m:sSubPr>
              <m:e>
                <m:r>
                  <w:rPr>
                    <w:rFonts w:ascii="Cambria Math" w:hAnsi="Cambria Math"/>
                    <w:strike/>
                    <w:szCs w:val="21"/>
                  </w:rPr>
                  <m:t>Y</m:t>
                </m:r>
                <m:ctrlPr>
                  <w:rPr>
                    <w:rFonts w:ascii="Cambria Math" w:hAnsi="Cambria Math"/>
                    <w:i/>
                    <w:strike/>
                    <w:szCs w:val="21"/>
                  </w:rPr>
                </m:ctrlPr>
              </m:e>
              <m:sub>
                <m:r>
                  <w:rPr>
                    <w:rFonts w:ascii="Cambria Math" w:hAnsi="Cambria Math"/>
                    <w:strike/>
                    <w:szCs w:val="21"/>
                  </w:rPr>
                  <m:t>s</m:t>
                </m:r>
                <m:ctrlPr>
                  <w:rPr>
                    <w:rFonts w:ascii="Cambria Math" w:hAnsi="Cambria Math"/>
                    <w:i/>
                    <w:strike/>
                    <w:szCs w:val="21"/>
                  </w:rPr>
                </m:ctrlPr>
              </m:sub>
            </m:sSub>
            <m:ctrlPr>
              <w:rPr>
                <w:rFonts w:ascii="Cambria Math" w:hAnsi="Cambria Math"/>
                <w:i/>
                <w:strike/>
                <w:szCs w:val="21"/>
              </w:rPr>
            </m:ctrlPr>
          </m:e>
        </m:d>
      </m:oMath>
      <w:r>
        <w:rPr>
          <w:strike/>
          <w:color w:val="000000"/>
          <w:szCs w:val="21"/>
        </w:rPr>
        <w:t xml:space="preserve"> value are grouped together to follow a total BD/CCE budget</w:t>
      </w:r>
    </w:p>
    <w:p>
      <w:pPr>
        <w:numPr>
          <w:ilvl w:val="1"/>
          <w:numId w:val="28"/>
        </w:numPr>
        <w:rPr>
          <w:color w:val="000000"/>
          <w:szCs w:val="21"/>
        </w:rPr>
      </w:pPr>
      <w:r>
        <w:rPr>
          <w:color w:val="000000"/>
          <w:szCs w:val="21"/>
        </w:rPr>
        <w:t xml:space="preserve">Alt 1-2: Within a group of serving cells with multi-slot-based capability, the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ctrlPr>
              <w:rPr>
                <w:rFonts w:ascii="Cambria Math" w:hAnsi="Cambria Math"/>
                <w:szCs w:val="21"/>
              </w:rPr>
            </m:ctrlPr>
          </m:sub>
        </m:sSub>
      </m:oMath>
      <w:r>
        <w:rPr>
          <w:color w:val="000000"/>
          <w:szCs w:val="21"/>
        </w:rPr>
        <w:t xml:space="preserve"> value are grouped together to follow a total BD/CCE budget</w:t>
      </w:r>
    </w:p>
    <w:p>
      <w:pPr>
        <w:numPr>
          <w:ilvl w:val="0"/>
          <w:numId w:val="28"/>
        </w:numPr>
        <w:rPr>
          <w:color w:val="000000"/>
          <w:szCs w:val="21"/>
        </w:rPr>
      </w:pPr>
      <w:r>
        <w:rPr>
          <w:color w:val="000000"/>
          <w:szCs w:val="21"/>
        </w:rPr>
        <w:t>Alt 2: Transform the serving cell with multi-slot-based capability to equivalent serving cell with slot-based capability for further BD/CCE budget calculation</w:t>
      </w:r>
    </w:p>
    <w:p>
      <w:pPr>
        <w:numPr>
          <w:ilvl w:val="1"/>
          <w:numId w:val="28"/>
        </w:numPr>
        <w:rPr>
          <w:color w:val="000000"/>
          <w:szCs w:val="21"/>
        </w:rPr>
      </w:pPr>
      <w:r>
        <w:rPr>
          <w:color w:val="000000"/>
          <w:szCs w:val="21"/>
        </w:rPr>
        <w:t xml:space="preserve">Alt 2-1: A serving cell with SCS </w:t>
      </w:r>
      <m:oMath>
        <m:r>
          <w:rPr>
            <w:rFonts w:ascii="Cambria Math" w:hAnsi="Cambria Math"/>
            <w:color w:val="000000"/>
            <w:szCs w:val="21"/>
          </w:rPr>
          <m:t>μ</m:t>
        </m:r>
      </m:oMath>
      <w:r>
        <w:rPr>
          <w:color w:val="000000"/>
          <w:szCs w:val="21"/>
        </w:rPr>
        <w:t xml:space="preserve"> and multi-slot-based capability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ctrlPr>
                  <w:rPr>
                    <w:rFonts w:ascii="Cambria Math" w:hAnsi="Cambria Math"/>
                    <w:szCs w:val="21"/>
                  </w:rPr>
                </m:ctrlP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ctrlPr>
                  <w:rPr>
                    <w:rFonts w:ascii="Cambria Math" w:hAnsi="Cambria Math"/>
                    <w:i/>
                    <w:szCs w:val="21"/>
                  </w:rPr>
                </m:ctrlPr>
              </m:e>
              <m:sub>
                <m:r>
                  <w:rPr>
                    <w:rFonts w:ascii="Cambria Math" w:hAnsi="Cambria Math"/>
                    <w:szCs w:val="21"/>
                  </w:rPr>
                  <m:t>s</m:t>
                </m:r>
                <m:ctrlPr>
                  <w:rPr>
                    <w:rFonts w:ascii="Cambria Math" w:hAnsi="Cambria Math"/>
                    <w:i/>
                    <w:szCs w:val="21"/>
                  </w:rPr>
                </m:ctrlPr>
              </m:sub>
            </m:sSub>
            <m:ctrlPr>
              <w:rPr>
                <w:rFonts w:ascii="Cambria Math" w:hAnsi="Cambria Math"/>
                <w:i/>
                <w:szCs w:val="21"/>
              </w:rPr>
            </m:ctrlPr>
          </m:e>
        </m:d>
      </m:oMath>
      <w:r>
        <w:rPr>
          <w:color w:val="000000"/>
          <w:szCs w:val="21"/>
        </w:rPr>
        <w:t xml:space="preserve">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m:t>
        </m:r>
        <m:func>
          <m:funcPr>
            <m:ctrlPr>
              <w:rPr>
                <w:rFonts w:ascii="Cambria Math" w:hAnsi="Cambria Math"/>
                <w:color w:val="000000"/>
                <w:szCs w:val="21"/>
              </w:rPr>
            </m:ctrlPr>
          </m:funcPr>
          <m:fName>
            <m:sSub>
              <m:sSubPr>
                <m:ctrlPr>
                  <w:rPr>
                    <w:rFonts w:ascii="Cambria Math" w:hAnsi="Cambria Math"/>
                    <w:color w:val="000000"/>
                    <w:szCs w:val="21"/>
                  </w:rPr>
                </m:ctrlPr>
              </m:sSubPr>
              <m:e>
                <m:r>
                  <m:rPr>
                    <m:sty m:val="p"/>
                  </m:rPr>
                  <w:rPr>
                    <w:rFonts w:ascii="Cambria Math" w:hAnsi="Cambria Math"/>
                    <w:color w:val="000000"/>
                    <w:szCs w:val="21"/>
                  </w:rPr>
                  <m:t>log</m:t>
                </m:r>
                <m:ctrlPr>
                  <w:rPr>
                    <w:rFonts w:ascii="Cambria Math" w:hAnsi="Cambria Math"/>
                    <w:color w:val="000000"/>
                    <w:szCs w:val="21"/>
                  </w:rPr>
                </m:ctrlPr>
              </m:e>
              <m:sub>
                <m:r>
                  <w:rPr>
                    <w:rFonts w:ascii="Cambria Math" w:hAnsi="Cambria Math"/>
                    <w:color w:val="000000"/>
                    <w:szCs w:val="21"/>
                  </w:rPr>
                  <m:t>2</m:t>
                </m:r>
                <m:ctrlPr>
                  <w:rPr>
                    <w:rFonts w:ascii="Cambria Math" w:hAnsi="Cambria Math"/>
                    <w:color w:val="000000"/>
                    <w:szCs w:val="21"/>
                  </w:rPr>
                </m:ctrlPr>
              </m:sub>
            </m:sSub>
            <m:ctrlPr>
              <w:rPr>
                <w:rFonts w:ascii="Cambria Math" w:hAnsi="Cambria Math"/>
                <w:color w:val="000000"/>
                <w:szCs w:val="21"/>
              </w:rPr>
            </m:ctrlPr>
          </m:fName>
          <m:e>
            <m:d>
              <m:dPr>
                <m:ctrlPr>
                  <w:rPr>
                    <w:rFonts w:ascii="Cambria Math" w:hAnsi="Cambria Math"/>
                    <w:i/>
                    <w:color w:val="000000"/>
                    <w:szCs w:val="21"/>
                  </w:rPr>
                </m:ctrlPr>
              </m:dPr>
              <m:e>
                <m:sSub>
                  <m:sSubPr>
                    <m:ctrlPr>
                      <w:rPr>
                        <w:rFonts w:ascii="Cambria Math" w:hAnsi="Cambria Math"/>
                        <w:i/>
                        <w:color w:val="000000"/>
                        <w:szCs w:val="21"/>
                      </w:rPr>
                    </m:ctrlPr>
                  </m:sSubPr>
                  <m:e>
                    <m:r>
                      <w:rPr>
                        <w:rFonts w:ascii="Cambria Math" w:hAnsi="Cambria Math"/>
                        <w:color w:val="000000"/>
                        <w:szCs w:val="21"/>
                      </w:rPr>
                      <m:t>X</m:t>
                    </m:r>
                    <m:ctrlPr>
                      <w:rPr>
                        <w:rFonts w:ascii="Cambria Math" w:hAnsi="Cambria Math"/>
                        <w:i/>
                        <w:color w:val="000000"/>
                        <w:szCs w:val="21"/>
                      </w:rPr>
                    </m:ctrlPr>
                  </m:e>
                  <m:sub>
                    <m:r>
                      <w:rPr>
                        <w:rFonts w:ascii="Cambria Math" w:hAnsi="Cambria Math"/>
                        <w:color w:val="000000"/>
                        <w:szCs w:val="21"/>
                      </w:rPr>
                      <m:t>s</m:t>
                    </m:r>
                    <m:ctrlPr>
                      <w:rPr>
                        <w:rFonts w:ascii="Cambria Math" w:hAnsi="Cambria Math"/>
                        <w:i/>
                        <w:color w:val="000000"/>
                        <w:szCs w:val="21"/>
                      </w:rPr>
                    </m:ctrlPr>
                  </m:sub>
                </m:sSub>
                <m:ctrlPr>
                  <w:rPr>
                    <w:rFonts w:ascii="Cambria Math" w:hAnsi="Cambria Math"/>
                    <w:i/>
                    <w:color w:val="000000"/>
                    <w:szCs w:val="21"/>
                  </w:rPr>
                </m:ctrlPr>
              </m:e>
            </m:d>
            <m:ctrlPr>
              <w:rPr>
                <w:rFonts w:ascii="Cambria Math" w:hAnsi="Cambria Math"/>
                <w:color w:val="000000"/>
                <w:szCs w:val="21"/>
              </w:rPr>
            </m:ctrlPr>
          </m:e>
        </m:func>
      </m:oMath>
      <w:r>
        <w:rPr>
          <w:color w:val="000000"/>
          <w:szCs w:val="21"/>
        </w:rPr>
        <w:t xml:space="preserve"> and slot-based capability, where a slot group for the serving cell is considered as a slot for the virtual cell</w:t>
      </w:r>
    </w:p>
    <w:p>
      <w:pPr>
        <w:numPr>
          <w:ilvl w:val="1"/>
          <w:numId w:val="28"/>
        </w:numPr>
        <w:rPr>
          <w:color w:val="000000"/>
          <w:szCs w:val="21"/>
        </w:rPr>
      </w:pPr>
      <w:r>
        <w:rPr>
          <w:color w:val="000000"/>
          <w:szCs w:val="21"/>
        </w:rPr>
        <w:t xml:space="preserve">Alt 2-2: A serving cell with SCS </w:t>
      </w:r>
      <m:oMath>
        <m:r>
          <w:rPr>
            <w:rFonts w:ascii="Cambria Math" w:hAnsi="Cambria Math"/>
            <w:color w:val="000000"/>
            <w:szCs w:val="21"/>
          </w:rPr>
          <m:t>μ</m:t>
        </m:r>
      </m:oMath>
      <w:r>
        <w:rPr>
          <w:color w:val="000000"/>
          <w:szCs w:val="21"/>
        </w:rPr>
        <w:t xml:space="preserve"> and multi-slot-based capability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=3</m:t>
        </m:r>
      </m:oMath>
      <w:r>
        <w:rPr>
          <w:color w:val="000000"/>
          <w:szCs w:val="21"/>
        </w:rPr>
        <w:t xml:space="preserve"> and slot-based capability, where 4/8 slots for the serving cell with SCS </w:t>
      </w:r>
      <m:oMath>
        <m:r>
          <w:rPr>
            <w:rFonts w:ascii="Cambria Math" w:hAnsi="Cambria Math"/>
            <w:color w:val="000000"/>
            <w:szCs w:val="21"/>
          </w:rPr>
          <m:t>μ</m:t>
        </m:r>
        <m:r>
          <m:rPr>
            <m:sty m:val="p"/>
          </m:rPr>
          <w:rPr>
            <w:rFonts w:ascii="Cambria Math" w:hAnsi="Cambria Math"/>
            <w:color w:val="000000"/>
            <w:szCs w:val="21"/>
          </w:rPr>
          <m:t>=5/6</m:t>
        </m:r>
      </m:oMath>
      <w:r>
        <w:rPr>
          <w:color w:val="000000"/>
          <w:szCs w:val="21"/>
        </w:rPr>
        <w:t xml:space="preserve"> is considered as a slot for the virtual cell</w:t>
      </w:r>
    </w:p>
    <w:p>
      <w:pPr>
        <w:numPr>
          <w:ilvl w:val="0"/>
          <w:numId w:val="28"/>
        </w:numPr>
        <w:rPr>
          <w:color w:val="000000"/>
          <w:szCs w:val="21"/>
        </w:rPr>
      </w:pPr>
      <w:r>
        <w:rPr>
          <w:color w:val="000000"/>
          <w:szCs w:val="21"/>
        </w:rPr>
        <w:t>Alt 3: For multi-cell operation, if the number of configured DL cells is greater than the reported capability of supported DL cells</w:t>
      </w:r>
    </w:p>
    <w:p>
      <w:pPr>
        <w:numPr>
          <w:ilvl w:val="1"/>
          <w:numId w:val="28"/>
        </w:numPr>
        <w:rPr>
          <w:color w:val="000000"/>
          <w:szCs w:val="21"/>
        </w:rPr>
      </w:pPr>
      <w:r>
        <w:rPr>
          <w:color w:val="000000"/>
          <w:szCs w:val="21"/>
        </w:rPr>
        <w:t>For a serving cell with mandatory X (i.e., X=4/8 for 480/960 kHz), BD/CCE budget is calculated by transforming the serving cell to the cell with 120 kHz SCS</w:t>
      </w:r>
    </w:p>
    <w:p>
      <w:pPr>
        <w:numPr>
          <w:ilvl w:val="1"/>
          <w:numId w:val="28"/>
        </w:numPr>
        <w:rPr>
          <w:color w:val="000000"/>
          <w:szCs w:val="21"/>
        </w:rPr>
      </w:pPr>
      <w:r>
        <w:rPr>
          <w:color w:val="000000"/>
          <w:szCs w:val="21"/>
        </w:rPr>
        <w:t>For a serving cell with optional X (e.g., X=4 for 960 kHz), the serving cells with the same SCS and Xs value are grouped together for BD/CCE budget distribution.</w:t>
      </w:r>
      <w:r>
        <w:rPr>
          <w:b/>
          <w:sz w:val="20"/>
          <w:szCs w:val="20"/>
        </w:rPr>
        <w:t xml:space="preserve"> </w:t>
      </w:r>
    </w:p>
    <w:p/>
    <w:p>
      <w:pPr>
        <w:rPr>
          <w:bCs/>
          <w:sz w:val="20"/>
          <w:szCs w:val="20"/>
          <w:lang w:eastAsia="zh-CN"/>
        </w:rPr>
      </w:pPr>
      <w:r>
        <w:rPr>
          <w:bCs/>
          <w:sz w:val="20"/>
          <w:szCs w:val="20"/>
          <w:lang w:eastAsia="zh-CN"/>
        </w:rPr>
        <w:t>FL Summary: Most companies showed support for Alt 1-2</w:t>
      </w:r>
      <w:r>
        <w:rPr>
          <w:sz w:val="20"/>
          <w:szCs w:val="20"/>
          <w:lang w:val="en-GB"/>
        </w:rPr>
        <w:t xml:space="preserve"> or any Alt 2. Alt 3 covers the approach from both Alt 1 and Alt 2.</w:t>
      </w:r>
    </w:p>
    <w:p>
      <w:pPr>
        <w:rPr>
          <w:bCs/>
          <w:sz w:val="20"/>
          <w:szCs w:val="20"/>
        </w:rPr>
      </w:pPr>
      <w:r>
        <w:rPr>
          <w:bCs/>
          <w:sz w:val="20"/>
          <w:szCs w:val="20"/>
          <w:lang w:eastAsia="zh-CN"/>
        </w:rPr>
        <w:t>FL asks companies for their opinion on the identified alternatives. From the submitted documents, there seems to be a slight preference for Alt 1-2.</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MediaTek</w:t>
            </w:r>
          </w:p>
        </w:tc>
        <w:tc>
          <w:tcPr>
            <w:tcW w:w="12176" w:type="dxa"/>
            <w:vAlign w:val="center"/>
          </w:tcPr>
          <w:p>
            <w:pPr>
              <w:widowControl w:val="0"/>
              <w:rPr>
                <w:lang w:eastAsia="zh-CN"/>
              </w:rPr>
            </w:pPr>
            <w:r>
              <w:rPr>
                <w:lang w:eastAsia="zh-CN"/>
              </w:rPr>
              <w:t>We apologize that we didn’t express our view clearly in our Tdoc. In fact, we support Alt1-1. As we commented in issue A1-3, a CC with (Xs,Ys)=(4,1) and a CC with (Xs,Ys)=(4,2) are handled differently from UE implementation perspective, e.g., power saving and number of BD per slot. Therefore, we prefer to take Ys into account when determining the BD/CCE limits for CA cases. We also like to point out that the BD/CCE budget specified for a group of cells might also have some impact on determining the minimum BD/CCE limit for a cell in the group of cells based on the following specification:</w:t>
            </w:r>
          </w:p>
          <w:p>
            <w:pPr>
              <w:widowControl w:val="0"/>
            </w:pPr>
            <w:r>
              <w:t xml:space="preserve">For each scheduled cell from the </w:t>
            </w:r>
            <m:oMath>
              <m:sSubSup>
                <m:sSubSupPr>
                  <m:ctrlPr>
                    <w:rPr>
                      <w:rFonts w:ascii="Cambria Math" w:hAnsi="Cambria Math"/>
                      <w:i/>
                    </w:rPr>
                  </m:ctrlPr>
                </m:sSubSupPr>
                <m:e>
                  <m:r>
                    <w:rPr>
                      <w:rFonts w:ascii="Cambria Math"/>
                    </w:rPr>
                    <m:t>N</m:t>
                  </m:r>
                  <m:ctrlPr>
                    <w:rPr>
                      <w:rFonts w:ascii="Cambria Math" w:hAnsi="Cambria Math"/>
                      <w:i/>
                    </w:rPr>
                  </m:ctrlPr>
                </m:e>
                <m:sub>
                  <m:r>
                    <m:rPr>
                      <m:nor/>
                      <m:sty m:val="p"/>
                    </m:rPr>
                    <w:rPr>
                      <w:rFonts w:ascii="Cambria Math"/>
                    </w:rPr>
                    <m:t>cells,0</m:t>
                  </m:r>
                  <m:ctrlPr>
                    <w:rPr>
                      <w:rFonts w:ascii="Cambria Math" w:hAnsi="Cambria Math"/>
                    </w:rPr>
                  </m:ctrlPr>
                </m:sub>
                <m:sup>
                  <m:r>
                    <m:rPr>
                      <m:nor/>
                      <m:sty m:val="p"/>
                    </m:rPr>
                    <w:rPr>
                      <w:rFonts w:ascii="Cambria Math"/>
                    </w:rPr>
                    <m:t>DL,</m:t>
                  </m:r>
                  <m:r>
                    <w:rPr>
                      <w:rFonts w:ascii="Cambria Math"/>
                    </w:rPr>
                    <m:t>μ</m:t>
                  </m:r>
                  <m:ctrlPr>
                    <w:rPr>
                      <w:rFonts w:ascii="Cambria Math" w:hAnsi="Cambria Math"/>
                    </w:rPr>
                  </m:ctrlPr>
                </m:sup>
              </m:sSubSup>
            </m:oMath>
            <w:r>
              <w:t xml:space="preserve"> downlink cells, the UE is not required to monitor on the active DL BWP </w:t>
            </w:r>
            <w:r>
              <w:rPr>
                <w:lang w:eastAsia="ko-KR"/>
              </w:rPr>
              <w:t xml:space="preserve">with </w:t>
            </w:r>
            <w:r>
              <w:t xml:space="preserve">SCS configuration </w:t>
            </w:r>
            <m:oMath>
              <m:r>
                <w:rPr>
                  <w:rFonts w:ascii="Cambria Math" w:hAnsi="Cambria Math"/>
                  <w:lang w:eastAsia="zh-CN"/>
                </w:rPr>
                <m:t>μ</m:t>
              </m:r>
            </m:oMath>
            <w:r>
              <w:t xml:space="preserve"> of the scheduling cell </w:t>
            </w:r>
            <w:r>
              <w:rPr>
                <w:highlight w:val="yellow"/>
              </w:rPr>
              <w:t xml:space="preserve">more than </w:t>
            </w:r>
            <m:oMath>
              <m:func>
                <m:funcPr>
                  <m:ctrlPr>
                    <w:rPr>
                      <w:rFonts w:ascii="Cambria Math" w:hAnsi="Cambria Math"/>
                      <w:i/>
                      <w:highlight w:val="yellow"/>
                    </w:rPr>
                  </m:ctrlPr>
                </m:funcPr>
                <m:fName>
                  <m:r>
                    <w:rPr>
                      <w:rFonts w:ascii="Cambria Math" w:hAnsi="Cambria Math"/>
                      <w:highlight w:val="yellow"/>
                    </w:rPr>
                    <m:t>min</m:t>
                  </m:r>
                  <m:ctrlPr>
                    <w:rPr>
                      <w:rFonts w:ascii="Cambria Math" w:hAnsi="Cambria Math"/>
                      <w:i/>
                      <w:highlight w:val="yellow"/>
                    </w:rPr>
                  </m:ctrlPr>
                </m:fName>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M</m:t>
                          </m:r>
                          <m:ctrlPr>
                            <w:rPr>
                              <w:rFonts w:ascii="Cambria Math" w:hAnsi="Cambria Math"/>
                              <w:i/>
                              <w:highlight w:val="yellow"/>
                            </w:rPr>
                          </m:ctrlPr>
                        </m:e>
                        <m:sub>
                          <m:r>
                            <m:rPr>
                              <m:nor/>
                              <m:sty m:val="p"/>
                            </m:rPr>
                            <w:rPr>
                              <w:highlight w:val="yellow"/>
                            </w:rPr>
                            <m:t>PDCCH</m:t>
                          </m:r>
                          <m:ctrlPr>
                            <w:rPr>
                              <w:rFonts w:ascii="Cambria Math" w:hAnsi="Cambria Math"/>
                              <w:highlight w:val="yellow"/>
                            </w:rPr>
                          </m:ctrlPr>
                        </m:sub>
                        <m:sup>
                          <m:r>
                            <m:rPr>
                              <m:nor/>
                              <m:sty m:val="p"/>
                            </m:rPr>
                            <w:rPr>
                              <w:highlight w:val="yellow"/>
                            </w:rPr>
                            <m:t>max,slot,</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M</m:t>
                          </m:r>
                          <m:ctrlPr>
                            <w:rPr>
                              <w:rFonts w:ascii="Cambria Math" w:hAnsi="Cambria Math"/>
                              <w:i/>
                              <w:highlight w:val="yellow"/>
                            </w:rPr>
                          </m:ctrlPr>
                        </m:e>
                        <m:sub>
                          <m:r>
                            <m:rPr>
                              <m:nor/>
                              <m:sty m:val="p"/>
                            </m:rPr>
                            <w:rPr>
                              <w:highlight w:val="yellow"/>
                            </w:rPr>
                            <m:t>PDCCH</m:t>
                          </m:r>
                          <m:ctrlPr>
                            <w:rPr>
                              <w:rFonts w:ascii="Cambria Math" w:hAnsi="Cambria Math"/>
                              <w:highlight w:val="yellow"/>
                            </w:rPr>
                          </m:ctrlPr>
                        </m:sub>
                        <m:sup>
                          <m:r>
                            <m:rPr>
                              <m:nor/>
                              <m:sty m:val="p"/>
                            </m:rPr>
                            <w:rPr>
                              <w:highlight w:val="yellow"/>
                            </w:rPr>
                            <m:t>total,slot,</m:t>
                          </m:r>
                          <m:r>
                            <w:rPr>
                              <w:rFonts w:ascii="Cambria Math" w:hAnsi="Cambria Math"/>
                              <w:highlight w:val="yellow"/>
                            </w:rPr>
                            <m:t>μ</m:t>
                          </m:r>
                          <m:ctrlPr>
                            <w:rPr>
                              <w:rFonts w:ascii="Cambria Math" w:hAnsi="Cambria Math"/>
                              <w:highlight w:val="yellow"/>
                            </w:rPr>
                          </m:ctrlPr>
                        </m:sup>
                      </m:sSubSup>
                      <m:ctrlPr>
                        <w:rPr>
                          <w:rFonts w:ascii="Cambria Math" w:hAnsi="Cambria Math"/>
                          <w:i/>
                          <w:highlight w:val="yellow"/>
                        </w:rPr>
                      </m:ctrlPr>
                    </m:e>
                  </m:d>
                  <m:ctrlPr>
                    <w:rPr>
                      <w:rFonts w:ascii="Cambria Math" w:hAnsi="Cambria Math"/>
                      <w:i/>
                      <w:highlight w:val="yellow"/>
                    </w:rPr>
                  </m:ctrlPr>
                </m:e>
              </m:func>
            </m:oMath>
            <w:r>
              <w:rPr>
                <w:highlight w:val="yellow"/>
              </w:rPr>
              <w:t xml:space="preserve"> PDCCH candidates or more than </w:t>
            </w:r>
            <m:oMath>
              <m:func>
                <m:funcPr>
                  <m:ctrlPr>
                    <w:rPr>
                      <w:rFonts w:ascii="Cambria Math" w:hAnsi="Cambria Math"/>
                      <w:i/>
                      <w:highlight w:val="yellow"/>
                    </w:rPr>
                  </m:ctrlPr>
                </m:funcPr>
                <m:fName>
                  <m:r>
                    <w:rPr>
                      <w:rFonts w:ascii="Cambria Math" w:hAnsi="Cambria Math"/>
                      <w:highlight w:val="yellow"/>
                    </w:rPr>
                    <m:t>min</m:t>
                  </m:r>
                  <m:ctrlPr>
                    <w:rPr>
                      <w:rFonts w:ascii="Cambria Math" w:hAnsi="Cambria Math"/>
                      <w:i/>
                      <w:highlight w:val="yellow"/>
                    </w:rPr>
                  </m:ctrlPr>
                </m:fName>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C</m:t>
                          </m:r>
                          <m:ctrlPr>
                            <w:rPr>
                              <w:rFonts w:ascii="Cambria Math" w:hAnsi="Cambria Math"/>
                              <w:i/>
                              <w:highlight w:val="yellow"/>
                            </w:rPr>
                          </m:ctrlPr>
                        </m:e>
                        <m:sub>
                          <m:r>
                            <m:rPr>
                              <m:nor/>
                              <m:sty m:val="p"/>
                            </m:rPr>
                            <w:rPr>
                              <w:highlight w:val="yellow"/>
                            </w:rPr>
                            <m:t>PDCCH</m:t>
                          </m:r>
                          <m:ctrlPr>
                            <w:rPr>
                              <w:rFonts w:ascii="Cambria Math" w:hAnsi="Cambria Math"/>
                              <w:highlight w:val="yellow"/>
                            </w:rPr>
                          </m:ctrlPr>
                        </m:sub>
                        <m:sup>
                          <m:r>
                            <m:rPr>
                              <m:nor/>
                              <m:sty m:val="p"/>
                            </m:rPr>
                            <w:rPr>
                              <w:highlight w:val="yellow"/>
                            </w:rPr>
                            <m:t>max,slot,</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C</m:t>
                          </m:r>
                          <m:ctrlPr>
                            <w:rPr>
                              <w:rFonts w:ascii="Cambria Math" w:hAnsi="Cambria Math"/>
                              <w:i/>
                              <w:highlight w:val="yellow"/>
                            </w:rPr>
                          </m:ctrlPr>
                        </m:e>
                        <m:sub>
                          <m:r>
                            <m:rPr>
                              <m:nor/>
                              <m:sty m:val="p"/>
                            </m:rPr>
                            <w:rPr>
                              <w:highlight w:val="yellow"/>
                            </w:rPr>
                            <m:t>PDCCH</m:t>
                          </m:r>
                          <m:ctrlPr>
                            <w:rPr>
                              <w:rFonts w:ascii="Cambria Math" w:hAnsi="Cambria Math"/>
                              <w:highlight w:val="yellow"/>
                            </w:rPr>
                          </m:ctrlPr>
                        </m:sub>
                        <m:sup>
                          <m:r>
                            <m:rPr>
                              <m:nor/>
                              <m:sty m:val="p"/>
                            </m:rPr>
                            <w:rPr>
                              <w:highlight w:val="yellow"/>
                            </w:rPr>
                            <m:t>total,slot,</m:t>
                          </m:r>
                          <m:r>
                            <w:rPr>
                              <w:rFonts w:ascii="Cambria Math" w:hAnsi="Cambria Math"/>
                              <w:highlight w:val="yellow"/>
                            </w:rPr>
                            <m:t>μ</m:t>
                          </m:r>
                          <m:ctrlPr>
                            <w:rPr>
                              <w:rFonts w:ascii="Cambria Math" w:hAnsi="Cambria Math"/>
                              <w:highlight w:val="yellow"/>
                            </w:rPr>
                          </m:ctrlPr>
                        </m:sup>
                      </m:sSubSup>
                      <m:ctrlPr>
                        <w:rPr>
                          <w:rFonts w:ascii="Cambria Math" w:hAnsi="Cambria Math"/>
                          <w:i/>
                          <w:highlight w:val="yellow"/>
                        </w:rPr>
                      </m:ctrlPr>
                    </m:e>
                  </m:d>
                  <m:ctrlPr>
                    <w:rPr>
                      <w:rFonts w:ascii="Cambria Math" w:hAnsi="Cambria Math"/>
                      <w:i/>
                      <w:highlight w:val="yellow"/>
                    </w:rPr>
                  </m:ctrlPr>
                </m:e>
              </m:func>
            </m:oMath>
            <w:r>
              <w:rPr>
                <w:highlight w:val="yellow"/>
              </w:rPr>
              <w:t xml:space="preserve"> non-overlapped CCEs per slot.</w:t>
            </w:r>
          </w:p>
          <w:p>
            <w:pPr>
              <w:widowControl w:val="0"/>
              <w:rPr>
                <w:lang w:eastAsia="zh-CN"/>
              </w:rPr>
            </w:pPr>
            <w:r>
              <w:rPr>
                <w:lang w:eastAsia="zh-CN"/>
              </w:rPr>
              <w:t xml:space="preserve">For example, assume a UE can support one DL cell and is configured with 2 CCs, one with (4,2) and the other one with (4,1). If we only consider Xs regardless of Ys when grouping cells of CC1 with (4,2) and  CC2 with (4,1), then the min BD/CCE per cell for CC1 and CC2 can be twice of the min BD/CCE limit when grouping cells with different Ys.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lang w:eastAsia="zh-CN"/>
              </w:rPr>
              <w:t>Samsung</w:t>
            </w:r>
          </w:p>
        </w:tc>
        <w:tc>
          <w:tcPr>
            <w:tcW w:w="12176" w:type="dxa"/>
            <w:vAlign w:val="center"/>
          </w:tcPr>
          <w:p>
            <w:pPr>
              <w:widowControl w:val="0"/>
              <w:rPr>
                <w:sz w:val="20"/>
                <w:lang w:eastAsia="zh-CN"/>
              </w:rPr>
            </w:pPr>
            <w:r>
              <w:rPr>
                <w:lang w:eastAsia="zh-CN"/>
              </w:rPr>
              <w:t xml:space="preserve">We support Alt 1-2 to reuse the same principle for BD/CCE budget determination in CA mode in R15/16.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Ericsson</w:t>
            </w:r>
          </w:p>
        </w:tc>
        <w:tc>
          <w:tcPr>
            <w:tcW w:w="12176" w:type="dxa"/>
            <w:vAlign w:val="center"/>
          </w:tcPr>
          <w:p>
            <w:pPr>
              <w:widowControl w:val="0"/>
              <w:rPr>
                <w:sz w:val="20"/>
                <w:lang w:eastAsia="zh-CN"/>
              </w:rPr>
            </w:pPr>
            <w:r>
              <w:rPr>
                <w:sz w:val="20"/>
                <w:lang w:eastAsia="zh-CN"/>
              </w:rPr>
              <w:t>We also support Alt 1-2 to reuse the principle from Rel-15 per-slot monitoring and view it as the most straightforward solution.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lang w:eastAsia="zh-CN"/>
              </w:rPr>
              <w:t>Qualcomm</w:t>
            </w:r>
          </w:p>
        </w:tc>
        <w:tc>
          <w:tcPr>
            <w:tcW w:w="12176" w:type="dxa"/>
            <w:vAlign w:val="center"/>
          </w:tcPr>
          <w:p>
            <w:pPr>
              <w:widowControl w:val="0"/>
              <w:rPr>
                <w:sz w:val="20"/>
                <w:lang w:eastAsia="zh-CN"/>
              </w:rPr>
            </w:pPr>
            <w:r>
              <w:rPr>
                <w:lang w:eastAsia="zh-CN"/>
              </w:rPr>
              <w:t>We support Alt 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sz w:val="20"/>
                <w:lang w:eastAsia="zh-CN"/>
              </w:rPr>
              <w:t>v</w:t>
            </w:r>
            <w:r>
              <w:rPr>
                <w:sz w:val="20"/>
                <w:lang w:eastAsia="zh-CN"/>
              </w:rPr>
              <w:t>ivo</w:t>
            </w:r>
          </w:p>
        </w:tc>
        <w:tc>
          <w:tcPr>
            <w:tcW w:w="12176" w:type="dxa"/>
            <w:vAlign w:val="center"/>
          </w:tcPr>
          <w:p>
            <w:pPr>
              <w:widowControl w:val="0"/>
              <w:rPr>
                <w:lang w:eastAsia="zh-CN"/>
              </w:rPr>
            </w:pPr>
            <w:r>
              <w:rPr>
                <w:sz w:val="20"/>
                <w:lang w:eastAsia="zh-CN"/>
              </w:rPr>
              <w:t>Our first preference is Alt. 2 for simplicity. Otherwise, UE needs to handle 4 additional cases and reports many capability parameters as discussed in Issue C-1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Nokia, NSB</w:t>
            </w:r>
          </w:p>
        </w:tc>
        <w:tc>
          <w:tcPr>
            <w:tcW w:w="12176" w:type="dxa"/>
            <w:vAlign w:val="center"/>
          </w:tcPr>
          <w:p>
            <w:pPr>
              <w:widowControl w:val="0"/>
              <w:rPr>
                <w:lang w:eastAsia="zh-CN"/>
              </w:rPr>
            </w:pPr>
            <w:r>
              <w:rPr>
                <w:lang w:eastAsia="zh-CN"/>
              </w:rPr>
              <w:t>We support Alt 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 xml:space="preserve">We prefer Alt 1-2. </w:t>
            </w:r>
          </w:p>
          <w:p>
            <w:pPr>
              <w:widowControl w:val="0"/>
              <w:rPr>
                <w:lang w:eastAsia="zh-CN"/>
              </w:rPr>
            </w:pPr>
            <w:r>
              <w:rPr>
                <w:lang w:eastAsia="zh-CN"/>
              </w:rPr>
              <w:t>One clarification on Alt 2. Does Alt 2-1 map combination (4,1) for SCS 960kHz to a slot of SCS 240kHz? On the other hand, Alt 2-2 doesn’t cover combination (4,1) for SCS 960kHz. Is it correct understanding? Alt 3 sounds a variation of Alt 2.</w:t>
            </w:r>
          </w:p>
          <w:p>
            <w:pPr>
              <w:widowControl w:val="0"/>
              <w:rPr>
                <w:lang w:eastAsia="zh-CN"/>
              </w:rPr>
            </w:pPr>
            <w:r>
              <w:rPr>
                <w:lang w:eastAsia="zh-CN"/>
              </w:rPr>
              <w:t xml:space="preserve">Since Alt 2/3 requires the sharing of BD/CCE among CCs with different SCS, we are afraid it causes complexity at UE side. Therefore, Alt 1-2 is preferred for simplicity.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sz w:val="21"/>
                <w:szCs w:val="24"/>
                <w:lang w:eastAsia="zh-CN"/>
              </w:rPr>
              <w:t xml:space="preserve">We prefer </w:t>
            </w:r>
            <w:r>
              <w:rPr>
                <w:sz w:val="21"/>
                <w:szCs w:val="21"/>
                <w:lang w:eastAsia="zh-CN"/>
              </w:rPr>
              <w:t>Alt 1-2</w:t>
            </w:r>
            <w:r>
              <w:rPr>
                <w:rFonts w:hint="eastAsia"/>
                <w:sz w:val="21"/>
                <w:szCs w:val="21"/>
                <w:lang w:eastAsia="zh-CN"/>
              </w:rPr>
              <w:t xml:space="preserve">, since the value of </w:t>
            </w:r>
            <w:r>
              <w:rPr>
                <w:lang w:eastAsia="zh-CN"/>
              </w:rPr>
              <w:t>Ys</w:t>
            </w:r>
            <w:r>
              <w:rPr>
                <w:rFonts w:hint="eastAsia"/>
                <w:sz w:val="21"/>
                <w:szCs w:val="21"/>
                <w:lang w:eastAsia="zh-CN"/>
              </w:rPr>
              <w:t xml:space="preserve"> in </w:t>
            </w:r>
            <w:r>
              <w:rPr>
                <w:lang w:eastAsia="zh-CN"/>
              </w:rPr>
              <w:t>(Xs, Ys)</w:t>
            </w:r>
            <w:r>
              <w:rPr>
                <w:rFonts w:hint="eastAsia"/>
                <w:sz w:val="21"/>
                <w:szCs w:val="21"/>
                <w:lang w:eastAsia="zh-CN"/>
              </w:rPr>
              <w:t xml:space="preserve"> does not impact the maximum BD/CCE budget, </w:t>
            </w:r>
            <w:r>
              <w:rPr>
                <w:lang w:eastAsia="zh-CN"/>
              </w:rPr>
              <w:t>the serving cells with the same SCS and Xs value are grouped together to follow a total BD/CCE budget</w:t>
            </w:r>
            <w:r>
              <w:rPr>
                <w:rFonts w:hint="eastAsia"/>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sz w:val="21"/>
                <w:szCs w:val="24"/>
                <w:lang w:eastAsia="zh-CN"/>
              </w:rPr>
            </w:pPr>
            <w:r>
              <w:rPr>
                <w:rFonts w:eastAsia="MS Mincho"/>
                <w:lang w:eastAsia="ja-JP"/>
              </w:rPr>
              <w:t xml:space="preserve">We support Alt 1-2 for the same reason as Samsung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lang w:eastAsia="zh-CN"/>
              </w:rPr>
              <w:t>LG Electronics</w:t>
            </w:r>
          </w:p>
        </w:tc>
        <w:tc>
          <w:tcPr>
            <w:tcW w:w="12176" w:type="dxa"/>
            <w:vAlign w:val="center"/>
          </w:tcPr>
          <w:p>
            <w:pPr>
              <w:widowControl w:val="0"/>
              <w:rPr>
                <w:lang w:eastAsia="zh-CN"/>
              </w:rPr>
            </w:pPr>
            <w:r>
              <w:rPr>
                <w:lang w:eastAsia="zh-CN"/>
              </w:rPr>
              <w:t xml:space="preserve">We support either Alt 2-1 and Alt 3. </w:t>
            </w:r>
          </w:p>
          <w:p>
            <w:pPr>
              <w:widowControl w:val="0"/>
              <w:rPr>
                <w:rFonts w:eastAsia="MS Mincho"/>
                <w:lang w:eastAsia="ja-JP"/>
              </w:rPr>
            </w:pPr>
            <w:r>
              <w:rPr>
                <w:lang w:eastAsia="zh-CN"/>
              </w:rPr>
              <w:t>For a mixed situation of per-slot monitoring, per-span monitoring and per-slot-group monitoring, there would be too many combinations of different monitoring capabilities (as listed in Proposal C1-1.1). So, we support the concept of treating serving cell with per-slot-group monitoring capability as if they were cells with per-slot monitoring capability for BD/CCE budget distribution with multiple serving cells. We think it can be an efficient approach to avoid complicatedly handling all cases listed in Proposal C1-1.1.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lang w:eastAsia="zh-CN"/>
              </w:rPr>
            </w:pPr>
            <w:r>
              <w:rPr>
                <w:lang w:eastAsia="zh-CN"/>
              </w:rPr>
              <w:t xml:space="preserve">We support Alt 1-2 to reuse the </w:t>
            </w:r>
            <w:bookmarkStart w:id="5" w:name="OLE_LINK3"/>
            <w:r>
              <w:rPr>
                <w:lang w:eastAsia="zh-CN"/>
              </w:rPr>
              <w:t xml:space="preserve">Rel-15/16 </w:t>
            </w:r>
            <w:bookmarkEnd w:id="5"/>
            <w:r>
              <w:rPr>
                <w:lang w:eastAsia="zh-CN"/>
              </w:rPr>
              <w:t>methodology.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lang w:eastAsia="zh-CN"/>
              </w:rPr>
              <w:t>We prefer Alt 1-2.</w:t>
            </w:r>
          </w:p>
        </w:tc>
      </w:tr>
    </w:tbl>
    <w:tbl>
      <w:tblPr>
        <w:tblStyle w:val="28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lang w:eastAsia="zh-CN"/>
              </w:rPr>
            </w:pPr>
            <w:r>
              <w:rPr>
                <w:lang w:eastAsia="zh-CN"/>
              </w:rPr>
              <w:t>Futurewei</w:t>
            </w:r>
          </w:p>
        </w:tc>
        <w:tc>
          <w:tcPr>
            <w:tcW w:w="12176" w:type="dxa"/>
            <w:vAlign w:val="center"/>
          </w:tcPr>
          <w:p>
            <w:pPr>
              <w:widowControl w:val="0"/>
              <w:spacing w:line="240" w:lineRule="auto"/>
              <w:rPr>
                <w:lang w:eastAsia="zh-CN"/>
              </w:rPr>
            </w:pPr>
            <w:r>
              <w:rPr>
                <w:lang w:eastAsia="zh-CN"/>
              </w:rPr>
              <w:t>Support Alt 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lang w:eastAsia="zh-CN"/>
              </w:rPr>
            </w:pPr>
            <w:r>
              <w:rPr>
                <w:lang w:eastAsia="zh-CN"/>
              </w:rPr>
              <w:t>CATT</w:t>
            </w:r>
          </w:p>
        </w:tc>
        <w:tc>
          <w:tcPr>
            <w:tcW w:w="12176" w:type="dxa"/>
            <w:vAlign w:val="center"/>
          </w:tcPr>
          <w:p>
            <w:pPr>
              <w:widowControl w:val="0"/>
              <w:spacing w:line="240" w:lineRule="auto"/>
              <w:rPr>
                <w:lang w:eastAsia="zh-CN"/>
              </w:rPr>
            </w:pPr>
            <w:r>
              <w:rPr>
                <w:lang w:eastAsia="zh-CN"/>
              </w:rPr>
              <w:t>Support Alt 1-2</w:t>
            </w:r>
          </w:p>
        </w:tc>
      </w:tr>
    </w:tbl>
    <w:p/>
    <w:p>
      <w:pPr>
        <w:pStyle w:val="5"/>
      </w:pPr>
      <w:r>
        <w:t>First round discussion summary</w:t>
      </w:r>
    </w:p>
    <w:p>
      <w:pPr>
        <w:rPr>
          <w:sz w:val="20"/>
          <w:szCs w:val="20"/>
          <w:lang w:eastAsia="zh-CN"/>
        </w:rPr>
      </w:pPr>
      <w:r>
        <w:rPr>
          <w:sz w:val="20"/>
          <w:szCs w:val="20"/>
          <w:lang w:eastAsia="zh-CN"/>
        </w:rPr>
        <w:t xml:space="preserve">A minority of companies prefers Alt 2 or Alt 3 expressing a benefit in not requiring too many additional cases and capability parameters (Issue C-1). Nevertheless a majority prefers Alt 1-2. </w:t>
      </w:r>
    </w:p>
    <w:p>
      <w:pPr>
        <w:rPr>
          <w:sz w:val="20"/>
          <w:szCs w:val="20"/>
          <w:lang w:eastAsia="zh-CN"/>
        </w:rPr>
      </w:pPr>
      <w:r>
        <w:rPr>
          <w:sz w:val="20"/>
          <w:szCs w:val="20"/>
          <w:lang w:eastAsia="zh-CN"/>
        </w:rPr>
        <w:t>FL suggests to agree on Proposal A3-2.1 (combining the general description of Alt 1 with the detail of Alt 1-2 to a single statement and editorial modification).</w:t>
      </w:r>
    </w:p>
    <w:p>
      <w:pPr>
        <w:rPr>
          <w:sz w:val="20"/>
          <w:szCs w:val="20"/>
          <w:lang w:eastAsia="zh-CN"/>
        </w:rPr>
      </w:pPr>
      <w:r>
        <w:rPr>
          <w:sz w:val="20"/>
          <w:szCs w:val="20"/>
          <w:highlight w:val="yellow"/>
          <w:lang w:eastAsia="zh-CN"/>
        </w:rPr>
        <w:t>Proposal A3-2.1</w:t>
      </w:r>
      <w:r>
        <w:rPr>
          <w:sz w:val="20"/>
          <w:szCs w:val="20"/>
          <w:lang w:eastAsia="zh-CN"/>
        </w:rPr>
        <w:t>:</w:t>
      </w:r>
    </w:p>
    <w:p>
      <w:pPr>
        <w:pStyle w:val="82"/>
        <w:numPr>
          <w:ilvl w:val="0"/>
          <w:numId w:val="61"/>
        </w:numPr>
        <w:rPr>
          <w:sz w:val="20"/>
          <w:szCs w:val="20"/>
        </w:rPr>
      </w:pPr>
      <w:r>
        <w:rPr>
          <w:color w:val="000000"/>
          <w:sz w:val="20"/>
          <w:szCs w:val="18"/>
        </w:rPr>
        <w:t xml:space="preserve">For serving cells with the same PDCCH monitoring type including multi-slot-based capability, the serving cells with the same SCS and </w:t>
      </w:r>
      <m:oMath>
        <m:sSub>
          <m:sSubPr>
            <m:ctrlPr>
              <w:rPr>
                <w:rFonts w:ascii="Cambria Math" w:hAnsi="Cambria Math"/>
                <w:sz w:val="20"/>
                <w:szCs w:val="18"/>
              </w:rPr>
            </m:ctrlPr>
          </m:sSubPr>
          <m:e>
            <m:r>
              <w:rPr>
                <w:rFonts w:ascii="Cambria Math" w:hAnsi="Cambria Math"/>
                <w:sz w:val="20"/>
                <w:szCs w:val="18"/>
              </w:rPr>
              <m:t>X</m:t>
            </m:r>
            <m:ctrlPr>
              <w:rPr>
                <w:rFonts w:ascii="Cambria Math" w:hAnsi="Cambria Math"/>
                <w:i/>
                <w:sz w:val="20"/>
                <w:szCs w:val="18"/>
              </w:rPr>
            </m:ctrlPr>
          </m:e>
          <m:sub>
            <m:r>
              <m:rPr>
                <m:sty m:val="p"/>
              </m:rPr>
              <w:rPr>
                <w:rFonts w:ascii="Cambria Math" w:hAnsi="Cambria Math"/>
                <w:sz w:val="20"/>
                <w:szCs w:val="18"/>
              </w:rPr>
              <m:t>s</m:t>
            </m:r>
            <m:ctrlPr>
              <w:rPr>
                <w:rFonts w:ascii="Cambria Math" w:hAnsi="Cambria Math"/>
                <w:sz w:val="20"/>
                <w:szCs w:val="18"/>
              </w:rPr>
            </m:ctrlPr>
          </m:sub>
        </m:sSub>
      </m:oMath>
      <w:r>
        <w:rPr>
          <w:color w:val="000000"/>
          <w:sz w:val="20"/>
          <w:szCs w:val="18"/>
        </w:rPr>
        <w:t xml:space="preserve"> value are grouped together to determine a total BD/CCE budget for that group</w:t>
      </w:r>
    </w:p>
    <w:p>
      <w:pPr>
        <w:pStyle w:val="5"/>
      </w:pPr>
      <w:r>
        <w:t>Second round discussion</w:t>
      </w:r>
    </w:p>
    <w:p>
      <w:pPr>
        <w:rPr>
          <w:sz w:val="20"/>
          <w:szCs w:val="20"/>
          <w:lang w:eastAsia="zh-CN"/>
        </w:rPr>
      </w:pPr>
      <w:r>
        <w:rPr>
          <w:bCs/>
          <w:sz w:val="20"/>
          <w:szCs w:val="20"/>
          <w:lang w:val="en-GB" w:eastAsia="zh-CN"/>
        </w:rPr>
        <w:t xml:space="preserve">In view of the first round discussion, </w:t>
      </w:r>
      <w:r>
        <w:rPr>
          <w:sz w:val="20"/>
          <w:szCs w:val="20"/>
          <w:lang w:eastAsia="zh-CN"/>
        </w:rPr>
        <w:t>FL suggests to adopt Proposal A3-2.1 (see above).</w:t>
      </w:r>
    </w:p>
    <w:p>
      <w:pPr>
        <w:autoSpaceDE/>
        <w:autoSpaceDN/>
        <w:adjustRightInd/>
        <w:snapToGrid/>
        <w:spacing w:after="0" w:line="240" w:lineRule="auto"/>
        <w:rPr>
          <w:bCs/>
          <w:sz w:val="20"/>
          <w:szCs w:val="20"/>
          <w:lang w:eastAsia="zh-CN"/>
        </w:rPr>
      </w:pPr>
      <w:r>
        <w:rPr>
          <w:bCs/>
          <w:sz w:val="20"/>
          <w:szCs w:val="20"/>
          <w:lang w:eastAsia="zh-CN"/>
        </w:rPr>
        <w:t>Please comment only if you have a strong concern with the proposal.</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sz w:val="21"/>
                <w:szCs w:val="21"/>
                <w:lang w:eastAsia="zh-CN"/>
              </w:rPr>
              <w:t>ZTE, Sanechips</w:t>
            </w:r>
          </w:p>
        </w:tc>
        <w:tc>
          <w:tcPr>
            <w:tcW w:w="12176" w:type="dxa"/>
            <w:vAlign w:val="center"/>
          </w:tcPr>
          <w:p>
            <w:pPr>
              <w:widowControl w:val="0"/>
              <w:rPr>
                <w:lang w:eastAsia="zh-CN"/>
              </w:rPr>
            </w:pPr>
            <w:r>
              <w:rPr>
                <w:rFonts w:hint="eastAsia"/>
                <w:lang w:eastAsia="zh-CN"/>
              </w:rPr>
              <w:t>We support Proposal A3-2.1.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MediaTek</w:t>
            </w:r>
          </w:p>
        </w:tc>
        <w:tc>
          <w:tcPr>
            <w:tcW w:w="12176" w:type="dxa"/>
            <w:vAlign w:val="center"/>
          </w:tcPr>
          <w:p>
            <w:pPr>
              <w:widowControl w:val="0"/>
              <w:rPr>
                <w:lang w:eastAsia="zh-CN"/>
              </w:rPr>
            </w:pPr>
            <w:r>
              <w:rPr>
                <w:lang w:eastAsia="zh-CN"/>
              </w:rPr>
              <w:t>We still prefer to add Ys into the grouping rule. If the grouping rule doesn’t consider ys, then it will have some impact on determining the minimum BD/CCE limit for a cell in the group of cells based on the following specification:</w:t>
            </w:r>
          </w:p>
          <w:p>
            <w:pPr>
              <w:widowControl w:val="0"/>
              <w:rPr>
                <w:lang w:eastAsia="zh-CN"/>
              </w:rPr>
            </w:pPr>
            <w:r>
              <w:rPr>
                <w:lang w:eastAsia="zh-CN"/>
              </w:rPr>
              <w:t xml:space="preserve">For each scheduled cell from the </w:t>
            </w:r>
            <m:oMath>
              <m:sSubSup>
                <m:sSubSupPr>
                  <m:ctrlPr>
                    <w:rPr>
                      <w:rFonts w:ascii="Cambria Math" w:hAnsi="Cambria Math"/>
                      <w:lang w:eastAsia="zh-CN"/>
                    </w:rPr>
                  </m:ctrlPr>
                </m:sSubSupPr>
                <m:e>
                  <m:r>
                    <w:rPr>
                      <w:rFonts w:ascii="Cambria Math"/>
                      <w:lang w:eastAsia="zh-CN"/>
                    </w:rPr>
                    <m:t>N</m:t>
                  </m:r>
                  <m:ctrlPr>
                    <w:rPr>
                      <w:rFonts w:ascii="Cambria Math" w:hAnsi="Cambria Math"/>
                      <w:lang w:eastAsia="zh-CN"/>
                    </w:rPr>
                  </m:ctrlPr>
                </m:e>
                <m:sub>
                  <m:r>
                    <m:rPr>
                      <m:nor/>
                      <m:sty m:val="p"/>
                    </m:rPr>
                    <w:rPr>
                      <w:lang w:eastAsia="zh-CN"/>
                    </w:rPr>
                    <m:t>cells,0</m:t>
                  </m:r>
                  <m:ctrlPr>
                    <w:rPr>
                      <w:rFonts w:ascii="Cambria Math" w:hAnsi="Cambria Math"/>
                      <w:lang w:eastAsia="zh-CN"/>
                    </w:rPr>
                  </m:ctrlPr>
                </m:sub>
                <m:sup>
                  <m:r>
                    <m:rPr>
                      <m:nor/>
                      <m:sty m:val="p"/>
                    </m:rPr>
                    <w:rPr>
                      <w:lang w:eastAsia="zh-CN"/>
                    </w:rPr>
                    <m:t>DL,</m:t>
                  </m:r>
                  <m:r>
                    <w:rPr>
                      <w:rFonts w:ascii="Cambria Math"/>
                      <w:lang w:eastAsia="zh-CN"/>
                    </w:rPr>
                    <m:t>μ</m:t>
                  </m:r>
                  <m:ctrlPr>
                    <w:rPr>
                      <w:rFonts w:ascii="Cambria Math" w:hAnsi="Cambria Math"/>
                      <w:lang w:eastAsia="zh-CN"/>
                    </w:rPr>
                  </m:ctrlPr>
                </m:sup>
              </m:sSubSup>
            </m:oMath>
            <w:r>
              <w:rPr>
                <w:lang w:eastAsia="zh-CN"/>
              </w:rPr>
              <w:t xml:space="preserve"> downlink cells, the UE is not required to monitor on the active DL BWP with SCS configuration </w:t>
            </w:r>
            <m:oMath>
              <m:r>
                <w:rPr>
                  <w:rFonts w:ascii="Cambria Math" w:hAnsi="Cambria Math"/>
                  <w:lang w:eastAsia="zh-CN"/>
                </w:rPr>
                <m:t>μ</m:t>
              </m:r>
            </m:oMath>
            <w:r>
              <w:rPr>
                <w:lang w:eastAsia="zh-CN"/>
              </w:rPr>
              <w:t xml:space="preserve"> of the scheduling cell more than </w:t>
            </w:r>
            <m:oMath>
              <m:func>
                <m:funcPr>
                  <m:ctrlPr>
                    <w:rPr>
                      <w:rFonts w:ascii="Cambria Math" w:hAnsi="Cambria Math"/>
                      <w:lang w:eastAsia="zh-CN"/>
                    </w:rPr>
                  </m:ctrlPr>
                </m:funcPr>
                <m:fName>
                  <m:r>
                    <w:rPr>
                      <w:rFonts w:ascii="Cambria Math" w:hAnsi="Cambria Math"/>
                      <w:lang w:eastAsia="zh-CN"/>
                    </w:rPr>
                    <m:t>min</m:t>
                  </m:r>
                  <m:ctrlPr>
                    <w:rPr>
                      <w:rFonts w:ascii="Cambria Math" w:hAnsi="Cambria Math"/>
                      <w:lang w:eastAsia="zh-CN"/>
                    </w:rPr>
                  </m:ctrlPr>
                </m:fName>
                <m:e>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M</m:t>
                          </m:r>
                          <m:ctrlPr>
                            <w:rPr>
                              <w:rFonts w:ascii="Cambria Math" w:hAnsi="Cambria Math"/>
                              <w:lang w:eastAsia="zh-CN"/>
                            </w:rPr>
                          </m:ctrlPr>
                        </m:e>
                        <m:sub>
                          <m:r>
                            <m:rPr>
                              <m:nor/>
                              <m:sty m:val="p"/>
                            </m:rPr>
                            <w:rPr>
                              <w:lang w:eastAsia="zh-CN"/>
                            </w:rPr>
                            <m:t>PDCCH</m:t>
                          </m:r>
                          <m:ctrlPr>
                            <w:rPr>
                              <w:rFonts w:ascii="Cambria Math" w:hAnsi="Cambria Math"/>
                              <w:lang w:eastAsia="zh-CN"/>
                            </w:rPr>
                          </m:ctrlPr>
                        </m:sub>
                        <m:sup>
                          <m:r>
                            <m:rPr>
                              <m:nor/>
                              <m:sty m:val="p"/>
                            </m:rPr>
                            <w:rPr>
                              <w:lang w:eastAsia="zh-CN"/>
                            </w:rPr>
                            <m:t>max,slot,</m:t>
                          </m:r>
                          <m:r>
                            <w:rPr>
                              <w:rFonts w:ascii="Cambria Math" w:hAnsi="Cambria Math"/>
                              <w:lang w:eastAsia="zh-CN"/>
                            </w:rPr>
                            <m:t>μ</m:t>
                          </m:r>
                          <m:ctrlPr>
                            <w:rPr>
                              <w:rFonts w:ascii="Cambria Math" w:hAnsi="Cambria Math"/>
                              <w:lang w:eastAsia="zh-CN"/>
                            </w:rPr>
                          </m:ctrlP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ctrlPr>
                            <w:rPr>
                              <w:rFonts w:ascii="Cambria Math" w:hAnsi="Cambria Math"/>
                              <w:lang w:eastAsia="zh-CN"/>
                            </w:rPr>
                          </m:ctrlPr>
                        </m:e>
                        <m:sub>
                          <m:r>
                            <m:rPr>
                              <m:nor/>
                              <m:sty m:val="p"/>
                            </m:rPr>
                            <w:rPr>
                              <w:lang w:eastAsia="zh-CN"/>
                            </w:rPr>
                            <m:t>PDCCH</m:t>
                          </m:r>
                          <m:ctrlPr>
                            <w:rPr>
                              <w:rFonts w:ascii="Cambria Math" w:hAnsi="Cambria Math"/>
                              <w:lang w:eastAsia="zh-CN"/>
                            </w:rPr>
                          </m:ctrlPr>
                        </m:sub>
                        <m:sup>
                          <m:r>
                            <m:rPr>
                              <m:nor/>
                              <m:sty m:val="p"/>
                            </m:rPr>
                            <w:rPr>
                              <w:lang w:eastAsia="zh-CN"/>
                            </w:rPr>
                            <m:t>total,slot,</m:t>
                          </m:r>
                          <m:r>
                            <w:rPr>
                              <w:rFonts w:ascii="Cambria Math" w:hAnsi="Cambria Math"/>
                              <w:lang w:eastAsia="zh-CN"/>
                            </w:rPr>
                            <m:t>μ</m:t>
                          </m:r>
                          <m:ctrlPr>
                            <w:rPr>
                              <w:rFonts w:ascii="Cambria Math" w:hAnsi="Cambria Math"/>
                              <w:lang w:eastAsia="zh-CN"/>
                            </w:rPr>
                          </m:ctrlPr>
                        </m:sup>
                      </m:sSubSup>
                      <m:ctrlPr>
                        <w:rPr>
                          <w:rFonts w:ascii="Cambria Math" w:hAnsi="Cambria Math"/>
                          <w:lang w:eastAsia="zh-CN"/>
                        </w:rPr>
                      </m:ctrlPr>
                    </m:e>
                  </m:d>
                  <m:ctrlPr>
                    <w:rPr>
                      <w:rFonts w:ascii="Cambria Math" w:hAnsi="Cambria Math"/>
                      <w:lang w:eastAsia="zh-CN"/>
                    </w:rPr>
                  </m:ctrlPr>
                </m:e>
              </m:func>
            </m:oMath>
            <w:r>
              <w:rPr>
                <w:lang w:eastAsia="zh-CN"/>
              </w:rPr>
              <w:t xml:space="preserve"> PDCCH candidates or more than </w:t>
            </w:r>
            <m:oMath>
              <m:func>
                <m:funcPr>
                  <m:ctrlPr>
                    <w:rPr>
                      <w:rFonts w:ascii="Cambria Math" w:hAnsi="Cambria Math"/>
                      <w:lang w:eastAsia="zh-CN"/>
                    </w:rPr>
                  </m:ctrlPr>
                </m:funcPr>
                <m:fName>
                  <m:r>
                    <w:rPr>
                      <w:rFonts w:ascii="Cambria Math" w:hAnsi="Cambria Math"/>
                      <w:lang w:eastAsia="zh-CN"/>
                    </w:rPr>
                    <m:t>min</m:t>
                  </m:r>
                  <m:ctrlPr>
                    <w:rPr>
                      <w:rFonts w:ascii="Cambria Math" w:hAnsi="Cambria Math"/>
                      <w:lang w:eastAsia="zh-CN"/>
                    </w:rPr>
                  </m:ctrlPr>
                </m:fName>
                <m:e>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C</m:t>
                          </m:r>
                          <m:ctrlPr>
                            <w:rPr>
                              <w:rFonts w:ascii="Cambria Math" w:hAnsi="Cambria Math"/>
                              <w:lang w:eastAsia="zh-CN"/>
                            </w:rPr>
                          </m:ctrlPr>
                        </m:e>
                        <m:sub>
                          <m:r>
                            <m:rPr>
                              <m:nor/>
                              <m:sty m:val="p"/>
                            </m:rPr>
                            <w:rPr>
                              <w:lang w:eastAsia="zh-CN"/>
                            </w:rPr>
                            <m:t>PDCCH</m:t>
                          </m:r>
                          <m:ctrlPr>
                            <w:rPr>
                              <w:rFonts w:ascii="Cambria Math" w:hAnsi="Cambria Math"/>
                              <w:lang w:eastAsia="zh-CN"/>
                            </w:rPr>
                          </m:ctrlPr>
                        </m:sub>
                        <m:sup>
                          <m:r>
                            <m:rPr>
                              <m:nor/>
                              <m:sty m:val="p"/>
                            </m:rPr>
                            <w:rPr>
                              <w:lang w:eastAsia="zh-CN"/>
                            </w:rPr>
                            <m:t>max,slot,</m:t>
                          </m:r>
                          <m:r>
                            <w:rPr>
                              <w:rFonts w:ascii="Cambria Math" w:hAnsi="Cambria Math"/>
                              <w:lang w:eastAsia="zh-CN"/>
                            </w:rPr>
                            <m:t>μ</m:t>
                          </m:r>
                          <m:ctrlPr>
                            <w:rPr>
                              <w:rFonts w:ascii="Cambria Math" w:hAnsi="Cambria Math"/>
                              <w:lang w:eastAsia="zh-CN"/>
                            </w:rPr>
                          </m:ctrlP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C</m:t>
                          </m:r>
                          <m:ctrlPr>
                            <w:rPr>
                              <w:rFonts w:ascii="Cambria Math" w:hAnsi="Cambria Math"/>
                              <w:lang w:eastAsia="zh-CN"/>
                            </w:rPr>
                          </m:ctrlPr>
                        </m:e>
                        <m:sub>
                          <m:r>
                            <m:rPr>
                              <m:nor/>
                              <m:sty m:val="p"/>
                            </m:rPr>
                            <w:rPr>
                              <w:lang w:eastAsia="zh-CN"/>
                            </w:rPr>
                            <m:t>PDCCH</m:t>
                          </m:r>
                          <m:ctrlPr>
                            <w:rPr>
                              <w:rFonts w:ascii="Cambria Math" w:hAnsi="Cambria Math"/>
                              <w:lang w:eastAsia="zh-CN"/>
                            </w:rPr>
                          </m:ctrlPr>
                        </m:sub>
                        <m:sup>
                          <m:r>
                            <m:rPr>
                              <m:nor/>
                              <m:sty m:val="p"/>
                            </m:rPr>
                            <w:rPr>
                              <w:lang w:eastAsia="zh-CN"/>
                            </w:rPr>
                            <m:t>total,slot,</m:t>
                          </m:r>
                          <m:r>
                            <w:rPr>
                              <w:rFonts w:ascii="Cambria Math" w:hAnsi="Cambria Math"/>
                              <w:lang w:eastAsia="zh-CN"/>
                            </w:rPr>
                            <m:t>μ</m:t>
                          </m:r>
                          <m:ctrlPr>
                            <w:rPr>
                              <w:rFonts w:ascii="Cambria Math" w:hAnsi="Cambria Math"/>
                              <w:lang w:eastAsia="zh-CN"/>
                            </w:rPr>
                          </m:ctrlPr>
                        </m:sup>
                      </m:sSubSup>
                      <m:ctrlPr>
                        <w:rPr>
                          <w:rFonts w:ascii="Cambria Math" w:hAnsi="Cambria Math"/>
                          <w:lang w:eastAsia="zh-CN"/>
                        </w:rPr>
                      </m:ctrlPr>
                    </m:e>
                  </m:d>
                  <m:ctrlPr>
                    <w:rPr>
                      <w:rFonts w:ascii="Cambria Math" w:hAnsi="Cambria Math"/>
                      <w:lang w:eastAsia="zh-CN"/>
                    </w:rPr>
                  </m:ctrlPr>
                </m:e>
              </m:func>
            </m:oMath>
            <w:r>
              <w:rPr>
                <w:lang w:eastAsia="zh-CN"/>
              </w:rPr>
              <w:t xml:space="preserve"> non-overlapped CCEs per slot.</w:t>
            </w:r>
          </w:p>
          <w:p>
            <w:pPr>
              <w:widowControl w:val="0"/>
              <w:rPr>
                <w:lang w:eastAsia="zh-CN"/>
              </w:rPr>
            </w:pPr>
            <w:r>
              <w:rPr>
                <w:lang w:eastAsia="zh-CN"/>
              </w:rPr>
              <w:t>However, if we are the only company to object it, then we are ok to accept majority of view.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Moderator</w:t>
            </w:r>
          </w:p>
        </w:tc>
        <w:tc>
          <w:tcPr>
            <w:tcW w:w="12176" w:type="dxa"/>
            <w:vAlign w:val="center"/>
          </w:tcPr>
          <w:p>
            <w:pPr>
              <w:widowControl w:val="0"/>
              <w:rPr>
                <w:lang w:eastAsia="zh-CN"/>
              </w:rPr>
            </w:pPr>
            <w:r>
              <w:rPr>
                <w:lang w:eastAsia="zh-CN"/>
              </w:rPr>
              <w:t>Thanks MediaTek for being flexible if no other companies has a concern. Then I will suggest email approval for Proposal A3-2.1, where I will note "</w:t>
            </w:r>
            <w:r>
              <w:rPr>
                <w:i/>
                <w:iCs/>
                <w:lang w:eastAsia="zh-CN"/>
              </w:rPr>
              <w:t>Though MediaTek has voiced a concern on the proposal, they are ok to accept the majority view if no other concerns are raised</w:t>
            </w:r>
            <w:r>
              <w:rPr>
                <w:lang w:eastAsia="zh-CN"/>
              </w:rPr>
              <w:t>". If there are any additional concerns, please raise them by email.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Ericsson</w:t>
            </w:r>
          </w:p>
        </w:tc>
        <w:tc>
          <w:tcPr>
            <w:tcW w:w="12176" w:type="dxa"/>
            <w:vAlign w:val="center"/>
          </w:tcPr>
          <w:p>
            <w:pPr>
              <w:widowControl w:val="0"/>
              <w:rPr>
                <w:lang w:eastAsia="zh-CN"/>
              </w:rPr>
            </w:pPr>
            <w:r>
              <w:rPr>
                <w:lang w:eastAsia="zh-CN"/>
              </w:rPr>
              <w:t>We support Proposal A3-2.1, but the wording seems like it can be improved. Seems a bit ambiguous to say "include multi-slot based capability". Also, two things are determined in the grouping (1) the total budget for the group, and (2) the per-cell budget within the group.</w:t>
            </w:r>
          </w:p>
          <w:p>
            <w:pPr>
              <w:widowControl w:val="0"/>
              <w:rPr>
                <w:sz w:val="20"/>
                <w:szCs w:val="20"/>
                <w:lang w:eastAsia="zh-CN"/>
              </w:rPr>
            </w:pPr>
            <w:bookmarkStart w:id="6" w:name="_Hlk96550010"/>
            <w:r>
              <w:rPr>
                <w:sz w:val="20"/>
                <w:szCs w:val="20"/>
                <w:highlight w:val="yellow"/>
                <w:lang w:eastAsia="zh-CN"/>
              </w:rPr>
              <w:t>Proposal A3-2.1a</w:t>
            </w:r>
            <w:r>
              <w:rPr>
                <w:sz w:val="20"/>
                <w:szCs w:val="20"/>
                <w:lang w:eastAsia="zh-CN"/>
              </w:rPr>
              <w:t>:</w:t>
            </w:r>
          </w:p>
          <w:p>
            <w:pPr>
              <w:pStyle w:val="82"/>
              <w:widowControl w:val="0"/>
              <w:numPr>
                <w:ilvl w:val="0"/>
                <w:numId w:val="61"/>
              </w:numPr>
              <w:rPr>
                <w:sz w:val="20"/>
                <w:szCs w:val="20"/>
              </w:rPr>
            </w:pPr>
            <w:r>
              <w:rPr>
                <w:color w:val="000000"/>
                <w:sz w:val="20"/>
                <w:szCs w:val="18"/>
              </w:rPr>
              <w:t xml:space="preserve">For serving cells </w:t>
            </w:r>
            <w:r>
              <w:rPr>
                <w:color w:val="FF0000"/>
                <w:sz w:val="20"/>
                <w:szCs w:val="18"/>
              </w:rPr>
              <w:t xml:space="preserve">configured with 480 or 960 kHz SCS, </w:t>
            </w:r>
            <w:r>
              <w:rPr>
                <w:strike/>
                <w:color w:val="FF0000"/>
                <w:sz w:val="20"/>
                <w:szCs w:val="18"/>
              </w:rPr>
              <w:t>with the same PDCCH monitoring type including multi-slot-based capability,</w:t>
            </w:r>
            <w:r>
              <w:rPr>
                <w:color w:val="FF0000"/>
                <w:sz w:val="20"/>
                <w:szCs w:val="18"/>
              </w:rPr>
              <w:t xml:space="preserve"> </w:t>
            </w:r>
            <w:r>
              <w:rPr>
                <w:color w:val="000000"/>
                <w:sz w:val="20"/>
                <w:szCs w:val="18"/>
              </w:rPr>
              <w:t xml:space="preserve">the serving cells with the same SCS and </w:t>
            </w:r>
            <m:oMath>
              <m:sSub>
                <m:sSubPr>
                  <m:ctrlPr>
                    <w:rPr>
                      <w:rFonts w:ascii="Cambria Math" w:hAnsi="Cambria Math"/>
                      <w:sz w:val="20"/>
                      <w:szCs w:val="18"/>
                    </w:rPr>
                  </m:ctrlPr>
                </m:sSubPr>
                <m:e>
                  <m:r>
                    <w:rPr>
                      <w:rFonts w:ascii="Cambria Math" w:hAnsi="Cambria Math"/>
                      <w:sz w:val="20"/>
                      <w:szCs w:val="18"/>
                    </w:rPr>
                    <m:t>X</m:t>
                  </m:r>
                  <m:ctrlPr>
                    <w:rPr>
                      <w:rFonts w:ascii="Cambria Math" w:hAnsi="Cambria Math"/>
                      <w:i/>
                      <w:sz w:val="20"/>
                      <w:szCs w:val="18"/>
                    </w:rPr>
                  </m:ctrlPr>
                </m:e>
                <m:sub>
                  <m:r>
                    <m:rPr>
                      <m:sty m:val="p"/>
                    </m:rPr>
                    <w:rPr>
                      <w:rFonts w:ascii="Cambria Math" w:hAnsi="Cambria Math"/>
                      <w:sz w:val="20"/>
                      <w:szCs w:val="18"/>
                    </w:rPr>
                    <m:t>s</m:t>
                  </m:r>
                  <m:ctrlPr>
                    <w:rPr>
                      <w:rFonts w:ascii="Cambria Math" w:hAnsi="Cambria Math"/>
                      <w:sz w:val="20"/>
                      <w:szCs w:val="18"/>
                    </w:rPr>
                  </m:ctrlPr>
                </m:sub>
              </m:sSub>
            </m:oMath>
            <w:r>
              <w:rPr>
                <w:color w:val="000000"/>
                <w:sz w:val="20"/>
                <w:szCs w:val="18"/>
              </w:rPr>
              <w:t xml:space="preserve"> value are grouped together to determine a total BD/CCE budget for that group</w:t>
            </w:r>
            <w:r>
              <w:rPr>
                <w:color w:val="FF0000"/>
                <w:sz w:val="20"/>
                <w:szCs w:val="18"/>
              </w:rPr>
              <w:t xml:space="preserve"> and the per-cell BD/CCE budget within the group.</w:t>
            </w:r>
          </w:p>
          <w:bookmarkEnd w:id="6"/>
          <w:p>
            <w:pPr>
              <w:widowControl w:val="0"/>
              <w:rPr>
                <w:lang w:eastAsia="zh-CN"/>
              </w:rPr>
            </w:pPr>
          </w:p>
          <w:p>
            <w:pPr>
              <w:widowControl w:val="0"/>
              <w:rPr>
                <w:lang w:eastAsia="zh-CN"/>
              </w:rPr>
            </w:pPr>
            <w:r>
              <w:rPr>
                <w:lang w:eastAsia="zh-CN"/>
              </w:rPr>
              <w:t>With this high level proposal, it may be possible to leave the specification details to the spec editor.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rFonts w:hint="eastAsia"/>
                <w:sz w:val="20"/>
                <w:lang w:eastAsia="zh-CN"/>
              </w:rPr>
              <w:t>v</w:t>
            </w:r>
            <w:r>
              <w:rPr>
                <w:sz w:val="20"/>
                <w:lang w:eastAsia="zh-CN"/>
              </w:rPr>
              <w:t>ivo</w:t>
            </w:r>
          </w:p>
        </w:tc>
        <w:tc>
          <w:tcPr>
            <w:tcW w:w="12176" w:type="dxa"/>
            <w:vAlign w:val="center"/>
          </w:tcPr>
          <w:p>
            <w:pPr>
              <w:widowControl w:val="0"/>
              <w:rPr>
                <w:lang w:eastAsia="zh-CN"/>
              </w:rPr>
            </w:pPr>
            <w:r>
              <w:rPr>
                <w:rFonts w:hint="eastAsia"/>
                <w:lang w:eastAsia="zh-CN"/>
              </w:rPr>
              <w:t>W</w:t>
            </w:r>
            <w:r>
              <w:rPr>
                <w:lang w:eastAsia="zh-CN"/>
              </w:rPr>
              <w:t xml:space="preserve">e support Alt. 2 for simplicity. </w:t>
            </w:r>
          </w:p>
          <w:p>
            <w:pPr>
              <w:widowControl w:val="0"/>
              <w:rPr>
                <w:lang w:eastAsia="zh-CN"/>
              </w:rPr>
            </w:pPr>
            <w:r>
              <w:rPr>
                <w:lang w:eastAsia="zh-CN"/>
              </w:rPr>
              <w:t>For Proposal A3-2.1, we can live with it if it is agreed together with Proposal C1-1.2 and Proposal C1-1.2 as a whole package.</w:t>
            </w:r>
          </w:p>
          <w:p>
            <w:pPr>
              <w:widowControl w:val="0"/>
              <w:rPr>
                <w:lang w:eastAsia="zh-CN"/>
              </w:rPr>
            </w:pPr>
          </w:p>
          <w:p>
            <w:pPr>
              <w:widowControl w:val="0"/>
              <w:rPr>
                <w:lang w:eastAsia="zh-CN"/>
              </w:rPr>
            </w:pPr>
            <w:r>
              <w:rPr>
                <w:rFonts w:hint="eastAsia"/>
                <w:lang w:eastAsia="zh-CN"/>
              </w:rPr>
              <w:t>@</w:t>
            </w:r>
            <w:r>
              <w:rPr>
                <w:lang w:eastAsia="zh-CN"/>
              </w:rPr>
              <w:t>Intel: Thanks for the question. Please fine our answer below:</w:t>
            </w:r>
          </w:p>
          <w:p>
            <w:pPr>
              <w:widowControl w:val="0"/>
              <w:rPr>
                <w:lang w:eastAsia="zh-CN"/>
              </w:rPr>
            </w:pPr>
            <w:r>
              <w:rPr>
                <w:lang w:eastAsia="zh-CN"/>
              </w:rPr>
              <w:t xml:space="preserve">Does Alt 2-1 map combination (4,1) for SCS 960kHz to a slot of SCS 240kHz? </w:t>
            </w:r>
          </w:p>
          <w:p>
            <w:pPr>
              <w:widowControl w:val="0"/>
              <w:rPr>
                <w:lang w:eastAsia="zh-CN"/>
              </w:rPr>
            </w:pPr>
            <w:r>
              <w:rPr>
                <w:rFonts w:hint="eastAsia"/>
                <w:lang w:eastAsia="zh-CN"/>
              </w:rPr>
              <w:t>[</w:t>
            </w:r>
            <w:r>
              <w:rPr>
                <w:lang w:eastAsia="zh-CN"/>
              </w:rPr>
              <w:t>vivo] Yes, there will be a virtual cell with 240KHz.</w:t>
            </w:r>
          </w:p>
          <w:p>
            <w:pPr>
              <w:widowControl w:val="0"/>
              <w:rPr>
                <w:lang w:eastAsia="zh-CN"/>
              </w:rPr>
            </w:pPr>
            <w:r>
              <w:rPr>
                <w:lang w:eastAsia="zh-CN"/>
              </w:rPr>
              <w:t>On the other hand, Alt 2-2 doesn’t cover combination (4,1) for SCS 960kHz. Is it correct understanding?</w:t>
            </w:r>
          </w:p>
          <w:p>
            <w:pPr>
              <w:widowControl w:val="0"/>
              <w:rPr>
                <w:lang w:eastAsia="zh-CN"/>
              </w:rPr>
            </w:pPr>
            <w:r>
              <w:rPr>
                <w:rFonts w:hint="eastAsia"/>
                <w:lang w:eastAsia="zh-CN"/>
              </w:rPr>
              <w:t>[</w:t>
            </w:r>
            <w:r>
              <w:rPr>
                <w:lang w:eastAsia="zh-CN"/>
              </w:rPr>
              <w:t>vivo] No, it covers the case. Even for (4,1) and SCS 960KHz</w:t>
            </w:r>
            <w:r>
              <w:rPr>
                <w:rFonts w:hint="eastAsia"/>
                <w:lang w:eastAsia="zh-CN"/>
              </w:rPr>
              <w:t>,</w:t>
            </w:r>
            <w:r>
              <w:rPr>
                <w:lang w:eastAsia="zh-CN"/>
              </w:rPr>
              <w:t xml:space="preserve"> 8 slots are grouped together which mapped to a 120K</w:t>
            </w:r>
            <w:r>
              <w:rPr>
                <w:rFonts w:hint="eastAsia"/>
                <w:lang w:eastAsia="zh-CN"/>
              </w:rPr>
              <w:t>H</w:t>
            </w:r>
            <w:r>
              <w:rPr>
                <w:lang w:eastAsia="zh-CN"/>
              </w:rPr>
              <w:t>z cell.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sz w:val="20"/>
                <w:lang w:eastAsia="zh-CN"/>
              </w:rPr>
            </w:pPr>
            <w:r>
              <w:rPr>
                <w:sz w:val="20"/>
                <w:lang w:eastAsia="zh-CN"/>
              </w:rPr>
              <w:t>Moderator</w:t>
            </w:r>
          </w:p>
        </w:tc>
        <w:tc>
          <w:tcPr>
            <w:tcW w:w="12176" w:type="dxa"/>
            <w:shd w:val="clear" w:color="auto" w:fill="FFC000"/>
            <w:vAlign w:val="center"/>
          </w:tcPr>
          <w:p>
            <w:pPr>
              <w:widowControl w:val="0"/>
              <w:rPr>
                <w:lang w:eastAsia="zh-CN"/>
              </w:rPr>
            </w:pPr>
            <w:r>
              <w:rPr>
                <w:lang w:eastAsia="zh-CN"/>
              </w:rPr>
              <w:t>Please continue the discussion in the next section (2.3.2.4)</w:t>
            </w:r>
          </w:p>
        </w:tc>
      </w:tr>
    </w:tbl>
    <w:p>
      <w:pPr>
        <w:pStyle w:val="5"/>
      </w:pPr>
      <w:r>
        <w:t>NEW Second round discussion</w:t>
      </w:r>
    </w:p>
    <w:p>
      <w:pPr>
        <w:rPr>
          <w:lang w:eastAsia="zh-CN"/>
        </w:rPr>
      </w:pPr>
      <w:r>
        <w:rPr>
          <w:lang w:eastAsia="zh-CN"/>
        </w:rPr>
        <w:t>Please consider the following proposal (based on Ericsson's modification and vivo's suggestion):</w:t>
      </w:r>
    </w:p>
    <w:p>
      <w:pPr>
        <w:rPr>
          <w:sz w:val="20"/>
          <w:szCs w:val="20"/>
          <w:lang w:eastAsia="zh-CN"/>
        </w:rPr>
      </w:pPr>
      <w:bookmarkStart w:id="7" w:name="_Hlk96638324"/>
      <w:r>
        <w:rPr>
          <w:sz w:val="20"/>
          <w:szCs w:val="20"/>
          <w:highlight w:val="yellow"/>
          <w:lang w:eastAsia="zh-CN"/>
        </w:rPr>
        <w:t>Proposal A3-2.1b</w:t>
      </w:r>
      <w:r>
        <w:rPr>
          <w:sz w:val="20"/>
          <w:szCs w:val="20"/>
          <w:lang w:eastAsia="zh-CN"/>
        </w:rPr>
        <w:t>:</w:t>
      </w:r>
    </w:p>
    <w:p>
      <w:pPr>
        <w:pStyle w:val="82"/>
        <w:numPr>
          <w:ilvl w:val="0"/>
          <w:numId w:val="62"/>
        </w:numPr>
        <w:rPr>
          <w:sz w:val="20"/>
          <w:szCs w:val="20"/>
        </w:rPr>
      </w:pPr>
      <w:r>
        <w:rPr>
          <w:color w:val="000000"/>
          <w:sz w:val="20"/>
          <w:szCs w:val="18"/>
        </w:rPr>
        <w:t>For serving cells</w:t>
      </w:r>
      <w:r>
        <w:rPr>
          <w:sz w:val="20"/>
          <w:szCs w:val="18"/>
        </w:rPr>
        <w:t xml:space="preserve"> configured with 480 or 960 kHz SCS, the serving cells with the same SCS and </w:t>
      </w:r>
      <m:oMath>
        <m:sSub>
          <m:sSubPr>
            <m:ctrlPr>
              <w:rPr>
                <w:rFonts w:ascii="Cambria Math" w:hAnsi="Cambria Math"/>
                <w:sz w:val="20"/>
                <w:szCs w:val="18"/>
              </w:rPr>
            </m:ctrlPr>
          </m:sSubPr>
          <m:e>
            <m:r>
              <w:rPr>
                <w:rFonts w:ascii="Cambria Math" w:hAnsi="Cambria Math"/>
                <w:sz w:val="20"/>
                <w:szCs w:val="18"/>
              </w:rPr>
              <m:t>X</m:t>
            </m:r>
            <m:ctrlPr>
              <w:rPr>
                <w:rFonts w:ascii="Cambria Math" w:hAnsi="Cambria Math"/>
                <w:i/>
                <w:sz w:val="20"/>
                <w:szCs w:val="18"/>
              </w:rPr>
            </m:ctrlPr>
          </m:e>
          <m:sub>
            <m:r>
              <m:rPr>
                <m:sty m:val="p"/>
              </m:rPr>
              <w:rPr>
                <w:rFonts w:ascii="Cambria Math" w:hAnsi="Cambria Math"/>
                <w:sz w:val="20"/>
                <w:szCs w:val="18"/>
              </w:rPr>
              <m:t>s</m:t>
            </m:r>
            <m:ctrlPr>
              <w:rPr>
                <w:rFonts w:ascii="Cambria Math" w:hAnsi="Cambria Math"/>
                <w:sz w:val="20"/>
                <w:szCs w:val="18"/>
              </w:rPr>
            </m:ctrlPr>
          </m:sub>
        </m:sSub>
      </m:oMath>
      <w:r>
        <w:rPr>
          <w:sz w:val="20"/>
          <w:szCs w:val="18"/>
        </w:rPr>
        <w:t xml:space="preserve"> value are grouped together to determine a total BD/CCE budget for that group and the per-cell BD/CCE budget within the group.</w:t>
      </w:r>
    </w:p>
    <w:p>
      <w:pPr>
        <w:pStyle w:val="82"/>
        <w:numPr>
          <w:ilvl w:val="0"/>
          <w:numId w:val="62"/>
        </w:numPr>
        <w:rPr>
          <w:sz w:val="20"/>
          <w:szCs w:val="20"/>
          <w:lang w:eastAsia="zh-CN"/>
        </w:rPr>
      </w:pPr>
      <w:r>
        <w:rPr>
          <w:sz w:val="20"/>
          <w:szCs w:val="20"/>
          <w:lang w:eastAsia="zh-CN"/>
        </w:rPr>
        <w:t>Agree Proposals C1-1.1a (see section2.5.1.3) and C1-1.2 (see section 2.5.1.1).</w:t>
      </w:r>
    </w:p>
    <w:bookmarkEnd w:id="7"/>
    <w:p>
      <w:pPr>
        <w:rPr>
          <w:sz w:val="20"/>
          <w:szCs w:val="20"/>
          <w:lang w:eastAsia="zh-CN"/>
        </w:rPr>
      </w:pP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lang w:eastAsia="zh-CN"/>
              </w:rPr>
            </w:pPr>
            <w:r>
              <w:rPr>
                <w:lang w:eastAsia="zh-CN"/>
              </w:rPr>
              <w:t>We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lang w:eastAsia="zh-CN"/>
              </w:rPr>
              <w:t>Intel</w:t>
            </w:r>
          </w:p>
        </w:tc>
        <w:tc>
          <w:tcPr>
            <w:tcW w:w="12176" w:type="dxa"/>
            <w:vAlign w:val="center"/>
          </w:tcPr>
          <w:p>
            <w:pPr>
              <w:widowControl w:val="0"/>
              <w:rPr>
                <w:lang w:eastAsia="zh-CN"/>
              </w:rPr>
            </w:pPr>
            <w:r>
              <w:rPr>
                <w:lang w:eastAsia="zh-CN"/>
              </w:rPr>
              <w:t>We are OK with the package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We are ok with Proposal A3-2.1b.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N</w:t>
            </w:r>
            <w:r>
              <w:rPr>
                <w:rFonts w:eastAsia="MS Mincho"/>
                <w:lang w:eastAsia="ja-JP"/>
              </w:rPr>
              <w:t>TT DOCOMO</w:t>
            </w:r>
          </w:p>
        </w:tc>
        <w:tc>
          <w:tcPr>
            <w:tcW w:w="12176" w:type="dxa"/>
            <w:vAlign w:val="center"/>
          </w:tcPr>
          <w:p>
            <w:pPr>
              <w:widowControl w:val="0"/>
              <w:rPr>
                <w:rFonts w:eastAsia="MS Mincho"/>
                <w:lang w:eastAsia="ja-JP"/>
              </w:rPr>
            </w:pPr>
            <w:r>
              <w:rPr>
                <w:rFonts w:hint="eastAsia" w:eastAsia="MS Mincho"/>
                <w:lang w:eastAsia="ja-JP"/>
              </w:rPr>
              <w:t>W</w:t>
            </w:r>
            <w:r>
              <w:rPr>
                <w:rFonts w:eastAsia="MS Mincho"/>
                <w:lang w:eastAsia="ja-JP"/>
              </w:rPr>
              <w:t>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MediaTek</w:t>
            </w:r>
          </w:p>
        </w:tc>
        <w:tc>
          <w:tcPr>
            <w:tcW w:w="12176" w:type="dxa"/>
            <w:vAlign w:val="center"/>
          </w:tcPr>
          <w:p>
            <w:pPr>
              <w:widowControl w:val="0"/>
              <w:rPr>
                <w:rFonts w:eastAsia="MS Mincho"/>
                <w:lang w:eastAsia="ja-JP"/>
              </w:rPr>
            </w:pPr>
            <w:r>
              <w:rPr>
                <w:rFonts w:eastAsia="MS Mincho"/>
                <w:lang w:eastAsia="ja-JP"/>
              </w:rPr>
              <w:t>We need more time to check the value in C1-1.1a and prefer to not include it in the proposal.</w:t>
            </w:r>
          </w:p>
        </w:tc>
      </w:tr>
    </w:tbl>
    <w:p>
      <w:pPr>
        <w:rPr>
          <w:sz w:val="20"/>
          <w:szCs w:val="20"/>
          <w:lang w:eastAsia="zh-CN"/>
        </w:rPr>
      </w:pPr>
    </w:p>
    <w:p>
      <w:pPr>
        <w:pStyle w:val="5"/>
      </w:pPr>
      <w:r>
        <w:t>Second round discussion summary</w:t>
      </w:r>
    </w:p>
    <w:p>
      <w:pPr>
        <w:rPr>
          <w:sz w:val="21"/>
          <w:szCs w:val="21"/>
          <w:lang w:eastAsia="zh-CN"/>
        </w:rPr>
      </w:pPr>
      <w:r>
        <w:rPr>
          <w:sz w:val="21"/>
          <w:szCs w:val="21"/>
          <w:lang w:eastAsia="zh-CN"/>
        </w:rPr>
        <w:t xml:space="preserve">FL suggests to agree on </w:t>
      </w:r>
      <w:r>
        <w:rPr>
          <w:sz w:val="20"/>
          <w:szCs w:val="20"/>
          <w:highlight w:val="yellow"/>
          <w:lang w:eastAsia="zh-CN"/>
        </w:rPr>
        <w:t>Proposal A3-2.1b</w:t>
      </w:r>
      <w:r>
        <w:rPr>
          <w:sz w:val="21"/>
          <w:szCs w:val="21"/>
          <w:lang w:eastAsia="zh-CN"/>
        </w:rPr>
        <w:t>.</w:t>
      </w:r>
    </w:p>
    <w:p>
      <w:pPr>
        <w:rPr>
          <w:sz w:val="20"/>
          <w:szCs w:val="20"/>
          <w:lang w:eastAsia="zh-CN"/>
        </w:rPr>
      </w:pPr>
    </w:p>
    <w:p>
      <w:pPr>
        <w:pStyle w:val="4"/>
      </w:pPr>
      <w:r>
        <w:t>Issue A3-3: DCI processing</w:t>
      </w:r>
    </w:p>
    <w:p>
      <w:pPr>
        <w:pStyle w:val="5"/>
      </w:pPr>
      <w:r>
        <w:t>First round discussion</w:t>
      </w:r>
    </w:p>
    <w:p>
      <w:pPr>
        <w:tabs>
          <w:tab w:val="left" w:pos="1300"/>
        </w:tabs>
        <w:spacing w:after="0"/>
        <w:jc w:val="both"/>
        <w:rPr>
          <w:rFonts w:eastAsia="宋体"/>
          <w:b/>
          <w:bCs/>
          <w:sz w:val="20"/>
          <w:szCs w:val="20"/>
          <w:lang w:eastAsia="zh-CN"/>
        </w:rPr>
      </w:pPr>
    </w:p>
    <w:p>
      <w:pPr>
        <w:tabs>
          <w:tab w:val="left" w:pos="1300"/>
        </w:tabs>
        <w:spacing w:after="0"/>
        <w:jc w:val="both"/>
        <w:rPr>
          <w:b/>
          <w:sz w:val="20"/>
          <w:szCs w:val="20"/>
        </w:rPr>
      </w:pPr>
      <w:r>
        <w:rPr>
          <w:b/>
          <w:sz w:val="20"/>
          <w:szCs w:val="20"/>
          <w:highlight w:val="yellow"/>
          <w:u w:val="single"/>
        </w:rPr>
        <w:t>Proposal A3-3.1</w:t>
      </w:r>
      <w:r>
        <w:rPr>
          <w:b/>
          <w:sz w:val="20"/>
          <w:szCs w:val="20"/>
        </w:rPr>
        <w:t xml:space="preserve"> (see R1-2201765, R1-2202130):</w:t>
      </w:r>
    </w:p>
    <w:p>
      <w:pPr>
        <w:tabs>
          <w:tab w:val="left" w:pos="1300"/>
        </w:tabs>
        <w:spacing w:after="0"/>
        <w:jc w:val="both"/>
        <w:rPr>
          <w:rFonts w:eastAsia="宋体"/>
          <w:sz w:val="20"/>
          <w:szCs w:val="20"/>
          <w:lang w:eastAsia="zh-CN"/>
        </w:rPr>
      </w:pPr>
      <w:r>
        <w:rPr>
          <w:rFonts w:eastAsia="宋体"/>
          <w:sz w:val="20"/>
          <w:szCs w:val="20"/>
          <w:lang w:eastAsia="zh-CN"/>
        </w:rPr>
        <w:t xml:space="preserve">If a UE is provided </w:t>
      </w:r>
    </w:p>
    <w:p>
      <w:pPr>
        <w:pStyle w:val="82"/>
        <w:numPr>
          <w:ilvl w:val="0"/>
          <w:numId w:val="63"/>
        </w:numPr>
        <w:tabs>
          <w:tab w:val="left" w:pos="1300"/>
        </w:tabs>
        <w:jc w:val="both"/>
        <w:rPr>
          <w:rFonts w:eastAsia="宋体"/>
          <w:sz w:val="20"/>
          <w:szCs w:val="20"/>
          <w:lang w:eastAsia="zh-CN"/>
        </w:rPr>
      </w:pPr>
      <w:r>
        <w:rPr>
          <w:rFonts w:eastAsia="宋体"/>
          <w:sz w:val="20"/>
          <w:szCs w:val="20"/>
          <w:lang w:eastAsia="zh-CN"/>
        </w:rPr>
        <w:t xml:space="preserve">one or more search space sets by corresponding one or more of searchSpaceZero, searchSpaceSIB1, searchSpaceOtherSystemInformation, pagingSearchSpace, or ra-SearchSpace, or a CSS set by PDCCH-Config, and </w:t>
      </w:r>
    </w:p>
    <w:p>
      <w:pPr>
        <w:pStyle w:val="82"/>
        <w:numPr>
          <w:ilvl w:val="0"/>
          <w:numId w:val="63"/>
        </w:numPr>
        <w:tabs>
          <w:tab w:val="left" w:pos="1300"/>
        </w:tabs>
        <w:jc w:val="both"/>
        <w:rPr>
          <w:rFonts w:eastAsia="宋体"/>
          <w:sz w:val="20"/>
          <w:szCs w:val="20"/>
          <w:lang w:val="it-IT" w:eastAsia="zh-CN"/>
        </w:rPr>
      </w:pPr>
      <w:r>
        <w:rPr>
          <w:rFonts w:eastAsia="宋体"/>
          <w:sz w:val="20"/>
          <w:szCs w:val="20"/>
          <w:lang w:val="it-IT" w:eastAsia="zh-CN"/>
        </w:rPr>
        <w:t>a SI-RNTI, a P-RNTI, a RA-RNTI, a MsgB-RNTI, a SFI-RNTI,</w:t>
      </w:r>
    </w:p>
    <w:p>
      <w:pPr>
        <w:tabs>
          <w:tab w:val="left" w:pos="1300"/>
        </w:tabs>
        <w:spacing w:after="0"/>
        <w:jc w:val="both"/>
        <w:rPr>
          <w:rFonts w:eastAsia="宋体"/>
          <w:sz w:val="20"/>
          <w:szCs w:val="20"/>
          <w:lang w:eastAsia="zh-CN"/>
        </w:rPr>
      </w:pPr>
      <w:r>
        <w:rPr>
          <w:rFonts w:eastAsia="宋体"/>
          <w:sz w:val="20"/>
          <w:szCs w:val="20"/>
          <w:lang w:eastAsia="zh-CN"/>
        </w:rPr>
        <w:t>then, for a RNTI from any of these RNTIs, the UE does not expect to process information from more than one DCI format with CRC scrambled with the RNTI per slot group</w:t>
      </w:r>
    </w:p>
    <w:p>
      <w:pPr>
        <w:tabs>
          <w:tab w:val="left" w:pos="1300"/>
        </w:tabs>
        <w:spacing w:after="0"/>
        <w:jc w:val="both"/>
        <w:rPr>
          <w:rFonts w:eastAsia="宋体"/>
          <w:b/>
          <w:bCs/>
          <w:sz w:val="20"/>
          <w:szCs w:val="20"/>
          <w:lang w:eastAsia="zh-CN"/>
        </w:rPr>
      </w:pPr>
    </w:p>
    <w:p>
      <w:pPr>
        <w:tabs>
          <w:tab w:val="left" w:pos="1300"/>
        </w:tabs>
        <w:spacing w:after="0"/>
        <w:jc w:val="both"/>
        <w:rPr>
          <w:rFonts w:eastAsia="宋体"/>
          <w:b/>
          <w:bCs/>
          <w:sz w:val="20"/>
          <w:szCs w:val="20"/>
          <w:lang w:eastAsia="zh-CN"/>
        </w:rPr>
      </w:pPr>
      <w:r>
        <w:rPr>
          <w:b/>
          <w:sz w:val="20"/>
          <w:szCs w:val="20"/>
          <w:u w:val="single"/>
        </w:rPr>
        <w:t>Proposal A3-3.2</w:t>
      </w:r>
      <w:r>
        <w:rPr>
          <w:b/>
          <w:sz w:val="20"/>
          <w:szCs w:val="20"/>
        </w:rPr>
        <w:t xml:space="preserve"> (see R1-2202130): </w:t>
      </w:r>
    </w:p>
    <w:p>
      <w:pPr>
        <w:rPr>
          <w:sz w:val="20"/>
          <w:szCs w:val="20"/>
        </w:rPr>
      </w:pPr>
      <w:r>
        <w:rPr>
          <w:sz w:val="20"/>
          <w:szCs w:val="20"/>
        </w:rPr>
        <w:t>If PDCCH MOs of both Group (1) and Group (2) SS sets are configured in the same slot group, and there is at least one valid PDCCH MO of USS set(s) after overbooking and dropping, the UE does not monitor DCI formats 0_0 and 1_0 with CRC scrambled by C-RNTI, MCS-C-RNTI, and CS-RNTI in the Group(2) SS set(s).P</w:t>
      </w:r>
    </w:p>
    <w:p>
      <w:pPr>
        <w:tabs>
          <w:tab w:val="left" w:pos="1300"/>
        </w:tabs>
        <w:spacing w:after="0"/>
        <w:jc w:val="both"/>
        <w:rPr>
          <w:rFonts w:eastAsia="宋体"/>
          <w:b/>
          <w:bCs/>
          <w:sz w:val="20"/>
          <w:szCs w:val="20"/>
          <w:lang w:eastAsia="zh-CN"/>
        </w:rPr>
      </w:pPr>
      <w:r>
        <w:rPr>
          <w:b/>
          <w:sz w:val="20"/>
          <w:szCs w:val="20"/>
          <w:u w:val="single"/>
        </w:rPr>
        <w:t>Proposal A3-3.3</w:t>
      </w:r>
      <w:r>
        <w:rPr>
          <w:b/>
          <w:sz w:val="20"/>
          <w:szCs w:val="20"/>
        </w:rPr>
        <w:t xml:space="preserve"> (see R1-2201689): </w:t>
      </w:r>
    </w:p>
    <w:p>
      <w:pPr>
        <w:pStyle w:val="82"/>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UE should be able to process one broadcast DCI for SI/RACH/paging in addition to the agreed number of processed unicast DCI in a slot group of X slots.</w:t>
      </w:r>
    </w:p>
    <w:p>
      <w:pPr>
        <w:pStyle w:val="82"/>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To clarify whether a UE would be able to detect up to 8 unicast DCIs in a slot on the scheduling cell with SCS 15kHz</w:t>
      </w:r>
    </w:p>
    <w:p>
      <w:pPr>
        <w:pStyle w:val="82"/>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The limitation on number of detected DCIs in a slot group should be discussed in UE feature for WI NR_ext_to_71GHz</w:t>
      </w:r>
    </w:p>
    <w:p/>
    <w:p>
      <w:pPr>
        <w:rPr>
          <w:bCs/>
          <w:sz w:val="20"/>
          <w:szCs w:val="20"/>
          <w:lang w:eastAsia="zh-CN"/>
        </w:rPr>
      </w:pPr>
      <w:r>
        <w:rPr>
          <w:bCs/>
          <w:sz w:val="20"/>
          <w:szCs w:val="20"/>
          <w:lang w:eastAsia="zh-CN"/>
        </w:rPr>
        <w:t>FL Summary: Only few companies commented on this aspect in their documents, one company (R1-2201735) observes that i</w:t>
      </w:r>
      <w:r>
        <w:rPr>
          <w:sz w:val="20"/>
          <w:szCs w:val="20"/>
          <w:lang w:val="en-GB"/>
        </w:rPr>
        <w:t>t is not needed to specify that within a group of Xs slots, the UE is not be expected to process information from more than one DCI format with CRC scrambled by a given RNTI associated with Group (2) SSs, i.e., SI-RNTI, P-RNTI, RA-RNTI, MsgB-RNTI.</w:t>
      </w:r>
    </w:p>
    <w:p>
      <w:pPr>
        <w:rPr>
          <w:bCs/>
          <w:sz w:val="20"/>
          <w:szCs w:val="20"/>
        </w:rPr>
      </w:pPr>
      <w:r>
        <w:rPr>
          <w:bCs/>
          <w:sz w:val="20"/>
          <w:szCs w:val="20"/>
          <w:lang w:eastAsia="zh-CN"/>
        </w:rPr>
        <w:t xml:space="preserve">FL asks companies if they are supporting Proposal A3-3.1, </w:t>
      </w:r>
      <w:r>
        <w:rPr>
          <w:bCs/>
          <w:sz w:val="20"/>
          <w:szCs w:val="20"/>
        </w:rPr>
        <w:t>Proposal A3-3.2</w:t>
      </w:r>
      <w:r>
        <w:rPr>
          <w:bCs/>
          <w:sz w:val="20"/>
          <w:szCs w:val="20"/>
          <w:lang w:eastAsia="zh-CN"/>
        </w:rPr>
        <w:t xml:space="preserve"> or </w:t>
      </w:r>
      <w:r>
        <w:rPr>
          <w:bCs/>
          <w:sz w:val="20"/>
          <w:szCs w:val="20"/>
        </w:rPr>
        <w:t>Proposal A3-3.3</w:t>
      </w:r>
      <w:r>
        <w:rPr>
          <w:bCs/>
          <w:sz w:val="20"/>
          <w:szCs w:val="20"/>
          <w:lang w:eastAsia="zh-CN"/>
        </w:rPr>
        <w:t>.</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For Proposal A3-3.1: We are ok with Proposal A3-3.1. </w:t>
            </w:r>
          </w:p>
          <w:p>
            <w:pPr>
              <w:widowControl w:val="0"/>
              <w:rPr>
                <w:lang w:eastAsia="zh-CN"/>
              </w:rPr>
            </w:pPr>
            <w:r>
              <w:rPr>
                <w:lang w:eastAsia="zh-CN"/>
              </w:rPr>
              <w:t xml:space="preserve">For Proposal A3-3.2: We don’t think the UE behavior for DSS should be directly applied to multi-slot PDCCH monitoring. </w:t>
            </w:r>
          </w:p>
          <w:p>
            <w:pPr>
              <w:widowControl w:val="0"/>
              <w:rPr>
                <w:lang w:eastAsia="zh-CN"/>
              </w:rPr>
            </w:pPr>
            <w:r>
              <w:rPr>
                <w:lang w:eastAsia="zh-CN"/>
              </w:rPr>
              <w:t xml:space="preserve">For Proposal A3-3.3: Can revisit after multiple-cell operation is more clear.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Ericsson</w:t>
            </w:r>
          </w:p>
        </w:tc>
        <w:tc>
          <w:tcPr>
            <w:tcW w:w="12176" w:type="dxa"/>
            <w:vAlign w:val="center"/>
          </w:tcPr>
          <w:p>
            <w:pPr>
              <w:widowControl w:val="0"/>
              <w:rPr>
                <w:sz w:val="20"/>
                <w:lang w:eastAsia="zh-CN"/>
              </w:rPr>
            </w:pPr>
            <w:r>
              <w:rPr>
                <w:sz w:val="20"/>
                <w:lang w:eastAsia="zh-CN"/>
              </w:rPr>
              <w:t xml:space="preserve">Proposal A3-3.1: As we discusse in our contribution, we don't expect that the UE would need to process information from more than one DCI since regardless of the configured MO periodicity within </w:t>
            </w:r>
            <w:r>
              <w:rPr>
                <w:i/>
                <w:iCs/>
                <w:sz w:val="20"/>
                <w:lang w:eastAsia="zh-CN"/>
              </w:rPr>
              <w:t>SearchSpace</w:t>
            </w:r>
            <w:r>
              <w:rPr>
                <w:sz w:val="20"/>
                <w:lang w:eastAsia="zh-CN"/>
              </w:rPr>
              <w:t>, the MOs the UE actually monitors are separated at least by P*N slots where P is the configured periodcity, and N is the number of transmitted SSBs. Our expectation is that P*N is always greater than Xs in any practicaly deployment.</w:t>
            </w:r>
          </w:p>
          <w:p>
            <w:pPr>
              <w:widowControl w:val="0"/>
              <w:rPr>
                <w:sz w:val="20"/>
                <w:lang w:eastAsia="zh-CN"/>
              </w:rPr>
            </w:pPr>
            <w:r>
              <w:rPr>
                <w:sz w:val="20"/>
                <w:lang w:eastAsia="zh-CN"/>
              </w:rPr>
              <w:t>Proposal A3-3.2: At least we are not aware that there is a similar restriction for a 120 kHz slot in the current spec. Hence, we don't think a restriction per slot group should be introduced since a 120 kHz slot and 480/960 kHz slot group have the same absolute time duration.</w:t>
            </w:r>
          </w:p>
          <w:p>
            <w:pPr>
              <w:widowControl w:val="0"/>
              <w:rPr>
                <w:sz w:val="20"/>
                <w:lang w:eastAsia="zh-CN"/>
              </w:rPr>
            </w:pPr>
            <w:r>
              <w:rPr>
                <w:sz w:val="20"/>
                <w:lang w:eastAsia="zh-CN"/>
              </w:rPr>
              <w:t>Proposal A3-3.3: We are not aware of a similar restriction on processing only one broadcast DCI within a 120 kHz slot in the current spec. Hence, we don't think a restriction per slot group should be introduced since a 120 kHz slot and 480/960 kHz slot group have the same absolute time duration.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Qualcomm</w:t>
            </w:r>
          </w:p>
        </w:tc>
        <w:tc>
          <w:tcPr>
            <w:tcW w:w="12176" w:type="dxa"/>
            <w:vAlign w:val="center"/>
          </w:tcPr>
          <w:p>
            <w:pPr>
              <w:widowControl w:val="0"/>
              <w:rPr>
                <w:sz w:val="20"/>
                <w:lang w:eastAsia="zh-CN"/>
              </w:rPr>
            </w:pPr>
            <w:r>
              <w:rPr>
                <w:sz w:val="20"/>
                <w:lang w:eastAsia="zh-CN"/>
              </w:rPr>
              <w:t>We support Proposal A3-3.1, as a direct extension of the legacy slot-based PDCCH monitoring.</w:t>
            </w:r>
          </w:p>
          <w:p>
            <w:pPr>
              <w:widowControl w:val="0"/>
              <w:rPr>
                <w:sz w:val="20"/>
                <w:lang w:eastAsia="zh-CN"/>
              </w:rPr>
            </w:pPr>
            <w:r>
              <w:rPr>
                <w:sz w:val="20"/>
                <w:lang w:eastAsia="zh-CN"/>
              </w:rPr>
              <w:t>We also support Proposal A3-3.2 as the proposing company, but this is also related to Issue A2-2. If Interpretation #2 is applied for multi-slot PDCCH monitoring, Proposal A3-3.2 is not needed. However, if Interpretation #1 is applied, in the worst case, it may result in per-slot monitoring of unicast PDCCH (i.e., C-RNTI, MCS-C-RNTI, and CS-RNTI), due to unicast PDCCH piggybacking on CSS:</w:t>
            </w:r>
          </w:p>
          <w:tbl>
            <w:tblPr>
              <w:tblStyle w:val="55"/>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vAlign w:val="center"/>
                </w:tcPr>
                <w:p>
                  <w:pPr>
                    <w:widowControl w:val="0"/>
                    <w:spacing w:before="60" w:line="240" w:lineRule="auto"/>
                  </w:pPr>
                  <w:r>
                    <w:rPr>
                      <w:highlight w:val="yellow"/>
                    </w:rPr>
                    <w:t>Section 10.1 in TS 38.213:</w:t>
                  </w:r>
                </w:p>
                <w:p>
                  <w:pPr>
                    <w:widowControl w:val="0"/>
                    <w:spacing w:line="240" w:lineRule="auto"/>
                  </w:pPr>
                  <w:r>
                    <w:t xml:space="preserve">If a UE is provided </w:t>
                  </w:r>
                </w:p>
                <w:p>
                  <w:pPr>
                    <w:pStyle w:val="103"/>
                    <w:widowControl w:val="0"/>
                    <w:spacing w:line="240" w:lineRule="auto"/>
                    <w:ind w:left="576" w:hanging="288"/>
                  </w:pPr>
                  <w:r>
                    <w:t>-</w:t>
                  </w:r>
                  <w:r>
                    <w:tab/>
                  </w:r>
                  <w:r>
                    <w:t xml:space="preserve">one or more search space sets by corresponding one or more of </w:t>
                  </w:r>
                  <w:r>
                    <w:rPr>
                      <w:i/>
                      <w:lang w:eastAsia="zh-CN"/>
                    </w:rPr>
                    <w:t>searchSpaceZero</w:t>
                  </w:r>
                  <w:r>
                    <w:rPr>
                      <w:i/>
                      <w:iCs/>
                      <w:lang w:eastAsia="zh-CN"/>
                    </w:rPr>
                    <w:t>, searchSpaceSIB1</w:t>
                  </w:r>
                  <w:r>
                    <w:rPr>
                      <w:iCs/>
                      <w:lang w:eastAsia="zh-CN"/>
                    </w:rPr>
                    <w:t xml:space="preserve">, </w:t>
                  </w:r>
                  <w:r>
                    <w:rPr>
                      <w:i/>
                    </w:rPr>
                    <w:t>searchSpaceOtherSystemInformation</w:t>
                  </w:r>
                  <w:r>
                    <w:t xml:space="preserve">, </w:t>
                  </w:r>
                  <w:r>
                    <w:rPr>
                      <w:i/>
                    </w:rPr>
                    <w:t>pagingSearchSpace</w:t>
                  </w:r>
                  <w:r>
                    <w:t xml:space="preserve">, </w:t>
                  </w:r>
                  <w:r>
                    <w:rPr>
                      <w:i/>
                    </w:rPr>
                    <w:t>ra-SearchSpace</w:t>
                  </w:r>
                  <w:r>
                    <w:t xml:space="preserve">, and </w:t>
                  </w:r>
                </w:p>
                <w:p>
                  <w:pPr>
                    <w:pStyle w:val="103"/>
                    <w:widowControl w:val="0"/>
                    <w:spacing w:line="240" w:lineRule="auto"/>
                    <w:ind w:left="576" w:hanging="288"/>
                  </w:pPr>
                  <w:r>
                    <w:t>-</w:t>
                  </w:r>
                  <w:r>
                    <w:tab/>
                  </w:r>
                  <w:r>
                    <w:t xml:space="preserve">a C-RNTI, an MCS-C-RNTI, a CS-RNTI, a </w:t>
                  </w:r>
                  <w:r>
                    <w:rPr>
                      <w:lang w:eastAsia="zh-CN"/>
                    </w:rPr>
                    <w:t>SL</w:t>
                  </w:r>
                  <w:r>
                    <w:rPr>
                      <w:rFonts w:hint="eastAsia"/>
                      <w:lang w:eastAsia="zh-CN"/>
                    </w:rPr>
                    <w:t>-RNTI</w:t>
                  </w:r>
                  <w:r>
                    <w:rPr>
                      <w:lang w:eastAsia="zh-CN"/>
                    </w:rPr>
                    <w:t xml:space="preserve">, a </w:t>
                  </w:r>
                  <w:r>
                    <w:t>SL-CS-RNTI, or a SL Semi-Persistent Scheduling V-RNTI</w:t>
                  </w:r>
                </w:p>
                <w:p>
                  <w:pPr>
                    <w:widowControl w:val="0"/>
                    <w:spacing w:line="240" w:lineRule="auto"/>
                  </w:pPr>
                  <w:r>
                    <w:rPr>
                      <w:highlight w:val="yellow"/>
                    </w:rPr>
                    <w:t xml:space="preserve">the UE monitors PDCCH candidates for DCI format 0_0 and DCI format 1_0 with CRC scrambled by the C-RNTI, the MCS-C-RNTI, or the CS-RNTI in the one or more search space sets </w:t>
                  </w:r>
                  <w:r>
                    <w:rPr>
                      <w:rFonts w:eastAsia="MS PGothic"/>
                      <w:highlight w:val="yellow"/>
                      <w:lang w:eastAsia="ja-JP"/>
                    </w:rPr>
                    <w:t>in a slot where the UE monitors PDCCH candidates for at least a DCI format 0_0 or a DCI format 1_0 with CRC scrambled by SI-RNTI, RA-RNTI, MsgB-RNTI, or P-RNTI</w:t>
                  </w:r>
                  <w:r>
                    <w:rPr>
                      <w:highlight w:val="yellow"/>
                    </w:rPr>
                    <w:t>.</w:t>
                  </w:r>
                </w:p>
              </w:tc>
            </w:tr>
          </w:tbl>
          <w:p>
            <w:pPr>
              <w:widowControl w:val="0"/>
              <w:rPr>
                <w:sz w:val="20"/>
                <w:lang w:eastAsia="zh-CN"/>
              </w:rPr>
            </w:pPr>
            <w:r>
              <w:rPr>
                <w:sz w:val="20"/>
                <w:lang w:eastAsia="zh-CN"/>
              </w:rPr>
              <w:t>For example, in the second slot group of Xs = 4 in the following figure (according to Interpretation #1 of A2-2), the UE should monitor unicast PDCCH in “every slot” within the slot group.</w:t>
            </w:r>
          </w:p>
          <w:p>
            <w:pPr>
              <w:widowControl w:val="0"/>
              <w:rPr>
                <w:sz w:val="20"/>
                <w:lang w:eastAsia="zh-CN"/>
              </w:rPr>
            </w:pPr>
            <w:r>
              <w:rPr>
                <w:sz w:val="20"/>
              </w:rPr>
              <w:drawing>
                <wp:inline distT="0" distB="0" distL="0" distR="0">
                  <wp:extent cx="5332730" cy="1321435"/>
                  <wp:effectExtent l="0" t="0" r="127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Picture 39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5381031" cy="1333547"/>
                          </a:xfrm>
                          <a:prstGeom prst="rect">
                            <a:avLst/>
                          </a:prstGeom>
                          <a:noFill/>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rFonts w:hint="eastAsia"/>
                <w:sz w:val="20"/>
                <w:lang w:eastAsia="zh-CN"/>
              </w:rPr>
              <w:t>v</w:t>
            </w:r>
            <w:r>
              <w:rPr>
                <w:sz w:val="20"/>
                <w:lang w:eastAsia="zh-CN"/>
              </w:rPr>
              <w:t>ivo</w:t>
            </w:r>
          </w:p>
        </w:tc>
        <w:tc>
          <w:tcPr>
            <w:tcW w:w="12176" w:type="dxa"/>
            <w:vAlign w:val="center"/>
          </w:tcPr>
          <w:p>
            <w:pPr>
              <w:widowControl w:val="0"/>
              <w:rPr>
                <w:sz w:val="20"/>
                <w:lang w:eastAsia="zh-CN"/>
              </w:rPr>
            </w:pPr>
            <w:r>
              <w:rPr>
                <w:rFonts w:hint="eastAsia"/>
                <w:sz w:val="20"/>
                <w:lang w:eastAsia="zh-CN"/>
              </w:rPr>
              <w:t>P</w:t>
            </w:r>
            <w:r>
              <w:rPr>
                <w:sz w:val="20"/>
                <w:lang w:eastAsia="zh-CN"/>
              </w:rPr>
              <w:t>roposal A3-3.1: We are OK with the proposal</w:t>
            </w:r>
          </w:p>
          <w:p>
            <w:pPr>
              <w:widowControl w:val="0"/>
              <w:rPr>
                <w:sz w:val="20"/>
                <w:lang w:eastAsia="zh-CN"/>
              </w:rPr>
            </w:pPr>
            <w:r>
              <w:rPr>
                <w:rFonts w:hint="eastAsia"/>
                <w:sz w:val="20"/>
                <w:lang w:eastAsia="zh-CN"/>
              </w:rPr>
              <w:t>P</w:t>
            </w:r>
            <w:r>
              <w:rPr>
                <w:sz w:val="20"/>
                <w:lang w:eastAsia="zh-CN"/>
              </w:rPr>
              <w:t>roposal A3-3.2 and A3-3.3: WE don’t see the need to have such limitation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 xml:space="preserve">Proposal A3-3.1: OK  </w:t>
            </w:r>
          </w:p>
          <w:p>
            <w:pPr>
              <w:widowControl w:val="0"/>
              <w:rPr>
                <w:lang w:eastAsia="zh-CN"/>
              </w:rPr>
            </w:pPr>
            <w:r>
              <w:rPr>
                <w:lang w:eastAsia="zh-CN"/>
              </w:rPr>
              <w:t xml:space="preserve">Proposal A3-3.2: same view as Samsung. </w:t>
            </w:r>
          </w:p>
          <w:p>
            <w:pPr>
              <w:widowControl w:val="0"/>
              <w:rPr>
                <w:lang w:eastAsia="zh-CN"/>
              </w:rPr>
            </w:pPr>
            <w:r>
              <w:rPr>
                <w:lang w:eastAsia="zh-CN"/>
              </w:rPr>
              <w:t xml:space="preserve">Proposal A3-3.3: OK to wait for more agreements/conclusions on Group (2) SS.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sz w:val="20"/>
                <w:lang w:eastAsia="zh-CN"/>
              </w:rPr>
              <w:t>We can only agree with proposal A3-3.1.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sz w:val="20"/>
                <w:szCs w:val="20"/>
                <w:lang w:eastAsia="zh-CN"/>
              </w:rPr>
              <w:t>LG Electronics</w:t>
            </w:r>
          </w:p>
        </w:tc>
        <w:tc>
          <w:tcPr>
            <w:tcW w:w="12176" w:type="dxa"/>
            <w:vAlign w:val="center"/>
          </w:tcPr>
          <w:p>
            <w:pPr>
              <w:widowControl w:val="0"/>
              <w:rPr>
                <w:sz w:val="20"/>
                <w:szCs w:val="20"/>
                <w:lang w:eastAsia="zh-CN"/>
              </w:rPr>
            </w:pPr>
            <w:r>
              <w:rPr>
                <w:sz w:val="20"/>
                <w:szCs w:val="20"/>
                <w:lang w:eastAsia="zh-CN"/>
              </w:rPr>
              <w:t>For Proposal A3-3.1, we shar the view with Ericsson that we don't expect that the UE would need to process information from more than one DCI.</w:t>
            </w:r>
          </w:p>
          <w:p>
            <w:pPr>
              <w:widowControl w:val="0"/>
              <w:rPr>
                <w:sz w:val="20"/>
                <w:lang w:eastAsia="zh-CN"/>
              </w:rPr>
            </w:pPr>
            <w:r>
              <w:rPr>
                <w:sz w:val="20"/>
                <w:lang w:eastAsia="zh-CN"/>
              </w:rPr>
              <w:t xml:space="preserve">For </w:t>
            </w:r>
            <w:r>
              <w:rPr>
                <w:rFonts w:hint="eastAsia"/>
                <w:sz w:val="20"/>
                <w:lang w:eastAsia="zh-CN"/>
              </w:rPr>
              <w:t>P</w:t>
            </w:r>
            <w:r>
              <w:rPr>
                <w:sz w:val="20"/>
                <w:lang w:eastAsia="zh-CN"/>
              </w:rPr>
              <w:t>roposal A3-3.2 and A3-3.3, we don’t see the need to have such limitation.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szCs w:val="20"/>
                <w:lang w:eastAsia="zh-CN"/>
              </w:rPr>
            </w:pPr>
            <w:r>
              <w:rPr>
                <w:sz w:val="20"/>
              </w:rPr>
              <w:t>Apple</w:t>
            </w:r>
          </w:p>
        </w:tc>
        <w:tc>
          <w:tcPr>
            <w:tcW w:w="12176" w:type="dxa"/>
            <w:vAlign w:val="center"/>
          </w:tcPr>
          <w:p>
            <w:pPr>
              <w:widowControl w:val="0"/>
              <w:rPr>
                <w:sz w:val="20"/>
                <w:szCs w:val="20"/>
                <w:lang w:eastAsia="zh-CN"/>
              </w:rPr>
            </w:pPr>
            <w:r>
              <w:rPr>
                <w:sz w:val="20"/>
                <w:lang w:eastAsia="zh-CN"/>
              </w:rPr>
              <w:t xml:space="preserve">We support </w:t>
            </w:r>
            <w:r>
              <w:rPr>
                <w:lang w:eastAsia="zh-CN"/>
              </w:rPr>
              <w:t>Proposal A3-3.1</w:t>
            </w:r>
          </w:p>
        </w:tc>
      </w:tr>
    </w:tbl>
    <w:tbl>
      <w:tblPr>
        <w:tblStyle w:val="283"/>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sz w:val="20"/>
                <w:lang w:eastAsia="ja-JP"/>
              </w:rPr>
            </w:pPr>
            <w:r>
              <w:rPr>
                <w:sz w:val="20"/>
                <w:lang w:eastAsia="ja-JP"/>
              </w:rPr>
              <w:t>Futurewei</w:t>
            </w:r>
          </w:p>
        </w:tc>
        <w:tc>
          <w:tcPr>
            <w:tcW w:w="12176" w:type="dxa"/>
            <w:vAlign w:val="center"/>
          </w:tcPr>
          <w:p>
            <w:pPr>
              <w:widowControl w:val="0"/>
              <w:spacing w:line="240" w:lineRule="auto"/>
              <w:rPr>
                <w:sz w:val="20"/>
                <w:lang w:eastAsia="zh-CN"/>
              </w:rPr>
            </w:pPr>
            <w:r>
              <w:rPr>
                <w:sz w:val="20"/>
                <w:lang w:eastAsia="zh-CN"/>
              </w:rPr>
              <w:t>Support Proposal A3-3.1 , we do not see the need for A3-3.2 and A3-3.3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sz w:val="20"/>
                <w:lang w:eastAsia="ja-JP"/>
              </w:rPr>
            </w:pPr>
            <w:r>
              <w:rPr>
                <w:sz w:val="20"/>
                <w:lang w:eastAsia="ja-JP"/>
              </w:rPr>
              <w:t>CATT</w:t>
            </w:r>
          </w:p>
        </w:tc>
        <w:tc>
          <w:tcPr>
            <w:tcW w:w="12176" w:type="dxa"/>
            <w:vAlign w:val="center"/>
          </w:tcPr>
          <w:p>
            <w:pPr>
              <w:widowControl w:val="0"/>
              <w:spacing w:line="240" w:lineRule="auto"/>
              <w:rPr>
                <w:sz w:val="20"/>
                <w:lang w:eastAsia="zh-CN"/>
              </w:rPr>
            </w:pPr>
            <w:r>
              <w:rPr>
                <w:rFonts w:hint="eastAsia"/>
                <w:sz w:val="20"/>
                <w:lang w:eastAsia="zh-CN"/>
              </w:rPr>
              <w:t>P</w:t>
            </w:r>
            <w:r>
              <w:rPr>
                <w:sz w:val="20"/>
                <w:lang w:eastAsia="zh-CN"/>
              </w:rPr>
              <w:t>roposal A3-3.1:   OK with the proposal</w:t>
            </w:r>
          </w:p>
          <w:p>
            <w:pPr>
              <w:widowControl w:val="0"/>
              <w:spacing w:line="240" w:lineRule="auto"/>
              <w:rPr>
                <w:sz w:val="20"/>
                <w:lang w:eastAsia="zh-CN"/>
              </w:rPr>
            </w:pPr>
            <w:r>
              <w:rPr>
                <w:rFonts w:hint="eastAsia"/>
                <w:sz w:val="20"/>
                <w:lang w:eastAsia="zh-CN"/>
              </w:rPr>
              <w:t>P</w:t>
            </w:r>
            <w:r>
              <w:rPr>
                <w:sz w:val="20"/>
                <w:lang w:eastAsia="zh-CN"/>
              </w:rPr>
              <w:t>roposal A3-3.2 and A3-3.3: No need to specify these .</w:t>
            </w:r>
          </w:p>
        </w:tc>
      </w:tr>
    </w:tbl>
    <w:p/>
    <w:p>
      <w:pPr>
        <w:pStyle w:val="5"/>
      </w:pPr>
      <w:r>
        <w:t>First round discussion summary</w:t>
      </w:r>
    </w:p>
    <w:p>
      <w:pPr>
        <w:rPr>
          <w:sz w:val="20"/>
          <w:szCs w:val="20"/>
          <w:lang w:eastAsia="zh-CN"/>
        </w:rPr>
      </w:pPr>
      <w:r>
        <w:rPr>
          <w:sz w:val="20"/>
          <w:szCs w:val="20"/>
          <w:lang w:val="en-GB" w:eastAsia="zh-CN"/>
        </w:rPr>
        <w:t xml:space="preserve">Regarding Proposal </w:t>
      </w:r>
      <w:r>
        <w:rPr>
          <w:sz w:val="20"/>
          <w:szCs w:val="20"/>
          <w:lang w:eastAsia="zh-CN"/>
        </w:rPr>
        <w:t>A3-3.1, 7 companies support the proposal while 2 companies don't see a need in practical deployments. FL notes that even if it is not necessary in many cases, it seems the proposal doesn't have any negative consequences in those cases either.</w:t>
      </w:r>
    </w:p>
    <w:p>
      <w:pPr>
        <w:rPr>
          <w:sz w:val="20"/>
          <w:szCs w:val="20"/>
          <w:lang w:val="en-GB" w:eastAsia="zh-CN"/>
        </w:rPr>
      </w:pPr>
      <w:r>
        <w:rPr>
          <w:sz w:val="20"/>
          <w:szCs w:val="20"/>
          <w:lang w:val="en-GB" w:eastAsia="zh-CN"/>
        </w:rPr>
        <w:t xml:space="preserve">Regarding Proposal </w:t>
      </w:r>
      <w:r>
        <w:rPr>
          <w:sz w:val="20"/>
          <w:szCs w:val="20"/>
          <w:lang w:eastAsia="zh-CN"/>
        </w:rPr>
        <w:t>A3-3.2, a majority of companies doesn't see a need to adopt the proposal. The supporting company clarified that the proposal is not needed if Interpretation 2 in Issue A2-2 is the common understanding.</w:t>
      </w:r>
    </w:p>
    <w:p>
      <w:pPr>
        <w:rPr>
          <w:sz w:val="20"/>
          <w:szCs w:val="20"/>
          <w:lang w:eastAsia="zh-CN"/>
        </w:rPr>
      </w:pPr>
      <w:r>
        <w:rPr>
          <w:sz w:val="20"/>
          <w:szCs w:val="20"/>
          <w:lang w:val="en-GB" w:eastAsia="zh-CN"/>
        </w:rPr>
        <w:t xml:space="preserve">Regarding Proposal </w:t>
      </w:r>
      <w:r>
        <w:rPr>
          <w:sz w:val="20"/>
          <w:szCs w:val="20"/>
          <w:lang w:eastAsia="zh-CN"/>
        </w:rPr>
        <w:t>A3-3.1, 2 companies are open to revisit it after more progress is achieved, while 4 companies didn't identify a need to adopt the proposal.</w:t>
      </w:r>
    </w:p>
    <w:p>
      <w:pPr>
        <w:rPr>
          <w:sz w:val="20"/>
          <w:szCs w:val="20"/>
          <w:lang w:val="en-GB" w:eastAsia="zh-CN"/>
        </w:rPr>
      </w:pPr>
      <w:r>
        <w:rPr>
          <w:sz w:val="20"/>
          <w:szCs w:val="20"/>
          <w:lang w:eastAsia="zh-CN"/>
        </w:rPr>
        <w:t xml:space="preserve">FL suggests to adopt </w:t>
      </w:r>
      <w:r>
        <w:rPr>
          <w:sz w:val="20"/>
          <w:szCs w:val="20"/>
          <w:lang w:val="en-GB" w:eastAsia="zh-CN"/>
        </w:rPr>
        <w:t xml:space="preserve">Proposal </w:t>
      </w:r>
      <w:r>
        <w:rPr>
          <w:sz w:val="20"/>
          <w:szCs w:val="20"/>
          <w:lang w:eastAsia="zh-CN"/>
        </w:rPr>
        <w:t>A3-3.1.</w:t>
      </w:r>
    </w:p>
    <w:p>
      <w:pPr>
        <w:pStyle w:val="5"/>
      </w:pPr>
      <w:r>
        <w:t>Second round discussion</w:t>
      </w:r>
    </w:p>
    <w:p>
      <w:pPr>
        <w:rPr>
          <w:sz w:val="20"/>
          <w:szCs w:val="20"/>
          <w:lang w:eastAsia="zh-CN"/>
        </w:rPr>
      </w:pPr>
      <w:r>
        <w:rPr>
          <w:bCs/>
          <w:sz w:val="20"/>
          <w:szCs w:val="20"/>
          <w:lang w:val="en-GB" w:eastAsia="zh-CN"/>
        </w:rPr>
        <w:t xml:space="preserve">In view of the first round discussion, </w:t>
      </w:r>
      <w:r>
        <w:rPr>
          <w:sz w:val="20"/>
          <w:szCs w:val="20"/>
          <w:highlight w:val="yellow"/>
          <w:lang w:eastAsia="zh-CN"/>
        </w:rPr>
        <w:t>can we adopt Proposal A3-3.1?</w:t>
      </w:r>
      <w:r>
        <w:rPr>
          <w:sz w:val="20"/>
          <w:szCs w:val="20"/>
          <w:lang w:eastAsia="zh-CN"/>
        </w:rPr>
        <w:t xml:space="preserve"> FL notes that even if it is not necessary in many cases, it seems the proposal doesn't have any negative consequences in those cases either.</w:t>
      </w:r>
    </w:p>
    <w:p>
      <w:pPr>
        <w:rPr>
          <w:sz w:val="20"/>
          <w:szCs w:val="20"/>
          <w:highlight w:val="yellow"/>
          <w:lang w:eastAsia="zh-CN"/>
        </w:rPr>
      </w:pPr>
    </w:p>
    <w:p>
      <w:pPr>
        <w:tabs>
          <w:tab w:val="left" w:pos="1300"/>
        </w:tabs>
        <w:spacing w:after="0"/>
        <w:ind w:left="360"/>
        <w:jc w:val="both"/>
        <w:rPr>
          <w:rFonts w:eastAsia="宋体"/>
          <w:sz w:val="20"/>
          <w:szCs w:val="20"/>
          <w:lang w:eastAsia="zh-CN"/>
        </w:rPr>
      </w:pPr>
      <w:r>
        <w:rPr>
          <w:rFonts w:eastAsia="宋体"/>
          <w:sz w:val="20"/>
          <w:szCs w:val="20"/>
          <w:lang w:eastAsia="zh-CN"/>
        </w:rPr>
        <w:t xml:space="preserve">If a UE is provided </w:t>
      </w:r>
    </w:p>
    <w:p>
      <w:pPr>
        <w:pStyle w:val="82"/>
        <w:numPr>
          <w:ilvl w:val="0"/>
          <w:numId w:val="63"/>
        </w:numPr>
        <w:tabs>
          <w:tab w:val="left" w:pos="1300"/>
        </w:tabs>
        <w:ind w:left="1080"/>
        <w:jc w:val="both"/>
        <w:rPr>
          <w:rFonts w:eastAsia="宋体"/>
          <w:sz w:val="20"/>
          <w:szCs w:val="20"/>
          <w:lang w:eastAsia="zh-CN"/>
        </w:rPr>
      </w:pPr>
      <w:r>
        <w:rPr>
          <w:rFonts w:eastAsia="宋体"/>
          <w:sz w:val="20"/>
          <w:szCs w:val="20"/>
          <w:lang w:eastAsia="zh-CN"/>
        </w:rPr>
        <w:t xml:space="preserve">one or more search space sets by corresponding one or more of searchSpaceZero, searchSpaceSIB1, searchSpaceOtherSystemInformation, pagingSearchSpace, or ra-SearchSpace, or a CSS set by PDCCH-Config, and </w:t>
      </w:r>
    </w:p>
    <w:p>
      <w:pPr>
        <w:pStyle w:val="82"/>
        <w:numPr>
          <w:ilvl w:val="0"/>
          <w:numId w:val="63"/>
        </w:numPr>
        <w:tabs>
          <w:tab w:val="left" w:pos="1300"/>
        </w:tabs>
        <w:ind w:left="1080"/>
        <w:jc w:val="both"/>
        <w:rPr>
          <w:rFonts w:eastAsia="宋体"/>
          <w:sz w:val="20"/>
          <w:szCs w:val="20"/>
          <w:lang w:val="it-IT" w:eastAsia="zh-CN"/>
        </w:rPr>
      </w:pPr>
      <w:r>
        <w:rPr>
          <w:rFonts w:eastAsia="宋体"/>
          <w:sz w:val="20"/>
          <w:szCs w:val="20"/>
          <w:lang w:val="it-IT" w:eastAsia="zh-CN"/>
        </w:rPr>
        <w:t>a SI-RNTI, a P-RNTI, a RA-RNTI, a MsgB-RNTI, a SFI-RNTI,</w:t>
      </w:r>
    </w:p>
    <w:p>
      <w:pPr>
        <w:tabs>
          <w:tab w:val="left" w:pos="1300"/>
        </w:tabs>
        <w:spacing w:after="0"/>
        <w:ind w:left="360"/>
        <w:jc w:val="both"/>
        <w:rPr>
          <w:rFonts w:eastAsia="宋体"/>
          <w:sz w:val="20"/>
          <w:szCs w:val="20"/>
          <w:lang w:eastAsia="zh-CN"/>
        </w:rPr>
      </w:pPr>
      <w:r>
        <w:rPr>
          <w:rFonts w:eastAsia="宋体"/>
          <w:sz w:val="20"/>
          <w:szCs w:val="20"/>
          <w:lang w:eastAsia="zh-CN"/>
        </w:rPr>
        <w:t>then, for a RNTI from any of these RNTIs, the UE does not expect to process information from more than one DCI format with CRC scrambled with the RNTI per slot group</w:t>
      </w:r>
    </w:p>
    <w:p>
      <w:pPr>
        <w:rPr>
          <w:sz w:val="20"/>
          <w:szCs w:val="20"/>
          <w:highlight w:val="yellow"/>
          <w:lang w:eastAsia="zh-CN"/>
        </w:rPr>
      </w:pPr>
    </w:p>
    <w:p>
      <w:pPr>
        <w:autoSpaceDE/>
        <w:autoSpaceDN/>
        <w:adjustRightInd/>
        <w:snapToGrid/>
        <w:spacing w:after="0" w:line="240" w:lineRule="auto"/>
        <w:rPr>
          <w:bCs/>
          <w:sz w:val="20"/>
          <w:szCs w:val="20"/>
          <w:lang w:eastAsia="zh-CN"/>
        </w:rPr>
      </w:pPr>
      <w:r>
        <w:rPr>
          <w:bCs/>
          <w:sz w:val="20"/>
          <w:szCs w:val="20"/>
          <w:highlight w:val="yellow"/>
          <w:lang w:eastAsia="zh-CN"/>
        </w:rPr>
        <w:t>Please comment only if you have a strong concern with the proposal.</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sz w:val="21"/>
                <w:szCs w:val="21"/>
                <w:lang w:eastAsia="zh-CN"/>
              </w:rPr>
              <w:t>ZTE, Sanechips</w:t>
            </w:r>
          </w:p>
        </w:tc>
        <w:tc>
          <w:tcPr>
            <w:tcW w:w="12176" w:type="dxa"/>
            <w:vAlign w:val="center"/>
          </w:tcPr>
          <w:p>
            <w:pPr>
              <w:widowControl w:val="0"/>
              <w:rPr>
                <w:lang w:eastAsia="zh-CN"/>
              </w:rPr>
            </w:pPr>
            <w:r>
              <w:rPr>
                <w:rFonts w:hint="eastAsia"/>
                <w:lang w:eastAsia="zh-CN"/>
              </w:rPr>
              <w:t>We agree with the above Proposal A3-3.1.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lang w:eastAsia="zh-CN"/>
              </w:rPr>
              <w:t>Moderator</w:t>
            </w:r>
          </w:p>
        </w:tc>
        <w:tc>
          <w:tcPr>
            <w:tcW w:w="12176" w:type="dxa"/>
            <w:vAlign w:val="center"/>
          </w:tcPr>
          <w:p>
            <w:pPr>
              <w:widowControl w:val="0"/>
              <w:rPr>
                <w:sz w:val="20"/>
                <w:lang w:eastAsia="zh-CN"/>
              </w:rPr>
            </w:pPr>
            <w:r>
              <w:rPr>
                <w:lang w:eastAsia="zh-CN"/>
              </w:rPr>
              <w:t>As no strong concerns have been raised so far, I will suggest email approval for Proposal A3-3.1. If there are any concerns, please raise them by email.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LG Electonics</w:t>
            </w:r>
          </w:p>
        </w:tc>
        <w:tc>
          <w:tcPr>
            <w:tcW w:w="12176" w:type="dxa"/>
            <w:vAlign w:val="center"/>
          </w:tcPr>
          <w:p>
            <w:pPr>
              <w:widowControl w:val="0"/>
              <w:rPr>
                <w:lang w:eastAsia="zh-CN"/>
              </w:rPr>
            </w:pPr>
            <w:r>
              <w:rPr>
                <w:lang w:eastAsia="zh-CN"/>
              </w:rPr>
              <w:t>With FL’s explanations, we are fine with Proposal A3-3.1.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Huawei, HiSilicon</w:t>
            </w:r>
          </w:p>
        </w:tc>
        <w:tc>
          <w:tcPr>
            <w:tcW w:w="12176" w:type="dxa"/>
            <w:vAlign w:val="center"/>
          </w:tcPr>
          <w:p>
            <w:pPr>
              <w:widowControl w:val="0"/>
            </w:pPr>
            <w:r>
              <w:rPr>
                <w:lang w:eastAsia="zh-CN"/>
              </w:rPr>
              <w:t xml:space="preserve">The intention of the proposal is not clear for us and we cannot support it at this time. In Rel-15, the original rule is applied to </w:t>
            </w:r>
            <w:r>
              <w:rPr>
                <w:u w:val="single"/>
              </w:rPr>
              <w:t>CSS monitoring</w:t>
            </w:r>
            <w:r>
              <w:t xml:space="preserve"> which includes (Group (2) SS + Type3-CSS):</w:t>
            </w:r>
          </w:p>
          <w:tbl>
            <w:tblPr>
              <w:tblStyle w:val="5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9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950" w:type="dxa"/>
                  <w:vAlign w:val="center"/>
                </w:tcPr>
                <w:p>
                  <w:pPr>
                    <w:widowControl w:val="0"/>
                    <w:rPr>
                      <w:lang w:val="en-GB"/>
                    </w:rPr>
                  </w:pPr>
                  <w:r>
                    <w:rPr>
                      <w:lang w:val="en-GB"/>
                    </w:rPr>
                    <w:t>From 38.213:</w:t>
                  </w:r>
                </w:p>
                <w:p>
                  <w:pPr>
                    <w:widowControl w:val="0"/>
                    <w:rPr>
                      <w:lang w:val="en-GB"/>
                    </w:rPr>
                  </w:pPr>
                  <w:r>
                    <w:rPr>
                      <w:lang w:val="en-GB"/>
                    </w:rPr>
                    <w:t xml:space="preserve">If a UE is provided </w:t>
                  </w:r>
                </w:p>
                <w:p>
                  <w:pPr>
                    <w:widowControl w:val="0"/>
                  </w:pPr>
                  <w:r>
                    <w:t>-</w:t>
                  </w:r>
                  <w:r>
                    <w:tab/>
                  </w:r>
                  <w:r>
                    <w:t xml:space="preserve">one or more search space sets by corresponding one or more of </w:t>
                  </w:r>
                  <w:r>
                    <w:rPr>
                      <w:i/>
                    </w:rPr>
                    <w:t>searchSpaceZero</w:t>
                  </w:r>
                  <w:r>
                    <w:rPr>
                      <w:i/>
                      <w:iCs/>
                    </w:rPr>
                    <w:t>, searchSpaceSIB1</w:t>
                  </w:r>
                  <w:r>
                    <w:rPr>
                      <w:iCs/>
                    </w:rPr>
                    <w:t xml:space="preserve">, </w:t>
                  </w:r>
                  <w:r>
                    <w:rPr>
                      <w:i/>
                    </w:rPr>
                    <w:t>searchSpaceOtherSystemInformation</w:t>
                  </w:r>
                  <w:r>
                    <w:t xml:space="preserve">, </w:t>
                  </w:r>
                  <w:r>
                    <w:rPr>
                      <w:i/>
                    </w:rPr>
                    <w:t>pagingSearchSpace</w:t>
                  </w:r>
                  <w:r>
                    <w:t xml:space="preserve">, </w:t>
                  </w:r>
                  <w:r>
                    <w:rPr>
                      <w:i/>
                    </w:rPr>
                    <w:t>ra-SearchSpace</w:t>
                  </w:r>
                  <w:r>
                    <w:t xml:space="preserve">, or a CSS set by </w:t>
                  </w:r>
                  <w:r>
                    <w:rPr>
                      <w:i/>
                    </w:rPr>
                    <w:t>PDCCH-Config</w:t>
                  </w:r>
                  <w:r>
                    <w:t xml:space="preserve">, and </w:t>
                  </w:r>
                </w:p>
                <w:p>
                  <w:pPr>
                    <w:widowControl w:val="0"/>
                  </w:pPr>
                  <w:r>
                    <w:t>-</w:t>
                  </w:r>
                  <w:r>
                    <w:tab/>
                  </w:r>
                  <w:r>
                    <w:t>a SI-RNTI, a P-RNTI, a RA-RNTI, a MsgB-RNTI, a SFI-RNTI, an INT-RNTI, a TPC-PUSCH-RNTI, a TPC-PUCCH-RNTI, or a TPC-SRS-RNTI</w:t>
                  </w:r>
                </w:p>
                <w:p>
                  <w:pPr>
                    <w:widowControl w:val="0"/>
                  </w:pPr>
                  <w:r>
                    <w:t>then, for a RNTI from any of these RNTIs, the UE does not expect to process information from more than one DCI format with CRC scrambled with the RNTI per slot.</w:t>
                  </w:r>
                </w:p>
                <w:p>
                  <w:pPr>
                    <w:widowControl w:val="0"/>
                  </w:pPr>
                </w:p>
              </w:tc>
            </w:tr>
          </w:tbl>
          <w:p>
            <w:pPr>
              <w:widowControl w:val="0"/>
            </w:pPr>
          </w:p>
          <w:p>
            <w:pPr>
              <w:widowControl w:val="0"/>
            </w:pPr>
          </w:p>
          <w:p>
            <w:pPr>
              <w:widowControl w:val="0"/>
            </w:pPr>
            <w:r>
              <w:t xml:space="preserve">However, </w:t>
            </w:r>
            <w:r>
              <w:rPr>
                <w:sz w:val="20"/>
                <w:szCs w:val="20"/>
                <w:highlight w:val="yellow"/>
                <w:lang w:eastAsia="zh-CN"/>
              </w:rPr>
              <w:t>Proposal A3-3.1</w:t>
            </w:r>
            <w:r>
              <w:rPr>
                <w:sz w:val="20"/>
                <w:szCs w:val="20"/>
                <w:lang w:eastAsia="zh-CN"/>
              </w:rPr>
              <w:t>, removes “</w:t>
            </w:r>
            <w:r>
              <w:t xml:space="preserve">INT-RNTI, a TPC-PUSCH-RNTI, a TPC-PUCCH-RNTI, or a TPC-SRS-RNTI”. </w:t>
            </w:r>
          </w:p>
          <w:p>
            <w:pPr>
              <w:widowControl w:val="0"/>
              <w:rPr>
                <w:lang w:eastAsia="zh-CN"/>
              </w:rPr>
            </w:pPr>
            <w:r>
              <w:t>It seems that the intention was not to adopt the legacy monitoring rule for Type3-CSS. The first question is why? The second question is, if it was the intention, why SFI-RNTI is not removed?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Ericsson</w:t>
            </w:r>
          </w:p>
        </w:tc>
        <w:tc>
          <w:tcPr>
            <w:tcW w:w="12176" w:type="dxa"/>
            <w:vAlign w:val="center"/>
          </w:tcPr>
          <w:p>
            <w:pPr>
              <w:widowControl w:val="0"/>
              <w:rPr>
                <w:sz w:val="20"/>
                <w:lang w:eastAsia="zh-CN"/>
              </w:rPr>
            </w:pPr>
            <w:r>
              <w:rPr>
                <w:sz w:val="20"/>
                <w:lang w:eastAsia="zh-CN"/>
              </w:rPr>
              <w:t>We don’t Proposal A3-3.1 is needed, and we do not support it. As we discusse in our contribution, we don't expect that the UE would need to process information from more than one DCI with CRC scrambled by any of the listed RNTIs, so why should rules be specified for cases that do not happen?</w:t>
            </w:r>
          </w:p>
          <w:p>
            <w:pPr>
              <w:widowControl w:val="0"/>
              <w:rPr>
                <w:sz w:val="20"/>
                <w:lang w:eastAsia="zh-CN"/>
              </w:rPr>
            </w:pPr>
            <w:r>
              <w:rPr>
                <w:sz w:val="20"/>
                <w:u w:val="single"/>
                <w:lang w:eastAsia="zh-CN"/>
              </w:rPr>
              <w:t>SI-RNTI and P-RNTI</w:t>
            </w:r>
            <w:r>
              <w:rPr>
                <w:sz w:val="20"/>
                <w:lang w:eastAsia="zh-CN"/>
              </w:rPr>
              <w:t>:</w:t>
            </w:r>
          </w:p>
          <w:p>
            <w:pPr>
              <w:widowControl w:val="0"/>
              <w:rPr>
                <w:sz w:val="20"/>
                <w:lang w:eastAsia="zh-CN"/>
              </w:rPr>
            </w:pPr>
            <w:r>
              <w:rPr>
                <w:sz w:val="20"/>
                <w:lang w:eastAsia="zh-CN"/>
              </w:rPr>
              <w:t>Even if  the Type0/0A/2 SSs are configured with non-zero search space ID and the MO periodicity is as small as 1 slots, the MOs that the UE actually monitors are are separated at least by P*N slots where P is the configured periodcity, and N is the number of transmitted SSBs. Our expectation is that P*N is always greater than Xs in any practical deployment.</w:t>
            </w:r>
          </w:p>
          <w:p>
            <w:pPr>
              <w:widowControl w:val="0"/>
              <w:rPr>
                <w:sz w:val="20"/>
                <w:lang w:eastAsia="zh-CN"/>
              </w:rPr>
            </w:pPr>
            <w:r>
              <w:rPr>
                <w:sz w:val="20"/>
                <w:u w:val="single"/>
                <w:lang w:eastAsia="zh-CN"/>
              </w:rPr>
              <w:t>RA-RNTI and MsgB-RNTI</w:t>
            </w:r>
            <w:r>
              <w:rPr>
                <w:sz w:val="20"/>
                <w:lang w:eastAsia="zh-CN"/>
              </w:rPr>
              <w:t>:</w:t>
            </w:r>
          </w:p>
          <w:p>
            <w:pPr>
              <w:widowControl w:val="0"/>
              <w:rPr>
                <w:sz w:val="20"/>
                <w:lang w:eastAsia="zh-CN"/>
              </w:rPr>
            </w:pPr>
            <w:r>
              <w:rPr>
                <w:sz w:val="20"/>
                <w:lang w:eastAsia="zh-CN"/>
              </w:rPr>
              <w:t>Once the UE decodes the PDCCH schedulding the RAR, it would never need to receive/process another DCI scheduling another RAR within Xs slots.</w:t>
            </w:r>
          </w:p>
          <w:p>
            <w:pPr>
              <w:widowControl w:val="0"/>
              <w:rPr>
                <w:sz w:val="20"/>
                <w:lang w:eastAsia="zh-CN"/>
              </w:rPr>
            </w:pPr>
            <w:r>
              <w:rPr>
                <w:sz w:val="20"/>
                <w:u w:val="single"/>
                <w:lang w:eastAsia="zh-CN"/>
              </w:rPr>
              <w:t>SFI-RNTI</w:t>
            </w:r>
            <w:r>
              <w:rPr>
                <w:sz w:val="20"/>
                <w:lang w:eastAsia="zh-CN"/>
              </w:rPr>
              <w:t>:</w:t>
            </w:r>
          </w:p>
          <w:p>
            <w:pPr>
              <w:widowControl w:val="0"/>
              <w:rPr>
                <w:sz w:val="20"/>
                <w:lang w:eastAsia="zh-CN"/>
              </w:rPr>
            </w:pPr>
            <w:r>
              <w:rPr>
                <w:sz w:val="20"/>
                <w:lang w:eastAsia="zh-CN"/>
              </w:rPr>
              <w:t>This is a Group (1) SS, and we have already agreed that the monitoring periodicity cannot be less than Xs slots, so how could the UE be required to decode more than one DCI with CRC scrambled by SFI-RNTI per slot group?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sz w:val="20"/>
                <w:lang w:eastAsia="zh-CN"/>
              </w:rPr>
              <w:t>v</w:t>
            </w:r>
            <w:r>
              <w:rPr>
                <w:sz w:val="20"/>
                <w:lang w:eastAsia="zh-CN"/>
              </w:rPr>
              <w:t>ivo</w:t>
            </w:r>
          </w:p>
        </w:tc>
        <w:tc>
          <w:tcPr>
            <w:tcW w:w="12176" w:type="dxa"/>
            <w:vAlign w:val="center"/>
          </w:tcPr>
          <w:p>
            <w:pPr>
              <w:widowControl w:val="0"/>
              <w:rPr>
                <w:sz w:val="20"/>
                <w:lang w:eastAsia="zh-CN"/>
              </w:rPr>
            </w:pPr>
            <w:r>
              <w:rPr>
                <w:rFonts w:hint="eastAsia"/>
                <w:sz w:val="20"/>
                <w:lang w:eastAsia="zh-CN"/>
              </w:rPr>
              <w:t>W</w:t>
            </w:r>
            <w:r>
              <w:rPr>
                <w:sz w:val="20"/>
                <w:lang w:eastAsia="zh-CN"/>
              </w:rPr>
              <w:t>e have similar question with Huawei, i.e. why to remove certain RNTIs from the original listed RNTIs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auto"/>
            <w:vAlign w:val="center"/>
          </w:tcPr>
          <w:p>
            <w:pPr>
              <w:widowControl w:val="0"/>
              <w:rPr>
                <w:sz w:val="20"/>
                <w:lang w:eastAsia="zh-CN"/>
              </w:rPr>
            </w:pPr>
            <w:r>
              <w:rPr>
                <w:sz w:val="20"/>
                <w:lang w:eastAsia="zh-CN"/>
              </w:rPr>
              <w:t>Moderator</w:t>
            </w:r>
          </w:p>
        </w:tc>
        <w:tc>
          <w:tcPr>
            <w:tcW w:w="12176" w:type="dxa"/>
            <w:shd w:val="clear" w:color="auto" w:fill="auto"/>
            <w:vAlign w:val="center"/>
          </w:tcPr>
          <w:p>
            <w:pPr>
              <w:widowControl w:val="0"/>
              <w:rPr>
                <w:sz w:val="20"/>
                <w:lang w:eastAsia="zh-CN"/>
              </w:rPr>
            </w:pPr>
            <w:r>
              <w:rPr>
                <w:lang w:eastAsia="zh-CN"/>
              </w:rPr>
              <w:t>Please continue the discussion to resolve comments and questions by Huawei, Ericsson, vivo.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auto"/>
            <w:vAlign w:val="center"/>
          </w:tcPr>
          <w:p>
            <w:pPr>
              <w:widowControl w:val="0"/>
              <w:rPr>
                <w:sz w:val="20"/>
                <w:lang w:eastAsia="zh-CN"/>
              </w:rPr>
            </w:pPr>
            <w:r>
              <w:rPr>
                <w:sz w:val="20"/>
                <w:lang w:eastAsia="zh-CN"/>
              </w:rPr>
              <w:t>Intel</w:t>
            </w:r>
          </w:p>
        </w:tc>
        <w:tc>
          <w:tcPr>
            <w:tcW w:w="12176" w:type="dxa"/>
            <w:shd w:val="clear" w:color="auto" w:fill="auto"/>
            <w:vAlign w:val="center"/>
          </w:tcPr>
          <w:p>
            <w:pPr>
              <w:widowControl w:val="0"/>
              <w:rPr>
                <w:lang w:eastAsia="zh-CN"/>
              </w:rPr>
            </w:pPr>
            <w:r>
              <w:rPr>
                <w:lang w:eastAsia="zh-CN"/>
              </w:rPr>
              <w:t>As commented by email, we would like to ask for clarification on ‘any of’ in the proposal? Does it require UE to process only one DCI for the 5 listed RNTI in a slot group, or does it imply UE can decode up to 5 DCIs (one for each RNTI)? It may be similar to the use of ‘any of’ in FG 3-1. Our interpretation is in total one DCI per slot groups considering all listed RNTIs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auto"/>
            <w:vAlign w:val="center"/>
          </w:tcPr>
          <w:p>
            <w:pPr>
              <w:widowControl w:val="0"/>
              <w:rPr>
                <w:sz w:val="20"/>
                <w:lang w:eastAsia="zh-CN"/>
              </w:rPr>
            </w:pPr>
            <w:r>
              <w:rPr>
                <w:sz w:val="20"/>
                <w:lang w:eastAsia="zh-CN"/>
              </w:rPr>
              <w:t>Futurewei</w:t>
            </w:r>
          </w:p>
        </w:tc>
        <w:tc>
          <w:tcPr>
            <w:tcW w:w="12176" w:type="dxa"/>
            <w:shd w:val="clear" w:color="auto" w:fill="auto"/>
            <w:vAlign w:val="center"/>
          </w:tcPr>
          <w:p>
            <w:pPr>
              <w:widowControl w:val="0"/>
              <w:rPr>
                <w:lang w:eastAsia="zh-CN"/>
              </w:rPr>
            </w:pPr>
            <w:r>
              <w:rPr>
                <w:lang w:eastAsia="zh-CN"/>
              </w:rPr>
              <w:t>We have same concerns as Huawei and vivo on removing of some specific RNTIs</w:t>
            </w:r>
          </w:p>
        </w:tc>
      </w:tr>
    </w:tbl>
    <w:p/>
    <w:p>
      <w:pPr>
        <w:pStyle w:val="5"/>
      </w:pPr>
      <w:r>
        <w:t>Second round discussion summary</w:t>
      </w:r>
    </w:p>
    <w:p>
      <w:pPr>
        <w:rPr>
          <w:sz w:val="21"/>
          <w:szCs w:val="21"/>
          <w:lang w:eastAsia="zh-CN"/>
        </w:rPr>
      </w:pPr>
      <w:r>
        <w:rPr>
          <w:sz w:val="21"/>
          <w:szCs w:val="21"/>
          <w:lang w:eastAsia="zh-CN"/>
        </w:rPr>
        <w:t xml:space="preserve">Several companies are questioning why </w:t>
      </w:r>
      <w:r>
        <w:rPr>
          <w:sz w:val="20"/>
          <w:szCs w:val="20"/>
          <w:lang w:eastAsia="zh-CN"/>
        </w:rPr>
        <w:t>“</w:t>
      </w:r>
      <w:r>
        <w:t>INT-RNTI, a TPC-PUSCH-RNTI, a TPC-PUCCH-RNTI, or a TPC-SRS-RNTI” are not part of the proposal</w:t>
      </w:r>
      <w:r>
        <w:rPr>
          <w:sz w:val="21"/>
          <w:szCs w:val="21"/>
          <w:lang w:eastAsia="zh-CN"/>
        </w:rPr>
        <w:t>. It is suggested to continue the discussion in a third round.</w:t>
      </w:r>
    </w:p>
    <w:p>
      <w:pPr>
        <w:pStyle w:val="5"/>
      </w:pPr>
      <w:r>
        <w:t>Third round discussion</w:t>
      </w:r>
    </w:p>
    <w:p>
      <w:pPr>
        <w:rPr>
          <w:sz w:val="21"/>
          <w:szCs w:val="21"/>
          <w:lang w:eastAsia="zh-CN"/>
        </w:rPr>
      </w:pPr>
      <w:r>
        <w:rPr>
          <w:sz w:val="21"/>
          <w:szCs w:val="21"/>
          <w:lang w:eastAsia="zh-CN"/>
        </w:rPr>
        <w:t>Please continue the second round discussion on open questins (copied for convenience).</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1F1F1" w:themeFill="background1" w:themeFillShade="F2"/>
            <w:vAlign w:val="center"/>
          </w:tcPr>
          <w:p>
            <w:pPr>
              <w:widowControl w:val="0"/>
              <w:rPr>
                <w:rFonts w:eastAsia="MS Mincho"/>
                <w:sz w:val="21"/>
                <w:szCs w:val="21"/>
                <w:lang w:eastAsia="ja-JP"/>
              </w:rPr>
            </w:pPr>
            <w:r>
              <w:rPr>
                <w:lang w:eastAsia="zh-CN"/>
              </w:rPr>
              <w:t>Huawei, HiSilicon (from second round)</w:t>
            </w:r>
          </w:p>
        </w:tc>
        <w:tc>
          <w:tcPr>
            <w:tcW w:w="12176" w:type="dxa"/>
            <w:shd w:val="clear" w:color="auto" w:fill="F1F1F1" w:themeFill="background1" w:themeFillShade="F2"/>
            <w:vAlign w:val="center"/>
          </w:tcPr>
          <w:p>
            <w:pPr>
              <w:widowControl w:val="0"/>
            </w:pPr>
            <w:r>
              <w:rPr>
                <w:lang w:eastAsia="zh-CN"/>
              </w:rPr>
              <w:t xml:space="preserve">The intention of the proposal is not clear for us and we cannot support it at this time. In Rel-15, the original rule is applied to </w:t>
            </w:r>
            <w:r>
              <w:rPr>
                <w:u w:val="single"/>
              </w:rPr>
              <w:t>CSS monitoring</w:t>
            </w:r>
            <w:r>
              <w:t xml:space="preserve"> which includes (Group (2) SS + Type3-CSS):</w:t>
            </w:r>
          </w:p>
          <w:tbl>
            <w:tblPr>
              <w:tblStyle w:val="5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9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950" w:type="dxa"/>
                  <w:vAlign w:val="center"/>
                </w:tcPr>
                <w:p>
                  <w:pPr>
                    <w:widowControl w:val="0"/>
                    <w:rPr>
                      <w:lang w:val="en-GB"/>
                    </w:rPr>
                  </w:pPr>
                  <w:r>
                    <w:rPr>
                      <w:lang w:val="en-GB"/>
                    </w:rPr>
                    <w:t>From 38.213:</w:t>
                  </w:r>
                </w:p>
                <w:p>
                  <w:pPr>
                    <w:widowControl w:val="0"/>
                    <w:rPr>
                      <w:lang w:val="en-GB"/>
                    </w:rPr>
                  </w:pPr>
                  <w:r>
                    <w:rPr>
                      <w:lang w:val="en-GB"/>
                    </w:rPr>
                    <w:t xml:space="preserve">If a UE is provided </w:t>
                  </w:r>
                </w:p>
                <w:p>
                  <w:pPr>
                    <w:widowControl w:val="0"/>
                  </w:pPr>
                  <w:r>
                    <w:t>-</w:t>
                  </w:r>
                  <w:r>
                    <w:tab/>
                  </w:r>
                  <w:r>
                    <w:t xml:space="preserve">one or more search space sets by corresponding one or more of </w:t>
                  </w:r>
                  <w:r>
                    <w:rPr>
                      <w:i/>
                    </w:rPr>
                    <w:t>searchSpaceZero</w:t>
                  </w:r>
                  <w:r>
                    <w:rPr>
                      <w:i/>
                      <w:iCs/>
                    </w:rPr>
                    <w:t>, searchSpaceSIB1</w:t>
                  </w:r>
                  <w:r>
                    <w:rPr>
                      <w:iCs/>
                    </w:rPr>
                    <w:t xml:space="preserve">, </w:t>
                  </w:r>
                  <w:r>
                    <w:rPr>
                      <w:i/>
                    </w:rPr>
                    <w:t>searchSpaceOtherSystemInformation</w:t>
                  </w:r>
                  <w:r>
                    <w:t xml:space="preserve">, </w:t>
                  </w:r>
                  <w:r>
                    <w:rPr>
                      <w:i/>
                    </w:rPr>
                    <w:t>pagingSearchSpace</w:t>
                  </w:r>
                  <w:r>
                    <w:t xml:space="preserve">, </w:t>
                  </w:r>
                  <w:r>
                    <w:rPr>
                      <w:i/>
                    </w:rPr>
                    <w:t>ra-SearchSpace</w:t>
                  </w:r>
                  <w:r>
                    <w:t xml:space="preserve">, or a CSS set by </w:t>
                  </w:r>
                  <w:r>
                    <w:rPr>
                      <w:i/>
                    </w:rPr>
                    <w:t>PDCCH-Config</w:t>
                  </w:r>
                  <w:r>
                    <w:t xml:space="preserve">, and </w:t>
                  </w:r>
                </w:p>
                <w:p>
                  <w:pPr>
                    <w:widowControl w:val="0"/>
                  </w:pPr>
                  <w:r>
                    <w:t>-</w:t>
                  </w:r>
                  <w:r>
                    <w:tab/>
                  </w:r>
                  <w:r>
                    <w:t>a SI-RNTI, a P-RNTI, a RA-RNTI, a MsgB-RNTI, a SFI-RNTI, an INT-RNTI, a TPC-PUSCH-RNTI, a TPC-PUCCH-RNTI, or a TPC-SRS-RNTI</w:t>
                  </w:r>
                </w:p>
                <w:p>
                  <w:pPr>
                    <w:widowControl w:val="0"/>
                  </w:pPr>
                  <w:r>
                    <w:t>then, for a RNTI from any of these RNTIs, the UE does not expect to process information from more than one DCI format with CRC scrambled with the RNTI per slot.</w:t>
                  </w:r>
                </w:p>
                <w:p>
                  <w:pPr>
                    <w:widowControl w:val="0"/>
                  </w:pPr>
                </w:p>
              </w:tc>
            </w:tr>
          </w:tbl>
          <w:p>
            <w:pPr>
              <w:widowControl w:val="0"/>
            </w:pPr>
          </w:p>
          <w:p>
            <w:pPr>
              <w:widowControl w:val="0"/>
            </w:pPr>
          </w:p>
          <w:p>
            <w:pPr>
              <w:widowControl w:val="0"/>
            </w:pPr>
            <w:r>
              <w:t xml:space="preserve">However, </w:t>
            </w:r>
            <w:r>
              <w:rPr>
                <w:sz w:val="20"/>
                <w:szCs w:val="20"/>
                <w:highlight w:val="yellow"/>
                <w:lang w:eastAsia="zh-CN"/>
              </w:rPr>
              <w:t>Proposal A3-3.1</w:t>
            </w:r>
            <w:r>
              <w:rPr>
                <w:sz w:val="20"/>
                <w:szCs w:val="20"/>
                <w:lang w:eastAsia="zh-CN"/>
              </w:rPr>
              <w:t>, removes “</w:t>
            </w:r>
            <w:r>
              <w:t xml:space="preserve">INT-RNTI, a TPC-PUSCH-RNTI, a TPC-PUCCH-RNTI, or a TPC-SRS-RNTI”. </w:t>
            </w:r>
          </w:p>
          <w:p>
            <w:pPr>
              <w:widowControl w:val="0"/>
              <w:rPr>
                <w:rFonts w:eastAsia="MS Mincho"/>
                <w:lang w:eastAsia="ja-JP"/>
              </w:rPr>
            </w:pPr>
            <w:r>
              <w:t>It seems that the intention was not to adopt the legacy monitoring rule for Type3-CSS. The first question is why? The second question is, if it was the intention, why SFI-RNTI is not removed?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1F1F1" w:themeFill="background1" w:themeFillShade="F2"/>
            <w:vAlign w:val="center"/>
          </w:tcPr>
          <w:p>
            <w:pPr>
              <w:widowControl w:val="0"/>
              <w:rPr>
                <w:rFonts w:eastAsia="MS Mincho"/>
                <w:sz w:val="21"/>
                <w:szCs w:val="21"/>
                <w:lang w:eastAsia="ja-JP"/>
              </w:rPr>
            </w:pPr>
            <w:r>
              <w:rPr>
                <w:sz w:val="20"/>
                <w:lang w:eastAsia="zh-CN"/>
              </w:rPr>
              <w:t>Intel (from second round)</w:t>
            </w:r>
          </w:p>
        </w:tc>
        <w:tc>
          <w:tcPr>
            <w:tcW w:w="12176" w:type="dxa"/>
            <w:shd w:val="clear" w:color="auto" w:fill="F1F1F1" w:themeFill="background1" w:themeFillShade="F2"/>
            <w:vAlign w:val="center"/>
          </w:tcPr>
          <w:p>
            <w:pPr>
              <w:widowControl w:val="0"/>
              <w:rPr>
                <w:rFonts w:eastAsia="MS Mincho"/>
                <w:lang w:eastAsia="ja-JP"/>
              </w:rPr>
            </w:pPr>
            <w:r>
              <w:rPr>
                <w:lang w:eastAsia="zh-CN"/>
              </w:rPr>
              <w:t>As commented by email, we would like to ask for clarification on ‘any of’ in the proposal? Does it require UE to process only one DCI for the 5 listed RNTI in a slot group, or does it imply UE can decode up to 5 DCIs (one for each RNTI)? It may be similar to the use of ‘any of’ in FG 3-1. Our interpretation is in total one DCI per slot groups considering all listed RNTIs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ascii="Times New Roman" w:hAnsi="Times New Roman" w:cs="Times New Roman" w:eastAsiaTheme="minorEastAsia"/>
                <w:sz w:val="20"/>
                <w:szCs w:val="22"/>
                <w:lang w:val="en-US" w:eastAsia="zh-CN" w:bidi="ar-SA"/>
              </w:rPr>
            </w:pPr>
            <w:r>
              <w:rPr>
                <w:rFonts w:hint="eastAsia"/>
                <w:lang w:eastAsia="zh-CN"/>
              </w:rPr>
              <w:t>ZTE, Sanechips</w:t>
            </w:r>
          </w:p>
        </w:tc>
        <w:tc>
          <w:tcPr>
            <w:tcW w:w="12176" w:type="dxa"/>
            <w:vAlign w:val="center"/>
          </w:tcPr>
          <w:p>
            <w:pPr>
              <w:widowControl w:val="0"/>
              <w:rPr>
                <w:rFonts w:hint="default" w:ascii="Times New Roman" w:hAnsi="Times New Roman" w:cs="Times New Roman" w:eastAsiaTheme="minorEastAsia"/>
                <w:sz w:val="22"/>
                <w:szCs w:val="22"/>
                <w:lang w:val="en-US" w:eastAsia="zh-CN" w:bidi="ar-SA"/>
              </w:rPr>
            </w:pPr>
            <w:r>
              <w:rPr>
                <w:rFonts w:hint="eastAsia"/>
                <w:lang w:val="en-US" w:eastAsia="zh-CN"/>
              </w:rPr>
              <w:t>We agree with Huawei</w:t>
            </w:r>
            <w:r>
              <w:rPr>
                <w:rFonts w:hint="default"/>
                <w:lang w:val="en-US" w:eastAsia="zh-CN"/>
              </w:rPr>
              <w:t>’</w:t>
            </w:r>
            <w:r>
              <w:rPr>
                <w:rFonts w:hint="eastAsia"/>
                <w:lang w:val="en-US" w:eastAsia="zh-CN"/>
              </w:rPr>
              <w:t xml:space="preserve">s comments, this proposal should be a simple extension of the legacy slot-based PDCCH monitoring by only changing </w:t>
            </w:r>
            <w:r>
              <w:rPr>
                <w:rFonts w:hint="default"/>
                <w:lang w:val="en-US" w:eastAsia="zh-CN"/>
              </w:rPr>
              <w:t>“</w:t>
            </w:r>
            <w:r>
              <w:rPr>
                <w:rFonts w:hint="eastAsia"/>
                <w:lang w:val="en-US" w:eastAsia="zh-CN"/>
              </w:rPr>
              <w:t>per slot</w:t>
            </w:r>
            <w:r>
              <w:rPr>
                <w:rFonts w:hint="default"/>
                <w:lang w:val="en-US" w:eastAsia="zh-CN"/>
              </w:rPr>
              <w:t>”</w:t>
            </w:r>
            <w:r>
              <w:rPr>
                <w:rFonts w:hint="eastAsia"/>
                <w:lang w:val="en-US" w:eastAsia="zh-CN"/>
              </w:rPr>
              <w:t xml:space="preserve"> to </w:t>
            </w:r>
            <w:r>
              <w:rPr>
                <w:rFonts w:hint="default"/>
                <w:lang w:val="en-US" w:eastAsia="zh-CN"/>
              </w:rPr>
              <w:t>“</w:t>
            </w:r>
            <w:r>
              <w:rPr>
                <w:rFonts w:hint="eastAsia"/>
                <w:lang w:val="en-US" w:eastAsia="zh-CN"/>
              </w:rPr>
              <w:t>per slot group</w:t>
            </w:r>
            <w:r>
              <w:rPr>
                <w:rFonts w:hint="default"/>
                <w:lang w:val="en-US" w:eastAsia="zh-CN"/>
              </w:rPr>
              <w:t>”</w:t>
            </w:r>
            <w:r>
              <w:rPr>
                <w:rFonts w:hint="eastAsia"/>
                <w:lang w:val="en-US" w:eastAsia="zh-CN"/>
              </w:rPr>
              <w:t xml:space="preserve">, We may add the </w:t>
            </w:r>
            <w:r>
              <w:rPr>
                <w:sz w:val="20"/>
                <w:szCs w:val="20"/>
                <w:lang w:eastAsia="zh-CN"/>
              </w:rPr>
              <w:t>“</w:t>
            </w:r>
            <w:r>
              <w:t>INT-RNTI, a TPC-PUSCH-RNTI, a TPC-PUCCH-RNTI, or a TPC-SRS-RNTI”</w:t>
            </w:r>
            <w:r>
              <w:rPr>
                <w:rFonts w:hint="eastAsia"/>
                <w:lang w:val="en-US" w:eastAsia="zh-CN"/>
              </w:rPr>
              <w:t xml:space="preserve"> in Proposal A3-3.1.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p>
        </w:tc>
        <w:tc>
          <w:tcPr>
            <w:tcW w:w="12176" w:type="dxa"/>
            <w:vAlign w:val="center"/>
          </w:tcPr>
          <w:p>
            <w:pPr>
              <w:widowControl w:val="0"/>
              <w:rPr>
                <w:lang w:eastAsia="zh-CN"/>
              </w:rPr>
            </w:pPr>
          </w:p>
        </w:tc>
      </w:tr>
    </w:tbl>
    <w:p>
      <w:pPr>
        <w:autoSpaceDE/>
        <w:autoSpaceDN/>
        <w:adjustRightInd/>
        <w:snapToGrid/>
        <w:spacing w:after="0" w:line="240" w:lineRule="auto"/>
        <w:rPr>
          <w:bCs/>
          <w:lang w:eastAsia="zh-CN"/>
        </w:rPr>
      </w:pPr>
    </w:p>
    <w:p/>
    <w:p>
      <w:pPr>
        <w:pStyle w:val="4"/>
      </w:pPr>
      <w:r>
        <w:t>Issue A3-4: Dropping rules</w:t>
      </w:r>
    </w:p>
    <w:p>
      <w:pPr>
        <w:pStyle w:val="5"/>
      </w:pPr>
      <w:r>
        <w:t>First round discussion</w:t>
      </w:r>
    </w:p>
    <w:p>
      <w:pPr>
        <w:rPr>
          <w:sz w:val="20"/>
          <w:szCs w:val="20"/>
          <w:lang w:eastAsia="zh-CN"/>
        </w:rPr>
      </w:pPr>
      <w:r>
        <w:rPr>
          <w:bCs/>
          <w:sz w:val="20"/>
          <w:szCs w:val="20"/>
          <w:lang w:eastAsia="zh-CN"/>
        </w:rPr>
        <w:t xml:space="preserve">One company (R1-2201352) observes that </w:t>
      </w:r>
      <w:r>
        <w:rPr>
          <w:sz w:val="20"/>
          <w:szCs w:val="20"/>
          <w:lang w:eastAsia="zh-CN"/>
        </w:rPr>
        <w:t>SS overbooking across different slot groups can be avoided by gNB implementation so that no dropping rule for this case is necessary.</w:t>
      </w:r>
    </w:p>
    <w:p>
      <w:pPr>
        <w:rPr>
          <w:sz w:val="20"/>
          <w:szCs w:val="20"/>
          <w:lang w:eastAsia="zh-CN"/>
        </w:rPr>
      </w:pPr>
      <w:r>
        <w:rPr>
          <w:sz w:val="20"/>
          <w:szCs w:val="20"/>
          <w:lang w:eastAsia="zh-CN"/>
        </w:rPr>
        <w:t>Other companies have stated that due to UE mobility across beams or SSSG switching, the maximum number may be exceeded anyway, and this may need to be covered by a dropping rule in the specifications.</w:t>
      </w:r>
    </w:p>
    <w:p>
      <w:pPr>
        <w:tabs>
          <w:tab w:val="left" w:pos="1300"/>
        </w:tabs>
        <w:spacing w:after="0"/>
        <w:jc w:val="both"/>
        <w:rPr>
          <w:b/>
          <w:sz w:val="20"/>
          <w:szCs w:val="20"/>
        </w:rPr>
      </w:pPr>
      <w:r>
        <w:rPr>
          <w:b/>
          <w:sz w:val="20"/>
          <w:szCs w:val="20"/>
          <w:u w:val="single"/>
        </w:rPr>
        <w:t>Proposal A3-4.1</w:t>
      </w:r>
      <w:r>
        <w:rPr>
          <w:b/>
          <w:sz w:val="20"/>
          <w:szCs w:val="20"/>
        </w:rPr>
        <w:t xml:space="preserve"> (see R1-2201689):</w:t>
      </w:r>
    </w:p>
    <w:p>
      <w:pPr>
        <w:pStyle w:val="82"/>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A span of SS sets configured in a slot group, if it is not monitored by the UE</w:t>
      </w:r>
      <w:r>
        <w:t xml:space="preserve"> </w:t>
      </w:r>
      <w:r>
        <w:rPr>
          <w:rFonts w:ascii="Times New Roman" w:hAnsi="Times New Roman"/>
          <w:sz w:val="20"/>
          <w:szCs w:val="20"/>
        </w:rPr>
        <w:t>based on a semi-static rule, may not be counted in the number of monitored spans in the slot group.</w:t>
      </w:r>
    </w:p>
    <w:p>
      <w:pPr>
        <w:pStyle w:val="82"/>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If the maximum number of spans in a slot group is exceeded, UE can drop one or more spans of at least the group (1) SS sets</w:t>
      </w:r>
    </w:p>
    <w:p>
      <w:pPr>
        <w:tabs>
          <w:tab w:val="left" w:pos="1300"/>
        </w:tabs>
        <w:spacing w:after="0"/>
        <w:jc w:val="both"/>
        <w:rPr>
          <w:rFonts w:eastAsia="宋体"/>
          <w:b/>
          <w:bCs/>
          <w:sz w:val="20"/>
          <w:szCs w:val="20"/>
          <w:lang w:eastAsia="zh-CN"/>
        </w:rPr>
      </w:pPr>
    </w:p>
    <w:p>
      <w:pPr>
        <w:tabs>
          <w:tab w:val="left" w:pos="1300"/>
        </w:tabs>
        <w:spacing w:after="0"/>
        <w:jc w:val="both"/>
        <w:rPr>
          <w:rFonts w:eastAsia="宋体"/>
          <w:b/>
          <w:bCs/>
          <w:sz w:val="20"/>
          <w:szCs w:val="20"/>
          <w:lang w:eastAsia="zh-CN"/>
        </w:rPr>
      </w:pPr>
      <w:r>
        <w:rPr>
          <w:b/>
          <w:sz w:val="20"/>
          <w:szCs w:val="20"/>
          <w:u w:val="single"/>
        </w:rPr>
        <w:t>Proposal A3-4.2</w:t>
      </w:r>
      <w:r>
        <w:rPr>
          <w:b/>
          <w:sz w:val="20"/>
          <w:szCs w:val="20"/>
        </w:rPr>
        <w:t xml:space="preserve"> (see R1-2201914): </w:t>
      </w:r>
    </w:p>
    <w:p>
      <w:pPr>
        <w:rPr>
          <w:sz w:val="20"/>
          <w:szCs w:val="20"/>
        </w:rPr>
      </w:pPr>
      <w:r>
        <w:rPr>
          <w:sz w:val="20"/>
          <w:szCs w:val="20"/>
        </w:rPr>
        <w:t>Additional dropping rules for PDCCH multi-slot monitoring should be defined to limit back-to-back SS monitoring between Group 1 and Group 2 SSs across multiple slot-groups. A window-based approach around the CSS maybe considered to determine whether or not a USS monitoring occasion is dropped or not for PDCCH monitoring.</w:t>
      </w:r>
    </w:p>
    <w:p>
      <w:pPr>
        <w:tabs>
          <w:tab w:val="left" w:pos="1300"/>
        </w:tabs>
        <w:spacing w:after="0"/>
        <w:jc w:val="both"/>
        <w:rPr>
          <w:rFonts w:eastAsia="宋体"/>
          <w:b/>
          <w:bCs/>
          <w:sz w:val="20"/>
          <w:szCs w:val="20"/>
          <w:lang w:eastAsia="zh-CN"/>
        </w:rPr>
      </w:pPr>
      <w:r>
        <w:rPr>
          <w:b/>
          <w:sz w:val="20"/>
          <w:szCs w:val="20"/>
          <w:u w:val="single"/>
        </w:rPr>
        <w:t>Proposal A3-4.3</w:t>
      </w:r>
      <w:r>
        <w:rPr>
          <w:b/>
          <w:sz w:val="20"/>
          <w:szCs w:val="20"/>
        </w:rPr>
        <w:t xml:space="preserve"> (see R1-2202130): </w:t>
      </w:r>
    </w:p>
    <w:p>
      <w:pPr>
        <w:pStyle w:val="27"/>
        <w:rPr>
          <w:b w:val="0"/>
          <w:bCs w:val="0"/>
        </w:rPr>
      </w:pPr>
      <w:r>
        <w:rPr>
          <w:b w:val="0"/>
          <w:bCs w:val="0"/>
        </w:rPr>
        <w:t>A dropping rule for PDCCH MOs may be applied for the first Ys consecutive slots after SSSG switching, if the separation between the two Ys consecutive slots before and after the SSSG switching boundary is less than Xs slots.</w:t>
      </w:r>
    </w:p>
    <w:p>
      <w:pPr>
        <w:tabs>
          <w:tab w:val="left" w:pos="1300"/>
        </w:tabs>
        <w:spacing w:after="0"/>
        <w:jc w:val="both"/>
        <w:rPr>
          <w:rFonts w:eastAsia="宋体"/>
          <w:b/>
          <w:bCs/>
          <w:sz w:val="20"/>
          <w:szCs w:val="20"/>
          <w:lang w:eastAsia="zh-CN"/>
        </w:rPr>
      </w:pPr>
      <w:r>
        <w:rPr>
          <w:b/>
          <w:sz w:val="20"/>
          <w:szCs w:val="20"/>
          <w:u w:val="single"/>
        </w:rPr>
        <w:t>Proposal A3-4.4</w:t>
      </w:r>
      <w:r>
        <w:rPr>
          <w:b/>
          <w:sz w:val="20"/>
          <w:szCs w:val="20"/>
        </w:rPr>
        <w:t xml:space="preserve"> (see R1-2202190): </w:t>
      </w:r>
    </w:p>
    <w:p>
      <w:pPr>
        <w:pStyle w:val="27"/>
        <w:rPr>
          <w:b w:val="0"/>
          <w:bCs w:val="0"/>
        </w:rPr>
      </w:pPr>
      <w:r>
        <w:rPr>
          <w:b w:val="0"/>
          <w:bCs w:val="0"/>
        </w:rPr>
        <w:t>To avoid the back-to-back problem, monitoring should not be done in the Xs slots before and after the SSSG boundary.</w:t>
      </w:r>
    </w:p>
    <w:p>
      <w:pPr>
        <w:tabs>
          <w:tab w:val="left" w:pos="1300"/>
        </w:tabs>
        <w:spacing w:after="0"/>
        <w:jc w:val="both"/>
        <w:rPr>
          <w:rFonts w:eastAsia="宋体"/>
          <w:b/>
          <w:bCs/>
          <w:sz w:val="20"/>
          <w:szCs w:val="20"/>
          <w:lang w:eastAsia="zh-CN"/>
        </w:rPr>
      </w:pPr>
      <w:r>
        <w:rPr>
          <w:b/>
          <w:sz w:val="20"/>
          <w:szCs w:val="20"/>
          <w:u w:val="single"/>
        </w:rPr>
        <w:t>Proposal A3-4.5</w:t>
      </w:r>
      <w:r>
        <w:rPr>
          <w:b/>
          <w:sz w:val="20"/>
          <w:szCs w:val="20"/>
        </w:rPr>
        <w:t xml:space="preserve"> (see R1-2202409): </w:t>
      </w:r>
    </w:p>
    <w:p>
      <w:pPr>
        <w:pStyle w:val="27"/>
        <w:rPr>
          <w:b w:val="0"/>
          <w:bCs w:val="0"/>
        </w:rPr>
      </w:pPr>
      <w:r>
        <w:rPr>
          <w:b w:val="0"/>
          <w:bCs w:val="0"/>
        </w:rPr>
        <w:t>When multi-slot PDCCH monitoring is applied with shifting of Group(2) SS due to n0 change, then dropping of Group (1) SS MOs and/or Group (2) SS MOs in the slot where the shift is first applied should be supported to avoid back-to-back monitoring issue.</w:t>
      </w:r>
    </w:p>
    <w:p>
      <w:pPr>
        <w:tabs>
          <w:tab w:val="left" w:pos="1300"/>
        </w:tabs>
        <w:spacing w:after="0"/>
        <w:jc w:val="both"/>
        <w:rPr>
          <w:b/>
          <w:sz w:val="20"/>
          <w:szCs w:val="20"/>
          <w:highlight w:val="yellow"/>
          <w:u w:val="single"/>
        </w:rPr>
      </w:pPr>
    </w:p>
    <w:p>
      <w:pPr>
        <w:rPr>
          <w:bCs/>
          <w:sz w:val="20"/>
          <w:szCs w:val="20"/>
        </w:rPr>
      </w:pPr>
      <w:r>
        <w:rPr>
          <w:bCs/>
          <w:sz w:val="20"/>
          <w:szCs w:val="20"/>
          <w:lang w:eastAsia="zh-CN"/>
        </w:rPr>
        <w:t xml:space="preserve">FL asks companies for their comments to Proposal A3-4.1, </w:t>
      </w:r>
      <w:r>
        <w:rPr>
          <w:bCs/>
          <w:sz w:val="20"/>
          <w:szCs w:val="20"/>
        </w:rPr>
        <w:t>Proposal A3-4.2, Proposal A3-4.3, Proposal A3-4.4</w:t>
      </w:r>
      <w:r>
        <w:rPr>
          <w:bCs/>
          <w:sz w:val="20"/>
          <w:szCs w:val="20"/>
          <w:lang w:eastAsia="zh-CN"/>
        </w:rPr>
        <w:t xml:space="preserve"> or </w:t>
      </w:r>
      <w:r>
        <w:rPr>
          <w:bCs/>
          <w:sz w:val="20"/>
          <w:szCs w:val="20"/>
        </w:rPr>
        <w:t>Proposal A3-4.5</w:t>
      </w:r>
      <w:r>
        <w:rPr>
          <w:bCs/>
          <w:sz w:val="20"/>
          <w:szCs w:val="20"/>
          <w:lang w:eastAsia="zh-CN"/>
        </w:rPr>
        <w:t>.</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For Proposal A3-4.1, we don’t think “a span in a slot group” is well-defined in RAN1 specification, and wonder what’s the RAN1 impact of the proposal. </w:t>
            </w:r>
          </w:p>
          <w:p>
            <w:pPr>
              <w:widowControl w:val="0"/>
              <w:rPr>
                <w:lang w:eastAsia="zh-CN"/>
              </w:rPr>
            </w:pPr>
            <w:r>
              <w:rPr>
                <w:lang w:eastAsia="zh-CN"/>
              </w:rPr>
              <w:t xml:space="preserve">For Proposal A3-4.2 and A3-4.5, we didn’t see the need of the proposals, and it has already been discussed to treat the back-to-back monitoring issue based on UE’s implementation when we made the comprise agreement. </w:t>
            </w:r>
          </w:p>
          <w:p>
            <w:pPr>
              <w:widowControl w:val="0"/>
              <w:rPr>
                <w:lang w:eastAsia="zh-CN"/>
              </w:rPr>
            </w:pPr>
            <w:r>
              <w:rPr>
                <w:lang w:eastAsia="zh-CN"/>
              </w:rPr>
              <w:t>For Proposal A3-4.3</w:t>
            </w:r>
            <w:r>
              <w:t xml:space="preserve"> and </w:t>
            </w:r>
            <w:r>
              <w:rPr>
                <w:lang w:eastAsia="zh-CN"/>
              </w:rPr>
              <w:t xml:space="preserve">Proposal A3-4.4, there is always a gap after SSSG switching, so we don’t think there is need to address the immediate change of the location of Ys. It can be handled by proper gNB’s implementation.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Ericsson</w:t>
            </w:r>
          </w:p>
        </w:tc>
        <w:tc>
          <w:tcPr>
            <w:tcW w:w="12176" w:type="dxa"/>
            <w:vAlign w:val="center"/>
          </w:tcPr>
          <w:p>
            <w:pPr>
              <w:widowControl w:val="0"/>
              <w:rPr>
                <w:sz w:val="20"/>
                <w:lang w:eastAsia="zh-CN"/>
              </w:rPr>
            </w:pPr>
            <w:r>
              <w:rPr>
                <w:sz w:val="20"/>
                <w:lang w:eastAsia="zh-CN"/>
              </w:rPr>
              <w:t>Proposal A3-4.1: We don't support this proposal – not clear what a "span of SS sets in a slot group" is.</w:t>
            </w:r>
          </w:p>
          <w:p>
            <w:pPr>
              <w:widowControl w:val="0"/>
              <w:rPr>
                <w:sz w:val="20"/>
                <w:lang w:eastAsia="zh-CN"/>
              </w:rPr>
            </w:pPr>
            <w:r>
              <w:rPr>
                <w:sz w:val="20"/>
                <w:lang w:eastAsia="zh-CN"/>
              </w:rPr>
              <w:t>Proposals A3-4.2, 4.3, 4.4, and 4.5: Do not support. Our original compromise in supporting per-slot group monitoring with small values of Ys was that additional rules on dropping considering adjacent slot groups would not be entertained. Dropping should be evaluated per-slot group, with no coupling between slot groups.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Qualcomm</w:t>
            </w:r>
          </w:p>
        </w:tc>
        <w:tc>
          <w:tcPr>
            <w:tcW w:w="12176" w:type="dxa"/>
            <w:vAlign w:val="center"/>
          </w:tcPr>
          <w:p>
            <w:pPr>
              <w:widowControl w:val="0"/>
              <w:rPr>
                <w:sz w:val="20"/>
                <w:lang w:eastAsia="zh-CN"/>
              </w:rPr>
            </w:pPr>
            <w:r>
              <w:rPr>
                <w:sz w:val="20"/>
                <w:lang w:eastAsia="zh-CN"/>
              </w:rPr>
              <w:t>We think Proposal A3-4.1 is already the general principle of the legacy specification and is not required to be discussed.</w:t>
            </w:r>
          </w:p>
          <w:p>
            <w:pPr>
              <w:widowControl w:val="0"/>
              <w:rPr>
                <w:sz w:val="20"/>
                <w:lang w:eastAsia="zh-CN"/>
              </w:rPr>
            </w:pPr>
            <w:r>
              <w:rPr>
                <w:sz w:val="20"/>
                <w:lang w:eastAsia="zh-CN"/>
              </w:rPr>
              <w:t>For Proposal A3-4.2 and A3-4.5, we agree with Samsung’s view and think no further discussion is needed.</w:t>
            </w:r>
          </w:p>
          <w:p>
            <w:pPr>
              <w:widowControl w:val="0"/>
              <w:rPr>
                <w:sz w:val="20"/>
                <w:lang w:eastAsia="zh-CN"/>
              </w:rPr>
            </w:pPr>
            <w:r>
              <w:rPr>
                <w:sz w:val="20"/>
                <w:lang w:eastAsia="zh-CN"/>
              </w:rPr>
              <w:t>We support Proposals A3-4.3 and A3-4.4. The issue is relevant to the case that two SSSGs are configured with different (Xs,Ys) values and, thus, it could be revisited after Issue A2-6 discussion.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rFonts w:hint="eastAsia" w:eastAsia="MS Mincho"/>
                <w:lang w:eastAsia="ja-JP"/>
              </w:rPr>
              <w:t>S</w:t>
            </w:r>
            <w:r>
              <w:rPr>
                <w:rFonts w:eastAsia="MS Mincho"/>
                <w:lang w:eastAsia="ja-JP"/>
              </w:rPr>
              <w:t>harp</w:t>
            </w:r>
          </w:p>
        </w:tc>
        <w:tc>
          <w:tcPr>
            <w:tcW w:w="12176" w:type="dxa"/>
            <w:vAlign w:val="center"/>
          </w:tcPr>
          <w:p>
            <w:pPr>
              <w:widowControl w:val="0"/>
              <w:rPr>
                <w:lang w:eastAsia="zh-CN"/>
              </w:rPr>
            </w:pPr>
            <w:r>
              <w:rPr>
                <w:lang w:eastAsia="zh-CN"/>
              </w:rPr>
              <w:t>Support Proposal A3-4-4. A drop around the SSSG switching boundary is necessary to allow for more flexible search space settings.</w:t>
            </w:r>
          </w:p>
          <w:p>
            <w:pPr>
              <w:widowControl w:val="0"/>
              <w:rPr>
                <w:sz w:val="20"/>
                <w:lang w:eastAsia="zh-CN"/>
              </w:rPr>
            </w:pPr>
            <w:r>
              <w:rPr>
                <w:lang w:eastAsia="zh-CN"/>
              </w:rPr>
              <w:t>If the gap before and after switching is guaranteed by the gNB, a statement should be added that the UE does not expect the MO to be present in Xs slots either before or after the SSSG switching boundary.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sz w:val="20"/>
                <w:lang w:eastAsia="zh-CN"/>
              </w:rPr>
              <w:t>v</w:t>
            </w:r>
            <w:r>
              <w:rPr>
                <w:sz w:val="20"/>
                <w:lang w:eastAsia="zh-CN"/>
              </w:rPr>
              <w:t>ivo</w:t>
            </w:r>
          </w:p>
        </w:tc>
        <w:tc>
          <w:tcPr>
            <w:tcW w:w="12176" w:type="dxa"/>
            <w:vAlign w:val="center"/>
          </w:tcPr>
          <w:p>
            <w:pPr>
              <w:widowControl w:val="0"/>
              <w:rPr>
                <w:lang w:eastAsia="zh-CN"/>
              </w:rPr>
            </w:pPr>
            <w:r>
              <w:rPr>
                <w:rFonts w:hint="eastAsia"/>
                <w:sz w:val="20"/>
                <w:lang w:eastAsia="zh-CN"/>
              </w:rPr>
              <w:t>W</w:t>
            </w:r>
            <w:r>
              <w:rPr>
                <w:sz w:val="20"/>
                <w:lang w:eastAsia="zh-CN"/>
              </w:rPr>
              <w:t>e don’t support the above proposals, i.e. there is no need to have additional dropping rules.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Intel</w:t>
            </w:r>
          </w:p>
        </w:tc>
        <w:tc>
          <w:tcPr>
            <w:tcW w:w="12176" w:type="dxa"/>
            <w:vAlign w:val="center"/>
          </w:tcPr>
          <w:p>
            <w:pPr>
              <w:widowControl w:val="0"/>
              <w:rPr>
                <w:lang w:eastAsia="zh-CN"/>
              </w:rPr>
            </w:pPr>
            <w:r>
              <w:rPr>
                <w:lang w:eastAsia="zh-CN"/>
              </w:rPr>
              <w:t xml:space="preserve">Proposal A3-4.1: we prefer to make an agreement or conclusion on this proposal. Specifically, if a MO of Type0A/2 CSS set with searchSpaceID non-zero is mapped by a beam that is different from the </w:t>
            </w:r>
            <w:r>
              <w:rPr>
                <w:rFonts w:hint="eastAsia"/>
                <w:lang w:eastAsia="zh-CN"/>
              </w:rPr>
              <w:t>UE</w:t>
            </w:r>
            <w:r>
              <w:rPr>
                <w:lang w:eastAsia="zh-CN"/>
              </w:rPr>
              <w:t xml:space="preserve">’s SSB, shall </w:t>
            </w:r>
            <w:r>
              <w:rPr>
                <w:rFonts w:hint="eastAsia"/>
                <w:lang w:eastAsia="zh-CN"/>
              </w:rPr>
              <w:t>UE</w:t>
            </w:r>
            <w:r>
              <w:rPr>
                <w:lang w:eastAsia="zh-CN"/>
              </w:rPr>
              <w:t xml:space="preserve"> monitor the MO of Type0A/2 CSS </w:t>
            </w:r>
            <w:r>
              <w:rPr>
                <w:rFonts w:hint="eastAsia"/>
                <w:lang w:eastAsia="zh-CN"/>
              </w:rPr>
              <w:t>set</w:t>
            </w:r>
            <w:r>
              <w:rPr>
                <w:lang w:eastAsia="zh-CN"/>
              </w:rPr>
              <w:t xml:space="preserve">? The critical impact is if such MO is counted in total number of BD/CCE for the slot group, it likely consumes all BD/CCE budget. As a results UE cannot be scheduled at all. This is not desired. </w:t>
            </w:r>
          </w:p>
          <w:p>
            <w:pPr>
              <w:widowControl w:val="0"/>
              <w:rPr>
                <w:lang w:eastAsia="zh-CN"/>
              </w:rPr>
            </w:pPr>
            <w:r>
              <w:rPr>
                <w:lang w:eastAsia="zh-CN"/>
              </w:rPr>
              <w:t>Proposal A3-4.2: we prefer to not consider further optimization due to MOs of Group (2) SS</w:t>
            </w:r>
          </w:p>
          <w:p>
            <w:pPr>
              <w:widowControl w:val="0"/>
              <w:rPr>
                <w:lang w:eastAsia="zh-CN"/>
              </w:rPr>
            </w:pPr>
            <w:r>
              <w:rPr>
                <w:lang w:eastAsia="zh-CN"/>
              </w:rPr>
              <w:t>Proposal A3-4.3: we are supportive to the proposal</w:t>
            </w:r>
          </w:p>
          <w:p>
            <w:pPr>
              <w:widowControl w:val="0"/>
              <w:rPr>
                <w:lang w:eastAsia="zh-CN"/>
              </w:rPr>
            </w:pPr>
            <w:r>
              <w:rPr>
                <w:lang w:eastAsia="zh-CN"/>
              </w:rPr>
              <w:t xml:space="preserve">Proposal A3-4.4: fine in principle, however, the Xs slot not for </w:t>
            </w:r>
            <w:r>
              <w:rPr>
                <w:rFonts w:hint="eastAsia"/>
                <w:lang w:eastAsia="zh-CN"/>
              </w:rPr>
              <w:t>PDCC</w:t>
            </w:r>
            <w:r>
              <w:rPr>
                <w:lang w:eastAsia="zh-CN"/>
              </w:rPr>
              <w:t>H monitoring should be either earlier or later than the switching boundary, but not both</w:t>
            </w:r>
          </w:p>
          <w:p>
            <w:pPr>
              <w:widowControl w:val="0"/>
              <w:rPr>
                <w:lang w:eastAsia="zh-CN"/>
              </w:rPr>
            </w:pPr>
            <w:r>
              <w:rPr>
                <w:lang w:eastAsia="zh-CN"/>
              </w:rPr>
              <w:t>Proposal A3-4.5: we prefer to not consider further optimization due to MOs of Group (2) 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lang w:eastAsia="zh-CN"/>
              </w:rPr>
              <w:t>ZTE, Sanechips</w:t>
            </w:r>
          </w:p>
        </w:tc>
        <w:tc>
          <w:tcPr>
            <w:tcW w:w="12176" w:type="dxa"/>
            <w:vAlign w:val="center"/>
          </w:tcPr>
          <w:p>
            <w:pPr>
              <w:widowControl w:val="0"/>
              <w:rPr>
                <w:lang w:eastAsia="zh-CN"/>
              </w:rPr>
            </w:pPr>
            <w:r>
              <w:rPr>
                <w:rFonts w:hint="eastAsia"/>
                <w:sz w:val="20"/>
                <w:lang w:eastAsia="zh-CN"/>
              </w:rPr>
              <w:t>We don</w:t>
            </w:r>
            <w:r>
              <w:rPr>
                <w:sz w:val="20"/>
                <w:lang w:eastAsia="zh-CN"/>
              </w:rPr>
              <w:t>’</w:t>
            </w:r>
            <w:r>
              <w:rPr>
                <w:rFonts w:hint="eastAsia"/>
                <w:sz w:val="20"/>
                <w:lang w:eastAsia="zh-CN"/>
              </w:rPr>
              <w:t>t think additional dropping rules are needed.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sz w:val="20"/>
                <w:lang w:eastAsia="ja-JP"/>
              </w:rPr>
              <w:t>N</w:t>
            </w:r>
            <w:r>
              <w:rPr>
                <w:rFonts w:eastAsia="MS Mincho"/>
                <w:sz w:val="20"/>
                <w:lang w:eastAsia="ja-JP"/>
              </w:rPr>
              <w:t>TT DOCOMO</w:t>
            </w:r>
          </w:p>
        </w:tc>
        <w:tc>
          <w:tcPr>
            <w:tcW w:w="12176" w:type="dxa"/>
            <w:vAlign w:val="center"/>
          </w:tcPr>
          <w:p>
            <w:pPr>
              <w:widowControl w:val="0"/>
              <w:rPr>
                <w:sz w:val="20"/>
                <w:lang w:eastAsia="zh-CN"/>
              </w:rPr>
            </w:pPr>
            <w:r>
              <w:rPr>
                <w:rFonts w:eastAsia="MS Mincho"/>
                <w:szCs w:val="28"/>
                <w:lang w:eastAsia="ja-JP"/>
              </w:rPr>
              <w:t xml:space="preserve">For Proposal </w:t>
            </w:r>
            <w:r>
              <w:rPr>
                <w:lang w:eastAsia="zh-CN"/>
              </w:rPr>
              <w:t>A3-4.3</w:t>
            </w:r>
            <w:r>
              <w:t xml:space="preserve"> and </w:t>
            </w:r>
            <w:r>
              <w:rPr>
                <w:lang w:eastAsia="zh-CN"/>
              </w:rPr>
              <w:t>Proposal A3-4.4, it depend on the discussion results on Issue A2-6. If the different configuration of (Xs, Ys) and/or location of Ys in a slot group can be allowed for before and after SSSG switching, the additional dropping rule may be required around SSSG switching boundary.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sz w:val="20"/>
                <w:lang w:eastAsia="ja-JP"/>
              </w:rPr>
            </w:pPr>
            <w:r>
              <w:rPr>
                <w:rFonts w:eastAsia="MS Mincho"/>
                <w:lang w:eastAsia="ja-JP"/>
              </w:rPr>
              <w:t>Panasonic</w:t>
            </w:r>
          </w:p>
        </w:tc>
        <w:tc>
          <w:tcPr>
            <w:tcW w:w="12176" w:type="dxa"/>
            <w:vAlign w:val="center"/>
          </w:tcPr>
          <w:p>
            <w:pPr>
              <w:widowControl w:val="0"/>
              <w:rPr>
                <w:lang w:eastAsia="zh-CN"/>
              </w:rPr>
            </w:pPr>
            <w:r>
              <w:rPr>
                <w:lang w:eastAsia="zh-CN"/>
              </w:rPr>
              <w:t xml:space="preserve">We are open to further discuss Proposals A3-4.1, A3-4.3 and A3-4.4. </w:t>
            </w:r>
          </w:p>
          <w:p>
            <w:pPr>
              <w:widowControl w:val="0"/>
              <w:rPr>
                <w:rFonts w:eastAsia="MS Mincho"/>
                <w:szCs w:val="28"/>
                <w:lang w:eastAsia="ja-JP"/>
              </w:rPr>
            </w:pPr>
            <w:r>
              <w:rPr>
                <w:lang w:eastAsia="zh-CN"/>
              </w:rPr>
              <w:t xml:space="preserve">For Proposals A3-4.2 and A3-4.5, we agree with Samsung that no enhancement is needed to handle back-to-back monitoring between Group (1) and Group (2).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sz w:val="20"/>
              </w:rPr>
              <w:t>LG Electronics</w:t>
            </w:r>
          </w:p>
        </w:tc>
        <w:tc>
          <w:tcPr>
            <w:tcW w:w="12176" w:type="dxa"/>
            <w:vAlign w:val="center"/>
          </w:tcPr>
          <w:p>
            <w:pPr>
              <w:widowControl w:val="0"/>
              <w:rPr>
                <w:sz w:val="20"/>
                <w:lang w:eastAsia="zh-CN"/>
              </w:rPr>
            </w:pPr>
            <w:r>
              <w:rPr>
                <w:sz w:val="20"/>
                <w:lang w:eastAsia="zh-CN"/>
              </w:rPr>
              <w:t>For Proposal A3-4.1, to further discuss on it, we think a proponent needs to elaborate the meaning of “a span of SS sets in a slot-group” on the 1st bullet and “the maximum number of spans” on the 2nd bullet.</w:t>
            </w:r>
          </w:p>
          <w:p>
            <w:pPr>
              <w:widowControl w:val="0"/>
              <w:rPr>
                <w:sz w:val="20"/>
                <w:lang w:eastAsia="zh-CN"/>
              </w:rPr>
            </w:pPr>
            <w:r>
              <w:rPr>
                <w:sz w:val="20"/>
                <w:lang w:eastAsia="zh-CN"/>
              </w:rPr>
              <w:t>For Proposal A3-4.2 and A3-4.5, we have the same view with Samsung.</w:t>
            </w:r>
          </w:p>
          <w:p>
            <w:pPr>
              <w:widowControl w:val="0"/>
              <w:rPr>
                <w:lang w:eastAsia="zh-CN"/>
              </w:rPr>
            </w:pPr>
            <w:r>
              <w:rPr>
                <w:sz w:val="20"/>
                <w:lang w:eastAsia="zh-CN"/>
              </w:rPr>
              <w:t>For Proposal A3-4.3 and A3-4.4, we have the same view with Qualcomm.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lang w:eastAsia="zh-CN"/>
              </w:rPr>
              <w:t>Apple</w:t>
            </w:r>
          </w:p>
        </w:tc>
        <w:tc>
          <w:tcPr>
            <w:tcW w:w="12176" w:type="dxa"/>
            <w:vAlign w:val="center"/>
          </w:tcPr>
          <w:p>
            <w:pPr>
              <w:widowControl w:val="0"/>
              <w:rPr>
                <w:sz w:val="20"/>
                <w:lang w:eastAsia="zh-CN"/>
              </w:rPr>
            </w:pPr>
            <w:r>
              <w:rPr>
                <w:sz w:val="20"/>
                <w:lang w:eastAsia="zh-CN"/>
              </w:rPr>
              <w:t>Although we would like to further optimize the back-to-back interaction, we think that the issues in A2-2 optimizing Group (2) SSs (especially for Type 1 CSSs without dedicated RRC configuration) are more important.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Lenovo</w:t>
            </w:r>
          </w:p>
        </w:tc>
        <w:tc>
          <w:tcPr>
            <w:tcW w:w="12176" w:type="dxa"/>
            <w:vAlign w:val="center"/>
          </w:tcPr>
          <w:p>
            <w:pPr>
              <w:widowControl w:val="0"/>
              <w:rPr>
                <w:sz w:val="20"/>
                <w:lang w:eastAsia="zh-CN"/>
              </w:rPr>
            </w:pPr>
            <w:r>
              <w:rPr>
                <w:sz w:val="20"/>
                <w:lang w:eastAsia="zh-CN"/>
              </w:rPr>
              <w:t>Question to Samsung's (+others') view about Proposal A3-4.2 and Proposal A3-4.5: Do you intend to say that a UE is expected to apply dropping even though the specification doesn't allow dropping? Or is the point that existing dropping rules allow such dropping, especially for the cases of SSSG switching and n0 change?</w:t>
            </w:r>
          </w:p>
        </w:tc>
      </w:tr>
    </w:tbl>
    <w:p>
      <w:pPr>
        <w:tabs>
          <w:tab w:val="left" w:pos="1300"/>
        </w:tabs>
        <w:spacing w:after="0"/>
        <w:jc w:val="both"/>
        <w:rPr>
          <w:b/>
          <w:sz w:val="20"/>
          <w:szCs w:val="20"/>
          <w:highlight w:val="yellow"/>
          <w:u w:val="single"/>
        </w:rPr>
      </w:pPr>
    </w:p>
    <w:p>
      <w:pPr>
        <w:tabs>
          <w:tab w:val="left" w:pos="1300"/>
        </w:tabs>
        <w:spacing w:after="0"/>
        <w:jc w:val="both"/>
        <w:rPr>
          <w:b/>
          <w:sz w:val="20"/>
          <w:szCs w:val="20"/>
          <w:highlight w:val="yellow"/>
          <w:u w:val="single"/>
        </w:rPr>
      </w:pPr>
    </w:p>
    <w:p>
      <w:pPr>
        <w:rPr>
          <w:sz w:val="20"/>
          <w:szCs w:val="20"/>
        </w:rPr>
      </w:pPr>
      <w:r>
        <w:rPr>
          <w:sz w:val="20"/>
          <w:szCs w:val="20"/>
        </w:rPr>
        <w:t>Another issue concerns the detailed dropping following up on the agreement in RAN1#107-e:</w:t>
      </w:r>
    </w:p>
    <w:tbl>
      <w:tblPr>
        <w:tblStyle w:val="55"/>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962" w:type="dxa"/>
            <w:shd w:val="clear" w:color="auto" w:fill="auto"/>
            <w:vAlign w:val="center"/>
          </w:tcPr>
          <w:p>
            <w:pPr>
              <w:widowControl w:val="0"/>
              <w:spacing w:before="60" w:after="0" w:line="240" w:lineRule="auto"/>
              <w:rPr>
                <w:b/>
                <w:lang w:eastAsia="zh-CN"/>
              </w:rPr>
            </w:pPr>
            <w:r>
              <w:rPr>
                <w:b/>
                <w:lang w:eastAsia="zh-CN"/>
              </w:rPr>
              <w:t>Agreement</w:t>
            </w:r>
          </w:p>
          <w:p>
            <w:pPr>
              <w:pStyle w:val="82"/>
              <w:widowControl w:val="0"/>
              <w:numPr>
                <w:ilvl w:val="0"/>
                <w:numId w:val="64"/>
              </w:numPr>
              <w:spacing w:line="240" w:lineRule="auto"/>
            </w:pPr>
            <w:r>
              <w:t>SS set overbooking can be allowed with multi-slot PDCCH monitoring capability same as the current specification but applied per slot group, i.e., SS set overbooking is allowed for USS in PCell and PSCell, and UE expects no overbooking for CSS in PCell and PSCell and no overbooking in SCell.</w:t>
            </w:r>
          </w:p>
          <w:p>
            <w:pPr>
              <w:pStyle w:val="82"/>
              <w:widowControl w:val="0"/>
              <w:numPr>
                <w:ilvl w:val="0"/>
                <w:numId w:val="64"/>
              </w:numPr>
              <w:spacing w:line="240" w:lineRule="auto"/>
            </w:pPr>
            <w:r>
              <w:t>The dropping rule for multi-slot PDCCH monitoring capability is the same as the current specification but evaluated per slot group, i.e., a UE drops UE specific search space set(s) in a slot group with higher index when SS sets are overbooked.</w:t>
            </w:r>
          </w:p>
          <w:p>
            <w:pPr>
              <w:pStyle w:val="82"/>
              <w:widowControl w:val="0"/>
              <w:numPr>
                <w:ilvl w:val="0"/>
                <w:numId w:val="64"/>
              </w:numPr>
              <w:spacing w:after="120" w:line="240" w:lineRule="auto"/>
            </w:pPr>
            <w:r>
              <w:t>Additional dropping rules are not precluded</w:t>
            </w:r>
          </w:p>
        </w:tc>
      </w:tr>
    </w:tbl>
    <w:p>
      <w:pPr>
        <w:rPr>
          <w:sz w:val="20"/>
          <w:szCs w:val="20"/>
        </w:rPr>
      </w:pPr>
    </w:p>
    <w:p>
      <w:pPr>
        <w:tabs>
          <w:tab w:val="left" w:pos="1300"/>
        </w:tabs>
        <w:spacing w:after="0"/>
        <w:jc w:val="both"/>
        <w:rPr>
          <w:rFonts w:eastAsia="宋体"/>
          <w:b/>
          <w:bCs/>
          <w:sz w:val="20"/>
          <w:szCs w:val="20"/>
          <w:lang w:eastAsia="zh-CN"/>
        </w:rPr>
      </w:pPr>
      <w:r>
        <w:rPr>
          <w:b/>
          <w:sz w:val="20"/>
          <w:szCs w:val="20"/>
          <w:u w:val="single"/>
        </w:rPr>
        <w:t>Proposal A3-4.6</w:t>
      </w:r>
      <w:r>
        <w:rPr>
          <w:b/>
          <w:sz w:val="20"/>
          <w:szCs w:val="20"/>
        </w:rPr>
        <w:t xml:space="preserve"> (see R1-2202130): </w:t>
      </w:r>
    </w:p>
    <w:p>
      <w:pPr>
        <w:rPr>
          <w:sz w:val="20"/>
          <w:szCs w:val="20"/>
        </w:rPr>
      </w:pPr>
      <w:r>
        <w:rPr>
          <w:sz w:val="20"/>
          <w:szCs w:val="20"/>
        </w:rPr>
        <w:t>If a SS set to be dropped by overbooking has multiple MOs within a slot group, they are dropped as a whole.</w:t>
      </w:r>
    </w:p>
    <w:p/>
    <w:p>
      <w:pPr>
        <w:rPr>
          <w:bCs/>
          <w:sz w:val="20"/>
          <w:szCs w:val="20"/>
          <w:lang w:eastAsia="zh-CN"/>
        </w:rPr>
      </w:pPr>
      <w:r>
        <w:rPr>
          <w:bCs/>
          <w:sz w:val="20"/>
          <w:szCs w:val="20"/>
          <w:lang w:eastAsia="zh-CN"/>
        </w:rPr>
        <w:t>From the discussion in RAN1#107-e, FL assumed that</w:t>
      </w:r>
      <w:r>
        <w:t xml:space="preserve"> </w:t>
      </w:r>
      <w:r>
        <w:rPr>
          <w:bCs/>
          <w:sz w:val="20"/>
          <w:szCs w:val="20"/>
          <w:lang w:eastAsia="zh-CN"/>
        </w:rPr>
        <w:t>Proposal A3-4.6 was the understanding when arriving at the agreement esp. in the second bullet. Companies are invited to state their views whether the proposal is in line with their understanding, and if this should be clarified/agreed in this meeting.</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We share same understanding as FL, dropping per search space set was agreed in the second bullet, and we wonder the extra specification impact of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Ericsson</w:t>
            </w:r>
          </w:p>
        </w:tc>
        <w:tc>
          <w:tcPr>
            <w:tcW w:w="12176" w:type="dxa"/>
            <w:vAlign w:val="center"/>
          </w:tcPr>
          <w:p>
            <w:pPr>
              <w:widowControl w:val="0"/>
              <w:rPr>
                <w:sz w:val="20"/>
                <w:lang w:eastAsia="zh-CN"/>
              </w:rPr>
            </w:pPr>
            <w:r>
              <w:rPr>
                <w:sz w:val="20"/>
                <w:lang w:eastAsia="zh-CN"/>
              </w:rPr>
              <w:t>We share the same understanding as the FL. 2</w:t>
            </w:r>
            <w:r>
              <w:rPr>
                <w:sz w:val="20"/>
                <w:vertAlign w:val="superscript"/>
                <w:lang w:eastAsia="zh-CN"/>
              </w:rPr>
              <w:t>nd</w:t>
            </w:r>
            <w:r>
              <w:rPr>
                <w:sz w:val="20"/>
                <w:lang w:eastAsia="zh-CN"/>
              </w:rPr>
              <w:t xml:space="preserve"> bullet of the agreement already covers this issue.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Qualcomm</w:t>
            </w:r>
          </w:p>
        </w:tc>
        <w:tc>
          <w:tcPr>
            <w:tcW w:w="12176" w:type="dxa"/>
            <w:vAlign w:val="center"/>
          </w:tcPr>
          <w:p>
            <w:pPr>
              <w:widowControl w:val="0"/>
              <w:rPr>
                <w:sz w:val="20"/>
                <w:lang w:eastAsia="zh-CN"/>
              </w:rPr>
            </w:pPr>
            <w:r>
              <w:rPr>
                <w:sz w:val="20"/>
                <w:lang w:eastAsia="zh-CN"/>
              </w:rPr>
              <w:t>From the discussion in RAN1 #107-e, we assumed that Proposal A3-4.6 was not fully clarified and the third bullet is opening the door for further discussion. For clarification, we think it’s good to explicitly capture an agreement like Proposal A3-4.6.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Nokia, NSB</w:t>
            </w:r>
          </w:p>
        </w:tc>
        <w:tc>
          <w:tcPr>
            <w:tcW w:w="12176" w:type="dxa"/>
            <w:vAlign w:val="center"/>
          </w:tcPr>
          <w:p>
            <w:pPr>
              <w:widowControl w:val="0"/>
              <w:rPr>
                <w:sz w:val="20"/>
                <w:lang w:eastAsia="zh-CN"/>
              </w:rPr>
            </w:pPr>
            <w:r>
              <w:rPr>
                <w:sz w:val="20"/>
                <w:lang w:eastAsia="zh-CN"/>
              </w:rPr>
              <w:t>We agree with the FL view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Intel</w:t>
            </w:r>
          </w:p>
        </w:tc>
        <w:tc>
          <w:tcPr>
            <w:tcW w:w="12176" w:type="dxa"/>
            <w:vAlign w:val="center"/>
          </w:tcPr>
          <w:p>
            <w:pPr>
              <w:widowControl w:val="0"/>
              <w:rPr>
                <w:sz w:val="20"/>
                <w:lang w:eastAsia="zh-CN"/>
              </w:rPr>
            </w:pPr>
            <w:r>
              <w:rPr>
                <w:sz w:val="20"/>
                <w:lang w:eastAsia="zh-CN"/>
              </w:rPr>
              <w:t>We share the same understanding as the FL.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rFonts w:hint="eastAsia"/>
                <w:lang w:eastAsia="zh-CN"/>
              </w:rPr>
              <w:t>ZTE, Sanechips</w:t>
            </w:r>
          </w:p>
        </w:tc>
        <w:tc>
          <w:tcPr>
            <w:tcW w:w="12176" w:type="dxa"/>
            <w:vAlign w:val="center"/>
          </w:tcPr>
          <w:p>
            <w:pPr>
              <w:widowControl w:val="0"/>
              <w:rPr>
                <w:sz w:val="20"/>
                <w:lang w:eastAsia="zh-CN"/>
              </w:rPr>
            </w:pPr>
            <w:r>
              <w:rPr>
                <w:rFonts w:hint="eastAsia"/>
                <w:sz w:val="20"/>
                <w:lang w:eastAsia="zh-CN"/>
              </w:rPr>
              <w:t>We agree with FL</w:t>
            </w:r>
            <w:r>
              <w:rPr>
                <w:sz w:val="20"/>
                <w:lang w:eastAsia="zh-CN"/>
              </w:rPr>
              <w:t>’</w:t>
            </w:r>
            <w:r>
              <w:rPr>
                <w:rFonts w:hint="eastAsia"/>
                <w:sz w:val="20"/>
                <w:lang w:eastAsia="zh-CN"/>
              </w:rPr>
              <w:t>s understanding.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sz w:val="20"/>
                <w:lang w:eastAsia="ja-JP"/>
              </w:rPr>
              <w:t>N</w:t>
            </w:r>
            <w:r>
              <w:rPr>
                <w:rFonts w:eastAsia="MS Mincho"/>
                <w:sz w:val="20"/>
                <w:lang w:eastAsia="ja-JP"/>
              </w:rPr>
              <w:t>TT DOCOMO</w:t>
            </w:r>
          </w:p>
        </w:tc>
        <w:tc>
          <w:tcPr>
            <w:tcW w:w="12176" w:type="dxa"/>
            <w:vAlign w:val="center"/>
          </w:tcPr>
          <w:p>
            <w:pPr>
              <w:widowControl w:val="0"/>
              <w:rPr>
                <w:sz w:val="20"/>
                <w:lang w:eastAsia="zh-CN"/>
              </w:rPr>
            </w:pPr>
            <w:r>
              <w:rPr>
                <w:rFonts w:eastAsia="MS Mincho"/>
                <w:szCs w:val="28"/>
                <w:lang w:eastAsia="ja-JP"/>
              </w:rPr>
              <w:t>We share the same understanding as FL.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sz w:val="20"/>
                <w:lang w:eastAsia="ja-JP"/>
              </w:rPr>
            </w:pPr>
            <w:r>
              <w:rPr>
                <w:sz w:val="20"/>
              </w:rPr>
              <w:t>LG Electronics</w:t>
            </w:r>
          </w:p>
        </w:tc>
        <w:tc>
          <w:tcPr>
            <w:tcW w:w="12176" w:type="dxa"/>
            <w:vAlign w:val="center"/>
          </w:tcPr>
          <w:p>
            <w:pPr>
              <w:widowControl w:val="0"/>
              <w:rPr>
                <w:rFonts w:eastAsia="MS Mincho"/>
                <w:szCs w:val="28"/>
                <w:lang w:eastAsia="ja-JP"/>
              </w:rPr>
            </w:pPr>
            <w:r>
              <w:rPr>
                <w:sz w:val="20"/>
                <w:lang w:eastAsia="zh-CN"/>
              </w:rPr>
              <w:t xml:space="preserve">We share the same understanding as the FL.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sz w:val="20"/>
                <w:lang w:eastAsia="zh-CN"/>
              </w:rPr>
              <w:t>Transsion</w:t>
            </w:r>
          </w:p>
        </w:tc>
        <w:tc>
          <w:tcPr>
            <w:tcW w:w="12176" w:type="dxa"/>
            <w:vAlign w:val="center"/>
          </w:tcPr>
          <w:p>
            <w:pPr>
              <w:widowControl w:val="0"/>
              <w:rPr>
                <w:sz w:val="20"/>
                <w:lang w:eastAsia="zh-CN"/>
              </w:rPr>
            </w:pPr>
            <w:r>
              <w:rPr>
                <w:rFonts w:hint="eastAsia"/>
                <w:sz w:val="20"/>
                <w:lang w:eastAsia="zh-CN"/>
              </w:rPr>
              <w:t>We agree with FL</w:t>
            </w:r>
            <w:r>
              <w:rPr>
                <w:sz w:val="20"/>
                <w:lang w:eastAsia="zh-CN"/>
              </w:rPr>
              <w:t>’</w:t>
            </w:r>
            <w:r>
              <w:rPr>
                <w:rFonts w:hint="eastAsia"/>
                <w:sz w:val="20"/>
                <w:lang w:eastAsia="zh-CN"/>
              </w:rPr>
              <w:t>s understanding.</w:t>
            </w:r>
          </w:p>
        </w:tc>
      </w:tr>
    </w:tbl>
    <w:tbl>
      <w:tblPr>
        <w:tblStyle w:val="284"/>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spacing w:line="240" w:lineRule="auto"/>
              <w:rPr>
                <w:sz w:val="20"/>
                <w:lang w:eastAsia="ja-JP"/>
              </w:rPr>
            </w:pPr>
            <w:r>
              <w:rPr>
                <w:sz w:val="20"/>
                <w:lang w:eastAsia="ja-JP"/>
              </w:rPr>
              <w:t>Futurewei</w:t>
            </w:r>
          </w:p>
        </w:tc>
        <w:tc>
          <w:tcPr>
            <w:tcW w:w="12176" w:type="dxa"/>
            <w:vAlign w:val="center"/>
          </w:tcPr>
          <w:p>
            <w:pPr>
              <w:widowControl w:val="0"/>
              <w:spacing w:line="240" w:lineRule="auto"/>
              <w:rPr>
                <w:sz w:val="20"/>
                <w:lang w:eastAsia="zh-CN"/>
              </w:rPr>
            </w:pPr>
            <w:r>
              <w:rPr>
                <w:sz w:val="20"/>
                <w:lang w:eastAsia="zh-CN"/>
              </w:rPr>
              <w:t>We agree with the FL view</w:t>
            </w:r>
          </w:p>
        </w:tc>
      </w:tr>
    </w:tbl>
    <w:p/>
    <w:p>
      <w:pPr>
        <w:pStyle w:val="5"/>
      </w:pPr>
      <w:r>
        <w:t>First round discussion summary</w:t>
      </w:r>
    </w:p>
    <w:p>
      <w:pPr>
        <w:rPr>
          <w:sz w:val="20"/>
          <w:szCs w:val="20"/>
          <w:lang w:val="en-GB" w:eastAsia="zh-CN"/>
        </w:rPr>
      </w:pPr>
      <w:r>
        <w:rPr>
          <w:sz w:val="20"/>
          <w:szCs w:val="20"/>
          <w:lang w:val="en-GB" w:eastAsia="zh-CN"/>
        </w:rPr>
        <w:t>After the first round, it seems Proposal A3-4.1 could be further discussed after clarification. Additionally, there seems to be interest in further discussing especially for Proposals A3-4.3 and A3-4.4. Also, a clarification on current dropping possibility after SSSG switching or n0 change is requested.</w:t>
      </w:r>
    </w:p>
    <w:p>
      <w:pPr>
        <w:rPr>
          <w:sz w:val="20"/>
          <w:szCs w:val="20"/>
          <w:lang w:val="en-GB" w:eastAsia="zh-CN"/>
        </w:rPr>
      </w:pPr>
      <w:r>
        <w:rPr>
          <w:sz w:val="20"/>
          <w:szCs w:val="20"/>
          <w:lang w:val="en-GB" w:eastAsia="zh-CN"/>
        </w:rPr>
        <w:t>Regarding Proposal A3-4.6, most companies don't see a need for any additional agreement. FL notes that even though the earlier agreement's third bullet allows discussion for further dropping rules, these further dropping rules would need to be agreed (like other proposals listed under this issue). Therefore FL thinks no further discussion on Proposal A3-4.6 is necessary at this point.</w:t>
      </w:r>
    </w:p>
    <w:p>
      <w:pPr>
        <w:rPr>
          <w:sz w:val="20"/>
          <w:szCs w:val="20"/>
          <w:lang w:val="en-GB" w:eastAsia="zh-CN"/>
        </w:rPr>
      </w:pPr>
      <w:r>
        <w:rPr>
          <w:sz w:val="20"/>
          <w:szCs w:val="20"/>
          <w:lang w:val="en-GB" w:eastAsia="zh-CN"/>
        </w:rPr>
        <w:t>FL suggests to continue the discussion on Proposals A3-4.1 to A3-4.5 taking the open questions into account.</w:t>
      </w:r>
    </w:p>
    <w:p>
      <w:pPr>
        <w:pStyle w:val="5"/>
      </w:pPr>
      <w:r>
        <w:t>Second round discussion</w:t>
      </w:r>
    </w:p>
    <w:p>
      <w:pPr>
        <w:rPr>
          <w:sz w:val="20"/>
          <w:szCs w:val="20"/>
          <w:highlight w:val="yellow"/>
          <w:lang w:eastAsia="zh-CN"/>
        </w:rPr>
      </w:pPr>
      <w:r>
        <w:rPr>
          <w:bCs/>
          <w:sz w:val="20"/>
          <w:szCs w:val="20"/>
          <w:highlight w:val="yellow"/>
          <w:lang w:val="en-GB" w:eastAsia="zh-CN"/>
        </w:rPr>
        <w:t xml:space="preserve">In view of the first round discussion, </w:t>
      </w:r>
      <w:r>
        <w:rPr>
          <w:sz w:val="20"/>
          <w:szCs w:val="20"/>
          <w:highlight w:val="yellow"/>
          <w:lang w:val="en-GB" w:eastAsia="zh-CN"/>
        </w:rPr>
        <w:t>continue the discussion on Proposals A3-4.1 to A3-4.5</w:t>
      </w:r>
      <w:r>
        <w:rPr>
          <w:sz w:val="20"/>
          <w:szCs w:val="20"/>
          <w:highlight w:val="yellow"/>
          <w:lang w:eastAsia="zh-CN"/>
        </w:rPr>
        <w:t>. Some first round discussion input is qu</w:t>
      </w:r>
      <w:r>
        <w:rPr>
          <w:sz w:val="20"/>
          <w:szCs w:val="20"/>
          <w:highlight w:val="yellow"/>
          <w:lang w:val="en-GB" w:eastAsia="zh-CN"/>
        </w:rPr>
        <w:t>oted below for convenience.</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D8D8D8" w:themeFill="background1" w:themeFillShade="D9"/>
            <w:vAlign w:val="center"/>
          </w:tcPr>
          <w:p>
            <w:pPr>
              <w:widowControl w:val="0"/>
              <w:rPr>
                <w:sz w:val="20"/>
                <w:lang w:eastAsia="zh-CN"/>
              </w:rPr>
            </w:pPr>
            <w:r>
              <w:rPr>
                <w:sz w:val="20"/>
              </w:rPr>
              <w:t>Qualcomm (from first round)</w:t>
            </w:r>
          </w:p>
        </w:tc>
        <w:tc>
          <w:tcPr>
            <w:tcW w:w="12176" w:type="dxa"/>
            <w:shd w:val="clear" w:color="auto" w:fill="D8D8D8" w:themeFill="background1" w:themeFillShade="D9"/>
            <w:vAlign w:val="center"/>
          </w:tcPr>
          <w:p>
            <w:pPr>
              <w:widowControl w:val="0"/>
              <w:rPr>
                <w:lang w:eastAsia="zh-CN"/>
              </w:rPr>
            </w:pPr>
            <w:r>
              <w:rPr>
                <w:sz w:val="20"/>
                <w:lang w:eastAsia="zh-CN"/>
              </w:rPr>
              <w:t>We support Proposals A3-4.3 and A3-4.4. The issue is relevant to the case that two SSSGs are configured with different (Xs,Ys) values and, thus, it could be revisited after Issue A2-6 discussion.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D8D8D8" w:themeFill="background1" w:themeFillShade="D9"/>
            <w:vAlign w:val="center"/>
          </w:tcPr>
          <w:p>
            <w:pPr>
              <w:widowControl w:val="0"/>
              <w:rPr>
                <w:lang w:eastAsia="zh-CN"/>
              </w:rPr>
            </w:pPr>
            <w:r>
              <w:rPr>
                <w:sz w:val="20"/>
                <w:lang w:eastAsia="zh-CN"/>
              </w:rPr>
              <w:t>Intel (from first round)</w:t>
            </w:r>
          </w:p>
        </w:tc>
        <w:tc>
          <w:tcPr>
            <w:tcW w:w="12176" w:type="dxa"/>
            <w:shd w:val="clear" w:color="auto" w:fill="D8D8D8" w:themeFill="background1" w:themeFillShade="D9"/>
            <w:vAlign w:val="center"/>
          </w:tcPr>
          <w:p>
            <w:pPr>
              <w:widowControl w:val="0"/>
              <w:rPr>
                <w:lang w:eastAsia="zh-CN"/>
              </w:rPr>
            </w:pPr>
            <w:r>
              <w:rPr>
                <w:lang w:eastAsia="zh-CN"/>
              </w:rPr>
              <w:t xml:space="preserve">Proposal A3-4.1: we prefer to make an agreement or conclusion on this proposal. Specifically, if a MO of Type0A/2 CSS set with searchSpaceID non-zero is mapped by a beam that is different from the </w:t>
            </w:r>
            <w:r>
              <w:rPr>
                <w:rFonts w:hint="eastAsia"/>
                <w:lang w:eastAsia="zh-CN"/>
              </w:rPr>
              <w:t>UE</w:t>
            </w:r>
            <w:r>
              <w:rPr>
                <w:lang w:eastAsia="zh-CN"/>
              </w:rPr>
              <w:t xml:space="preserve">’s SSB, shall </w:t>
            </w:r>
            <w:r>
              <w:rPr>
                <w:rFonts w:hint="eastAsia"/>
                <w:lang w:eastAsia="zh-CN"/>
              </w:rPr>
              <w:t>UE</w:t>
            </w:r>
            <w:r>
              <w:rPr>
                <w:lang w:eastAsia="zh-CN"/>
              </w:rPr>
              <w:t xml:space="preserve"> monitor the MO of Type0A/2 CSS </w:t>
            </w:r>
            <w:r>
              <w:rPr>
                <w:rFonts w:hint="eastAsia"/>
                <w:lang w:eastAsia="zh-CN"/>
              </w:rPr>
              <w:t>set</w:t>
            </w:r>
            <w:r>
              <w:rPr>
                <w:lang w:eastAsia="zh-CN"/>
              </w:rPr>
              <w:t>? The critical impact is if such MO is counted in total number of BD/CCE for the slot group, it likely consumes all BD/CCE budget. As a results UE cannot be scheduled at all. This is not desired.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D8D8D8" w:themeFill="background1" w:themeFillShade="D9"/>
            <w:vAlign w:val="center"/>
          </w:tcPr>
          <w:p>
            <w:pPr>
              <w:widowControl w:val="0"/>
              <w:rPr>
                <w:sz w:val="20"/>
              </w:rPr>
            </w:pPr>
            <w:r>
              <w:rPr>
                <w:sz w:val="20"/>
              </w:rPr>
              <w:t>Lenovo (from first round)</w:t>
            </w:r>
          </w:p>
        </w:tc>
        <w:tc>
          <w:tcPr>
            <w:tcW w:w="12176" w:type="dxa"/>
            <w:shd w:val="clear" w:color="auto" w:fill="D8D8D8" w:themeFill="background1" w:themeFillShade="D9"/>
            <w:vAlign w:val="center"/>
          </w:tcPr>
          <w:p>
            <w:pPr>
              <w:widowControl w:val="0"/>
              <w:rPr>
                <w:sz w:val="20"/>
                <w:lang w:eastAsia="zh-CN"/>
              </w:rPr>
            </w:pPr>
            <w:r>
              <w:rPr>
                <w:sz w:val="20"/>
                <w:lang w:eastAsia="zh-CN"/>
              </w:rPr>
              <w:t>Question to Samsung's (+others') view about Proposal A3-4.2 and Proposal A3-4.5: Do you intend to say that a UE is expected to apply dropping even though the specification doesn't allow dropping? Or is the point that existing dropping rules allow such dropping, especially for the cases of SSSG switching and n0 change?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rFonts w:hint="eastAsia"/>
                <w:sz w:val="21"/>
                <w:szCs w:val="21"/>
                <w:lang w:eastAsia="zh-CN"/>
              </w:rPr>
              <w:t>ZTE, Sanechips</w:t>
            </w:r>
          </w:p>
        </w:tc>
        <w:tc>
          <w:tcPr>
            <w:tcW w:w="12176" w:type="dxa"/>
            <w:vAlign w:val="center"/>
          </w:tcPr>
          <w:p>
            <w:pPr>
              <w:widowControl w:val="0"/>
              <w:rPr>
                <w:sz w:val="20"/>
                <w:lang w:eastAsia="zh-CN"/>
              </w:rPr>
            </w:pPr>
            <w:r>
              <w:rPr>
                <w:rFonts w:hint="eastAsia"/>
                <w:sz w:val="20"/>
                <w:lang w:eastAsia="zh-CN"/>
              </w:rPr>
              <w:t>We don</w:t>
            </w:r>
            <w:r>
              <w:rPr>
                <w:sz w:val="20"/>
                <w:lang w:eastAsia="zh-CN"/>
              </w:rPr>
              <w:t>’</w:t>
            </w:r>
            <w:r>
              <w:rPr>
                <w:rFonts w:hint="eastAsia"/>
                <w:sz w:val="20"/>
                <w:lang w:eastAsia="zh-CN"/>
              </w:rPr>
              <w:t>t think additional rules are needed.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Intel2</w:t>
            </w:r>
          </w:p>
        </w:tc>
        <w:tc>
          <w:tcPr>
            <w:tcW w:w="12176" w:type="dxa"/>
            <w:vAlign w:val="center"/>
          </w:tcPr>
          <w:p>
            <w:pPr>
              <w:widowControl w:val="0"/>
              <w:rPr>
                <w:sz w:val="20"/>
                <w:lang w:eastAsia="zh-CN"/>
              </w:rPr>
            </w:pPr>
            <w:r>
              <w:rPr>
                <w:sz w:val="20"/>
                <w:lang w:eastAsia="zh-CN"/>
              </w:rPr>
              <w:t xml:space="preserve">We share Qualcomm’s view, i.e. to support A3-4.3 and A3-4.4 in principle and fine to wait until issue A2-6 is concluded. </w:t>
            </w:r>
          </w:p>
          <w:p>
            <w:pPr>
              <w:widowControl w:val="0"/>
              <w:rPr>
                <w:sz w:val="20"/>
                <w:lang w:eastAsia="zh-CN"/>
              </w:rPr>
            </w:pPr>
            <w:r>
              <w:rPr>
                <w:sz w:val="20"/>
                <w:lang w:eastAsia="zh-CN"/>
              </w:rPr>
              <w:t>For Proposal A3-4.1, we still have the above question. If the SS set is actually not monitored by UE which is also known to gNB, can UE just drop the SS sets so that more BD/CCE can be used for USS sets? Welcome for more technical comments on 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Samsung</w:t>
            </w:r>
          </w:p>
        </w:tc>
        <w:tc>
          <w:tcPr>
            <w:tcW w:w="12176" w:type="dxa"/>
            <w:vAlign w:val="center"/>
          </w:tcPr>
          <w:p>
            <w:pPr>
              <w:widowControl w:val="0"/>
              <w:rPr>
                <w:sz w:val="20"/>
                <w:lang w:eastAsia="zh-CN"/>
              </w:rPr>
            </w:pPr>
            <w:r>
              <w:rPr>
                <w:sz w:val="20"/>
                <w:lang w:eastAsia="zh-CN"/>
              </w:rPr>
              <w:t xml:space="preserve">Response to Lenovo: Our understanding is current specification can already handle the dropping in general (always consider a slot group as a unit), and the cases of SSSG switching and n0 change is already included. There is no need of special treatment on the back-to-back PDCCH monitoring issue, since it’s about across the slot groups if we understand correctly of the proposals. </w:t>
            </w:r>
          </w:p>
          <w:p>
            <w:pPr>
              <w:widowControl w:val="0"/>
              <w:rPr>
                <w:sz w:val="20"/>
                <w:lang w:eastAsia="zh-CN"/>
              </w:rPr>
            </w:pPr>
            <w:r>
              <w:rPr>
                <w:sz w:val="20"/>
                <w:lang w:eastAsia="zh-CN"/>
              </w:rPr>
              <w:t xml:space="preserve">Response to Intel: We believe the example can be avoided by gNB’s implementation. We don’t think it’s reasonable to agree on a rule to exclude some MO from counting the BD/CCE budget. It’s true that the BD/CCE budget is not large for 480/960, but the agreement on that numbers should already implies restriction to gNB’s scheduling, and no special treatment to a particular SS should be further agreed.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rFonts w:hint="eastAsia" w:eastAsia="MS Mincho"/>
                <w:sz w:val="20"/>
                <w:lang w:eastAsia="ja-JP"/>
              </w:rPr>
              <w:t>Sharp</w:t>
            </w:r>
          </w:p>
        </w:tc>
        <w:tc>
          <w:tcPr>
            <w:tcW w:w="12176" w:type="dxa"/>
            <w:vAlign w:val="center"/>
          </w:tcPr>
          <w:p>
            <w:pPr>
              <w:widowControl w:val="0"/>
              <w:rPr>
                <w:sz w:val="20"/>
                <w:lang w:eastAsia="zh-CN"/>
              </w:rPr>
            </w:pPr>
            <w:r>
              <w:rPr>
                <w:rFonts w:eastAsia="MS Mincho"/>
                <w:sz w:val="20"/>
                <w:lang w:eastAsia="ja-JP"/>
              </w:rPr>
              <w:t>We share Qualcomm’s vies and support Proposal A3-4.4. Also, agree with Intel's point in the first round that an Xs slot either before or after the switching boundary is sufficient.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sz w:val="20"/>
                <w:lang w:eastAsia="ja-JP"/>
              </w:rPr>
            </w:pPr>
            <w:r>
              <w:rPr>
                <w:rFonts w:hint="eastAsia" w:eastAsia="MS Mincho"/>
                <w:sz w:val="20"/>
                <w:lang w:eastAsia="ja-JP"/>
              </w:rPr>
              <w:t>N</w:t>
            </w:r>
            <w:r>
              <w:rPr>
                <w:rFonts w:eastAsia="MS Mincho"/>
                <w:sz w:val="20"/>
                <w:lang w:eastAsia="ja-JP"/>
              </w:rPr>
              <w:t>TT DOCOMO</w:t>
            </w:r>
          </w:p>
        </w:tc>
        <w:tc>
          <w:tcPr>
            <w:tcW w:w="12176" w:type="dxa"/>
            <w:vAlign w:val="center"/>
          </w:tcPr>
          <w:p>
            <w:pPr>
              <w:widowControl w:val="0"/>
              <w:rPr>
                <w:rFonts w:eastAsia="MS Mincho"/>
                <w:sz w:val="20"/>
                <w:lang w:eastAsia="ja-JP"/>
              </w:rPr>
            </w:pPr>
            <w:r>
              <w:rPr>
                <w:rFonts w:eastAsia="MS Mincho"/>
                <w:sz w:val="20"/>
                <w:szCs w:val="20"/>
                <w:lang w:eastAsia="ja-JP"/>
              </w:rPr>
              <w:t>For Proposal A3-4.3 and A3-4.4, if Proposal A2-6.2 is supported as a result of IssueA2-6 discussion, such additional dropping rule is not necessary. In addition, even if Proposal A2-6.1 is supported in IssueA2-6, we tend to agree with Ericsson that USS dropping is conducted only per slot-group and sliding window-like checking, i.e., BD/CCE budget calculation across slot group boundary, should not be considered. Similarly for Proposal A3-4.2 and A3-4.5, we don’t think additional dropping rule is necessary.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sz w:val="20"/>
                <w:lang w:eastAsia="ja-JP"/>
              </w:rPr>
            </w:pPr>
            <w:r>
              <w:rPr>
                <w:rFonts w:eastAsia="MS Mincho"/>
                <w:sz w:val="20"/>
                <w:lang w:eastAsia="ja-JP"/>
              </w:rPr>
              <w:t>Apple</w:t>
            </w:r>
          </w:p>
        </w:tc>
        <w:tc>
          <w:tcPr>
            <w:tcW w:w="12176" w:type="dxa"/>
            <w:vAlign w:val="center"/>
          </w:tcPr>
          <w:p>
            <w:pPr>
              <w:widowControl w:val="0"/>
              <w:rPr>
                <w:rFonts w:eastAsia="MS Mincho"/>
                <w:sz w:val="20"/>
                <w:szCs w:val="20"/>
                <w:lang w:eastAsia="ja-JP"/>
              </w:rPr>
            </w:pPr>
            <w:r>
              <w:rPr>
                <w:rFonts w:eastAsia="MS Mincho"/>
                <w:sz w:val="20"/>
                <w:szCs w:val="20"/>
                <w:lang w:eastAsia="ja-JP"/>
              </w:rPr>
              <w:t>Proposal A3-4.3 and A3-4.4 are dependent on the decision in A2-6. These should be discussed concurrently. If decided, we peref A3-4.4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sz w:val="20"/>
                <w:lang w:eastAsia="ja-JP"/>
              </w:rPr>
            </w:pPr>
            <w:r>
              <w:rPr>
                <w:rFonts w:eastAsia="MS Mincho"/>
                <w:sz w:val="20"/>
                <w:lang w:eastAsia="ja-JP"/>
              </w:rPr>
              <w:t>LG Electronics</w:t>
            </w:r>
          </w:p>
        </w:tc>
        <w:tc>
          <w:tcPr>
            <w:tcW w:w="12176" w:type="dxa"/>
            <w:vAlign w:val="center"/>
          </w:tcPr>
          <w:p>
            <w:pPr>
              <w:widowControl w:val="0"/>
              <w:rPr>
                <w:sz w:val="20"/>
                <w:lang w:eastAsia="zh-CN"/>
              </w:rPr>
            </w:pPr>
            <w:r>
              <w:rPr>
                <w:rFonts w:eastAsia="MS Mincho"/>
                <w:sz w:val="20"/>
                <w:szCs w:val="20"/>
                <w:lang w:eastAsia="ja-JP"/>
              </w:rPr>
              <w:t xml:space="preserve">As commented by Qualcomm in the first round, Proposals A3-4.3 and A3-4.4 are relevant to the </w:t>
            </w:r>
            <w:r>
              <w:rPr>
                <w:sz w:val="20"/>
                <w:lang w:eastAsia="zh-CN"/>
              </w:rPr>
              <w:t>SSSG switching with different (Xs,Ys) combinations. We can revisit this after A2-6 discussion.</w:t>
            </w:r>
          </w:p>
          <w:p>
            <w:pPr>
              <w:widowControl w:val="0"/>
              <w:rPr>
                <w:rFonts w:eastAsia="MS Mincho"/>
                <w:sz w:val="20"/>
                <w:szCs w:val="20"/>
                <w:lang w:eastAsia="ja-JP"/>
              </w:rPr>
            </w:pPr>
            <w:r>
              <w:rPr>
                <w:sz w:val="20"/>
                <w:lang w:eastAsia="zh-CN"/>
              </w:rPr>
              <w:t xml:space="preserve">For </w:t>
            </w:r>
            <w:r>
              <w:rPr>
                <w:rFonts w:eastAsia="MS Mincho"/>
                <w:sz w:val="20"/>
                <w:szCs w:val="20"/>
                <w:lang w:eastAsia="ja-JP"/>
              </w:rPr>
              <w:t>Proposal A3-4.2 and A3-4.5, we don’t think additional dropping rule is necessary. We agree to Samsung’s clarifications.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sz w:val="20"/>
                <w:lang w:eastAsia="ja-JP"/>
              </w:rPr>
            </w:pPr>
            <w:r>
              <w:rPr>
                <w:rFonts w:eastAsia="MS Mincho"/>
                <w:sz w:val="20"/>
                <w:lang w:eastAsia="ja-JP"/>
              </w:rPr>
              <w:t>Futurewei</w:t>
            </w:r>
          </w:p>
        </w:tc>
        <w:tc>
          <w:tcPr>
            <w:tcW w:w="12176" w:type="dxa"/>
            <w:vAlign w:val="center"/>
          </w:tcPr>
          <w:p>
            <w:pPr>
              <w:widowControl w:val="0"/>
              <w:rPr>
                <w:rFonts w:eastAsia="MS Mincho"/>
                <w:sz w:val="20"/>
                <w:szCs w:val="20"/>
                <w:lang w:eastAsia="ja-JP"/>
              </w:rPr>
            </w:pPr>
            <w:r>
              <w:rPr>
                <w:rFonts w:eastAsia="MS Mincho"/>
                <w:sz w:val="20"/>
                <w:szCs w:val="20"/>
                <w:lang w:eastAsia="ja-JP"/>
              </w:rPr>
              <w:t>We prefer to discuss Proposal A3-4.3 and A3-4.4 after A2-6 is concluded. For A3-4.2 and A3-4.5 we do not think additional dropping rules are necessary.</w:t>
            </w:r>
          </w:p>
        </w:tc>
      </w:tr>
    </w:tbl>
    <w:p/>
    <w:p>
      <w:pPr>
        <w:pStyle w:val="5"/>
      </w:pPr>
      <w:r>
        <w:t>Second round discussion summary</w:t>
      </w:r>
    </w:p>
    <w:p>
      <w:pPr>
        <w:rPr>
          <w:sz w:val="20"/>
          <w:szCs w:val="20"/>
          <w:lang w:eastAsia="zh-CN"/>
        </w:rPr>
      </w:pPr>
      <w:r>
        <w:rPr>
          <w:sz w:val="20"/>
          <w:szCs w:val="20"/>
          <w:lang w:eastAsia="zh-CN"/>
        </w:rPr>
        <w:t xml:space="preserve">It seems there is no consensus on </w:t>
      </w:r>
      <w:r>
        <w:rPr>
          <w:rFonts w:eastAsia="MS Mincho"/>
          <w:sz w:val="20"/>
          <w:szCs w:val="20"/>
          <w:lang w:eastAsia="ja-JP"/>
        </w:rPr>
        <w:t>A3-4.2 and A3-4.5</w:t>
      </w:r>
      <w:r>
        <w:rPr>
          <w:sz w:val="20"/>
          <w:szCs w:val="20"/>
          <w:lang w:eastAsia="zh-CN"/>
        </w:rPr>
        <w:t>. Dicussion may continue for Proposal A3-4.3 and A3-4.4, though companies have mentioned that its outcome will depend on progress in Issue A2-6.</w:t>
      </w:r>
    </w:p>
    <w:p>
      <w:pPr>
        <w:pStyle w:val="5"/>
      </w:pPr>
      <w:r>
        <w:t>Third round discussion</w:t>
      </w:r>
    </w:p>
    <w:p>
      <w:pPr>
        <w:rPr>
          <w:sz w:val="21"/>
          <w:szCs w:val="21"/>
          <w:lang w:eastAsia="zh-CN"/>
        </w:rPr>
      </w:pPr>
      <w:r>
        <w:rPr>
          <w:sz w:val="21"/>
          <w:szCs w:val="21"/>
          <w:lang w:eastAsia="zh-CN"/>
        </w:rPr>
        <w:t>Please continue the discussion focussing on Proposal A3-4.3 and A3-4.4.</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sz w:val="20"/>
                <w:lang w:eastAsia="ja-JP"/>
              </w:rPr>
            </w:pPr>
            <w:r>
              <w:rPr>
                <w:rFonts w:hint="eastAsia" w:eastAsia="MS Mincho"/>
                <w:sz w:val="20"/>
                <w:lang w:eastAsia="ja-JP"/>
              </w:rPr>
              <w:t>N</w:t>
            </w:r>
            <w:r>
              <w:rPr>
                <w:rFonts w:eastAsia="MS Mincho"/>
                <w:sz w:val="20"/>
                <w:lang w:eastAsia="ja-JP"/>
              </w:rPr>
              <w:t>TT DOCOMO</w:t>
            </w:r>
          </w:p>
        </w:tc>
        <w:tc>
          <w:tcPr>
            <w:tcW w:w="12176" w:type="dxa"/>
            <w:vAlign w:val="center"/>
          </w:tcPr>
          <w:p>
            <w:pPr>
              <w:widowControl w:val="0"/>
              <w:rPr>
                <w:rFonts w:eastAsia="MS Mincho"/>
                <w:lang w:eastAsia="ja-JP"/>
              </w:rPr>
            </w:pPr>
            <w:r>
              <w:rPr>
                <w:rFonts w:eastAsia="MS Mincho"/>
                <w:lang w:eastAsia="ja-JP"/>
              </w:rPr>
              <w:t>We are fine to discuss this issue after the progress on Issue A2-6 while we don’t see the need for the additional dropping rules as commented in the previous round.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ascii="Times New Roman" w:hAnsi="Times New Roman" w:cs="Times New Roman" w:eastAsiaTheme="minorEastAsia"/>
                <w:sz w:val="20"/>
                <w:szCs w:val="22"/>
                <w:lang w:val="en-US" w:eastAsia="zh-CN" w:bidi="ar-SA"/>
              </w:rPr>
            </w:pPr>
            <w:r>
              <w:rPr>
                <w:rFonts w:hint="eastAsia"/>
                <w:sz w:val="21"/>
                <w:szCs w:val="21"/>
                <w:lang w:eastAsia="zh-CN"/>
              </w:rPr>
              <w:t>ZTE, Sanechips</w:t>
            </w:r>
          </w:p>
        </w:tc>
        <w:tc>
          <w:tcPr>
            <w:tcW w:w="12176" w:type="dxa"/>
            <w:vAlign w:val="center"/>
          </w:tcPr>
          <w:p>
            <w:pPr>
              <w:widowControl w:val="0"/>
              <w:rPr>
                <w:rFonts w:hint="default" w:ascii="Times New Roman" w:hAnsi="Times New Roman" w:cs="Times New Roman" w:eastAsiaTheme="minorEastAsia"/>
                <w:sz w:val="22"/>
                <w:szCs w:val="22"/>
                <w:lang w:val="en-US" w:eastAsia="zh-CN" w:bidi="ar-SA"/>
              </w:rPr>
            </w:pPr>
            <w:r>
              <w:rPr>
                <w:rFonts w:hint="eastAsia"/>
                <w:lang w:val="en-US" w:eastAsia="zh-CN"/>
              </w:rPr>
              <w:t>We prefer to revisit</w:t>
            </w:r>
            <w:r>
              <w:rPr>
                <w:sz w:val="21"/>
                <w:szCs w:val="21"/>
                <w:lang w:eastAsia="zh-CN"/>
              </w:rPr>
              <w:t xml:space="preserve"> Proposal A3-4.3 and A3-4.4</w:t>
            </w:r>
            <w:r>
              <w:rPr>
                <w:rFonts w:hint="eastAsia"/>
                <w:sz w:val="21"/>
                <w:szCs w:val="21"/>
                <w:lang w:val="en-US" w:eastAsia="zh-CN"/>
              </w:rPr>
              <w:t xml:space="preserve"> after reaching an agreement on isssue A2-6.</w:t>
            </w:r>
          </w:p>
        </w:tc>
      </w:tr>
    </w:tbl>
    <w:p/>
    <w:p>
      <w:pPr>
        <w:pStyle w:val="3"/>
      </w:pPr>
      <w:r>
        <w:t>(Closed) Topic B: Multi-Beam Aspects</w:t>
      </w:r>
    </w:p>
    <w:p>
      <w:pPr>
        <w:tabs>
          <w:tab w:val="left" w:pos="1300"/>
        </w:tabs>
        <w:spacing w:after="0"/>
        <w:jc w:val="both"/>
        <w:rPr>
          <w:b/>
          <w:sz w:val="20"/>
          <w:szCs w:val="20"/>
        </w:rPr>
      </w:pPr>
      <w:r>
        <w:rPr>
          <w:b/>
          <w:sz w:val="20"/>
          <w:szCs w:val="20"/>
        </w:rPr>
        <w:t>R1-2201266:</w:t>
      </w:r>
    </w:p>
    <w:p>
      <w:pPr>
        <w:rPr>
          <w:sz w:val="20"/>
          <w:szCs w:val="20"/>
        </w:rPr>
      </w:pPr>
      <w:r>
        <w:rPr>
          <w:sz w:val="20"/>
          <w:szCs w:val="20"/>
        </w:rPr>
        <w:t>Proposal 2: the UE can share gNB COT only if the UL transmission resources are within the gNB COT and the UL transmission beam is covered by the gNB sensing beam for directional LBT.</w:t>
      </w:r>
    </w:p>
    <w:p>
      <w:pPr>
        <w:rPr>
          <w:sz w:val="20"/>
          <w:szCs w:val="20"/>
        </w:rPr>
      </w:pPr>
      <w:r>
        <w:rPr>
          <w:sz w:val="20"/>
          <w:szCs w:val="20"/>
        </w:rPr>
        <w:t xml:space="preserve">Proposal 3: For higher layer configured CSI-RS reception, the UE performs the reception if the CSI-RS resources are within the gNB COT and the gNB’s sensing beam covers the CSI-RS beam. </w:t>
      </w:r>
    </w:p>
    <w:p>
      <w:pPr>
        <w:rPr>
          <w:sz w:val="20"/>
          <w:szCs w:val="20"/>
        </w:rPr>
      </w:pPr>
      <w:r>
        <w:rPr>
          <w:sz w:val="20"/>
          <w:szCs w:val="20"/>
        </w:rPr>
        <w:t xml:space="preserve">Proposal 4: In FR2-2 unlicensed band, the pre-configured downlink reception is not only confirmed by the SFI indication but also by gNB’s sensing beam, e.g., UE should cancel the downlink reception within the gNB COT if the gNB sensing beam does not cover the downlink transmission beam. </w:t>
      </w:r>
    </w:p>
    <w:p>
      <w:pPr>
        <w:rPr>
          <w:sz w:val="20"/>
          <w:szCs w:val="20"/>
        </w:rPr>
      </w:pPr>
      <w:r>
        <w:rPr>
          <w:sz w:val="20"/>
          <w:szCs w:val="20"/>
        </w:rPr>
        <w:t>Proposal 5: R17 should allow UE to skip PDCCH monitoring in the CORESET associated with a beam uncovered by the gNB sensing beam within the gNB COT.</w:t>
      </w:r>
    </w:p>
    <w:p>
      <w:pPr>
        <w:tabs>
          <w:tab w:val="left" w:pos="1300"/>
        </w:tabs>
        <w:spacing w:after="0"/>
        <w:rPr>
          <w:rFonts w:eastAsia="宋体"/>
          <w:b/>
          <w:sz w:val="20"/>
          <w:szCs w:val="20"/>
          <w:lang w:eastAsia="zh-CN"/>
        </w:rPr>
      </w:pPr>
      <w:r>
        <w:rPr>
          <w:b/>
          <w:sz w:val="20"/>
          <w:szCs w:val="20"/>
          <w:highlight w:val="cyan"/>
          <w:lang w:eastAsia="zh-CN"/>
        </w:rPr>
        <w:t xml:space="preserve">FL Note: </w:t>
      </w:r>
      <w:r>
        <w:rPr>
          <w:b/>
          <w:sz w:val="20"/>
          <w:szCs w:val="20"/>
          <w:highlight w:val="cyan"/>
        </w:rPr>
        <w:t>As per chairman's guidance in RAN1#107bis_e, the topics related to proposals in R1-2201266 were moved to AI 8.2.6 (channel access), therefore no discussion will occur in this AI.</w:t>
      </w:r>
    </w:p>
    <w:p>
      <w:pPr>
        <w:rPr>
          <w:lang w:val="en-GB"/>
        </w:rPr>
      </w:pPr>
    </w:p>
    <w:p>
      <w:pPr>
        <w:pStyle w:val="3"/>
      </w:pPr>
      <w:r>
        <w:t>Topic C: Multi-Cell Operation, Cross-carrier scheduling (except BD aspects)</w:t>
      </w:r>
    </w:p>
    <w:p>
      <w:pPr>
        <w:pStyle w:val="4"/>
      </w:pPr>
      <w:r>
        <w:t xml:space="preserve">Issue C-1: </w:t>
      </w:r>
      <w:r>
        <w:rPr>
          <w:highlight w:val="cyan"/>
          <w:lang w:val="en-US" w:eastAsia="ko-KR"/>
        </w:rPr>
        <w:t>[High Priority]</w:t>
      </w:r>
      <w:r>
        <w:rPr>
          <w:lang w:val="en-US" w:eastAsia="ko-KR"/>
        </w:rPr>
        <w:t xml:space="preserve"> </w:t>
      </w:r>
      <w:r>
        <w:t>MSM capability for multiple serving cells</w:t>
      </w:r>
    </w:p>
    <w:p>
      <w:pPr>
        <w:pStyle w:val="5"/>
      </w:pPr>
      <w:r>
        <w:t>First round discussion</w:t>
      </w:r>
    </w:p>
    <w:p>
      <w:pPr>
        <w:tabs>
          <w:tab w:val="left" w:pos="1300"/>
        </w:tabs>
        <w:spacing w:after="0"/>
        <w:jc w:val="both"/>
        <w:rPr>
          <w:rFonts w:eastAsia="宋体"/>
          <w:b/>
          <w:bCs/>
          <w:sz w:val="20"/>
          <w:szCs w:val="20"/>
          <w:lang w:eastAsia="zh-CN"/>
        </w:rPr>
      </w:pPr>
      <w:r>
        <w:rPr>
          <w:b/>
          <w:sz w:val="20"/>
          <w:szCs w:val="20"/>
          <w:u w:val="single"/>
        </w:rPr>
        <w:t>Proposal C1-1.1</w:t>
      </w:r>
      <w:r>
        <w:rPr>
          <w:b/>
          <w:sz w:val="20"/>
          <w:szCs w:val="20"/>
        </w:rPr>
        <w:t xml:space="preserve"> (see R1-2201765): </w:t>
      </w:r>
    </w:p>
    <w:p>
      <w:pPr>
        <w:jc w:val="both"/>
        <w:rPr>
          <w:sz w:val="20"/>
          <w:szCs w:val="20"/>
        </w:rPr>
      </w:pPr>
      <w:r>
        <w:rPr>
          <w:sz w:val="20"/>
          <w:szCs w:val="20"/>
        </w:rPr>
        <w:t>For Rel-17, 4 additional cases  for UE capability signaling need to be defined:</w:t>
      </w:r>
    </w:p>
    <w:p>
      <w:pPr>
        <w:pStyle w:val="82"/>
        <w:numPr>
          <w:ilvl w:val="0"/>
          <w:numId w:val="65"/>
        </w:numPr>
        <w:snapToGrid/>
        <w:spacing w:line="240" w:lineRule="auto"/>
        <w:jc w:val="both"/>
        <w:rPr>
          <w:sz w:val="20"/>
          <w:szCs w:val="20"/>
        </w:rPr>
      </w:pPr>
      <w:r>
        <w:rPr>
          <w:sz w:val="20"/>
          <w:szCs w:val="20"/>
        </w:rPr>
        <w:t>Case 4: Capability on the number of CCs with Rel-17 monitoring capability only</w:t>
      </w:r>
    </w:p>
    <w:p>
      <w:pPr>
        <w:pStyle w:val="82"/>
        <w:numPr>
          <w:ilvl w:val="1"/>
          <w:numId w:val="65"/>
        </w:numPr>
        <w:snapToGrid/>
        <w:spacing w:line="240" w:lineRule="auto"/>
        <w:jc w:val="both"/>
        <w:rPr>
          <w:sz w:val="20"/>
          <w:szCs w:val="20"/>
        </w:rPr>
      </w:pPr>
      <w:r>
        <w:rPr>
          <w:sz w:val="20"/>
          <w:szCs w:val="20"/>
        </w:rPr>
        <w:t>pdcch-BlindDetectionCA-R17 is equal to  4 {similar to Rel-15}</w:t>
      </w:r>
    </w:p>
    <w:p>
      <w:pPr>
        <w:pStyle w:val="82"/>
        <w:numPr>
          <w:ilvl w:val="0"/>
          <w:numId w:val="65"/>
        </w:numPr>
        <w:snapToGrid/>
        <w:spacing w:line="240" w:lineRule="auto"/>
        <w:jc w:val="both"/>
        <w:rPr>
          <w:sz w:val="20"/>
          <w:szCs w:val="20"/>
        </w:rPr>
      </w:pPr>
      <w:r>
        <w:rPr>
          <w:sz w:val="20"/>
          <w:szCs w:val="20"/>
        </w:rPr>
        <w:t>Case 5: Capability on the number of CCS with Rel-15 monitoring capability and Rel-17 monitoring capability on different serving cells</w:t>
      </w:r>
    </w:p>
    <w:p>
      <w:pPr>
        <w:pStyle w:val="82"/>
        <w:numPr>
          <w:ilvl w:val="1"/>
          <w:numId w:val="65"/>
        </w:numPr>
        <w:snapToGrid/>
        <w:spacing w:line="240" w:lineRule="auto"/>
        <w:jc w:val="both"/>
        <w:rPr>
          <w:sz w:val="20"/>
          <w:szCs w:val="20"/>
        </w:rPr>
      </w:pPr>
      <w:r>
        <w:rPr>
          <w:sz w:val="20"/>
          <w:szCs w:val="20"/>
        </w:rPr>
        <w:t>pdcch-BlindDetectionCA-R15 for Rel-15 PDCCH monitoring capability</w:t>
      </w:r>
    </w:p>
    <w:p>
      <w:pPr>
        <w:pStyle w:val="82"/>
        <w:numPr>
          <w:ilvl w:val="1"/>
          <w:numId w:val="65"/>
        </w:numPr>
        <w:snapToGrid/>
        <w:spacing w:line="240" w:lineRule="auto"/>
        <w:jc w:val="both"/>
        <w:rPr>
          <w:sz w:val="20"/>
          <w:szCs w:val="20"/>
        </w:rPr>
      </w:pPr>
      <w:r>
        <w:rPr>
          <w:sz w:val="20"/>
          <w:szCs w:val="20"/>
        </w:rPr>
        <w:t>pdcch-BlindDetectionCA-R17 for Rel-17 PDCCH monitoring capability</w:t>
      </w:r>
    </w:p>
    <w:p>
      <w:pPr>
        <w:pStyle w:val="82"/>
        <w:numPr>
          <w:ilvl w:val="1"/>
          <w:numId w:val="65"/>
        </w:numPr>
        <w:snapToGrid/>
        <w:spacing w:line="240" w:lineRule="auto"/>
        <w:jc w:val="both"/>
        <w:rPr>
          <w:sz w:val="20"/>
          <w:szCs w:val="20"/>
        </w:rPr>
      </w:pPr>
      <w:r>
        <w:rPr>
          <w:sz w:val="20"/>
          <w:szCs w:val="20"/>
        </w:rPr>
        <w:t>Range of  pdcch-BlindDetectionCA-R17 and pdcch-BlindDetectionCA-R15: [1:15]</w:t>
      </w:r>
    </w:p>
    <w:p>
      <w:pPr>
        <w:pStyle w:val="82"/>
        <w:numPr>
          <w:ilvl w:val="2"/>
          <w:numId w:val="65"/>
        </w:numPr>
        <w:snapToGrid/>
        <w:spacing w:line="240" w:lineRule="auto"/>
        <w:jc w:val="both"/>
        <w:rPr>
          <w:sz w:val="20"/>
          <w:szCs w:val="20"/>
        </w:rPr>
      </w:pPr>
      <w:r>
        <w:rPr>
          <w:sz w:val="20"/>
          <w:szCs w:val="20"/>
        </w:rPr>
        <w:t>The minimum of pdcch-BlindDetectionCA-R15 + The minimum of pdcch-BlindDetectionCA-R17) is equal to  4</w:t>
      </w:r>
    </w:p>
    <w:p>
      <w:pPr>
        <w:pStyle w:val="82"/>
        <w:numPr>
          <w:ilvl w:val="3"/>
          <w:numId w:val="65"/>
        </w:numPr>
        <w:snapToGrid/>
        <w:spacing w:line="240" w:lineRule="auto"/>
        <w:jc w:val="both"/>
        <w:rPr>
          <w:sz w:val="20"/>
          <w:szCs w:val="20"/>
        </w:rPr>
      </w:pPr>
      <w:r>
        <w:rPr>
          <w:sz w:val="20"/>
          <w:szCs w:val="20"/>
        </w:rPr>
        <w:t xml:space="preserve">Range of pdcch-BlindDetectionCA-R15 +   pdcch-BlindDetectionCA-R17: [4:16] </w:t>
      </w:r>
    </w:p>
    <w:p>
      <w:pPr>
        <w:pStyle w:val="82"/>
        <w:numPr>
          <w:ilvl w:val="0"/>
          <w:numId w:val="65"/>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pPr>
        <w:pStyle w:val="82"/>
        <w:numPr>
          <w:ilvl w:val="1"/>
          <w:numId w:val="65"/>
        </w:numPr>
        <w:snapToGrid/>
        <w:spacing w:line="240" w:lineRule="auto"/>
        <w:jc w:val="both"/>
        <w:rPr>
          <w:sz w:val="20"/>
          <w:szCs w:val="20"/>
        </w:rPr>
      </w:pPr>
      <w:r>
        <w:rPr>
          <w:sz w:val="20"/>
          <w:szCs w:val="20"/>
        </w:rPr>
        <w:t>pdcch-BlindDetectionCA-R16 for Rel-15 PDCCH monitoring capability</w:t>
      </w:r>
    </w:p>
    <w:p>
      <w:pPr>
        <w:pStyle w:val="82"/>
        <w:numPr>
          <w:ilvl w:val="1"/>
          <w:numId w:val="65"/>
        </w:numPr>
        <w:snapToGrid/>
        <w:spacing w:line="240" w:lineRule="auto"/>
        <w:jc w:val="both"/>
        <w:rPr>
          <w:sz w:val="20"/>
          <w:szCs w:val="20"/>
        </w:rPr>
      </w:pPr>
      <w:r>
        <w:rPr>
          <w:sz w:val="20"/>
          <w:szCs w:val="20"/>
        </w:rPr>
        <w:t>pdcch-BlindDetectionCA-R17 for Rel-17 PDCCH monitoring capability</w:t>
      </w:r>
    </w:p>
    <w:p>
      <w:pPr>
        <w:pStyle w:val="82"/>
        <w:numPr>
          <w:ilvl w:val="1"/>
          <w:numId w:val="65"/>
        </w:numPr>
        <w:snapToGrid/>
        <w:spacing w:line="240" w:lineRule="auto"/>
        <w:jc w:val="both"/>
        <w:rPr>
          <w:sz w:val="20"/>
          <w:szCs w:val="20"/>
        </w:rPr>
      </w:pPr>
      <w:r>
        <w:rPr>
          <w:sz w:val="20"/>
          <w:szCs w:val="20"/>
        </w:rPr>
        <w:t xml:space="preserve">Range of  pdcch-BlindDetectionCA-R17 and pdcch-BlindDetectionCA-R16: [1:15] </w:t>
      </w:r>
    </w:p>
    <w:p>
      <w:pPr>
        <w:pStyle w:val="82"/>
        <w:numPr>
          <w:ilvl w:val="2"/>
          <w:numId w:val="65"/>
        </w:numPr>
        <w:snapToGrid/>
        <w:spacing w:line="240" w:lineRule="auto"/>
        <w:jc w:val="both"/>
        <w:rPr>
          <w:sz w:val="20"/>
          <w:szCs w:val="20"/>
        </w:rPr>
      </w:pPr>
      <w:r>
        <w:rPr>
          <w:sz w:val="20"/>
          <w:szCs w:val="20"/>
        </w:rPr>
        <w:t>The minimum of pdcch-BlindDetectionCA-R16 + The minimum of pdcch-BlindDetectionCA-R17) is equal to 3</w:t>
      </w:r>
    </w:p>
    <w:p>
      <w:pPr>
        <w:pStyle w:val="82"/>
        <w:numPr>
          <w:ilvl w:val="3"/>
          <w:numId w:val="65"/>
        </w:numPr>
        <w:snapToGrid/>
        <w:spacing w:line="240" w:lineRule="auto"/>
        <w:jc w:val="both"/>
        <w:rPr>
          <w:sz w:val="20"/>
          <w:szCs w:val="20"/>
        </w:rPr>
      </w:pPr>
      <w:r>
        <w:rPr>
          <w:sz w:val="20"/>
          <w:szCs w:val="20"/>
        </w:rPr>
        <w:t>Range of pdcch-BlindDetectionCA-R16 +   pdcch-BlindDetectionCA-R17: [3:16]</w:t>
      </w:r>
    </w:p>
    <w:p>
      <w:pPr>
        <w:pStyle w:val="82"/>
        <w:numPr>
          <w:ilvl w:val="0"/>
          <w:numId w:val="65"/>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pPr>
        <w:pStyle w:val="82"/>
        <w:numPr>
          <w:ilvl w:val="1"/>
          <w:numId w:val="65"/>
        </w:numPr>
        <w:snapToGrid/>
        <w:spacing w:line="240" w:lineRule="auto"/>
        <w:jc w:val="both"/>
        <w:rPr>
          <w:sz w:val="20"/>
          <w:szCs w:val="20"/>
        </w:rPr>
      </w:pPr>
      <w:r>
        <w:rPr>
          <w:sz w:val="20"/>
          <w:szCs w:val="20"/>
        </w:rPr>
        <w:t>pdcch-BlindDetectionCA-R15 for Rel-15 PDCCH monitoring capability</w:t>
      </w:r>
    </w:p>
    <w:p>
      <w:pPr>
        <w:pStyle w:val="82"/>
        <w:numPr>
          <w:ilvl w:val="1"/>
          <w:numId w:val="65"/>
        </w:numPr>
        <w:snapToGrid/>
        <w:spacing w:line="240" w:lineRule="auto"/>
        <w:jc w:val="both"/>
        <w:rPr>
          <w:sz w:val="20"/>
          <w:szCs w:val="20"/>
        </w:rPr>
      </w:pPr>
      <w:r>
        <w:rPr>
          <w:sz w:val="20"/>
          <w:szCs w:val="20"/>
        </w:rPr>
        <w:t>pdcch-BlindDetectionCA-R16 for Rel-17 PDCCH monitoring capability</w:t>
      </w:r>
    </w:p>
    <w:p>
      <w:pPr>
        <w:pStyle w:val="82"/>
        <w:numPr>
          <w:ilvl w:val="1"/>
          <w:numId w:val="65"/>
        </w:numPr>
        <w:snapToGrid/>
        <w:spacing w:line="240" w:lineRule="auto"/>
        <w:jc w:val="both"/>
        <w:rPr>
          <w:sz w:val="20"/>
          <w:szCs w:val="20"/>
        </w:rPr>
      </w:pPr>
      <w:r>
        <w:rPr>
          <w:sz w:val="20"/>
          <w:szCs w:val="20"/>
        </w:rPr>
        <w:t>pdcch-BlindDetectionCA-R17 for Rel-17 PDCCH monitoring capability</w:t>
      </w:r>
    </w:p>
    <w:p>
      <w:pPr>
        <w:pStyle w:val="82"/>
        <w:numPr>
          <w:ilvl w:val="1"/>
          <w:numId w:val="65"/>
        </w:numPr>
        <w:snapToGrid/>
        <w:spacing w:line="240" w:lineRule="auto"/>
        <w:jc w:val="both"/>
        <w:rPr>
          <w:sz w:val="20"/>
          <w:szCs w:val="20"/>
        </w:rPr>
      </w:pPr>
      <w:r>
        <w:rPr>
          <w:sz w:val="20"/>
          <w:szCs w:val="20"/>
        </w:rPr>
        <w:t>Range of  pdcch-BlindDetectionCA-R17,  pdcch-BlindDetectionCA-R16,  and pdcch-BlindDetectionCA-R15: [1:15]</w:t>
      </w:r>
    </w:p>
    <w:p>
      <w:pPr>
        <w:pStyle w:val="82"/>
        <w:numPr>
          <w:ilvl w:val="2"/>
          <w:numId w:val="65"/>
        </w:numPr>
        <w:snapToGrid/>
        <w:spacing w:line="240" w:lineRule="auto"/>
        <w:jc w:val="both"/>
        <w:rPr>
          <w:sz w:val="20"/>
          <w:szCs w:val="20"/>
        </w:rPr>
      </w:pPr>
      <w:r>
        <w:rPr>
          <w:sz w:val="20"/>
          <w:szCs w:val="20"/>
        </w:rPr>
        <w:t>The minimum of pdcch-BlindDetectionCA-R15  + pdcch-BlindDetectionCA-R16 + The minimum of pdcch-BlindDetectionCA-R17) is equal to 4</w:t>
      </w:r>
    </w:p>
    <w:p>
      <w:pPr>
        <w:pStyle w:val="82"/>
        <w:numPr>
          <w:ilvl w:val="3"/>
          <w:numId w:val="65"/>
        </w:numPr>
        <w:snapToGrid/>
        <w:spacing w:line="240" w:lineRule="auto"/>
        <w:jc w:val="both"/>
        <w:rPr>
          <w:i/>
          <w:iCs/>
          <w:sz w:val="20"/>
          <w:szCs w:val="20"/>
        </w:rPr>
      </w:pPr>
      <w:r>
        <w:rPr>
          <w:sz w:val="20"/>
          <w:szCs w:val="20"/>
        </w:rPr>
        <w:t>Range of pdcch-BlindDetectionCA-R15  + pdcch-BlindDetectionCA-R16 +   pdcch-BlindDetectionCA-R17 : [4:16]</w:t>
      </w:r>
    </w:p>
    <w:p>
      <w:pPr>
        <w:rPr>
          <w:b/>
          <w:bCs/>
          <w:sz w:val="20"/>
          <w:szCs w:val="20"/>
          <w:lang w:eastAsia="zh-CN"/>
        </w:rPr>
      </w:pPr>
    </w:p>
    <w:p>
      <w:pPr>
        <w:rPr>
          <w:b/>
          <w:bCs/>
          <w:sz w:val="20"/>
          <w:szCs w:val="20"/>
          <w:lang w:eastAsia="zh-CN"/>
        </w:rPr>
      </w:pPr>
    </w:p>
    <w:p>
      <w:pPr>
        <w:tabs>
          <w:tab w:val="left" w:pos="1300"/>
        </w:tabs>
        <w:spacing w:after="0"/>
        <w:jc w:val="both"/>
        <w:rPr>
          <w:rFonts w:eastAsia="宋体"/>
          <w:b/>
          <w:bCs/>
          <w:sz w:val="20"/>
          <w:szCs w:val="20"/>
          <w:lang w:eastAsia="zh-CN"/>
        </w:rPr>
      </w:pPr>
      <w:r>
        <w:rPr>
          <w:b/>
          <w:sz w:val="20"/>
          <w:szCs w:val="20"/>
          <w:highlight w:val="yellow"/>
          <w:u w:val="single"/>
        </w:rPr>
        <w:t>Proposal C1-1.2</w:t>
      </w:r>
      <w:r>
        <w:rPr>
          <w:b/>
          <w:sz w:val="20"/>
          <w:szCs w:val="20"/>
        </w:rPr>
        <w:t xml:space="preserve"> (see R1-2201765): </w:t>
      </w:r>
    </w:p>
    <w:p>
      <w:pPr>
        <w:jc w:val="both"/>
      </w:pPr>
      <w:bookmarkStart w:id="8" w:name="_Hlk96638487"/>
      <w:r>
        <w:t>For the case with Rel-15 monitoring capability, Rel-16 monitoring capability and Rel-17 monitoring capability on different serving cells (case 7) or any combination of 2 of the capabilities (i.e. case 5, and case 6), the UE will report one or more combination of (pdcch-BlindDetectionCA-R15, pdcch-BlindDetectionCA-R16, pdcch-BlindDetectionCA-R17) as UE capability. If UE reports more than one combination of (pdcch-BlindDetectionCA-R15, pdcch-BlindDetectionCA-R16, pdcch-BlindDetectionCA-R17), as in Rel-16, the gNB configures which combination for the UE to use for scaling PDCCH monitoring capability if the number of CCs configured is larger than the reported capability.</w:t>
      </w:r>
    </w:p>
    <w:bookmarkEnd w:id="8"/>
    <w:p>
      <w:pPr>
        <w:rPr>
          <w:sz w:val="20"/>
          <w:szCs w:val="20"/>
          <w:lang w:eastAsia="zh-CN"/>
        </w:rPr>
      </w:pPr>
      <w:r>
        <w:rPr>
          <w:sz w:val="20"/>
          <w:szCs w:val="20"/>
          <w:lang w:eastAsia="zh-CN"/>
        </w:rPr>
        <w:t xml:space="preserve">Please comment whether you agree to </w:t>
      </w:r>
      <w:r>
        <w:rPr>
          <w:sz w:val="20"/>
          <w:szCs w:val="20"/>
        </w:rPr>
        <w:t xml:space="preserve">Proposal C1-1.1 and Proposal C1-1.2. </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 xml:space="preserve">Samsung </w:t>
            </w:r>
          </w:p>
        </w:tc>
        <w:tc>
          <w:tcPr>
            <w:tcW w:w="12176" w:type="dxa"/>
            <w:vAlign w:val="center"/>
          </w:tcPr>
          <w:p>
            <w:pPr>
              <w:widowControl w:val="0"/>
              <w:rPr>
                <w:lang w:eastAsia="zh-CN"/>
              </w:rPr>
            </w:pPr>
            <w:r>
              <w:rPr>
                <w:lang w:eastAsia="zh-CN"/>
              </w:rPr>
              <w:t xml:space="preserve">For Proposal C1-1.1, we support it. </w:t>
            </w:r>
          </w:p>
          <w:p>
            <w:pPr>
              <w:widowControl w:val="0"/>
              <w:rPr>
                <w:lang w:eastAsia="zh-CN"/>
              </w:rPr>
            </w:pPr>
            <w:r>
              <w:rPr>
                <w:lang w:eastAsia="zh-CN"/>
              </w:rPr>
              <w:t xml:space="preserve">For Proposal C1-1.2, we support it.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Ericsson</w:t>
            </w:r>
          </w:p>
        </w:tc>
        <w:tc>
          <w:tcPr>
            <w:tcW w:w="12176" w:type="dxa"/>
            <w:vAlign w:val="center"/>
          </w:tcPr>
          <w:p>
            <w:pPr>
              <w:widowControl w:val="0"/>
              <w:rPr>
                <w:sz w:val="20"/>
                <w:lang w:eastAsia="zh-CN"/>
              </w:rPr>
            </w:pPr>
            <w:r>
              <w:rPr>
                <w:sz w:val="20"/>
                <w:lang w:eastAsia="zh-CN"/>
              </w:rPr>
              <w:t>Proposaal C1-1.1 and 1.2: We have large reservations of taking the discussion in this direction. The intention of introducing mult-slot monitoring is to equate the UE processing requirements in a 120 kHz slot to the UE  processing requirement in a slot group of Xs slots. Hence, we think splitting the BD/CCE budget across cells configured with per-slot or per-slot group monitoring should follow the same approach without considering so many different cases.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Qualcomm</w:t>
            </w:r>
          </w:p>
        </w:tc>
        <w:tc>
          <w:tcPr>
            <w:tcW w:w="12176" w:type="dxa"/>
            <w:vAlign w:val="center"/>
          </w:tcPr>
          <w:p>
            <w:pPr>
              <w:widowControl w:val="0"/>
              <w:rPr>
                <w:sz w:val="20"/>
                <w:lang w:eastAsia="zh-CN"/>
              </w:rPr>
            </w:pPr>
            <w:r>
              <w:rPr>
                <w:sz w:val="20"/>
                <w:lang w:eastAsia="zh-CN"/>
              </w:rPr>
              <w:t>We support the proposals.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rFonts w:hint="eastAsia"/>
                <w:sz w:val="20"/>
                <w:lang w:eastAsia="zh-CN"/>
              </w:rPr>
              <w:t>v</w:t>
            </w:r>
            <w:r>
              <w:rPr>
                <w:sz w:val="20"/>
                <w:lang w:eastAsia="zh-CN"/>
              </w:rPr>
              <w:t>ivo</w:t>
            </w:r>
          </w:p>
        </w:tc>
        <w:tc>
          <w:tcPr>
            <w:tcW w:w="12176" w:type="dxa"/>
            <w:vAlign w:val="center"/>
          </w:tcPr>
          <w:p>
            <w:pPr>
              <w:widowControl w:val="0"/>
              <w:rPr>
                <w:sz w:val="20"/>
                <w:lang w:eastAsia="zh-CN"/>
              </w:rPr>
            </w:pPr>
            <w:r>
              <w:rPr>
                <w:rFonts w:hint="eastAsia"/>
                <w:sz w:val="20"/>
                <w:lang w:eastAsia="zh-CN"/>
              </w:rPr>
              <w:t>T</w:t>
            </w:r>
            <w:r>
              <w:rPr>
                <w:sz w:val="20"/>
                <w:lang w:eastAsia="zh-CN"/>
              </w:rPr>
              <w:t>his is related with Issue A3-2. If Alt. 2 in issue A3-2 is agreed, there is no need to have such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lang w:eastAsia="zh-CN"/>
              </w:rPr>
              <w:t>Intel</w:t>
            </w:r>
          </w:p>
        </w:tc>
        <w:tc>
          <w:tcPr>
            <w:tcW w:w="12176" w:type="dxa"/>
            <w:vAlign w:val="center"/>
          </w:tcPr>
          <w:p>
            <w:pPr>
              <w:widowControl w:val="0"/>
              <w:rPr>
                <w:sz w:val="20"/>
                <w:lang w:eastAsia="zh-CN"/>
              </w:rPr>
            </w:pPr>
            <w:r>
              <w:rPr>
                <w:sz w:val="20"/>
                <w:lang w:eastAsia="zh-CN"/>
              </w:rPr>
              <w:t>We support the proposals. On the other hand, since Rel-17 monitoring capability is bounded with SCS 480/960kHz, it is potentially possible to optimize the RRC signaling. anyway, we can leave it to RAN2.</w:t>
            </w:r>
            <w: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eastAsia="MS Mincho"/>
                <w:sz w:val="20"/>
                <w:lang w:eastAsia="ja-JP"/>
              </w:rPr>
              <w:t>N</w:t>
            </w:r>
            <w:r>
              <w:rPr>
                <w:rFonts w:eastAsia="MS Mincho"/>
                <w:sz w:val="20"/>
                <w:lang w:eastAsia="ja-JP"/>
              </w:rPr>
              <w:t>TT DOCOMO</w:t>
            </w:r>
          </w:p>
        </w:tc>
        <w:tc>
          <w:tcPr>
            <w:tcW w:w="12176" w:type="dxa"/>
            <w:vAlign w:val="center"/>
          </w:tcPr>
          <w:p>
            <w:pPr>
              <w:widowControl w:val="0"/>
              <w:rPr>
                <w:rFonts w:eastAsia="MS Mincho"/>
                <w:sz w:val="20"/>
                <w:lang w:eastAsia="ja-JP"/>
              </w:rPr>
            </w:pPr>
            <w:r>
              <w:rPr>
                <w:rFonts w:eastAsia="MS Mincho"/>
                <w:sz w:val="20"/>
                <w:lang w:eastAsia="ja-JP"/>
              </w:rPr>
              <w:t xml:space="preserve">We support the Proposal C1-1.1 (typo can be corrected as </w:t>
            </w:r>
            <w:r>
              <w:rPr>
                <w:rFonts w:eastAsia="MS Mincho"/>
                <w:color w:val="FF0000"/>
                <w:sz w:val="20"/>
                <w:lang w:eastAsia="ja-JP"/>
              </w:rPr>
              <w:t>follows</w:t>
            </w:r>
            <w:r>
              <w:rPr>
                <w:rFonts w:eastAsia="MS Mincho"/>
                <w:sz w:val="20"/>
                <w:lang w:eastAsia="ja-JP"/>
              </w:rPr>
              <w:t>) and C1-1.2.</w:t>
            </w:r>
          </w:p>
          <w:p>
            <w:pPr>
              <w:widowControl w:val="0"/>
              <w:tabs>
                <w:tab w:val="left" w:pos="1300"/>
              </w:tabs>
              <w:spacing w:after="0"/>
              <w:jc w:val="both"/>
              <w:rPr>
                <w:rFonts w:eastAsia="宋体"/>
                <w:b/>
                <w:bCs/>
                <w:sz w:val="20"/>
                <w:szCs w:val="20"/>
                <w:lang w:eastAsia="zh-CN"/>
              </w:rPr>
            </w:pPr>
            <w:r>
              <w:rPr>
                <w:b/>
                <w:sz w:val="20"/>
                <w:szCs w:val="20"/>
                <w:highlight w:val="yellow"/>
                <w:u w:val="single"/>
              </w:rPr>
              <w:t>Proposal C1-1.1</w:t>
            </w:r>
            <w:r>
              <w:rPr>
                <w:b/>
                <w:sz w:val="20"/>
                <w:szCs w:val="20"/>
              </w:rPr>
              <w:t xml:space="preserve"> (see R1-2201765): </w:t>
            </w:r>
          </w:p>
          <w:p>
            <w:pPr>
              <w:widowControl w:val="0"/>
              <w:jc w:val="both"/>
              <w:rPr>
                <w:sz w:val="20"/>
                <w:szCs w:val="20"/>
              </w:rPr>
            </w:pPr>
            <w:r>
              <w:rPr>
                <w:sz w:val="20"/>
                <w:szCs w:val="20"/>
              </w:rPr>
              <w:t>For Rel-17, 4 additional cases  for UE capability signaling need to be defined:</w:t>
            </w:r>
          </w:p>
          <w:p>
            <w:pPr>
              <w:pStyle w:val="82"/>
              <w:widowControl w:val="0"/>
              <w:numPr>
                <w:ilvl w:val="0"/>
                <w:numId w:val="65"/>
              </w:numPr>
              <w:snapToGrid/>
              <w:spacing w:line="240" w:lineRule="auto"/>
              <w:jc w:val="both"/>
              <w:rPr>
                <w:sz w:val="20"/>
                <w:szCs w:val="20"/>
              </w:rPr>
            </w:pPr>
            <w:r>
              <w:rPr>
                <w:sz w:val="20"/>
                <w:szCs w:val="20"/>
              </w:rPr>
              <w:t>…</w:t>
            </w:r>
          </w:p>
          <w:p>
            <w:pPr>
              <w:pStyle w:val="82"/>
              <w:widowControl w:val="0"/>
              <w:numPr>
                <w:ilvl w:val="0"/>
                <w:numId w:val="65"/>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pPr>
              <w:pStyle w:val="82"/>
              <w:widowControl w:val="0"/>
              <w:numPr>
                <w:ilvl w:val="1"/>
                <w:numId w:val="65"/>
              </w:numPr>
              <w:snapToGrid/>
              <w:spacing w:line="240" w:lineRule="auto"/>
              <w:jc w:val="both"/>
              <w:rPr>
                <w:sz w:val="20"/>
                <w:szCs w:val="20"/>
              </w:rPr>
            </w:pPr>
            <w:r>
              <w:rPr>
                <w:sz w:val="20"/>
                <w:szCs w:val="20"/>
              </w:rPr>
              <w:t>pdcch-BlindDetectionCA-R16 for Rel-1</w:t>
            </w:r>
            <w:r>
              <w:rPr>
                <w:strike/>
                <w:sz w:val="20"/>
                <w:szCs w:val="20"/>
              </w:rPr>
              <w:t>5</w:t>
            </w:r>
            <w:r>
              <w:rPr>
                <w:color w:val="FF0000"/>
                <w:sz w:val="20"/>
                <w:szCs w:val="20"/>
              </w:rPr>
              <w:t>6</w:t>
            </w:r>
            <w:r>
              <w:rPr>
                <w:sz w:val="20"/>
                <w:szCs w:val="20"/>
              </w:rPr>
              <w:t xml:space="preserve"> PDCCH monitoring capability</w:t>
            </w:r>
          </w:p>
          <w:p>
            <w:pPr>
              <w:pStyle w:val="82"/>
              <w:widowControl w:val="0"/>
              <w:numPr>
                <w:ilvl w:val="1"/>
                <w:numId w:val="65"/>
              </w:numPr>
              <w:snapToGrid/>
              <w:spacing w:line="240" w:lineRule="auto"/>
              <w:jc w:val="both"/>
              <w:rPr>
                <w:sz w:val="20"/>
                <w:szCs w:val="20"/>
              </w:rPr>
            </w:pPr>
            <w:r>
              <w:rPr>
                <w:sz w:val="20"/>
                <w:szCs w:val="20"/>
              </w:rPr>
              <w:t>pdcch-BlindDetectionCA-R17 for Rel-17 PDCCH monitoring capability</w:t>
            </w:r>
          </w:p>
          <w:p>
            <w:pPr>
              <w:pStyle w:val="82"/>
              <w:widowControl w:val="0"/>
              <w:numPr>
                <w:ilvl w:val="1"/>
                <w:numId w:val="65"/>
              </w:numPr>
              <w:snapToGrid/>
              <w:spacing w:line="240" w:lineRule="auto"/>
              <w:jc w:val="both"/>
              <w:rPr>
                <w:sz w:val="20"/>
                <w:szCs w:val="20"/>
              </w:rPr>
            </w:pPr>
            <w:r>
              <w:rPr>
                <w:sz w:val="20"/>
                <w:szCs w:val="20"/>
              </w:rPr>
              <w:t xml:space="preserve">Range of  pdcch-BlindDetectionCA-R17 and pdcch-BlindDetectionCA-R16: [1:15] </w:t>
            </w:r>
          </w:p>
          <w:p>
            <w:pPr>
              <w:pStyle w:val="82"/>
              <w:widowControl w:val="0"/>
              <w:numPr>
                <w:ilvl w:val="2"/>
                <w:numId w:val="65"/>
              </w:numPr>
              <w:snapToGrid/>
              <w:spacing w:line="240" w:lineRule="auto"/>
              <w:jc w:val="both"/>
              <w:rPr>
                <w:sz w:val="20"/>
                <w:szCs w:val="20"/>
              </w:rPr>
            </w:pPr>
            <w:r>
              <w:rPr>
                <w:sz w:val="20"/>
                <w:szCs w:val="20"/>
              </w:rPr>
              <w:t>The minimum of pdcch-BlindDetectionCA-R16 + The minimum of pdcch-BlindDetectionCA-R17) is equal to 3</w:t>
            </w:r>
          </w:p>
          <w:p>
            <w:pPr>
              <w:pStyle w:val="82"/>
              <w:widowControl w:val="0"/>
              <w:numPr>
                <w:ilvl w:val="3"/>
                <w:numId w:val="65"/>
              </w:numPr>
              <w:snapToGrid/>
              <w:spacing w:line="240" w:lineRule="auto"/>
              <w:jc w:val="both"/>
              <w:rPr>
                <w:sz w:val="20"/>
                <w:szCs w:val="20"/>
              </w:rPr>
            </w:pPr>
            <w:r>
              <w:rPr>
                <w:sz w:val="20"/>
                <w:szCs w:val="20"/>
              </w:rPr>
              <w:t>Range of pdcch-BlindDetectionCA-R16 +   pdcch-BlindDetectionCA-R17: [3:16]</w:t>
            </w:r>
          </w:p>
          <w:p>
            <w:pPr>
              <w:pStyle w:val="82"/>
              <w:widowControl w:val="0"/>
              <w:numPr>
                <w:ilvl w:val="0"/>
                <w:numId w:val="65"/>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pPr>
              <w:pStyle w:val="82"/>
              <w:widowControl w:val="0"/>
              <w:numPr>
                <w:ilvl w:val="1"/>
                <w:numId w:val="65"/>
              </w:numPr>
              <w:snapToGrid/>
              <w:spacing w:line="240" w:lineRule="auto"/>
              <w:jc w:val="both"/>
              <w:rPr>
                <w:sz w:val="20"/>
                <w:szCs w:val="20"/>
              </w:rPr>
            </w:pPr>
            <w:r>
              <w:rPr>
                <w:sz w:val="20"/>
                <w:szCs w:val="20"/>
              </w:rPr>
              <w:t>pdcch-BlindDetectionCA-R15 for Rel-15 PDCCH monitoring capability</w:t>
            </w:r>
          </w:p>
          <w:p>
            <w:pPr>
              <w:pStyle w:val="82"/>
              <w:widowControl w:val="0"/>
              <w:numPr>
                <w:ilvl w:val="1"/>
                <w:numId w:val="65"/>
              </w:numPr>
              <w:snapToGrid/>
              <w:spacing w:line="240" w:lineRule="auto"/>
              <w:jc w:val="both"/>
              <w:rPr>
                <w:sz w:val="20"/>
                <w:szCs w:val="20"/>
              </w:rPr>
            </w:pPr>
            <w:r>
              <w:rPr>
                <w:sz w:val="20"/>
                <w:szCs w:val="20"/>
              </w:rPr>
              <w:t>pdcch-BlindDetectionCA-R16 for Rel-1</w:t>
            </w:r>
            <w:r>
              <w:rPr>
                <w:strike/>
                <w:sz w:val="20"/>
                <w:szCs w:val="20"/>
              </w:rPr>
              <w:t>7</w:t>
            </w:r>
            <w:r>
              <w:rPr>
                <w:color w:val="FF0000"/>
                <w:sz w:val="20"/>
                <w:szCs w:val="20"/>
              </w:rPr>
              <w:t>6</w:t>
            </w:r>
            <w:r>
              <w:rPr>
                <w:sz w:val="20"/>
                <w:szCs w:val="20"/>
              </w:rPr>
              <w:t xml:space="preserve"> PDCCH monitoring capability</w:t>
            </w:r>
          </w:p>
          <w:p>
            <w:pPr>
              <w:pStyle w:val="82"/>
              <w:widowControl w:val="0"/>
              <w:numPr>
                <w:ilvl w:val="1"/>
                <w:numId w:val="65"/>
              </w:numPr>
              <w:snapToGrid/>
              <w:spacing w:line="240" w:lineRule="auto"/>
              <w:jc w:val="both"/>
              <w:rPr>
                <w:sz w:val="20"/>
                <w:szCs w:val="20"/>
              </w:rPr>
            </w:pPr>
            <w:r>
              <w:rPr>
                <w:sz w:val="20"/>
                <w:szCs w:val="20"/>
              </w:rPr>
              <w:t>pdcch-BlindDetectionCA-R17 for Rel-17 PDCCH monitoring capability</w:t>
            </w:r>
          </w:p>
          <w:p>
            <w:pPr>
              <w:pStyle w:val="82"/>
              <w:widowControl w:val="0"/>
              <w:numPr>
                <w:ilvl w:val="1"/>
                <w:numId w:val="65"/>
              </w:numPr>
              <w:snapToGrid/>
              <w:spacing w:line="240" w:lineRule="auto"/>
              <w:jc w:val="both"/>
              <w:rPr>
                <w:sz w:val="20"/>
                <w:szCs w:val="20"/>
              </w:rPr>
            </w:pPr>
            <w:r>
              <w:rPr>
                <w:sz w:val="20"/>
                <w:szCs w:val="20"/>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sz w:val="20"/>
                <w:lang w:eastAsia="ja-JP"/>
              </w:rPr>
            </w:pPr>
            <w:r>
              <w:rPr>
                <w:sz w:val="20"/>
                <w:lang w:eastAsia="zh-CN"/>
              </w:rPr>
              <w:t>LG Electronics</w:t>
            </w:r>
          </w:p>
        </w:tc>
        <w:tc>
          <w:tcPr>
            <w:tcW w:w="12176" w:type="dxa"/>
            <w:vAlign w:val="center"/>
          </w:tcPr>
          <w:p>
            <w:pPr>
              <w:widowControl w:val="0"/>
              <w:rPr>
                <w:rFonts w:eastAsia="MS Mincho"/>
                <w:sz w:val="20"/>
                <w:lang w:eastAsia="ja-JP"/>
              </w:rPr>
            </w:pPr>
            <w:r>
              <w:rPr>
                <w:sz w:val="20"/>
                <w:lang w:eastAsia="zh-CN"/>
              </w:rPr>
              <w:t>We share the view with vivo that this is related with Issue A3-2. If Alt. 2 in issue A3-2 is agreed, there is no need to have such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rPr>
              <w:t>Apple</w:t>
            </w:r>
          </w:p>
        </w:tc>
        <w:tc>
          <w:tcPr>
            <w:tcW w:w="12176" w:type="dxa"/>
            <w:vAlign w:val="center"/>
          </w:tcPr>
          <w:p>
            <w:pPr>
              <w:widowControl w:val="0"/>
              <w:rPr>
                <w:sz w:val="20"/>
                <w:lang w:eastAsia="zh-CN"/>
              </w:rPr>
            </w:pPr>
            <w:r>
              <w:rPr>
                <w:sz w:val="20"/>
                <w:lang w:eastAsia="zh-CN"/>
              </w:rPr>
              <w:t>As the proposing company, we support both proposals.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top"/>
          </w:tcPr>
          <w:p>
            <w:pPr>
              <w:widowControl w:val="0"/>
              <w:rPr>
                <w:sz w:val="20"/>
              </w:rPr>
            </w:pPr>
            <w:r>
              <w:rPr>
                <w:sz w:val="20"/>
              </w:rPr>
              <w:t>CATT</w:t>
            </w:r>
          </w:p>
        </w:tc>
        <w:tc>
          <w:tcPr>
            <w:tcW w:w="12176" w:type="dxa"/>
            <w:vAlign w:val="top"/>
          </w:tcPr>
          <w:p>
            <w:pPr>
              <w:widowControl w:val="0"/>
              <w:rPr>
                <w:sz w:val="20"/>
                <w:lang w:eastAsia="zh-CN"/>
              </w:rPr>
            </w:pPr>
            <w:r>
              <w:rPr>
                <w:sz w:val="20"/>
                <w:lang w:eastAsia="zh-CN"/>
              </w:rPr>
              <w:t xml:space="preserve">We have similar view as Ericsson </w:t>
            </w:r>
          </w:p>
        </w:tc>
      </w:tr>
    </w:tbl>
    <w:p/>
    <w:p>
      <w:pPr>
        <w:rPr>
          <w:lang w:val="en-GB"/>
        </w:rPr>
      </w:pPr>
    </w:p>
    <w:p>
      <w:pPr>
        <w:tabs>
          <w:tab w:val="left" w:pos="1300"/>
        </w:tabs>
        <w:spacing w:after="0"/>
        <w:jc w:val="both"/>
        <w:rPr>
          <w:rFonts w:eastAsia="宋体"/>
          <w:b/>
          <w:bCs/>
          <w:sz w:val="20"/>
          <w:szCs w:val="20"/>
          <w:lang w:eastAsia="zh-CN"/>
        </w:rPr>
      </w:pPr>
      <w:r>
        <w:rPr>
          <w:b/>
          <w:sz w:val="20"/>
          <w:szCs w:val="20"/>
          <w:u w:val="single"/>
        </w:rPr>
        <w:t>Proposal C1-1.3</w:t>
      </w:r>
      <w:r>
        <w:rPr>
          <w:b/>
          <w:sz w:val="20"/>
          <w:szCs w:val="20"/>
        </w:rPr>
        <w:t xml:space="preserve"> (see R1-2202072): </w:t>
      </w:r>
    </w:p>
    <w:p>
      <w:r>
        <w:t>For multi-cell operation, UE can report a capability on whether the location of the Y slots within a slot group of X slots is maintained across CCs associated with (X,Y) configuration.</w:t>
      </w:r>
    </w:p>
    <w:p>
      <w:pPr>
        <w:rPr>
          <w:lang w:val="en-GB"/>
        </w:rPr>
      </w:pPr>
      <w:r>
        <w:t xml:space="preserve">Note: Figure </w:t>
      </w:r>
      <w:r>
        <w:fldChar w:fldCharType="begin"/>
      </w:r>
      <w:r>
        <w:instrText xml:space="preserve"> SEQ Figure \* ARABIC </w:instrText>
      </w:r>
      <w:r>
        <w:fldChar w:fldCharType="separate"/>
      </w:r>
      <w:r>
        <w:t>1</w:t>
      </w:r>
      <w:r>
        <w:fldChar w:fldCharType="end"/>
      </w:r>
      <w:r>
        <w:t xml:space="preserve"> Example of non-aligned monitoring pattern across CCs</w:t>
      </w:r>
    </w:p>
    <w:p>
      <w:pPr>
        <w:rPr>
          <w:lang w:val="en-GB"/>
        </w:rPr>
      </w:pPr>
    </w:p>
    <w:p>
      <w:pPr>
        <w:keepNext/>
      </w:pPr>
      <w:r>
        <w:drawing>
          <wp:inline distT="0" distB="0" distL="0" distR="0">
            <wp:extent cx="4234815" cy="231457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pPr>
        <w:rPr>
          <w:b/>
          <w:bCs/>
          <w:highlight w:val="yellow"/>
          <w:lang w:val="en-GB" w:eastAsia="zh-CN"/>
        </w:rPr>
      </w:pPr>
    </w:p>
    <w:p>
      <w:pPr>
        <w:rPr>
          <w:sz w:val="20"/>
          <w:szCs w:val="20"/>
          <w:lang w:eastAsia="zh-CN"/>
        </w:rPr>
      </w:pPr>
      <w:r>
        <w:rPr>
          <w:sz w:val="20"/>
          <w:szCs w:val="20"/>
          <w:lang w:eastAsia="zh-CN"/>
        </w:rPr>
        <w:t xml:space="preserve">Please comment whether you agree to </w:t>
      </w:r>
      <w:r>
        <w:rPr>
          <w:sz w:val="20"/>
          <w:szCs w:val="20"/>
        </w:rPr>
        <w:t xml:space="preserve">Proposal C1-1.3. </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We prefer to handle it in UE capability discussion.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Qualcomm</w:t>
            </w:r>
          </w:p>
        </w:tc>
        <w:tc>
          <w:tcPr>
            <w:tcW w:w="12176" w:type="dxa"/>
            <w:vAlign w:val="center"/>
          </w:tcPr>
          <w:p>
            <w:pPr>
              <w:widowControl w:val="0"/>
              <w:rPr>
                <w:sz w:val="20"/>
                <w:lang w:eastAsia="zh-CN"/>
              </w:rPr>
            </w:pPr>
            <w:r>
              <w:rPr>
                <w:sz w:val="20"/>
                <w:lang w:eastAsia="zh-CN"/>
              </w:rPr>
              <w:t>We are open for the discussion. We see the power saving benefit of aligning the Y slots across CCs.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Nokia, NSB</w:t>
            </w:r>
          </w:p>
        </w:tc>
        <w:tc>
          <w:tcPr>
            <w:tcW w:w="12176" w:type="dxa"/>
            <w:vAlign w:val="center"/>
          </w:tcPr>
          <w:p>
            <w:pPr>
              <w:widowControl w:val="0"/>
              <w:rPr>
                <w:sz w:val="20"/>
              </w:rPr>
            </w:pPr>
            <w:r>
              <w:rPr>
                <w:sz w:val="20"/>
              </w:rPr>
              <w:t>Depriorize this topic in RAN1 #108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 xml:space="preserve">Since Group (2) SS can be in any slot in a slot group, the benefit of aligning the Y slots across CCs is limited. For simplicity, we prefer to not enforce such limitation.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sz w:val="20"/>
              </w:rPr>
              <w:t>LG Electronics</w:t>
            </w:r>
          </w:p>
        </w:tc>
        <w:tc>
          <w:tcPr>
            <w:tcW w:w="12176" w:type="dxa"/>
            <w:vAlign w:val="center"/>
          </w:tcPr>
          <w:p>
            <w:pPr>
              <w:widowControl w:val="0"/>
              <w:rPr>
                <w:lang w:eastAsia="zh-CN"/>
              </w:rPr>
            </w:pPr>
            <w:r>
              <w:rPr>
                <w:sz w:val="20"/>
                <w:lang w:eastAsia="zh-CN"/>
              </w:rPr>
              <w:t>We think that it should be first discussed whether/why the Y location (or the location of the monitoring slot) within a slot-group needs to be aligned across CCs. We are open for the discussion.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lang w:eastAsia="zh-CN"/>
              </w:rPr>
              <w:t>Apple</w:t>
            </w:r>
          </w:p>
        </w:tc>
        <w:tc>
          <w:tcPr>
            <w:tcW w:w="12176" w:type="dxa"/>
            <w:vAlign w:val="center"/>
          </w:tcPr>
          <w:p>
            <w:pPr>
              <w:widowControl w:val="0"/>
              <w:rPr>
                <w:sz w:val="20"/>
                <w:lang w:eastAsia="zh-CN"/>
              </w:rPr>
            </w:pPr>
            <w:r>
              <w:rPr>
                <w:lang w:eastAsia="zh-CN"/>
              </w:rPr>
              <w:t>We support the proposal.</w:t>
            </w:r>
          </w:p>
        </w:tc>
      </w:tr>
    </w:tbl>
    <w:p>
      <w:pPr>
        <w:rPr>
          <w:b/>
          <w:bCs/>
          <w:highlight w:val="yellow"/>
          <w:lang w:eastAsia="zh-CN"/>
        </w:rPr>
      </w:pPr>
    </w:p>
    <w:p>
      <w:pPr>
        <w:pStyle w:val="5"/>
      </w:pPr>
      <w:r>
        <w:t>First round discussion summary</w:t>
      </w:r>
    </w:p>
    <w:p>
      <w:pPr>
        <w:rPr>
          <w:sz w:val="20"/>
          <w:szCs w:val="20"/>
          <w:lang w:eastAsia="zh-CN"/>
        </w:rPr>
      </w:pPr>
      <w:r>
        <w:rPr>
          <w:sz w:val="20"/>
          <w:szCs w:val="20"/>
          <w:lang w:eastAsia="zh-CN"/>
        </w:rPr>
        <w:t>Most companies seem to be fine with proposals C1-1.1 and C1-1.2, however some companies note that the proposal is not needed if Alt 2 in Issue A3-2 is agreed. One company expressed a preference to not considering so many different cases. Regarding proposal C1-1.3, there hasn't been much feedback so far.</w:t>
      </w:r>
    </w:p>
    <w:p>
      <w:pPr>
        <w:rPr>
          <w:sz w:val="20"/>
          <w:szCs w:val="20"/>
          <w:lang w:eastAsia="zh-CN"/>
        </w:rPr>
      </w:pPr>
      <w:r>
        <w:rPr>
          <w:sz w:val="20"/>
          <w:szCs w:val="20"/>
          <w:lang w:eastAsia="zh-CN"/>
        </w:rPr>
        <w:t>FL suggests to continue the discussion on proposals C1-1.1 and C1-1.2. It would be beneficial if companies could provide a smaller set of cases if that is their preference. Discussion on proposal C1-1.3 should continue to allow input from more companies.</w:t>
      </w:r>
    </w:p>
    <w:p>
      <w:pPr>
        <w:pStyle w:val="5"/>
      </w:pPr>
      <w:r>
        <w:t>Second round discussion</w:t>
      </w:r>
    </w:p>
    <w:p>
      <w:pPr>
        <w:rPr>
          <w:sz w:val="20"/>
          <w:szCs w:val="20"/>
          <w:highlight w:val="yellow"/>
          <w:lang w:eastAsia="zh-CN"/>
        </w:rPr>
      </w:pPr>
      <w:r>
        <w:rPr>
          <w:bCs/>
          <w:sz w:val="20"/>
          <w:szCs w:val="20"/>
          <w:lang w:val="en-GB" w:eastAsia="zh-CN"/>
        </w:rPr>
        <w:t xml:space="preserve">In view of the first round discussion, </w:t>
      </w:r>
      <w:r>
        <w:rPr>
          <w:sz w:val="20"/>
          <w:szCs w:val="20"/>
          <w:highlight w:val="yellow"/>
          <w:lang w:eastAsia="zh-CN"/>
        </w:rPr>
        <w:t>FL suggests to continue the discussion on proposals C1-1.1 (with typo corrected as identified by NTT DOCOMO) and C1-1.2. It would be beneficial if companies could suggest a smaller set of cases if that is their preference.</w:t>
      </w:r>
    </w:p>
    <w:p>
      <w:pPr>
        <w:tabs>
          <w:tab w:val="left" w:pos="1300"/>
        </w:tabs>
        <w:spacing w:after="0"/>
        <w:jc w:val="both"/>
        <w:rPr>
          <w:rFonts w:eastAsia="宋体"/>
          <w:b/>
          <w:bCs/>
          <w:sz w:val="20"/>
          <w:szCs w:val="20"/>
          <w:lang w:eastAsia="zh-CN"/>
        </w:rPr>
      </w:pPr>
      <w:r>
        <w:rPr>
          <w:b/>
          <w:sz w:val="20"/>
          <w:szCs w:val="20"/>
          <w:highlight w:val="yellow"/>
          <w:u w:val="single"/>
        </w:rPr>
        <w:t>Proposal C1-1.1a (correcting two typos in C1-1.1)</w:t>
      </w:r>
      <w:r>
        <w:rPr>
          <w:b/>
          <w:sz w:val="20"/>
          <w:szCs w:val="20"/>
          <w:highlight w:val="yellow"/>
        </w:rPr>
        <w:t>:</w:t>
      </w:r>
      <w:r>
        <w:rPr>
          <w:b/>
          <w:sz w:val="20"/>
          <w:szCs w:val="20"/>
        </w:rPr>
        <w:t xml:space="preserve"> </w:t>
      </w:r>
    </w:p>
    <w:p>
      <w:pPr>
        <w:jc w:val="both"/>
        <w:rPr>
          <w:sz w:val="20"/>
          <w:szCs w:val="20"/>
        </w:rPr>
      </w:pPr>
      <w:bookmarkStart w:id="9" w:name="_Hlk96638458"/>
      <w:r>
        <w:rPr>
          <w:sz w:val="20"/>
          <w:szCs w:val="20"/>
        </w:rPr>
        <w:t>For Rel-17, 4 additional cases  for UE capability signaling need to be defined:</w:t>
      </w:r>
    </w:p>
    <w:p>
      <w:pPr>
        <w:pStyle w:val="82"/>
        <w:numPr>
          <w:ilvl w:val="0"/>
          <w:numId w:val="65"/>
        </w:numPr>
        <w:snapToGrid/>
        <w:spacing w:line="240" w:lineRule="auto"/>
        <w:jc w:val="both"/>
        <w:rPr>
          <w:sz w:val="20"/>
          <w:szCs w:val="20"/>
        </w:rPr>
      </w:pPr>
      <w:r>
        <w:rPr>
          <w:sz w:val="20"/>
          <w:szCs w:val="20"/>
        </w:rPr>
        <w:t>Case 4: Capability on the number of CCs with Rel-17 monitoring capability only</w:t>
      </w:r>
    </w:p>
    <w:p>
      <w:pPr>
        <w:pStyle w:val="82"/>
        <w:numPr>
          <w:ilvl w:val="1"/>
          <w:numId w:val="65"/>
        </w:numPr>
        <w:snapToGrid/>
        <w:spacing w:line="240" w:lineRule="auto"/>
        <w:jc w:val="both"/>
        <w:rPr>
          <w:sz w:val="20"/>
          <w:szCs w:val="20"/>
        </w:rPr>
      </w:pPr>
      <w:r>
        <w:rPr>
          <w:sz w:val="20"/>
          <w:szCs w:val="20"/>
        </w:rPr>
        <w:t>pdcch-BlindDetectionCA-R17 is equal to  4 {similar to Rel-15}</w:t>
      </w:r>
    </w:p>
    <w:p>
      <w:pPr>
        <w:pStyle w:val="82"/>
        <w:numPr>
          <w:ilvl w:val="0"/>
          <w:numId w:val="65"/>
        </w:numPr>
        <w:snapToGrid/>
        <w:spacing w:line="240" w:lineRule="auto"/>
        <w:jc w:val="both"/>
        <w:rPr>
          <w:sz w:val="20"/>
          <w:szCs w:val="20"/>
        </w:rPr>
      </w:pPr>
      <w:r>
        <w:rPr>
          <w:sz w:val="20"/>
          <w:szCs w:val="20"/>
        </w:rPr>
        <w:t>Case 5: Capability on the number of CCS with Rel-15 monitoring capability and Rel-17 monitoring capability on different serving cells</w:t>
      </w:r>
    </w:p>
    <w:p>
      <w:pPr>
        <w:pStyle w:val="82"/>
        <w:numPr>
          <w:ilvl w:val="1"/>
          <w:numId w:val="65"/>
        </w:numPr>
        <w:snapToGrid/>
        <w:spacing w:line="240" w:lineRule="auto"/>
        <w:jc w:val="both"/>
        <w:rPr>
          <w:sz w:val="20"/>
          <w:szCs w:val="20"/>
        </w:rPr>
      </w:pPr>
      <w:r>
        <w:rPr>
          <w:sz w:val="20"/>
          <w:szCs w:val="20"/>
        </w:rPr>
        <w:t>pdcch-BlindDetectionCA-R15 for Rel-15 PDCCH monitoring capability</w:t>
      </w:r>
    </w:p>
    <w:p>
      <w:pPr>
        <w:pStyle w:val="82"/>
        <w:numPr>
          <w:ilvl w:val="1"/>
          <w:numId w:val="65"/>
        </w:numPr>
        <w:snapToGrid/>
        <w:spacing w:line="240" w:lineRule="auto"/>
        <w:jc w:val="both"/>
        <w:rPr>
          <w:sz w:val="20"/>
          <w:szCs w:val="20"/>
        </w:rPr>
      </w:pPr>
      <w:r>
        <w:rPr>
          <w:sz w:val="20"/>
          <w:szCs w:val="20"/>
        </w:rPr>
        <w:t>pdcch-BlindDetectionCA-R17 for Rel-17 PDCCH monitoring capability</w:t>
      </w:r>
    </w:p>
    <w:p>
      <w:pPr>
        <w:pStyle w:val="82"/>
        <w:numPr>
          <w:ilvl w:val="1"/>
          <w:numId w:val="65"/>
        </w:numPr>
        <w:snapToGrid/>
        <w:spacing w:line="240" w:lineRule="auto"/>
        <w:jc w:val="both"/>
        <w:rPr>
          <w:sz w:val="20"/>
          <w:szCs w:val="20"/>
        </w:rPr>
      </w:pPr>
      <w:r>
        <w:rPr>
          <w:sz w:val="20"/>
          <w:szCs w:val="20"/>
        </w:rPr>
        <w:t>Range of  pdcch-BlindDetectionCA-R17 and pdcch-BlindDetectionCA-R15: [1:15]</w:t>
      </w:r>
    </w:p>
    <w:p>
      <w:pPr>
        <w:pStyle w:val="82"/>
        <w:numPr>
          <w:ilvl w:val="2"/>
          <w:numId w:val="65"/>
        </w:numPr>
        <w:snapToGrid/>
        <w:spacing w:line="240" w:lineRule="auto"/>
        <w:jc w:val="both"/>
        <w:rPr>
          <w:sz w:val="20"/>
          <w:szCs w:val="20"/>
        </w:rPr>
      </w:pPr>
      <w:r>
        <w:rPr>
          <w:sz w:val="20"/>
          <w:szCs w:val="20"/>
        </w:rPr>
        <w:t>The minimum of pdcch-BlindDetectionCA-R15 + The minimum of pdcch-BlindDetectionCA-R17) is equal to  4</w:t>
      </w:r>
    </w:p>
    <w:p>
      <w:pPr>
        <w:pStyle w:val="82"/>
        <w:numPr>
          <w:ilvl w:val="3"/>
          <w:numId w:val="65"/>
        </w:numPr>
        <w:snapToGrid/>
        <w:spacing w:line="240" w:lineRule="auto"/>
        <w:jc w:val="both"/>
        <w:rPr>
          <w:sz w:val="20"/>
          <w:szCs w:val="20"/>
        </w:rPr>
      </w:pPr>
      <w:r>
        <w:rPr>
          <w:sz w:val="20"/>
          <w:szCs w:val="20"/>
        </w:rPr>
        <w:t xml:space="preserve">Range of pdcch-BlindDetectionCA-R15 +   pdcch-BlindDetectionCA-R17: [4:16] </w:t>
      </w:r>
    </w:p>
    <w:p>
      <w:pPr>
        <w:pStyle w:val="82"/>
        <w:numPr>
          <w:ilvl w:val="0"/>
          <w:numId w:val="65"/>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pPr>
        <w:pStyle w:val="82"/>
        <w:numPr>
          <w:ilvl w:val="1"/>
          <w:numId w:val="65"/>
        </w:numPr>
        <w:snapToGrid/>
        <w:spacing w:line="240" w:lineRule="auto"/>
        <w:jc w:val="both"/>
        <w:rPr>
          <w:sz w:val="20"/>
          <w:szCs w:val="20"/>
        </w:rPr>
      </w:pPr>
      <w:r>
        <w:rPr>
          <w:sz w:val="20"/>
          <w:szCs w:val="20"/>
        </w:rPr>
        <w:t>pdcch-BlindDetectionCA-R16 for Rel-16 PDCCH monitoring capability</w:t>
      </w:r>
    </w:p>
    <w:p>
      <w:pPr>
        <w:pStyle w:val="82"/>
        <w:numPr>
          <w:ilvl w:val="1"/>
          <w:numId w:val="65"/>
        </w:numPr>
        <w:snapToGrid/>
        <w:spacing w:line="240" w:lineRule="auto"/>
        <w:jc w:val="both"/>
        <w:rPr>
          <w:sz w:val="20"/>
          <w:szCs w:val="20"/>
        </w:rPr>
      </w:pPr>
      <w:r>
        <w:rPr>
          <w:sz w:val="20"/>
          <w:szCs w:val="20"/>
        </w:rPr>
        <w:t>pdcch-BlindDetectionCA-R17 for Rel-17 PDCCH monitoring capability</w:t>
      </w:r>
    </w:p>
    <w:p>
      <w:pPr>
        <w:pStyle w:val="82"/>
        <w:numPr>
          <w:ilvl w:val="1"/>
          <w:numId w:val="65"/>
        </w:numPr>
        <w:snapToGrid/>
        <w:spacing w:line="240" w:lineRule="auto"/>
        <w:jc w:val="both"/>
        <w:rPr>
          <w:sz w:val="20"/>
          <w:szCs w:val="20"/>
        </w:rPr>
      </w:pPr>
      <w:r>
        <w:rPr>
          <w:sz w:val="20"/>
          <w:szCs w:val="20"/>
        </w:rPr>
        <w:t xml:space="preserve">Range of  pdcch-BlindDetectionCA-R17 and pdcch-BlindDetectionCA-R16: [1:15] </w:t>
      </w:r>
    </w:p>
    <w:p>
      <w:pPr>
        <w:pStyle w:val="82"/>
        <w:numPr>
          <w:ilvl w:val="2"/>
          <w:numId w:val="65"/>
        </w:numPr>
        <w:snapToGrid/>
        <w:spacing w:line="240" w:lineRule="auto"/>
        <w:jc w:val="both"/>
        <w:rPr>
          <w:sz w:val="20"/>
          <w:szCs w:val="20"/>
        </w:rPr>
      </w:pPr>
      <w:r>
        <w:rPr>
          <w:sz w:val="20"/>
          <w:szCs w:val="20"/>
        </w:rPr>
        <w:t>The minimum of pdcch-BlindDetectionCA-R16 + The minimum of pdcch-BlindDetectionCA-R17) is equal to 3</w:t>
      </w:r>
    </w:p>
    <w:p>
      <w:pPr>
        <w:pStyle w:val="82"/>
        <w:numPr>
          <w:ilvl w:val="3"/>
          <w:numId w:val="65"/>
        </w:numPr>
        <w:snapToGrid/>
        <w:spacing w:line="240" w:lineRule="auto"/>
        <w:jc w:val="both"/>
        <w:rPr>
          <w:sz w:val="20"/>
          <w:szCs w:val="20"/>
        </w:rPr>
      </w:pPr>
      <w:r>
        <w:rPr>
          <w:sz w:val="20"/>
          <w:szCs w:val="20"/>
        </w:rPr>
        <w:t>Range of pdcch-BlindDetectionCA-R16 +   pdcch-BlindDetectionCA-R17: [3:16]</w:t>
      </w:r>
    </w:p>
    <w:p>
      <w:pPr>
        <w:pStyle w:val="82"/>
        <w:numPr>
          <w:ilvl w:val="0"/>
          <w:numId w:val="65"/>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pPr>
        <w:pStyle w:val="82"/>
        <w:numPr>
          <w:ilvl w:val="1"/>
          <w:numId w:val="65"/>
        </w:numPr>
        <w:snapToGrid/>
        <w:spacing w:line="240" w:lineRule="auto"/>
        <w:jc w:val="both"/>
        <w:rPr>
          <w:sz w:val="20"/>
          <w:szCs w:val="20"/>
        </w:rPr>
      </w:pPr>
      <w:r>
        <w:rPr>
          <w:sz w:val="20"/>
          <w:szCs w:val="20"/>
        </w:rPr>
        <w:t>pdcch-BlindDetectionCA-R15 for Rel-15 PDCCH monitoring capability</w:t>
      </w:r>
    </w:p>
    <w:p>
      <w:pPr>
        <w:pStyle w:val="82"/>
        <w:numPr>
          <w:ilvl w:val="1"/>
          <w:numId w:val="65"/>
        </w:numPr>
        <w:snapToGrid/>
        <w:spacing w:line="240" w:lineRule="auto"/>
        <w:jc w:val="both"/>
        <w:rPr>
          <w:sz w:val="20"/>
          <w:szCs w:val="20"/>
        </w:rPr>
      </w:pPr>
      <w:r>
        <w:rPr>
          <w:sz w:val="20"/>
          <w:szCs w:val="20"/>
        </w:rPr>
        <w:t>pdcch-BlindDetectionCA-R16 for Rel-16 PDCCH monitoring capability</w:t>
      </w:r>
    </w:p>
    <w:p>
      <w:pPr>
        <w:pStyle w:val="82"/>
        <w:numPr>
          <w:ilvl w:val="1"/>
          <w:numId w:val="65"/>
        </w:numPr>
        <w:snapToGrid/>
        <w:spacing w:line="240" w:lineRule="auto"/>
        <w:jc w:val="both"/>
        <w:rPr>
          <w:sz w:val="20"/>
          <w:szCs w:val="20"/>
        </w:rPr>
      </w:pPr>
      <w:r>
        <w:rPr>
          <w:sz w:val="20"/>
          <w:szCs w:val="20"/>
        </w:rPr>
        <w:t>pdcch-BlindDetectionCA-R17 for Rel-17 PDCCH monitoring capability</w:t>
      </w:r>
    </w:p>
    <w:p>
      <w:pPr>
        <w:pStyle w:val="82"/>
        <w:numPr>
          <w:ilvl w:val="1"/>
          <w:numId w:val="65"/>
        </w:numPr>
        <w:snapToGrid/>
        <w:spacing w:line="240" w:lineRule="auto"/>
        <w:jc w:val="both"/>
        <w:rPr>
          <w:sz w:val="20"/>
          <w:szCs w:val="20"/>
        </w:rPr>
      </w:pPr>
      <w:r>
        <w:rPr>
          <w:sz w:val="20"/>
          <w:szCs w:val="20"/>
        </w:rPr>
        <w:t>Range of  pdcch-BlindDetectionCA-R17,  pdcch-BlindDetectionCA-R16,  and pdcch-BlindDetectionCA-R15: [1:15]</w:t>
      </w:r>
    </w:p>
    <w:p>
      <w:pPr>
        <w:pStyle w:val="82"/>
        <w:numPr>
          <w:ilvl w:val="2"/>
          <w:numId w:val="65"/>
        </w:numPr>
        <w:snapToGrid/>
        <w:spacing w:line="240" w:lineRule="auto"/>
        <w:jc w:val="both"/>
        <w:rPr>
          <w:sz w:val="20"/>
          <w:szCs w:val="20"/>
        </w:rPr>
      </w:pPr>
      <w:r>
        <w:rPr>
          <w:sz w:val="20"/>
          <w:szCs w:val="20"/>
        </w:rPr>
        <w:t>The minimum of pdcch-BlindDetectionCA-R15  + pdcch-BlindDetectionCA-R16 + The minimum of pdcch-BlindDetectionCA-R17) is equal to 4</w:t>
      </w:r>
    </w:p>
    <w:p>
      <w:pPr>
        <w:pStyle w:val="82"/>
        <w:numPr>
          <w:ilvl w:val="3"/>
          <w:numId w:val="65"/>
        </w:numPr>
        <w:snapToGrid/>
        <w:spacing w:line="240" w:lineRule="auto"/>
        <w:jc w:val="both"/>
        <w:rPr>
          <w:i/>
          <w:iCs/>
          <w:sz w:val="20"/>
          <w:szCs w:val="20"/>
        </w:rPr>
      </w:pPr>
      <w:r>
        <w:rPr>
          <w:sz w:val="20"/>
          <w:szCs w:val="20"/>
        </w:rPr>
        <w:t>Range of pdcch-BlindDetectionCA-R15  + pdcch-BlindDetectionCA-R16 +   pdcch-BlindDetectionCA-R17 : [4:16]</w:t>
      </w:r>
    </w:p>
    <w:p>
      <w:pPr>
        <w:rPr>
          <w:sz w:val="20"/>
          <w:szCs w:val="20"/>
          <w:highlight w:val="yellow"/>
          <w:lang w:eastAsia="zh-CN"/>
        </w:rPr>
      </w:pPr>
    </w:p>
    <w:bookmarkEnd w:id="9"/>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sz w:val="21"/>
                <w:szCs w:val="21"/>
                <w:lang w:eastAsia="zh-CN"/>
              </w:rPr>
              <w:t>ZTE, Sanechips</w:t>
            </w:r>
          </w:p>
        </w:tc>
        <w:tc>
          <w:tcPr>
            <w:tcW w:w="12176" w:type="dxa"/>
            <w:vAlign w:val="center"/>
          </w:tcPr>
          <w:p>
            <w:pPr>
              <w:widowControl w:val="0"/>
              <w:rPr>
                <w:lang w:eastAsia="zh-CN"/>
              </w:rPr>
            </w:pPr>
            <w:r>
              <w:rPr>
                <w:sz w:val="20"/>
                <w:lang w:eastAsia="zh-CN"/>
              </w:rPr>
              <w:t>If Alt</w:t>
            </w:r>
            <w:r>
              <w:rPr>
                <w:rFonts w:hint="eastAsia"/>
                <w:sz w:val="20"/>
                <w:lang w:eastAsia="zh-CN"/>
              </w:rPr>
              <w:t xml:space="preserve"> 1-2</w:t>
            </w:r>
            <w:r>
              <w:rPr>
                <w:sz w:val="20"/>
                <w:lang w:eastAsia="zh-CN"/>
              </w:rPr>
              <w:t xml:space="preserve"> in issue A3-2 is agreed,</w:t>
            </w:r>
            <w:r>
              <w:rPr>
                <w:rFonts w:hint="eastAsia"/>
                <w:sz w:val="20"/>
                <w:lang w:eastAsia="zh-CN"/>
              </w:rPr>
              <w:t xml:space="preserve"> we support proposals C1-1.1 (with typo corrected) and C1-1.2.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lang w:eastAsia="zh-CN"/>
              </w:rPr>
              <w:t>Intel</w:t>
            </w:r>
          </w:p>
        </w:tc>
        <w:tc>
          <w:tcPr>
            <w:tcW w:w="12176" w:type="dxa"/>
            <w:vAlign w:val="center"/>
          </w:tcPr>
          <w:p>
            <w:pPr>
              <w:widowControl w:val="0"/>
              <w:rPr>
                <w:sz w:val="20"/>
                <w:lang w:eastAsia="zh-CN"/>
              </w:rPr>
            </w:pPr>
            <w:r>
              <w:rPr>
                <w:lang w:eastAsia="zh-CN"/>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t>Samsung</w:t>
            </w:r>
          </w:p>
        </w:tc>
        <w:tc>
          <w:tcPr>
            <w:tcW w:w="12176" w:type="dxa"/>
            <w:vAlign w:val="center"/>
          </w:tcPr>
          <w:p>
            <w:pPr>
              <w:widowControl w:val="0"/>
              <w:rPr>
                <w:lang w:eastAsia="zh-CN"/>
              </w:rPr>
            </w:pPr>
            <w:r>
              <w:rPr>
                <w:lang w:eastAsia="zh-CN"/>
              </w:rPr>
              <w:t>We support proposals C1-1.1</w:t>
            </w:r>
            <w:r>
              <w:t xml:space="preserve"> </w:t>
            </w:r>
            <w:r>
              <w:rPr>
                <w:lang w:eastAsia="zh-CN"/>
              </w:rPr>
              <w:t xml:space="preserve">and C1-1.2. We believe these proposals are essentially needed to enable multi-cell operation, which is absent from current specification.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eastAsia="MS Mincho"/>
                <w:lang w:eastAsia="ja-JP"/>
              </w:rPr>
              <w:t>N</w:t>
            </w:r>
            <w:r>
              <w:rPr>
                <w:rFonts w:eastAsia="MS Mincho"/>
                <w:lang w:eastAsia="ja-JP"/>
              </w:rPr>
              <w:t>TT DOCOMO</w:t>
            </w:r>
          </w:p>
        </w:tc>
        <w:tc>
          <w:tcPr>
            <w:tcW w:w="12176" w:type="dxa"/>
            <w:vAlign w:val="center"/>
          </w:tcPr>
          <w:p>
            <w:pPr>
              <w:widowControl w:val="0"/>
              <w:rPr>
                <w:lang w:eastAsia="zh-CN"/>
              </w:rPr>
            </w:pPr>
            <w:r>
              <w:rPr>
                <w:rFonts w:eastAsia="MS Mincho"/>
                <w:lang w:eastAsia="ja-JP"/>
              </w:rPr>
              <w:t>We support the proposal.</w:t>
            </w:r>
          </w:p>
        </w:tc>
      </w:tr>
    </w:tbl>
    <w:p>
      <w:pPr>
        <w:rPr>
          <w:sz w:val="20"/>
          <w:szCs w:val="20"/>
          <w:highlight w:val="yellow"/>
          <w:lang w:eastAsia="zh-CN"/>
        </w:rPr>
      </w:pPr>
    </w:p>
    <w:p>
      <w:pPr>
        <w:rPr>
          <w:sz w:val="20"/>
          <w:szCs w:val="20"/>
          <w:lang w:eastAsia="zh-CN"/>
        </w:rPr>
      </w:pPr>
      <w:r>
        <w:rPr>
          <w:sz w:val="20"/>
          <w:szCs w:val="20"/>
          <w:highlight w:val="yellow"/>
          <w:lang w:eastAsia="zh-CN"/>
        </w:rPr>
        <w:t>Discussion on proposal C1-1.3 can continue to allow input from more companies.</w:t>
      </w:r>
    </w:p>
    <w:tbl>
      <w:tblPr>
        <w:tblStyle w:val="55"/>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D8D8D8" w:themeFill="background1" w:themeFillShade="D9"/>
            <w:vAlign w:val="center"/>
          </w:tcPr>
          <w:p>
            <w:pPr>
              <w:widowControl w:val="0"/>
              <w:rPr>
                <w:lang w:eastAsia="zh-CN"/>
              </w:rPr>
            </w:pPr>
            <w:r>
              <w:rPr>
                <w:lang w:eastAsia="zh-CN"/>
              </w:rPr>
              <w:t xml:space="preserve">Samsung </w:t>
            </w:r>
            <w:r>
              <w:rPr>
                <w:sz w:val="20"/>
              </w:rPr>
              <w:t>(from first round)</w:t>
            </w:r>
          </w:p>
        </w:tc>
        <w:tc>
          <w:tcPr>
            <w:tcW w:w="12176" w:type="dxa"/>
            <w:shd w:val="clear" w:color="auto" w:fill="D8D8D8" w:themeFill="background1" w:themeFillShade="D9"/>
            <w:vAlign w:val="center"/>
          </w:tcPr>
          <w:p>
            <w:pPr>
              <w:widowControl w:val="0"/>
              <w:rPr>
                <w:lang w:eastAsia="zh-CN"/>
              </w:rPr>
            </w:pPr>
            <w:r>
              <w:rPr>
                <w:lang w:eastAsia="zh-CN"/>
              </w:rPr>
              <w:t xml:space="preserve">We prefer to handle it in UE capability discussion.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D8D8D8" w:themeFill="background1" w:themeFillShade="D9"/>
            <w:vAlign w:val="center"/>
          </w:tcPr>
          <w:p>
            <w:pPr>
              <w:widowControl w:val="0"/>
              <w:rPr>
                <w:sz w:val="20"/>
              </w:rPr>
            </w:pPr>
            <w:r>
              <w:rPr>
                <w:sz w:val="20"/>
              </w:rPr>
              <w:t>Qualcomm (from first round)</w:t>
            </w:r>
          </w:p>
        </w:tc>
        <w:tc>
          <w:tcPr>
            <w:tcW w:w="12176" w:type="dxa"/>
            <w:shd w:val="clear" w:color="auto" w:fill="D8D8D8" w:themeFill="background1" w:themeFillShade="D9"/>
            <w:vAlign w:val="center"/>
          </w:tcPr>
          <w:p>
            <w:pPr>
              <w:widowControl w:val="0"/>
              <w:rPr>
                <w:sz w:val="20"/>
                <w:lang w:eastAsia="zh-CN"/>
              </w:rPr>
            </w:pPr>
            <w:r>
              <w:rPr>
                <w:sz w:val="20"/>
                <w:lang w:eastAsia="zh-CN"/>
              </w:rPr>
              <w:t>We are open for the discussion. We see the power saving benefit of aligning the Y slots across CCs.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D8D8D8" w:themeFill="background1" w:themeFillShade="D9"/>
            <w:vAlign w:val="center"/>
          </w:tcPr>
          <w:p>
            <w:pPr>
              <w:widowControl w:val="0"/>
              <w:rPr>
                <w:sz w:val="20"/>
              </w:rPr>
            </w:pPr>
            <w:r>
              <w:rPr>
                <w:sz w:val="20"/>
              </w:rPr>
              <w:t>Nokia, NSB (from first round)</w:t>
            </w:r>
          </w:p>
        </w:tc>
        <w:tc>
          <w:tcPr>
            <w:tcW w:w="12176" w:type="dxa"/>
            <w:shd w:val="clear" w:color="auto" w:fill="D8D8D8" w:themeFill="background1" w:themeFillShade="D9"/>
            <w:vAlign w:val="center"/>
          </w:tcPr>
          <w:p>
            <w:pPr>
              <w:widowControl w:val="0"/>
              <w:rPr>
                <w:sz w:val="20"/>
              </w:rPr>
            </w:pPr>
            <w:r>
              <w:rPr>
                <w:sz w:val="20"/>
              </w:rPr>
              <w:t>Depriorize this topic in RAN1 #108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D8D8D8" w:themeFill="background1" w:themeFillShade="D9"/>
            <w:vAlign w:val="center"/>
          </w:tcPr>
          <w:p>
            <w:pPr>
              <w:widowControl w:val="0"/>
              <w:rPr>
                <w:lang w:eastAsia="zh-CN"/>
              </w:rPr>
            </w:pPr>
            <w:r>
              <w:rPr>
                <w:lang w:eastAsia="zh-CN"/>
              </w:rPr>
              <w:t xml:space="preserve">Intel </w:t>
            </w:r>
            <w:r>
              <w:rPr>
                <w:sz w:val="20"/>
              </w:rPr>
              <w:t>(from first round)</w:t>
            </w:r>
          </w:p>
        </w:tc>
        <w:tc>
          <w:tcPr>
            <w:tcW w:w="12176" w:type="dxa"/>
            <w:shd w:val="clear" w:color="auto" w:fill="D8D8D8" w:themeFill="background1" w:themeFillShade="D9"/>
            <w:vAlign w:val="center"/>
          </w:tcPr>
          <w:p>
            <w:pPr>
              <w:widowControl w:val="0"/>
              <w:rPr>
                <w:lang w:eastAsia="zh-CN"/>
              </w:rPr>
            </w:pPr>
            <w:r>
              <w:rPr>
                <w:lang w:eastAsia="zh-CN"/>
              </w:rPr>
              <w:t xml:space="preserve">Since Group (2) SS can be in any slot in a slot group, the benefit of aligning the Y slots across CCs is limited. For simplicity, we prefer to not enforce such limitation.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D8D8D8" w:themeFill="background1" w:themeFillShade="D9"/>
            <w:vAlign w:val="center"/>
          </w:tcPr>
          <w:p>
            <w:pPr>
              <w:widowControl w:val="0"/>
              <w:rPr>
                <w:lang w:eastAsia="zh-CN"/>
              </w:rPr>
            </w:pPr>
            <w:r>
              <w:rPr>
                <w:sz w:val="20"/>
              </w:rPr>
              <w:t>LG Electronics (from first round)</w:t>
            </w:r>
          </w:p>
        </w:tc>
        <w:tc>
          <w:tcPr>
            <w:tcW w:w="12176" w:type="dxa"/>
            <w:shd w:val="clear" w:color="auto" w:fill="D8D8D8" w:themeFill="background1" w:themeFillShade="D9"/>
            <w:vAlign w:val="center"/>
          </w:tcPr>
          <w:p>
            <w:pPr>
              <w:widowControl w:val="0"/>
              <w:rPr>
                <w:lang w:eastAsia="zh-CN"/>
              </w:rPr>
            </w:pPr>
            <w:r>
              <w:rPr>
                <w:sz w:val="20"/>
                <w:lang w:eastAsia="zh-CN"/>
              </w:rPr>
              <w:t>We think that it should be first discussed whether/why the Y location (or the location of the monitoring slot) within a slot-group needs to be aligned across CCs. We are open for the discussion.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D8D8D8" w:themeFill="background1" w:themeFillShade="D9"/>
            <w:vAlign w:val="center"/>
          </w:tcPr>
          <w:p>
            <w:pPr>
              <w:widowControl w:val="0"/>
              <w:rPr>
                <w:sz w:val="20"/>
              </w:rPr>
            </w:pPr>
            <w:r>
              <w:rPr>
                <w:lang w:eastAsia="zh-CN"/>
              </w:rPr>
              <w:t xml:space="preserve">Apple </w:t>
            </w:r>
            <w:r>
              <w:rPr>
                <w:sz w:val="20"/>
              </w:rPr>
              <w:t>(from first round)</w:t>
            </w:r>
          </w:p>
        </w:tc>
        <w:tc>
          <w:tcPr>
            <w:tcW w:w="12176" w:type="dxa"/>
            <w:shd w:val="clear" w:color="auto" w:fill="D8D8D8" w:themeFill="background1" w:themeFillShade="D9"/>
            <w:vAlign w:val="center"/>
          </w:tcPr>
          <w:p>
            <w:pPr>
              <w:widowControl w:val="0"/>
              <w:rPr>
                <w:sz w:val="20"/>
                <w:lang w:eastAsia="zh-CN"/>
              </w:rPr>
            </w:pPr>
            <w:r>
              <w:rPr>
                <w:lang w:eastAsia="zh-CN"/>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sz w:val="21"/>
                <w:szCs w:val="21"/>
                <w:lang w:eastAsia="zh-CN"/>
              </w:rPr>
              <w:t>ZTE, Sanechips</w:t>
            </w:r>
          </w:p>
        </w:tc>
        <w:tc>
          <w:tcPr>
            <w:tcW w:w="12176" w:type="dxa"/>
            <w:vAlign w:val="center"/>
          </w:tcPr>
          <w:p>
            <w:pPr>
              <w:widowControl w:val="0"/>
              <w:rPr>
                <w:lang w:eastAsia="zh-CN"/>
              </w:rPr>
            </w:pPr>
            <w:r>
              <w:rPr>
                <w:rFonts w:hint="eastAsia"/>
                <w:lang w:eastAsia="zh-CN"/>
              </w:rPr>
              <w:t xml:space="preserve">We are open to discuss proposal C1-1.3, we agree with Samsung and this can be discussed in </w:t>
            </w:r>
            <w:r>
              <w:rPr>
                <w:lang w:eastAsia="zh-CN"/>
              </w:rPr>
              <w:t>UE capability</w:t>
            </w:r>
            <w:r>
              <w:rPr>
                <w:rFonts w:hint="eastAsia"/>
                <w:lang w:eastAsia="zh-CN"/>
              </w:rPr>
              <w:t xml:space="preserve"> session.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1"/>
                <w:szCs w:val="21"/>
                <w:lang w:eastAsia="zh-CN"/>
              </w:rPr>
            </w:pPr>
            <w:r>
              <w:rPr>
                <w:lang w:eastAsia="zh-CN"/>
              </w:rPr>
              <w:t>MediaTek</w:t>
            </w:r>
          </w:p>
        </w:tc>
        <w:tc>
          <w:tcPr>
            <w:tcW w:w="12176" w:type="dxa"/>
            <w:vAlign w:val="center"/>
          </w:tcPr>
          <w:p>
            <w:pPr>
              <w:widowControl w:val="0"/>
              <w:rPr>
                <w:lang w:eastAsia="zh-CN"/>
              </w:rPr>
            </w:pPr>
            <w:r>
              <w:rPr>
                <w:lang w:eastAsia="zh-CN"/>
              </w:rPr>
              <w:t xml:space="preserve">We would like to point out that similar capability on span alignment was already introduced in Rel-16 URLLC and we still see the same benefit on power saving and PDCCH candidate dropping rule checking.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To clarify, we are open to the discussion, but it seems more like a UE capability discussion, since we didn’t see the need to mandate aligning the location of Ys slots across CCs.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lang w:eastAsia="zh-CN"/>
              </w:rPr>
            </w:pPr>
            <w:r>
              <w:rPr>
                <w:rFonts w:eastAsia="MS Mincho"/>
                <w:lang w:eastAsia="ja-JP"/>
              </w:rPr>
              <w:t>We share the same view with Intel that the benefit with the proposal is limited since Group (2) SS can configured in any slot and don’t see the need to restrict Group (1) SS configuration depending on th UE capabiility.</w:t>
            </w:r>
          </w:p>
        </w:tc>
      </w:tr>
    </w:tbl>
    <w:p>
      <w:pPr>
        <w:rPr>
          <w:sz w:val="20"/>
          <w:szCs w:val="20"/>
          <w:lang w:eastAsia="zh-CN"/>
        </w:rPr>
      </w:pPr>
    </w:p>
    <w:p>
      <w:pPr>
        <w:pStyle w:val="5"/>
      </w:pPr>
      <w:r>
        <w:t>Second round discussion summary</w:t>
      </w:r>
    </w:p>
    <w:p>
      <w:pPr>
        <w:rPr>
          <w:sz w:val="20"/>
          <w:szCs w:val="20"/>
          <w:lang w:eastAsia="zh-CN"/>
        </w:rPr>
      </w:pPr>
      <w:r>
        <w:rPr>
          <w:sz w:val="21"/>
          <w:szCs w:val="21"/>
          <w:highlight w:val="yellow"/>
          <w:lang w:eastAsia="zh-CN"/>
        </w:rPr>
        <w:t>Proposal C1-1.1a and Proposal C1-1.2 are suggested to be handled as part of Proposal A3-2.1b (see section 2.3.2.4/2.3.2.5).</w:t>
      </w:r>
    </w:p>
    <w:p>
      <w:pPr>
        <w:pStyle w:val="4"/>
      </w:pPr>
      <w:r>
        <w:t>(Closed) Issue C-2: Cross-carrier scheduling limitations by SCS difference</w:t>
      </w:r>
    </w:p>
    <w:p>
      <w:pPr>
        <w:rPr>
          <w:lang w:val="en-GB" w:eastAsia="zh-CN"/>
        </w:rPr>
      </w:pPr>
      <w:r>
        <w:rPr>
          <w:lang w:val="en-GB" w:eastAsia="zh-CN"/>
        </w:rPr>
        <w:t>FL Note: Discussion in earlier meetings has not shown consensus to introduce a cross-carrier scheduling limitation as a function of |μPDCCH − μPDSCH|. RAN1#107bis-e has produced the following conclusion:</w:t>
      </w:r>
    </w:p>
    <w:p>
      <w:pPr>
        <w:rPr>
          <w:b/>
          <w:u w:val="single"/>
          <w:lang w:eastAsia="zh-CN"/>
        </w:rPr>
      </w:pPr>
      <w:r>
        <w:rPr>
          <w:b/>
          <w:u w:val="single"/>
          <w:lang w:eastAsia="zh-CN"/>
        </w:rPr>
        <w:t>Conclusion</w:t>
      </w:r>
    </w:p>
    <w:p>
      <w:pPr>
        <w:rPr>
          <w:lang w:eastAsia="zh-CN"/>
        </w:rPr>
      </w:pPr>
      <w:r>
        <w:rPr>
          <w:rFonts w:eastAsia="等线"/>
        </w:rPr>
        <w:t>Potential indications of UE capability related to a limited support of cross-carrier scheduling e.g. as a function of |</w:t>
      </w:r>
      <w:r>
        <w:rPr>
          <w:rFonts w:eastAsia="等线"/>
          <w:lang w:val="de-DE"/>
        </w:rPr>
        <w:t>μ</w:t>
      </w:r>
      <w:r>
        <w:rPr>
          <w:rFonts w:eastAsia="等线"/>
        </w:rPr>
        <w:t xml:space="preserve">PDCCH − </w:t>
      </w:r>
      <w:r>
        <w:rPr>
          <w:rFonts w:eastAsia="等线"/>
          <w:lang w:val="de-DE"/>
        </w:rPr>
        <w:t>μ</w:t>
      </w:r>
      <w:r>
        <w:rPr>
          <w:rFonts w:eastAsia="等线"/>
        </w:rPr>
        <w:t>PDSCH| can be discussed as part of the UE capability discussion.</w:t>
      </w:r>
    </w:p>
    <w:p>
      <w:pPr>
        <w:rPr>
          <w:lang w:eastAsia="zh-CN"/>
        </w:rPr>
      </w:pPr>
    </w:p>
    <w:p>
      <w:pPr>
        <w:rPr>
          <w:bCs/>
          <w:iCs/>
          <w:color w:val="000000"/>
          <w:sz w:val="21"/>
          <w:szCs w:val="21"/>
          <w:lang w:eastAsia="zh-CN"/>
        </w:rPr>
      </w:pPr>
      <w:r>
        <w:rPr>
          <w:b/>
          <w:iCs/>
          <w:sz w:val="21"/>
          <w:szCs w:val="21"/>
        </w:rPr>
        <w:t>R1-2200953</w:t>
      </w:r>
      <w:r>
        <w:rPr>
          <w:bCs/>
          <w:iCs/>
          <w:sz w:val="21"/>
          <w:szCs w:val="21"/>
        </w:rPr>
        <w:t xml:space="preserve">: Cross-carrier scheduling is only supported for </w:t>
      </w:r>
      <m:oMath>
        <m:d>
          <m:dPr>
            <m:begChr m:val="|"/>
            <m:endChr m:val="|"/>
            <m:ctrlPr>
              <w:rPr>
                <w:rFonts w:ascii="Cambria Math" w:hAnsi="Cambria Math"/>
                <w:bCs/>
                <w:iCs/>
                <w:sz w:val="21"/>
                <w:szCs w:val="21"/>
              </w:rPr>
            </m:ctrlPr>
          </m:dPr>
          <m:e>
            <m:sSub>
              <m:sSubPr>
                <m:ctrlPr>
                  <w:rPr>
                    <w:rFonts w:ascii="Cambria Math" w:hAnsi="Cambria Math"/>
                    <w:bCs/>
                    <w:iCs/>
                    <w:sz w:val="21"/>
                    <w:szCs w:val="21"/>
                  </w:rPr>
                </m:ctrlPr>
              </m:sSubPr>
              <m:e>
                <m:r>
                  <m:rPr>
                    <m:sty m:val="p"/>
                  </m:rPr>
                  <w:rPr>
                    <w:rFonts w:ascii="Cambria Math" w:hAnsi="Cambria Math"/>
                    <w:sz w:val="21"/>
                    <w:szCs w:val="21"/>
                  </w:rPr>
                  <m:t>μ</m:t>
                </m:r>
                <m:ctrlPr>
                  <w:rPr>
                    <w:rFonts w:ascii="Cambria Math" w:hAnsi="Cambria Math"/>
                    <w:bCs/>
                    <w:iCs/>
                    <w:sz w:val="21"/>
                    <w:szCs w:val="21"/>
                  </w:rPr>
                </m:ctrlPr>
              </m:e>
              <m:sub>
                <m:r>
                  <m:rPr>
                    <m:nor/>
                    <m:sty m:val="p"/>
                  </m:rPr>
                  <w:rPr>
                    <w:bCs/>
                    <w:iCs/>
                    <w:sz w:val="21"/>
                    <w:szCs w:val="21"/>
                    <w:vertAlign w:val="subscript"/>
                  </w:rPr>
                  <m:t>PDCCH</m:t>
                </m:r>
                <m:ctrlPr>
                  <w:rPr>
                    <w:rFonts w:ascii="Cambria Math" w:hAnsi="Cambria Math"/>
                    <w:bCs/>
                    <w:iCs/>
                    <w:sz w:val="21"/>
                    <w:szCs w:val="21"/>
                  </w:rPr>
                </m:ctrlPr>
              </m:sub>
            </m:sSub>
            <m:r>
              <m:rPr>
                <m:sty m:val="p"/>
              </m:rPr>
              <w:rPr>
                <w:rFonts w:ascii="Cambria Math" w:hAnsi="Cambria Math"/>
                <w:sz w:val="21"/>
                <w:szCs w:val="21"/>
              </w:rPr>
              <m:t>-</m:t>
            </m:r>
            <m:sSub>
              <m:sSubPr>
                <m:ctrlPr>
                  <w:rPr>
                    <w:rFonts w:ascii="Cambria Math" w:hAnsi="Cambria Math"/>
                    <w:bCs/>
                    <w:iCs/>
                    <w:sz w:val="21"/>
                    <w:szCs w:val="21"/>
                  </w:rPr>
                </m:ctrlPr>
              </m:sSubPr>
              <m:e>
                <m:r>
                  <m:rPr>
                    <m:sty m:val="p"/>
                  </m:rPr>
                  <w:rPr>
                    <w:rFonts w:ascii="Cambria Math" w:hAnsi="Cambria Math"/>
                    <w:sz w:val="21"/>
                    <w:szCs w:val="21"/>
                  </w:rPr>
                  <m:t>μ</m:t>
                </m:r>
                <m:ctrlPr>
                  <w:rPr>
                    <w:rFonts w:ascii="Cambria Math" w:hAnsi="Cambria Math"/>
                    <w:bCs/>
                    <w:iCs/>
                    <w:sz w:val="21"/>
                    <w:szCs w:val="21"/>
                  </w:rPr>
                </m:ctrlPr>
              </m:e>
              <m:sub>
                <m:r>
                  <m:rPr>
                    <m:nor/>
                    <m:sty m:val="p"/>
                  </m:rPr>
                  <w:rPr>
                    <w:bCs/>
                    <w:iCs/>
                    <w:sz w:val="21"/>
                    <w:szCs w:val="21"/>
                    <w:vertAlign w:val="subscript"/>
                  </w:rPr>
                  <m:t>PDSCH</m:t>
                </m:r>
                <m:ctrlPr>
                  <w:rPr>
                    <w:rFonts w:ascii="Cambria Math" w:hAnsi="Cambria Math"/>
                    <w:bCs/>
                    <w:iCs/>
                    <w:sz w:val="21"/>
                    <w:szCs w:val="21"/>
                  </w:rPr>
                </m:ctrlPr>
              </m:sub>
            </m:sSub>
            <m:ctrlPr>
              <w:rPr>
                <w:rFonts w:ascii="Cambria Math" w:hAnsi="Cambria Math"/>
                <w:bCs/>
                <w:iCs/>
                <w:sz w:val="21"/>
                <w:szCs w:val="21"/>
              </w:rPr>
            </m:ctrlPr>
          </m:e>
        </m:d>
        <m:r>
          <m:rPr>
            <m:sty m:val="p"/>
          </m:rPr>
          <w:rPr>
            <w:rFonts w:ascii="Cambria Math" w:hAnsi="Cambria Math"/>
            <w:sz w:val="21"/>
            <w:szCs w:val="21"/>
          </w:rPr>
          <m:t>≤3</m:t>
        </m:r>
      </m:oMath>
      <w:r>
        <w:rPr>
          <w:bCs/>
          <w:iCs/>
          <w:color w:val="000000"/>
          <w:sz w:val="21"/>
          <w:szCs w:val="21"/>
          <w:lang w:eastAsia="zh-CN"/>
        </w:rPr>
        <w:t>.</w:t>
      </w:r>
    </w:p>
    <w:p>
      <w:pPr>
        <w:rPr>
          <w:bCs/>
          <w:iCs/>
          <w:lang w:eastAsia="zh-CN"/>
        </w:rPr>
      </w:pPr>
      <w:r>
        <w:rPr>
          <w:b/>
          <w:iCs/>
          <w:sz w:val="21"/>
          <w:szCs w:val="21"/>
        </w:rPr>
        <w:t>R1-2201352</w:t>
      </w:r>
      <w:r>
        <w:rPr>
          <w:bCs/>
          <w:iCs/>
          <w:sz w:val="21"/>
          <w:szCs w:val="21"/>
        </w:rPr>
        <w:t>: In order to better support cross-carrier scheduling of the new SCS, i.e. 480 kHz and 960 kHz, the difference of SCS of cross-carrier scheduling should not be limited.</w:t>
      </w:r>
    </w:p>
    <w:p>
      <w:pPr>
        <w:tabs>
          <w:tab w:val="left" w:pos="1300"/>
        </w:tabs>
        <w:spacing w:after="0"/>
        <w:rPr>
          <w:rFonts w:eastAsia="宋体"/>
          <w:b/>
          <w:sz w:val="20"/>
          <w:szCs w:val="20"/>
          <w:lang w:eastAsia="zh-CN"/>
        </w:rPr>
      </w:pPr>
      <w:r>
        <w:rPr>
          <w:b/>
          <w:sz w:val="20"/>
          <w:szCs w:val="20"/>
          <w:highlight w:val="cyan"/>
          <w:lang w:eastAsia="zh-CN"/>
        </w:rPr>
        <w:t xml:space="preserve">FL Note: </w:t>
      </w:r>
      <w:r>
        <w:rPr>
          <w:b/>
          <w:sz w:val="20"/>
          <w:szCs w:val="20"/>
          <w:highlight w:val="cyan"/>
        </w:rPr>
        <w:t>Due to the discussion in earlier meetings and the conclusion reached in RAN1#107bis_e, these proposals are not further discussed in RAN1#108-e.</w:t>
      </w:r>
    </w:p>
    <w:p>
      <w:pPr>
        <w:rPr>
          <w:lang w:val="en-GB"/>
        </w:rPr>
      </w:pPr>
    </w:p>
    <w:p>
      <w:pPr>
        <w:pStyle w:val="2"/>
      </w:pPr>
      <w:r>
        <w:t>Contribution Details</w:t>
      </w:r>
    </w:p>
    <w:p>
      <w:pPr>
        <w:rPr>
          <w:lang w:val="en-GB" w:eastAsia="zh-CN"/>
        </w:rPr>
      </w:pPr>
      <w:r>
        <w:rPr>
          <w:lang w:val="en-GB" w:eastAsia="zh-CN"/>
        </w:rPr>
        <w:t>The following sections show extracted discussion and proposals from the contributions submitted to this AI, by a pure subjective decision by the FL.</w:t>
      </w:r>
    </w:p>
    <w:p>
      <w:pPr>
        <w:pStyle w:val="3"/>
      </w:pPr>
      <w:r>
        <w:t>Topic A1: Blind Decoding Capability, Multi-slot monitoring and corresponding (X,Y) values</w:t>
      </w:r>
    </w:p>
    <w:p>
      <w:pPr>
        <w:rPr>
          <w:lang w:val="en-GB" w:eastAsia="zh-CN"/>
        </w:rPr>
      </w:pPr>
      <w:r>
        <w:rPr>
          <w:lang w:val="en-GB" w:eastAsia="zh-CN"/>
        </w:rPr>
        <w:t>List of issues, proposals, and suggestions for handling in the email discussion phase.</w:t>
      </w:r>
    </w:p>
    <w:p>
      <w:pPr>
        <w:pStyle w:val="4"/>
      </w:pPr>
      <w:r>
        <w:t>R1-2200953 (Huawei, HiSilicon)</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beforeLines="50" w:afterLines="50"/>
              <w:rPr>
                <w:rFonts w:eastAsia="Yu Mincho"/>
                <w:b/>
              </w:rPr>
            </w:pPr>
            <w:r>
              <w:rPr>
                <w:rFonts w:eastAsia="Yu Mincho"/>
                <w:b/>
              </w:rPr>
              <w:t xml:space="preserve">Observation 1: </w:t>
            </w:r>
            <w:r>
              <w:rPr>
                <w:rFonts w:eastAsia="Yu Mincho"/>
                <w:b/>
                <w:lang w:eastAsia="ja-JP"/>
              </w:rPr>
              <w:t xml:space="preserve">In case that UE supports more than one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ctrlPr>
                    <w:rPr>
                      <w:rFonts w:ascii="Cambria Math" w:hAnsi="Cambria Math"/>
                      <w:b/>
                    </w:rPr>
                  </m:ctrlP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ctrlPr>
                    <w:rPr>
                      <w:rFonts w:ascii="Cambria Math" w:hAnsi="Cambria Math"/>
                      <w:b/>
                      <w:i/>
                    </w:rPr>
                  </m:ctrlPr>
                </m:e>
                <m:sub>
                  <m:r>
                    <m:rPr>
                      <m:sty m:val="bi"/>
                    </m:rPr>
                    <w:rPr>
                      <w:rFonts w:ascii="Cambria Math" w:hAnsi="Cambria Math"/>
                    </w:rPr>
                    <m:t>s</m:t>
                  </m:r>
                  <m:ctrlPr>
                    <w:rPr>
                      <w:rFonts w:ascii="Cambria Math" w:hAnsi="Cambria Math"/>
                      <w:b/>
                      <w:i/>
                    </w:rPr>
                  </m:ctrlPr>
                </m:sub>
              </m:sSub>
              <m:r>
                <m:rPr>
                  <m:sty m:val="bi"/>
                </m:rPr>
                <w:rPr>
                  <w:rFonts w:ascii="Cambria Math" w:hAnsi="Cambria Math"/>
                </w:rPr>
                <m:t>)</m:t>
              </m:r>
            </m:oMath>
            <w:r>
              <w:rPr>
                <w:rFonts w:eastAsia="Yu Mincho"/>
                <w:b/>
              </w:rPr>
              <w:t xml:space="preserve"> combinations</w:t>
            </w:r>
            <w:r>
              <w:rPr>
                <w:rFonts w:eastAsia="Yu Mincho"/>
                <w:b/>
                <w:lang w:eastAsia="ja-JP"/>
              </w:rPr>
              <w:t xml:space="preserve"> AND </w:t>
            </w:r>
            <w:r>
              <w:rPr>
                <w:rFonts w:eastAsia="Yu Mincho"/>
                <w:b/>
              </w:rPr>
              <w:t xml:space="preserve">the configured search space sets comply with more than one supported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ctrlPr>
                    <w:rPr>
                      <w:rFonts w:ascii="Cambria Math" w:hAnsi="Cambria Math"/>
                      <w:b/>
                    </w:rPr>
                  </m:ctrlP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ctrlPr>
                    <w:rPr>
                      <w:rFonts w:ascii="Cambria Math" w:hAnsi="Cambria Math"/>
                      <w:b/>
                      <w:i/>
                    </w:rPr>
                  </m:ctrlPr>
                </m:e>
                <m:sub>
                  <m:r>
                    <m:rPr>
                      <m:sty m:val="bi"/>
                    </m:rPr>
                    <w:rPr>
                      <w:rFonts w:ascii="Cambria Math" w:hAnsi="Cambria Math"/>
                    </w:rPr>
                    <m:t>s</m:t>
                  </m:r>
                  <m:ctrlPr>
                    <w:rPr>
                      <w:rFonts w:ascii="Cambria Math" w:hAnsi="Cambria Math"/>
                      <w:b/>
                      <w:i/>
                    </w:rPr>
                  </m:ctrlPr>
                </m:sub>
              </m:sSub>
              <m:r>
                <m:rPr>
                  <m:sty m:val="bi"/>
                </m:rPr>
                <w:rPr>
                  <w:rFonts w:ascii="Cambria Math" w:hAnsi="Cambria Math"/>
                </w:rPr>
                <m:t>)</m:t>
              </m:r>
            </m:oMath>
            <w:r>
              <w:rPr>
                <w:rFonts w:eastAsia="Yu Mincho"/>
                <w:b/>
              </w:rPr>
              <w:t xml:space="preserve"> combinations, determining the “active” </w:t>
            </w:r>
            <m:oMath>
              <m:sSub>
                <m:sSubPr>
                  <m:ctrlPr>
                    <w:rPr>
                      <w:rFonts w:ascii="Cambria Math" w:hAnsi="Cambria Math"/>
                      <w:b/>
                      <w:i/>
                    </w:rPr>
                  </m:ctrlPr>
                </m:sSubPr>
                <m:e>
                  <m:r>
                    <m:rPr>
                      <m:sty m:val="bi"/>
                    </m:rPr>
                    <w:rPr>
                      <w:rFonts w:ascii="Cambria Math" w:hAnsi="Cambria Math"/>
                    </w:rPr>
                    <m:t>Y</m:t>
                  </m:r>
                  <m:ctrlPr>
                    <w:rPr>
                      <w:rFonts w:ascii="Cambria Math" w:hAnsi="Cambria Math"/>
                      <w:b/>
                      <w:i/>
                    </w:rPr>
                  </m:ctrlPr>
                </m:e>
                <m:sub>
                  <m:r>
                    <m:rPr>
                      <m:sty m:val="bi"/>
                    </m:rPr>
                    <w:rPr>
                      <w:rFonts w:ascii="Cambria Math" w:hAnsi="Cambria Math"/>
                    </w:rPr>
                    <m:t>s</m:t>
                  </m:r>
                  <m:ctrlPr>
                    <w:rPr>
                      <w:rFonts w:ascii="Cambria Math" w:hAnsi="Cambria Math"/>
                      <w:b/>
                      <w:i/>
                    </w:rPr>
                  </m:ctrlPr>
                </m:sub>
              </m:sSub>
            </m:oMath>
            <w:r>
              <w:rPr>
                <w:rFonts w:eastAsia="Yu Mincho"/>
                <w:b/>
              </w:rPr>
              <w:t xml:space="preserve"> for the UE does not change UE monitoring behavior and, therefore, is not required. </w:t>
            </w:r>
          </w:p>
          <w:p>
            <w:pPr>
              <w:widowControl w:val="0"/>
              <w:spacing w:before="120" w:beforeLines="50" w:afterLines="50"/>
              <w:rPr>
                <w:rFonts w:eastAsia="Yu Mincho"/>
                <w:b/>
              </w:rPr>
            </w:pPr>
            <w:r>
              <w:rPr>
                <w:rFonts w:eastAsia="Yu Mincho"/>
                <w:b/>
                <w:lang w:eastAsia="ja-JP"/>
              </w:rPr>
              <w:t xml:space="preserve">Question 2: In case that UE supports more than one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ctrlPr>
                    <w:rPr>
                      <w:rFonts w:ascii="Cambria Math" w:hAnsi="Cambria Math"/>
                      <w:b/>
                    </w:rPr>
                  </m:ctrlP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ctrlPr>
                    <w:rPr>
                      <w:rFonts w:ascii="Cambria Math" w:hAnsi="Cambria Math"/>
                      <w:b/>
                      <w:i/>
                    </w:rPr>
                  </m:ctrlPr>
                </m:e>
                <m:sub>
                  <m:r>
                    <m:rPr>
                      <m:sty m:val="bi"/>
                    </m:rPr>
                    <w:rPr>
                      <w:rFonts w:ascii="Cambria Math" w:hAnsi="Cambria Math"/>
                    </w:rPr>
                    <m:t>s</m:t>
                  </m:r>
                  <m:ctrlPr>
                    <w:rPr>
                      <w:rFonts w:ascii="Cambria Math" w:hAnsi="Cambria Math"/>
                      <w:b/>
                      <w:i/>
                    </w:rPr>
                  </m:ctrlPr>
                </m:sub>
              </m:sSub>
              <m:r>
                <m:rPr>
                  <m:sty m:val="bi"/>
                </m:rPr>
                <w:rPr>
                  <w:rFonts w:ascii="Cambria Math" w:hAnsi="Cambria Math"/>
                </w:rPr>
                <m:t>)</m:t>
              </m:r>
            </m:oMath>
            <w:r>
              <w:rPr>
                <w:rFonts w:eastAsia="Yu Mincho"/>
                <w:b/>
              </w:rPr>
              <w:t xml:space="preserve"> combinations</w:t>
            </w:r>
            <w:r>
              <w:rPr>
                <w:rFonts w:eastAsia="Yu Mincho"/>
                <w:b/>
                <w:lang w:eastAsia="ja-JP"/>
              </w:rPr>
              <w:t xml:space="preserve"> AND </w:t>
            </w:r>
            <w:r>
              <w:rPr>
                <w:rFonts w:eastAsia="Yu Mincho"/>
                <w:b/>
              </w:rPr>
              <w:t xml:space="preserve">the configured search space sets comply with more than one supported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ctrlPr>
                    <w:rPr>
                      <w:rFonts w:ascii="Cambria Math" w:hAnsi="Cambria Math"/>
                      <w:b/>
                    </w:rPr>
                  </m:ctrlP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ctrlPr>
                    <w:rPr>
                      <w:rFonts w:ascii="Cambria Math" w:hAnsi="Cambria Math"/>
                      <w:b/>
                      <w:i/>
                    </w:rPr>
                  </m:ctrlPr>
                </m:e>
                <m:sub>
                  <m:r>
                    <m:rPr>
                      <m:sty m:val="bi"/>
                    </m:rPr>
                    <w:rPr>
                      <w:rFonts w:ascii="Cambria Math" w:hAnsi="Cambria Math"/>
                    </w:rPr>
                    <m:t>s</m:t>
                  </m:r>
                  <m:ctrlPr>
                    <w:rPr>
                      <w:rFonts w:ascii="Cambria Math" w:hAnsi="Cambria Math"/>
                      <w:b/>
                      <w:i/>
                    </w:rPr>
                  </m:ctrlPr>
                </m:sub>
              </m:sSub>
              <m:r>
                <m:rPr>
                  <m:sty m:val="bi"/>
                </m:rPr>
                <w:rPr>
                  <w:rFonts w:ascii="Cambria Math" w:hAnsi="Cambria Math"/>
                </w:rPr>
                <m:t>)</m:t>
              </m:r>
            </m:oMath>
            <w:r>
              <w:rPr>
                <w:rFonts w:eastAsia="Yu Mincho"/>
                <w:b/>
              </w:rPr>
              <w:t xml:space="preserve"> combinations, is it required to determine the “active” value of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ctrlPr>
                    <w:rPr>
                      <w:rFonts w:ascii="Cambria Math" w:hAnsi="Cambria Math"/>
                      <w:b/>
                    </w:rPr>
                  </m:ctrlPr>
                </m:sub>
              </m:sSub>
            </m:oMath>
            <w:r>
              <w:rPr>
                <w:rFonts w:eastAsia="Yu Mincho"/>
                <w:b/>
              </w:rPr>
              <w:t>?</w:t>
            </w:r>
          </w:p>
          <w:p>
            <w:pPr>
              <w:widowControl w:val="0"/>
              <w:spacing w:before="120" w:beforeLines="50" w:afterLines="50"/>
            </w:pPr>
            <w:r>
              <w:t xml:space="preserve">For </w:t>
            </w:r>
            <m:oMath>
              <m:r>
                <m:rPr>
                  <m:sty m:val="p"/>
                </m:rPr>
                <w:rPr>
                  <w:rStyle w:val="67"/>
                  <w:rFonts w:ascii="Cambria Math" w:hAnsi="Cambria Math"/>
                </w:rPr>
                <m:t>μ=5</m:t>
              </m:r>
            </m:oMath>
            <w:r>
              <w:rPr>
                <w:rStyle w:val="67"/>
              </w:rPr>
              <w:t xml:space="preserve">, only </w:t>
            </w:r>
            <w:r>
              <w:rPr>
                <w:rFonts w:eastAsia="Yu Mincho"/>
              </w:rPr>
              <w:t xml:space="preserve">(4,1) and (4,2) are supported and they have the same BD/CCE budget. Therefore, if the active value of </w:t>
            </w:r>
            <m:oMath>
              <m:sSub>
                <m:sSubPr>
                  <m:ctrlPr>
                    <w:rPr>
                      <w:rFonts w:ascii="Cambria Math" w:hAnsi="Cambria Math"/>
                      <w:i/>
                    </w:rPr>
                  </m:ctrlPr>
                </m:sSubPr>
                <m:e>
                  <m:r>
                    <w:rPr>
                      <w:rFonts w:ascii="Cambria Math" w:hAnsi="Cambria Math"/>
                    </w:rPr>
                    <m:t>X</m:t>
                  </m:r>
                  <m:ctrlPr>
                    <w:rPr>
                      <w:rFonts w:ascii="Cambria Math" w:hAnsi="Cambria Math"/>
                      <w:i/>
                    </w:rPr>
                  </m:ctrlPr>
                </m:e>
                <m:sub>
                  <m:r>
                    <w:rPr>
                      <w:rFonts w:ascii="Cambria Math" w:hAnsi="Cambria Math"/>
                    </w:rPr>
                    <m:t>s</m:t>
                  </m:r>
                  <m:ctrlPr>
                    <w:rPr>
                      <w:rFonts w:ascii="Cambria Math" w:hAnsi="Cambria Math"/>
                      <w:i/>
                    </w:rPr>
                  </m:ctrlPr>
                </m:sub>
              </m:sSub>
            </m:oMath>
            <w:r>
              <w:rPr>
                <w:rFonts w:eastAsia="Yu Mincho"/>
              </w:rPr>
              <w:t xml:space="preserve"> needs to be determined, there is no ambiguity that it would be </w:t>
            </w:r>
            <m:oMath>
              <m:sSub>
                <m:sSubPr>
                  <m:ctrlPr>
                    <w:rPr>
                      <w:rFonts w:ascii="Cambria Math" w:hAnsi="Cambria Math"/>
                      <w:i/>
                    </w:rPr>
                  </m:ctrlPr>
                </m:sSubPr>
                <m:e>
                  <m:r>
                    <w:rPr>
                      <w:rFonts w:ascii="Cambria Math" w:hAnsi="Cambria Math"/>
                    </w:rPr>
                    <m:t>X</m:t>
                  </m:r>
                  <m:ctrlPr>
                    <w:rPr>
                      <w:rFonts w:ascii="Cambria Math" w:hAnsi="Cambria Math"/>
                      <w:i/>
                    </w:rPr>
                  </m:ctrlPr>
                </m:e>
                <m:sub>
                  <m:r>
                    <w:rPr>
                      <w:rFonts w:ascii="Cambria Math" w:hAnsi="Cambria Math"/>
                    </w:rPr>
                    <m:t>s</m:t>
                  </m:r>
                  <m:ctrlPr>
                    <w:rPr>
                      <w:rFonts w:ascii="Cambria Math" w:hAnsi="Cambria Math"/>
                      <w:i/>
                    </w:rPr>
                  </m:ctrlPr>
                </m:sub>
              </m:sSub>
              <m:r>
                <m:rPr>
                  <m:sty m:val="p"/>
                </m:rPr>
                <w:rPr>
                  <w:rStyle w:val="67"/>
                  <w:rFonts w:ascii="Cambria Math" w:hAnsi="Cambria Math"/>
                </w:rPr>
                <m:t>=4.</m:t>
              </m:r>
            </m:oMath>
          </w:p>
          <w:p>
            <w:pPr>
              <w:widowControl w:val="0"/>
              <w:spacing w:before="120" w:beforeLines="50" w:afterLines="50"/>
            </w:pPr>
            <w:r>
              <w:t xml:space="preserve">For </w:t>
            </w:r>
            <m:oMath>
              <m:r>
                <m:rPr>
                  <m:sty m:val="p"/>
                </m:rPr>
                <w:rPr>
                  <w:rStyle w:val="67"/>
                  <w:rFonts w:ascii="Cambria Math" w:hAnsi="Cambria Math"/>
                </w:rPr>
                <m:t>μ=6</m:t>
              </m:r>
            </m:oMath>
            <w:r>
              <w:rPr>
                <w:rStyle w:val="67"/>
              </w:rPr>
              <w:t>, a</w:t>
            </w:r>
            <w:r>
              <w:t xml:space="preserve"> majority of companies argued in RAN1 107b-e that if UE supports more than one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m:t>
              </m:r>
            </m:oMath>
            <w:r>
              <w:rPr>
                <w:rFonts w:eastAsia="Yu Mincho"/>
              </w:rPr>
              <w:t xml:space="preserve"> </w:t>
            </w:r>
            <w:r>
              <w:t xml:space="preserve">combinations AND the configured SS sets comply with more than one reported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m:t>
              </m:r>
            </m:oMath>
            <w:r>
              <w:rPr>
                <w:rFonts w:eastAsia="Yu Mincho"/>
              </w:rPr>
              <w:t xml:space="preserve"> </w:t>
            </w:r>
            <w:r>
              <w:t xml:space="preserve"> combinations, the “active” value of </w:t>
            </w:r>
            <m:oMath>
              <m:sSub>
                <m:sSubPr>
                  <m:ctrlPr>
                    <w:rPr>
                      <w:rFonts w:ascii="Cambria Math" w:hAnsi="Cambria Math"/>
                      <w:i/>
                    </w:rPr>
                  </m:ctrlPr>
                </m:sSubPr>
                <m:e>
                  <m:r>
                    <w:rPr>
                      <w:rFonts w:ascii="Cambria Math" w:hAnsi="Cambria Math"/>
                    </w:rPr>
                    <m:t>X</m:t>
                  </m:r>
                  <m:ctrlPr>
                    <w:rPr>
                      <w:rFonts w:ascii="Cambria Math" w:hAnsi="Cambria Math"/>
                      <w:i/>
                    </w:rPr>
                  </m:ctrlPr>
                </m:e>
                <m:sub>
                  <m:r>
                    <w:rPr>
                      <w:rFonts w:ascii="Cambria Math" w:hAnsi="Cambria Math"/>
                    </w:rPr>
                    <m:t>s</m:t>
                  </m:r>
                  <m:ctrlPr>
                    <w:rPr>
                      <w:rFonts w:ascii="Cambria Math" w:hAnsi="Cambria Math"/>
                      <w:i/>
                    </w:rPr>
                  </m:ctrlPr>
                </m:sub>
              </m:sSub>
            </m:oMath>
            <w:r>
              <w:t xml:space="preserve"> should be the one that corresponds to the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m:t>
              </m:r>
            </m:oMath>
            <w:r>
              <w:rPr>
                <w:rFonts w:eastAsia="Yu Mincho"/>
              </w:rPr>
              <w:t xml:space="preserve"> combination</w:t>
            </w:r>
            <w:r>
              <w:t xml:space="preserve"> that 1) all configured SS sets comply with; and 2) results in the largest BD/CCE budget. For instance, if UE supports </w:t>
            </w:r>
            <w:r>
              <w:rPr>
                <w:rFonts w:eastAsia="Yu Mincho"/>
              </w:rPr>
              <w:t xml:space="preserve">(4,1) and (8,1) for </w:t>
            </w:r>
            <m:oMath>
              <m:r>
                <m:rPr>
                  <m:sty m:val="p"/>
                </m:rPr>
                <w:rPr>
                  <w:rStyle w:val="67"/>
                  <w:rFonts w:ascii="Cambria Math" w:hAnsi="Cambria Math"/>
                </w:rPr>
                <m:t>μ=6</m:t>
              </m:r>
            </m:oMath>
            <w:r>
              <w:rPr>
                <w:rStyle w:val="67"/>
                <w:rFonts w:eastAsia="Yu Mincho"/>
              </w:rPr>
              <w:t xml:space="preserve"> and all </w:t>
            </w:r>
            <w:r>
              <w:rPr>
                <w:rFonts w:eastAsia="Yu Mincho"/>
              </w:rPr>
              <w:t xml:space="preserve">Group (1) SSs of the UE are configured within a single slot every 8 slots, it is technically possible to determine active </w:t>
            </w:r>
            <m:oMath>
              <m:sSub>
                <m:sSubPr>
                  <m:ctrlPr>
                    <w:rPr>
                      <w:rFonts w:ascii="Cambria Math" w:hAnsi="Cambria Math"/>
                      <w:i/>
                    </w:rPr>
                  </m:ctrlPr>
                </m:sSubPr>
                <m:e>
                  <m:r>
                    <w:rPr>
                      <w:rFonts w:ascii="Cambria Math" w:hAnsi="Cambria Math"/>
                    </w:rPr>
                    <m:t>X</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=4</m:t>
              </m:r>
            </m:oMath>
            <w:r>
              <w:rPr>
                <w:rFonts w:eastAsia="Yu Mincho"/>
              </w:rPr>
              <w:t xml:space="preserve"> which means that BD/CCE budget of the Group (1) and potential </w:t>
            </w:r>
            <w:r>
              <w:t xml:space="preserve">Group (2) SS in the first 4 consecutive slots are 10/16, while the BD/CCE budget in the second 4 consecutive slots within the 8-slot period cannot be used for group (1) SS monitoring in the first 4 consecutive slots.  If </w:t>
            </w:r>
            <m:oMath>
              <m:sSub>
                <m:sSubPr>
                  <m:ctrlPr>
                    <w:rPr>
                      <w:rFonts w:ascii="Cambria Math" w:hAnsi="Cambria Math"/>
                      <w:i/>
                    </w:rPr>
                  </m:ctrlPr>
                </m:sSubPr>
                <m:e>
                  <m:r>
                    <w:rPr>
                      <w:rFonts w:ascii="Cambria Math" w:hAnsi="Cambria Math"/>
                    </w:rPr>
                    <m:t>X</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=8</m:t>
              </m:r>
            </m:oMath>
            <w:r>
              <w:rPr>
                <w:rFonts w:eastAsia="Yu Mincho"/>
              </w:rPr>
              <w:t xml:space="preserve"> is assumed in the same scenario,</w:t>
            </w:r>
            <w:r>
              <w:t xml:space="preserve"> the total BD/CCE budget for both Group (1) SS and Group (2) SS within those 8 slots is 20/32.</w:t>
            </w:r>
            <w:r>
              <w:rPr>
                <w:rFonts w:eastAsia="Yu Mincho"/>
              </w:rPr>
              <w:t xml:space="preserve"> Therefore, we also think that </w:t>
            </w:r>
            <w:r>
              <w:t xml:space="preserve">if UE supports more than one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m:t>
              </m:r>
            </m:oMath>
            <w:r>
              <w:rPr>
                <w:rFonts w:eastAsia="Yu Mincho"/>
              </w:rPr>
              <w:t xml:space="preserve"> </w:t>
            </w:r>
            <w:r>
              <w:t xml:space="preserve">combinations AND the configured search space sets comply with more than one supported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m:t>
              </m:r>
            </m:oMath>
            <w:r>
              <w:rPr>
                <w:rFonts w:eastAsia="Yu Mincho"/>
              </w:rPr>
              <w:t xml:space="preserve"> </w:t>
            </w:r>
            <w:r>
              <w:t xml:space="preserve"> combinations, the “active” value of </w:t>
            </w:r>
            <m:oMath>
              <m:sSub>
                <m:sSubPr>
                  <m:ctrlPr>
                    <w:rPr>
                      <w:rFonts w:ascii="Cambria Math" w:hAnsi="Cambria Math"/>
                      <w:i/>
                    </w:rPr>
                  </m:ctrlPr>
                </m:sSubPr>
                <m:e>
                  <m:r>
                    <w:rPr>
                      <w:rFonts w:ascii="Cambria Math" w:hAnsi="Cambria Math"/>
                    </w:rPr>
                    <m:t>X</m:t>
                  </m:r>
                  <m:ctrlPr>
                    <w:rPr>
                      <w:rFonts w:ascii="Cambria Math" w:hAnsi="Cambria Math"/>
                      <w:i/>
                    </w:rPr>
                  </m:ctrlPr>
                </m:e>
                <m:sub>
                  <m:r>
                    <w:rPr>
                      <w:rFonts w:ascii="Cambria Math" w:hAnsi="Cambria Math"/>
                    </w:rPr>
                    <m:t>s</m:t>
                  </m:r>
                  <m:ctrlPr>
                    <w:rPr>
                      <w:rFonts w:ascii="Cambria Math" w:hAnsi="Cambria Math"/>
                      <w:i/>
                    </w:rPr>
                  </m:ctrlPr>
                </m:sub>
              </m:sSub>
            </m:oMath>
            <w:r>
              <w:t xml:space="preserve"> should be the one that corresponds to the </w:t>
            </w:r>
            <m:oMath>
              <m:sSub>
                <m:sSubPr>
                  <m:ctrlPr>
                    <w:rPr>
                      <w:rFonts w:ascii="Cambria Math" w:hAnsi="Cambria Math"/>
                    </w:rPr>
                  </m:ctrlPr>
                </m:sSubPr>
                <m:e>
                  <m:r>
                    <m:rPr>
                      <m:sty m:val="p"/>
                    </m:rPr>
                    <w:rPr>
                      <w:rFonts w:ascii="Cambria Math" w:hAnsi="Cambria Math"/>
                    </w:rPr>
                    <m:t>(X</m:t>
                  </m:r>
                  <m:ctrlPr>
                    <w:rPr>
                      <w:rFonts w:ascii="Cambria Math" w:hAnsi="Cambria Math"/>
                    </w:rPr>
                  </m:ctrlPr>
                </m:e>
                <m:sub>
                  <m:r>
                    <m:rPr>
                      <m:sty m:val="p"/>
                    </m:rPr>
                    <w:rPr>
                      <w:rFonts w:ascii="Cambria Math" w:hAnsi="Cambria Math"/>
                    </w:rPr>
                    <m:t>s</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ctrlPr>
                    <w:rPr>
                      <w:rFonts w:ascii="Cambria Math" w:hAnsi="Cambria Math"/>
                    </w:rPr>
                  </m:ctrlPr>
                </m:e>
                <m:sub>
                  <m:r>
                    <m:rPr>
                      <m:sty m:val="p"/>
                    </m:rPr>
                    <w:rPr>
                      <w:rFonts w:ascii="Cambria Math" w:hAnsi="Cambria Math"/>
                    </w:rPr>
                    <m:t>s</m:t>
                  </m:r>
                  <m:ctrlPr>
                    <w:rPr>
                      <w:rFonts w:ascii="Cambria Math" w:hAnsi="Cambria Math"/>
                    </w:rPr>
                  </m:ctrlPr>
                </m:sub>
              </m:sSub>
              <m:r>
                <m:rPr>
                  <m:sty m:val="p"/>
                </m:rPr>
                <w:rPr>
                  <w:rFonts w:ascii="Cambria Math" w:hAnsi="Cambria Math"/>
                </w:rPr>
                <m:t>)</m:t>
              </m:r>
            </m:oMath>
            <w:r>
              <w:rPr>
                <w:rFonts w:eastAsia="Yu Mincho"/>
              </w:rPr>
              <w:t xml:space="preserve"> combination</w:t>
            </w:r>
            <w:r>
              <w:t xml:space="preserve"> that all configured search space sets comply with and results in the largest BD/CCE budget (</w:t>
            </w:r>
            <w:r>
              <w:rPr>
                <w:rFonts w:eastAsia="Yu Mincho"/>
              </w:rPr>
              <w:t xml:space="preserve">or, equivalently, the largest </w:t>
            </w:r>
            <m:oMath>
              <m:sSub>
                <m:sSubPr>
                  <m:ctrlPr>
                    <w:rPr>
                      <w:rFonts w:ascii="Cambria Math" w:hAnsi="Cambria Math"/>
                      <w:i/>
                    </w:rPr>
                  </m:ctrlPr>
                </m:sSubPr>
                <m:e>
                  <m:r>
                    <w:rPr>
                      <w:rFonts w:ascii="Cambria Math" w:hAnsi="Cambria Math"/>
                    </w:rPr>
                    <m:t>X</m:t>
                  </m:r>
                  <m:ctrlPr>
                    <w:rPr>
                      <w:rFonts w:ascii="Cambria Math" w:hAnsi="Cambria Math"/>
                      <w:i/>
                    </w:rPr>
                  </m:ctrlPr>
                </m:e>
                <m:sub>
                  <m:r>
                    <w:rPr>
                      <w:rFonts w:ascii="Cambria Math" w:hAnsi="Cambria Math"/>
                    </w:rPr>
                    <m:t>s</m:t>
                  </m:r>
                  <m:ctrlPr>
                    <w:rPr>
                      <w:rFonts w:ascii="Cambria Math" w:hAnsi="Cambria Math"/>
                      <w:i/>
                    </w:rPr>
                  </m:ctrlPr>
                </m:sub>
              </m:sSub>
            </m:oMath>
            <w:r>
              <w:rPr>
                <w:rFonts w:eastAsia="Yu Mincho"/>
              </w:rPr>
              <w:t xml:space="preserve"> in the set of complied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m:t>
              </m:r>
            </m:oMath>
            <w:r>
              <w:rPr>
                <w:rFonts w:eastAsia="Yu Mincho"/>
              </w:rPr>
              <w:t xml:space="preserve"> combinations)</w:t>
            </w:r>
            <w:r>
              <w:t xml:space="preserve">. Such a choice for active </w:t>
            </w:r>
            <m:oMath>
              <m:sSub>
                <m:sSubPr>
                  <m:ctrlPr>
                    <w:rPr>
                      <w:rFonts w:ascii="Cambria Math" w:hAnsi="Cambria Math"/>
                    </w:rPr>
                  </m:ctrlPr>
                </m:sSubPr>
                <m:e>
                  <m:r>
                    <m:rPr>
                      <m:sty m:val="p"/>
                    </m:rPr>
                    <w:rPr>
                      <w:rFonts w:ascii="Cambria Math" w:hAnsi="Cambria Math"/>
                    </w:rPr>
                    <m:t>X</m:t>
                  </m:r>
                  <m:ctrlPr>
                    <w:rPr>
                      <w:rFonts w:ascii="Cambria Math" w:hAnsi="Cambria Math"/>
                    </w:rPr>
                  </m:ctrlPr>
                </m:e>
                <m:sub>
                  <m:r>
                    <m:rPr>
                      <m:sty m:val="p"/>
                    </m:rPr>
                    <w:rPr>
                      <w:rFonts w:ascii="Cambria Math" w:hAnsi="Cambria Math"/>
                    </w:rPr>
                    <m:t>s</m:t>
                  </m:r>
                  <m:ctrlPr>
                    <w:rPr>
                      <w:rFonts w:ascii="Cambria Math" w:hAnsi="Cambria Math"/>
                    </w:rPr>
                  </m:ctrlPr>
                </m:sub>
              </m:sSub>
              <m:r>
                <m:rPr>
                  <m:sty m:val="p"/>
                </m:rPr>
                <w:rPr>
                  <w:rFonts w:ascii="Cambria Math" w:hAnsi="Cambria Math"/>
                </w:rPr>
                <m:t xml:space="preserve"> </m:t>
              </m:r>
            </m:oMath>
            <w:r>
              <w:t>additionally provide more flexibility in monitoring group (2) SS. We propose the following:</w:t>
            </w:r>
          </w:p>
          <w:p>
            <w:pPr>
              <w:widowControl w:val="0"/>
              <w:spacing w:before="120" w:beforeLines="50"/>
              <w:rPr>
                <w:rFonts w:eastAsia="Yu Mincho"/>
                <w:b/>
                <w:i/>
              </w:rPr>
            </w:pPr>
            <w:r>
              <w:rPr>
                <w:b/>
                <w:i/>
              </w:rPr>
              <w:t xml:space="preserve">Proposal 2: If the configured search space sets comply with more than one reported </w:t>
            </w:r>
            <m:oMath>
              <m:sSub>
                <m:sSubPr>
                  <m:ctrlPr>
                    <w:rPr>
                      <w:rFonts w:ascii="Cambria Math" w:hAnsi="Cambria Math"/>
                      <w:b/>
                      <w:i/>
                    </w:rPr>
                  </m:ctrlPr>
                </m:sSubPr>
                <m:e>
                  <m:r>
                    <m:rPr>
                      <m:sty m:val="bi"/>
                    </m:rPr>
                    <w:rPr>
                      <w:rFonts w:ascii="Cambria Math" w:hAnsi="Cambria Math"/>
                    </w:rPr>
                    <m:t>(X</m:t>
                  </m:r>
                  <m:ctrlPr>
                    <w:rPr>
                      <w:rFonts w:ascii="Cambria Math" w:hAnsi="Cambria Math"/>
                      <w:b/>
                      <w:i/>
                    </w:rPr>
                  </m:ctrlPr>
                </m:e>
                <m:sub>
                  <m:r>
                    <m:rPr>
                      <m:sty m:val="bi"/>
                    </m:rPr>
                    <w:rPr>
                      <w:rFonts w:ascii="Cambria Math" w:hAnsi="Cambria Math"/>
                    </w:rPr>
                    <m:t>s</m:t>
                  </m:r>
                  <m:ctrlPr>
                    <w:rPr>
                      <w:rFonts w:ascii="Cambria Math" w:hAnsi="Cambria Math"/>
                      <w:b/>
                      <w:i/>
                    </w:rPr>
                  </m:ctrlP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ctrlPr>
                    <w:rPr>
                      <w:rFonts w:ascii="Cambria Math" w:hAnsi="Cambria Math"/>
                      <w:b/>
                      <w:i/>
                    </w:rPr>
                  </m:ctrlPr>
                </m:e>
                <m:sub>
                  <m:r>
                    <m:rPr>
                      <m:sty m:val="bi"/>
                    </m:rPr>
                    <w:rPr>
                      <w:rFonts w:ascii="Cambria Math" w:hAnsi="Cambria Math"/>
                    </w:rPr>
                    <m:t>s</m:t>
                  </m:r>
                  <m:ctrlPr>
                    <w:rPr>
                      <w:rFonts w:ascii="Cambria Math" w:hAnsi="Cambria Math"/>
                      <w:b/>
                      <w:i/>
                    </w:rPr>
                  </m:ctrlPr>
                </m:sub>
              </m:sSub>
              <m:r>
                <m:rPr>
                  <m:sty m:val="bi"/>
                </m:rPr>
                <w:rPr>
                  <w:rFonts w:ascii="Cambria Math" w:hAnsi="Cambria Math"/>
                </w:rPr>
                <m:t>)</m:t>
              </m:r>
            </m:oMath>
            <w:r>
              <w:rPr>
                <w:rFonts w:eastAsia="Yu Mincho"/>
                <w:b/>
                <w:i/>
              </w:rPr>
              <w:t xml:space="preserve"> </w:t>
            </w:r>
            <w:r>
              <w:rPr>
                <w:b/>
                <w:i/>
              </w:rPr>
              <w:t xml:space="preserve">combinations, determine the “active” </w:t>
            </w:r>
            <m:oMath>
              <m:sSub>
                <m:sSubPr>
                  <m:ctrlPr>
                    <w:rPr>
                      <w:rFonts w:ascii="Cambria Math" w:hAnsi="Cambria Math"/>
                      <w:b/>
                      <w:i/>
                    </w:rPr>
                  </m:ctrlPr>
                </m:sSubPr>
                <m:e>
                  <m:r>
                    <m:rPr>
                      <m:sty m:val="bi"/>
                    </m:rPr>
                    <w:rPr>
                      <w:rFonts w:ascii="Cambria Math" w:hAnsi="Cambria Math"/>
                    </w:rPr>
                    <m:t>X</m:t>
                  </m:r>
                  <m:ctrlPr>
                    <w:rPr>
                      <w:rFonts w:ascii="Cambria Math" w:hAnsi="Cambria Math"/>
                      <w:b/>
                      <w:i/>
                    </w:rPr>
                  </m:ctrlPr>
                </m:e>
                <m:sub>
                  <m:r>
                    <m:rPr>
                      <m:sty m:val="bi"/>
                    </m:rPr>
                    <w:rPr>
                      <w:rFonts w:ascii="Cambria Math" w:hAnsi="Cambria Math"/>
                    </w:rPr>
                    <m:t>s</m:t>
                  </m:r>
                  <m:ctrlPr>
                    <w:rPr>
                      <w:rFonts w:ascii="Cambria Math" w:hAnsi="Cambria Math"/>
                      <w:b/>
                      <w:i/>
                    </w:rPr>
                  </m:ctrlPr>
                </m:sub>
              </m:sSub>
            </m:oMath>
            <w:r>
              <w:rPr>
                <w:b/>
                <w:i/>
              </w:rPr>
              <w:t xml:space="preserve"> as the one that corresponds to the </w:t>
            </w:r>
            <m:oMath>
              <m:sSub>
                <m:sSubPr>
                  <m:ctrlPr>
                    <w:rPr>
                      <w:rFonts w:ascii="Cambria Math" w:hAnsi="Cambria Math"/>
                      <w:b/>
                      <w:i/>
                    </w:rPr>
                  </m:ctrlPr>
                </m:sSubPr>
                <m:e>
                  <m:r>
                    <m:rPr>
                      <m:sty m:val="bi"/>
                    </m:rPr>
                    <w:rPr>
                      <w:rFonts w:ascii="Cambria Math" w:hAnsi="Cambria Math"/>
                    </w:rPr>
                    <m:t>(X</m:t>
                  </m:r>
                  <m:ctrlPr>
                    <w:rPr>
                      <w:rFonts w:ascii="Cambria Math" w:hAnsi="Cambria Math"/>
                      <w:b/>
                      <w:i/>
                    </w:rPr>
                  </m:ctrlPr>
                </m:e>
                <m:sub>
                  <m:r>
                    <m:rPr>
                      <m:sty m:val="bi"/>
                    </m:rPr>
                    <w:rPr>
                      <w:rFonts w:ascii="Cambria Math" w:hAnsi="Cambria Math"/>
                    </w:rPr>
                    <m:t>s</m:t>
                  </m:r>
                  <m:ctrlPr>
                    <w:rPr>
                      <w:rFonts w:ascii="Cambria Math" w:hAnsi="Cambria Math"/>
                      <w:b/>
                      <w:i/>
                    </w:rPr>
                  </m:ctrlP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ctrlPr>
                    <w:rPr>
                      <w:rFonts w:ascii="Cambria Math" w:hAnsi="Cambria Math"/>
                      <w:b/>
                      <w:i/>
                    </w:rPr>
                  </m:ctrlPr>
                </m:e>
                <m:sub>
                  <m:r>
                    <m:rPr>
                      <m:sty m:val="bi"/>
                    </m:rPr>
                    <w:rPr>
                      <w:rFonts w:ascii="Cambria Math" w:hAnsi="Cambria Math"/>
                    </w:rPr>
                    <m:t>s</m:t>
                  </m:r>
                  <m:ctrlPr>
                    <w:rPr>
                      <w:rFonts w:ascii="Cambria Math" w:hAnsi="Cambria Math"/>
                      <w:b/>
                      <w:i/>
                    </w:rPr>
                  </m:ctrlPr>
                </m:sub>
              </m:sSub>
              <m:r>
                <m:rPr>
                  <m:sty m:val="bi"/>
                </m:rPr>
                <w:rPr>
                  <w:rFonts w:ascii="Cambria Math" w:hAnsi="Cambria Math"/>
                </w:rPr>
                <m:t>)</m:t>
              </m:r>
            </m:oMath>
            <w:r>
              <w:rPr>
                <w:rFonts w:eastAsia="Yu Mincho"/>
                <w:b/>
                <w:i/>
              </w:rPr>
              <w:t xml:space="preserve"> combination</w:t>
            </w:r>
            <w:r>
              <w:rPr>
                <w:b/>
                <w:i/>
              </w:rPr>
              <w:t xml:space="preserve"> that all configured search space sets comply with and results in the largest BD/CCE budget (</w:t>
            </w:r>
            <w:r>
              <w:rPr>
                <w:rFonts w:eastAsia="Yu Mincho"/>
                <w:b/>
                <w:i/>
              </w:rPr>
              <w:t xml:space="preserve">or, equivalently, the largest </w:t>
            </w:r>
            <m:oMath>
              <m:sSub>
                <m:sSubPr>
                  <m:ctrlPr>
                    <w:rPr>
                      <w:rFonts w:ascii="Cambria Math" w:hAnsi="Cambria Math"/>
                      <w:b/>
                      <w:i/>
                    </w:rPr>
                  </m:ctrlPr>
                </m:sSubPr>
                <m:e>
                  <m:r>
                    <m:rPr>
                      <m:sty m:val="bi"/>
                    </m:rPr>
                    <w:rPr>
                      <w:rFonts w:ascii="Cambria Math" w:hAnsi="Cambria Math"/>
                    </w:rPr>
                    <m:t>X</m:t>
                  </m:r>
                  <m:ctrlPr>
                    <w:rPr>
                      <w:rFonts w:ascii="Cambria Math" w:hAnsi="Cambria Math"/>
                      <w:b/>
                      <w:i/>
                    </w:rPr>
                  </m:ctrlPr>
                </m:e>
                <m:sub>
                  <m:r>
                    <m:rPr>
                      <m:sty m:val="bi"/>
                    </m:rPr>
                    <w:rPr>
                      <w:rFonts w:ascii="Cambria Math" w:hAnsi="Cambria Math"/>
                    </w:rPr>
                    <m:t>s</m:t>
                  </m:r>
                  <m:ctrlPr>
                    <w:rPr>
                      <w:rFonts w:ascii="Cambria Math" w:hAnsi="Cambria Math"/>
                      <w:b/>
                      <w:i/>
                    </w:rPr>
                  </m:ctrlPr>
                </m:sub>
              </m:sSub>
            </m:oMath>
            <w:r>
              <w:rPr>
                <w:rFonts w:eastAsia="Yu Mincho"/>
                <w:b/>
                <w:i/>
              </w:rPr>
              <w:t xml:space="preserve"> in the set of complied </w:t>
            </w:r>
            <m:oMath>
              <m:sSub>
                <m:sSubPr>
                  <m:ctrlPr>
                    <w:rPr>
                      <w:rFonts w:ascii="Cambria Math" w:hAnsi="Cambria Math"/>
                      <w:b/>
                      <w:i/>
                    </w:rPr>
                  </m:ctrlPr>
                </m:sSubPr>
                <m:e>
                  <m:r>
                    <m:rPr>
                      <m:sty m:val="bi"/>
                    </m:rPr>
                    <w:rPr>
                      <w:rFonts w:ascii="Cambria Math" w:hAnsi="Cambria Math"/>
                    </w:rPr>
                    <m:t>(X</m:t>
                  </m:r>
                  <m:ctrlPr>
                    <w:rPr>
                      <w:rFonts w:ascii="Cambria Math" w:hAnsi="Cambria Math"/>
                      <w:b/>
                      <w:i/>
                    </w:rPr>
                  </m:ctrlPr>
                </m:e>
                <m:sub>
                  <m:r>
                    <m:rPr>
                      <m:sty m:val="bi"/>
                    </m:rPr>
                    <w:rPr>
                      <w:rFonts w:ascii="Cambria Math" w:hAnsi="Cambria Math"/>
                    </w:rPr>
                    <m:t>s</m:t>
                  </m:r>
                  <m:ctrlPr>
                    <w:rPr>
                      <w:rFonts w:ascii="Cambria Math" w:hAnsi="Cambria Math"/>
                      <w:b/>
                      <w:i/>
                    </w:rPr>
                  </m:ctrlP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ctrlPr>
                    <w:rPr>
                      <w:rFonts w:ascii="Cambria Math" w:hAnsi="Cambria Math"/>
                      <w:b/>
                      <w:i/>
                    </w:rPr>
                  </m:ctrlPr>
                </m:e>
                <m:sub>
                  <m:r>
                    <m:rPr>
                      <m:sty m:val="bi"/>
                    </m:rPr>
                    <w:rPr>
                      <w:rFonts w:ascii="Cambria Math" w:hAnsi="Cambria Math"/>
                    </w:rPr>
                    <m:t>s</m:t>
                  </m:r>
                  <m:ctrlPr>
                    <w:rPr>
                      <w:rFonts w:ascii="Cambria Math" w:hAnsi="Cambria Math"/>
                      <w:b/>
                      <w:i/>
                    </w:rPr>
                  </m:ctrlPr>
                </m:sub>
              </m:sSub>
              <m:r>
                <m:rPr>
                  <m:sty m:val="bi"/>
                </m:rPr>
                <w:rPr>
                  <w:rFonts w:ascii="Cambria Math" w:hAnsi="Cambria Math"/>
                </w:rPr>
                <m:t>)</m:t>
              </m:r>
            </m:oMath>
            <w:r>
              <w:rPr>
                <w:rFonts w:eastAsia="Yu Mincho"/>
                <w:b/>
                <w:i/>
              </w:rPr>
              <w:t xml:space="preserve"> combinations). </w:t>
            </w:r>
          </w:p>
          <w:p>
            <w:pPr>
              <w:pStyle w:val="82"/>
              <w:widowControl w:val="0"/>
              <w:numPr>
                <w:ilvl w:val="0"/>
                <w:numId w:val="66"/>
              </w:numPr>
              <w:autoSpaceDE w:val="0"/>
              <w:autoSpaceDN w:val="0"/>
              <w:adjustRightInd w:val="0"/>
              <w:spacing w:before="120" w:beforeLines="50" w:line="240" w:lineRule="auto"/>
              <w:ind w:left="714" w:hanging="357"/>
              <w:jc w:val="both"/>
              <w:rPr>
                <w:rFonts w:eastAsia="Yu Mincho"/>
                <w:b/>
                <w:i/>
              </w:rPr>
            </w:pPr>
            <w:r>
              <w:rPr>
                <w:b/>
                <w:i/>
                <w:kern w:val="2"/>
                <w:sz w:val="21"/>
                <w:lang w:eastAsia="zh-CN"/>
              </w:rPr>
              <w:t xml:space="preserve">Support </w:t>
            </w:r>
            <w:r>
              <w:rPr>
                <w:b/>
                <w:i/>
                <w:kern w:val="2"/>
                <w:sz w:val="21"/>
                <w:lang w:eastAsia="zh-CN"/>
              </w:rPr>
              <w:fldChar w:fldCharType="begin"/>
            </w:r>
            <w:r>
              <w:rPr>
                <w:b/>
                <w:i/>
                <w:kern w:val="2"/>
                <w:sz w:val="21"/>
                <w:lang w:eastAsia="zh-CN"/>
              </w:rPr>
              <w:instrText xml:space="preserve"> REF _Ref95381592 \h  \* MERGEFORMAT </w:instrText>
            </w:r>
            <w:r>
              <w:rPr>
                <w:b/>
                <w:i/>
                <w:kern w:val="2"/>
                <w:sz w:val="21"/>
                <w:lang w:eastAsia="zh-CN"/>
              </w:rPr>
              <w:fldChar w:fldCharType="separate"/>
            </w:r>
            <w:r>
              <w:rPr>
                <w:b/>
                <w:i/>
                <w:kern w:val="2"/>
                <w:sz w:val="21"/>
                <w:lang w:eastAsia="zh-CN"/>
              </w:rPr>
              <w:t>TP 2</w:t>
            </w:r>
            <w:r>
              <w:rPr>
                <w:b/>
                <w:i/>
                <w:kern w:val="2"/>
                <w:sz w:val="21"/>
                <w:lang w:eastAsia="zh-CN"/>
              </w:rPr>
              <w:fldChar w:fldCharType="end"/>
            </w:r>
            <w:r>
              <w:rPr>
                <w:b/>
                <w:i/>
                <w:kern w:val="2"/>
                <w:sz w:val="21"/>
                <w:lang w:eastAsia="zh-CN"/>
              </w:rPr>
              <w:t xml:space="preserve"> for 38.213.</w:t>
            </w:r>
          </w:p>
          <w:p>
            <w:pPr>
              <w:pStyle w:val="82"/>
              <w:widowControl w:val="0"/>
              <w:autoSpaceDE w:val="0"/>
              <w:autoSpaceDN w:val="0"/>
              <w:adjustRightInd w:val="0"/>
              <w:spacing w:before="180" w:after="240" w:afterLines="100" w:line="240" w:lineRule="auto"/>
              <w:ind w:left="0"/>
              <w:contextualSpacing/>
              <w:jc w:val="both"/>
              <w:rPr>
                <w:color w:val="000000"/>
              </w:rPr>
            </w:pPr>
          </w:p>
          <w:p>
            <w:pPr>
              <w:pStyle w:val="82"/>
              <w:widowControl w:val="0"/>
              <w:autoSpaceDE w:val="0"/>
              <w:autoSpaceDN w:val="0"/>
              <w:adjustRightInd w:val="0"/>
              <w:spacing w:before="180" w:after="240" w:afterLines="100"/>
              <w:ind w:left="65"/>
              <w:contextualSpacing/>
              <w:rPr>
                <w:color w:val="000000"/>
              </w:rPr>
            </w:pPr>
            <w:r>
              <w:rPr>
                <w:color w:val="000000"/>
              </w:rPr>
              <w:t>For an RRC_IDLE UE or a UE during initial access, following observations can be made:</w:t>
            </w:r>
          </w:p>
          <w:p>
            <w:pPr>
              <w:pStyle w:val="82"/>
              <w:widowControl w:val="0"/>
              <w:numPr>
                <w:ilvl w:val="0"/>
                <w:numId w:val="24"/>
              </w:numPr>
              <w:autoSpaceDE w:val="0"/>
              <w:autoSpaceDN w:val="0"/>
              <w:adjustRightInd w:val="0"/>
              <w:spacing w:before="180" w:after="240" w:afterLines="100"/>
              <w:ind w:left="425"/>
              <w:rPr>
                <w:color w:val="000000"/>
              </w:rPr>
            </w:pPr>
            <w:r>
              <w:rPr>
                <w:color w:val="000000"/>
              </w:rPr>
              <w:t xml:space="preserve">UE does not monitor PDCCH for </w:t>
            </w:r>
            <m:oMath>
              <m:r>
                <w:rPr>
                  <w:rFonts w:ascii="Cambria Math" w:hAnsi="Cambria Math"/>
                  <w:color w:val="000000"/>
                </w:rPr>
                <m:t>μ</m:t>
              </m:r>
              <m:r>
                <m:rPr>
                  <m:sty m:val="p"/>
                </m:rPr>
                <w:rPr>
                  <w:rFonts w:ascii="Cambria Math" w:hAnsi="Cambria Math"/>
                  <w:color w:val="000000"/>
                </w:rPr>
                <m:t>=6.</m:t>
              </m:r>
            </m:oMath>
          </w:p>
          <w:p>
            <w:pPr>
              <w:pStyle w:val="82"/>
              <w:widowControl w:val="0"/>
              <w:numPr>
                <w:ilvl w:val="0"/>
                <w:numId w:val="24"/>
              </w:numPr>
              <w:autoSpaceDE w:val="0"/>
              <w:autoSpaceDN w:val="0"/>
              <w:adjustRightInd w:val="0"/>
              <w:spacing w:before="180" w:after="240" w:afterLines="100"/>
              <w:ind w:left="425"/>
              <w:rPr>
                <w:color w:val="000000"/>
              </w:rPr>
            </w:pPr>
            <w:r>
              <w:rPr>
                <w:color w:val="000000"/>
              </w:rPr>
              <w:t xml:space="preserve">For </w:t>
            </w:r>
            <m:oMath>
              <m:r>
                <w:rPr>
                  <w:rFonts w:ascii="Cambria Math" w:hAnsi="Cambria Math"/>
                  <w:color w:val="000000"/>
                </w:rPr>
                <m:t>μ</m:t>
              </m:r>
              <m:r>
                <m:rPr>
                  <m:sty m:val="p"/>
                </m:rPr>
                <w:rPr>
                  <w:rFonts w:ascii="Cambria Math" w:hAnsi="Cambria Math"/>
                  <w:color w:val="000000"/>
                </w:rPr>
                <m:t>=5</m:t>
              </m:r>
            </m:oMath>
            <w:r>
              <w:rPr>
                <w:color w:val="000000"/>
              </w:rPr>
              <w:t xml:space="preserve">, even if UE supports both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ctrlPr>
                        <w:rPr>
                          <w:rFonts w:ascii="Cambria Math" w:hAnsi="Cambria Math"/>
                          <w:i/>
                          <w:color w:val="000000"/>
                        </w:rPr>
                      </m:ctrlPr>
                    </m:e>
                    <m:sub>
                      <m:r>
                        <w:rPr>
                          <w:rFonts w:ascii="Cambria Math" w:hAnsi="Cambria Math"/>
                          <w:color w:val="000000"/>
                        </w:rPr>
                        <m:t>s</m:t>
                      </m:r>
                      <m:ctrlPr>
                        <w:rPr>
                          <w:rFonts w:ascii="Cambria Math" w:hAnsi="Cambria Math"/>
                          <w:i/>
                          <w:color w:val="000000"/>
                        </w:rPr>
                      </m:ctrlP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ctrlPr>
                        <w:rPr>
                          <w:rFonts w:ascii="Cambria Math" w:hAnsi="Cambria Math"/>
                          <w:i/>
                          <w:color w:val="000000"/>
                        </w:rPr>
                      </m:ctrlPr>
                    </m:e>
                    <m:sub>
                      <m:r>
                        <w:rPr>
                          <w:rFonts w:ascii="Cambria Math" w:hAnsi="Cambria Math"/>
                          <w:color w:val="000000"/>
                        </w:rPr>
                        <m:t>s</m:t>
                      </m:r>
                      <m:ctrlPr>
                        <w:rPr>
                          <w:rFonts w:ascii="Cambria Math" w:hAnsi="Cambria Math"/>
                          <w:i/>
                          <w:color w:val="000000"/>
                        </w:rPr>
                      </m:ctrlPr>
                    </m:sub>
                  </m:sSub>
                  <m:ctrlPr>
                    <w:rPr>
                      <w:rFonts w:ascii="Cambria Math" w:hAnsi="Cambria Math"/>
                      <w:i/>
                      <w:color w:val="000000"/>
                    </w:rPr>
                  </m:ctrlPr>
                </m:e>
              </m:d>
              <m:r>
                <w:rPr>
                  <w:rFonts w:ascii="Cambria Math" w:hAnsi="Cambria Math"/>
                  <w:color w:val="000000"/>
                </w:rPr>
                <m:t>=(4,1)</m:t>
              </m:r>
            </m:oMath>
            <w:r>
              <w:rPr>
                <w:color w:val="000000"/>
              </w:rPr>
              <w:t xml:space="preserve">and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ctrlPr>
                        <w:rPr>
                          <w:rFonts w:ascii="Cambria Math" w:hAnsi="Cambria Math"/>
                          <w:i/>
                          <w:color w:val="000000"/>
                        </w:rPr>
                      </m:ctrlPr>
                    </m:e>
                    <m:sub>
                      <m:r>
                        <w:rPr>
                          <w:rFonts w:ascii="Cambria Math" w:hAnsi="Cambria Math"/>
                          <w:color w:val="000000"/>
                        </w:rPr>
                        <m:t>s</m:t>
                      </m:r>
                      <m:ctrlPr>
                        <w:rPr>
                          <w:rFonts w:ascii="Cambria Math" w:hAnsi="Cambria Math"/>
                          <w:i/>
                          <w:color w:val="000000"/>
                        </w:rPr>
                      </m:ctrlP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ctrlPr>
                        <w:rPr>
                          <w:rFonts w:ascii="Cambria Math" w:hAnsi="Cambria Math"/>
                          <w:i/>
                          <w:color w:val="000000"/>
                        </w:rPr>
                      </m:ctrlPr>
                    </m:e>
                    <m:sub>
                      <m:r>
                        <w:rPr>
                          <w:rFonts w:ascii="Cambria Math" w:hAnsi="Cambria Math"/>
                          <w:color w:val="000000"/>
                        </w:rPr>
                        <m:t>s</m:t>
                      </m:r>
                      <m:ctrlPr>
                        <w:rPr>
                          <w:rFonts w:ascii="Cambria Math" w:hAnsi="Cambria Math"/>
                          <w:i/>
                          <w:color w:val="000000"/>
                        </w:rPr>
                      </m:ctrlPr>
                    </m:sub>
                  </m:sSub>
                  <m:ctrlPr>
                    <w:rPr>
                      <w:rFonts w:ascii="Cambria Math" w:hAnsi="Cambria Math"/>
                      <w:i/>
                      <w:color w:val="000000"/>
                    </w:rPr>
                  </m:ctrlPr>
                </m:e>
              </m:d>
              <m:r>
                <w:rPr>
                  <w:rFonts w:ascii="Cambria Math" w:hAnsi="Cambria Math"/>
                  <w:color w:val="000000"/>
                </w:rPr>
                <m:t>=(4,2)</m:t>
              </m:r>
            </m:oMath>
            <w:r>
              <w:rPr>
                <w:color w:val="000000"/>
              </w:rPr>
              <w:t xml:space="preserve">, UE does not monitor Group (1) SS and, therefore, the considered value for </w:t>
            </w:r>
            <m:oMath>
              <m:sSub>
                <m:sSubPr>
                  <m:ctrlPr>
                    <w:rPr>
                      <w:rFonts w:ascii="Cambria Math" w:hAnsi="Cambria Math"/>
                      <w:i/>
                      <w:color w:val="000000"/>
                    </w:rPr>
                  </m:ctrlPr>
                </m:sSubPr>
                <m:e>
                  <m:r>
                    <w:rPr>
                      <w:rFonts w:ascii="Cambria Math" w:hAnsi="Cambria Math"/>
                      <w:color w:val="000000"/>
                    </w:rPr>
                    <m:t>Y</m:t>
                  </m:r>
                  <m:ctrlPr>
                    <w:rPr>
                      <w:rFonts w:ascii="Cambria Math" w:hAnsi="Cambria Math"/>
                      <w:i/>
                      <w:color w:val="000000"/>
                    </w:rPr>
                  </m:ctrlPr>
                </m:e>
                <m:sub>
                  <m:r>
                    <w:rPr>
                      <w:rFonts w:ascii="Cambria Math" w:hAnsi="Cambria Math"/>
                      <w:color w:val="000000"/>
                    </w:rPr>
                    <m:t>s</m:t>
                  </m:r>
                  <m:ctrlPr>
                    <w:rPr>
                      <w:rFonts w:ascii="Cambria Math" w:hAnsi="Cambria Math"/>
                      <w:i/>
                      <w:color w:val="000000"/>
                    </w:rPr>
                  </m:ctrlPr>
                </m:sub>
              </m:sSub>
            </m:oMath>
            <w:r>
              <w:rPr>
                <w:color w:val="000000"/>
              </w:rPr>
              <w:t xml:space="preserve"> is irrelevant. Further, for both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ctrlPr>
                        <w:rPr>
                          <w:rFonts w:ascii="Cambria Math" w:hAnsi="Cambria Math"/>
                          <w:i/>
                          <w:color w:val="000000"/>
                        </w:rPr>
                      </m:ctrlPr>
                    </m:e>
                    <m:sub>
                      <m:r>
                        <w:rPr>
                          <w:rFonts w:ascii="Cambria Math" w:hAnsi="Cambria Math"/>
                          <w:color w:val="000000"/>
                        </w:rPr>
                        <m:t>s</m:t>
                      </m:r>
                      <m:ctrlPr>
                        <w:rPr>
                          <w:rFonts w:ascii="Cambria Math" w:hAnsi="Cambria Math"/>
                          <w:i/>
                          <w:color w:val="000000"/>
                        </w:rPr>
                      </m:ctrlP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ctrlPr>
                        <w:rPr>
                          <w:rFonts w:ascii="Cambria Math" w:hAnsi="Cambria Math"/>
                          <w:i/>
                          <w:color w:val="000000"/>
                        </w:rPr>
                      </m:ctrlPr>
                    </m:e>
                    <m:sub>
                      <m:r>
                        <w:rPr>
                          <w:rFonts w:ascii="Cambria Math" w:hAnsi="Cambria Math"/>
                          <w:color w:val="000000"/>
                        </w:rPr>
                        <m:t>s</m:t>
                      </m:r>
                      <m:ctrlPr>
                        <w:rPr>
                          <w:rFonts w:ascii="Cambria Math" w:hAnsi="Cambria Math"/>
                          <w:i/>
                          <w:color w:val="000000"/>
                        </w:rPr>
                      </m:ctrlPr>
                    </m:sub>
                  </m:sSub>
                  <m:ctrlPr>
                    <w:rPr>
                      <w:rFonts w:ascii="Cambria Math" w:hAnsi="Cambria Math"/>
                      <w:i/>
                      <w:color w:val="000000"/>
                    </w:rPr>
                  </m:ctrlPr>
                </m:e>
              </m:d>
              <m:r>
                <w:rPr>
                  <w:rFonts w:ascii="Cambria Math" w:hAnsi="Cambria Math"/>
                  <w:color w:val="000000"/>
                </w:rPr>
                <m:t>=(4,1)</m:t>
              </m:r>
            </m:oMath>
            <w:r>
              <w:rPr>
                <w:color w:val="000000"/>
              </w:rPr>
              <w:t xml:space="preserve">and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ctrlPr>
                        <w:rPr>
                          <w:rFonts w:ascii="Cambria Math" w:hAnsi="Cambria Math"/>
                          <w:i/>
                          <w:color w:val="000000"/>
                        </w:rPr>
                      </m:ctrlPr>
                    </m:e>
                    <m:sub>
                      <m:r>
                        <w:rPr>
                          <w:rFonts w:ascii="Cambria Math" w:hAnsi="Cambria Math"/>
                          <w:color w:val="000000"/>
                        </w:rPr>
                        <m:t>s</m:t>
                      </m:r>
                      <m:ctrlPr>
                        <w:rPr>
                          <w:rFonts w:ascii="Cambria Math" w:hAnsi="Cambria Math"/>
                          <w:i/>
                          <w:color w:val="000000"/>
                        </w:rPr>
                      </m:ctrlP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ctrlPr>
                        <w:rPr>
                          <w:rFonts w:ascii="Cambria Math" w:hAnsi="Cambria Math"/>
                          <w:i/>
                          <w:color w:val="000000"/>
                        </w:rPr>
                      </m:ctrlPr>
                    </m:e>
                    <m:sub>
                      <m:r>
                        <w:rPr>
                          <w:rFonts w:ascii="Cambria Math" w:hAnsi="Cambria Math"/>
                          <w:color w:val="000000"/>
                        </w:rPr>
                        <m:t>s</m:t>
                      </m:r>
                      <m:ctrlPr>
                        <w:rPr>
                          <w:rFonts w:ascii="Cambria Math" w:hAnsi="Cambria Math"/>
                          <w:i/>
                          <w:color w:val="000000"/>
                        </w:rPr>
                      </m:ctrlPr>
                    </m:sub>
                  </m:sSub>
                  <m:ctrlPr>
                    <w:rPr>
                      <w:rFonts w:ascii="Cambria Math" w:hAnsi="Cambria Math"/>
                      <w:i/>
                      <w:color w:val="000000"/>
                    </w:rPr>
                  </m:ctrlPr>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4,2</m:t>
                  </m:r>
                  <m:ctrlPr>
                    <w:rPr>
                      <w:rFonts w:ascii="Cambria Math" w:hAnsi="Cambria Math"/>
                      <w:i/>
                      <w:color w:val="000000"/>
                    </w:rPr>
                  </m:ctrlPr>
                </m:e>
              </m:d>
              <m:r>
                <w:rPr>
                  <w:rFonts w:ascii="Cambria Math" w:hAnsi="Cambria Math"/>
                  <w:color w:val="000000"/>
                </w:rPr>
                <m:t xml:space="preserve">, </m:t>
              </m:r>
            </m:oMath>
            <w:r>
              <w:rPr>
                <w:color w:val="000000"/>
              </w:rPr>
              <w:t>maximum BD and CCE budgets are equal to 20 and 32, respectively.</w:t>
            </w:r>
          </w:p>
          <w:p>
            <w:pPr>
              <w:pStyle w:val="82"/>
              <w:widowControl w:val="0"/>
              <w:numPr>
                <w:ilvl w:val="0"/>
                <w:numId w:val="24"/>
              </w:numPr>
              <w:autoSpaceDE w:val="0"/>
              <w:autoSpaceDN w:val="0"/>
              <w:adjustRightInd w:val="0"/>
              <w:spacing w:before="180" w:after="240" w:afterLines="100"/>
              <w:ind w:left="425"/>
              <w:rPr>
                <w:color w:val="000000"/>
              </w:rPr>
            </w:pPr>
            <w:r>
              <w:rPr>
                <w:color w:val="000000"/>
              </w:rPr>
              <w:t xml:space="preserve">For </w:t>
            </w:r>
            <m:oMath>
              <m:r>
                <w:rPr>
                  <w:rFonts w:ascii="Cambria Math" w:hAnsi="Cambria Math"/>
                  <w:color w:val="000000"/>
                </w:rPr>
                <m:t>μ</m:t>
              </m:r>
              <m:r>
                <m:rPr>
                  <m:sty m:val="p"/>
                </m:rPr>
                <w:rPr>
                  <w:rFonts w:ascii="Cambria Math" w:hAnsi="Cambria Math"/>
                  <w:color w:val="000000"/>
                </w:rPr>
                <m:t xml:space="preserve">=5, </m:t>
              </m:r>
            </m:oMath>
            <w:r>
              <w:rPr>
                <w:color w:val="000000"/>
              </w:rPr>
              <w:t xml:space="preserve"> UE mandatorily supports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ctrlPr>
                        <w:rPr>
                          <w:rFonts w:ascii="Cambria Math" w:hAnsi="Cambria Math"/>
                          <w:i/>
                          <w:color w:val="000000"/>
                        </w:rPr>
                      </m:ctrlPr>
                    </m:e>
                    <m:sub>
                      <m:r>
                        <w:rPr>
                          <w:rFonts w:ascii="Cambria Math" w:hAnsi="Cambria Math"/>
                          <w:color w:val="000000"/>
                        </w:rPr>
                        <m:t>s</m:t>
                      </m:r>
                      <m:ctrlPr>
                        <w:rPr>
                          <w:rFonts w:ascii="Cambria Math" w:hAnsi="Cambria Math"/>
                          <w:i/>
                          <w:color w:val="000000"/>
                        </w:rPr>
                      </m:ctrlP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ctrlPr>
                        <w:rPr>
                          <w:rFonts w:ascii="Cambria Math" w:hAnsi="Cambria Math"/>
                          <w:i/>
                          <w:color w:val="000000"/>
                        </w:rPr>
                      </m:ctrlPr>
                    </m:e>
                    <m:sub>
                      <m:r>
                        <w:rPr>
                          <w:rFonts w:ascii="Cambria Math" w:hAnsi="Cambria Math"/>
                          <w:color w:val="000000"/>
                        </w:rPr>
                        <m:t>s</m:t>
                      </m:r>
                      <m:ctrlPr>
                        <w:rPr>
                          <w:rFonts w:ascii="Cambria Math" w:hAnsi="Cambria Math"/>
                          <w:i/>
                          <w:color w:val="000000"/>
                        </w:rPr>
                      </m:ctrlPr>
                    </m:sub>
                  </m:sSub>
                  <m:ctrlPr>
                    <w:rPr>
                      <w:rFonts w:ascii="Cambria Math" w:hAnsi="Cambria Math"/>
                      <w:i/>
                      <w:color w:val="000000"/>
                    </w:rPr>
                  </m:ctrlPr>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4,1</m:t>
                  </m:r>
                  <m:ctrlPr>
                    <w:rPr>
                      <w:rFonts w:ascii="Cambria Math" w:hAnsi="Cambria Math"/>
                      <w:i/>
                      <w:color w:val="000000"/>
                    </w:rPr>
                  </m:ctrlPr>
                </m:e>
              </m:d>
              <m:r>
                <w:rPr>
                  <w:rFonts w:ascii="Cambria Math" w:hAnsi="Cambria Math"/>
                  <w:color w:val="000000"/>
                </w:rPr>
                <m:t>.</m:t>
              </m:r>
            </m:oMath>
            <w:r>
              <w:rPr>
                <w:color w:val="000000"/>
              </w:rPr>
              <w:t xml:space="preserve">      </w:t>
            </w:r>
          </w:p>
          <w:p>
            <w:pPr>
              <w:pStyle w:val="82"/>
              <w:widowControl w:val="0"/>
              <w:autoSpaceDE w:val="0"/>
              <w:autoSpaceDN w:val="0"/>
              <w:adjustRightInd w:val="0"/>
              <w:spacing w:before="180" w:after="240" w:afterLines="100"/>
              <w:ind w:left="65"/>
              <w:contextualSpacing/>
              <w:rPr>
                <w:color w:val="000000"/>
              </w:rPr>
            </w:pPr>
            <w:r>
              <w:rPr>
                <w:color w:val="000000"/>
              </w:rPr>
              <w:t xml:space="preserve">Therefore, in our view,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during initial access (i.e., when </w:t>
            </w:r>
            <w:r>
              <w:rPr>
                <w:i/>
                <w:color w:val="000000"/>
              </w:rPr>
              <w:t>monitoringCapabilityConfig</w:t>
            </w:r>
            <w:r>
              <w:rPr>
                <w:color w:val="000000"/>
              </w:rPr>
              <w:t xml:space="preserve"> is not provided) may monitor PDCCH on the serving cell for a maximum number of PDCCH candidates and non-overlapping CCEs according to either of the combinations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ctrlPr>
                        <w:rPr>
                          <w:rFonts w:ascii="Cambria Math" w:hAnsi="Cambria Math"/>
                          <w:i/>
                          <w:color w:val="000000"/>
                        </w:rPr>
                      </m:ctrlPr>
                    </m:e>
                    <m:sub>
                      <m:r>
                        <w:rPr>
                          <w:rFonts w:ascii="Cambria Math" w:hAnsi="Cambria Math"/>
                          <w:color w:val="000000"/>
                        </w:rPr>
                        <m:t>s</m:t>
                      </m:r>
                      <m:ctrlPr>
                        <w:rPr>
                          <w:rFonts w:ascii="Cambria Math" w:hAnsi="Cambria Math"/>
                          <w:i/>
                          <w:color w:val="000000"/>
                        </w:rPr>
                      </m:ctrlP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ctrlPr>
                        <w:rPr>
                          <w:rFonts w:ascii="Cambria Math" w:hAnsi="Cambria Math"/>
                          <w:i/>
                          <w:color w:val="000000"/>
                        </w:rPr>
                      </m:ctrlPr>
                    </m:e>
                    <m:sub>
                      <m:r>
                        <w:rPr>
                          <w:rFonts w:ascii="Cambria Math" w:hAnsi="Cambria Math"/>
                          <w:color w:val="000000"/>
                        </w:rPr>
                        <m:t>s</m:t>
                      </m:r>
                      <m:ctrlPr>
                        <w:rPr>
                          <w:rFonts w:ascii="Cambria Math" w:hAnsi="Cambria Math"/>
                          <w:i/>
                          <w:color w:val="000000"/>
                        </w:rPr>
                      </m:ctrlPr>
                    </m:sub>
                  </m:sSub>
                  <m:ctrlPr>
                    <w:rPr>
                      <w:rFonts w:ascii="Cambria Math" w:hAnsi="Cambria Math"/>
                      <w:i/>
                      <w:color w:val="000000"/>
                    </w:rPr>
                  </m:ctrlPr>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4,1</m:t>
                  </m:r>
                  <m:ctrlPr>
                    <w:rPr>
                      <w:rFonts w:ascii="Cambria Math" w:hAnsi="Cambria Math"/>
                      <w:i/>
                      <w:color w:val="000000"/>
                    </w:rPr>
                  </m:ctrlPr>
                </m:e>
              </m:d>
            </m:oMath>
            <w:r>
              <w:rPr>
                <w:color w:val="000000"/>
              </w:rPr>
              <w:t xml:space="preserve"> or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ctrlPr>
                        <w:rPr>
                          <w:rFonts w:ascii="Cambria Math" w:hAnsi="Cambria Math"/>
                          <w:i/>
                          <w:color w:val="000000"/>
                        </w:rPr>
                      </m:ctrlPr>
                    </m:e>
                    <m:sub>
                      <m:r>
                        <w:rPr>
                          <w:rFonts w:ascii="Cambria Math" w:hAnsi="Cambria Math"/>
                          <w:color w:val="000000"/>
                        </w:rPr>
                        <m:t>s</m:t>
                      </m:r>
                      <m:ctrlPr>
                        <w:rPr>
                          <w:rFonts w:ascii="Cambria Math" w:hAnsi="Cambria Math"/>
                          <w:i/>
                          <w:color w:val="000000"/>
                        </w:rPr>
                      </m:ctrlP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ctrlPr>
                        <w:rPr>
                          <w:rFonts w:ascii="Cambria Math" w:hAnsi="Cambria Math"/>
                          <w:i/>
                          <w:color w:val="000000"/>
                        </w:rPr>
                      </m:ctrlPr>
                    </m:e>
                    <m:sub>
                      <m:r>
                        <w:rPr>
                          <w:rFonts w:ascii="Cambria Math" w:hAnsi="Cambria Math"/>
                          <w:color w:val="000000"/>
                        </w:rPr>
                        <m:t>s</m:t>
                      </m:r>
                      <m:ctrlPr>
                        <w:rPr>
                          <w:rFonts w:ascii="Cambria Math" w:hAnsi="Cambria Math"/>
                          <w:i/>
                          <w:color w:val="000000"/>
                        </w:rPr>
                      </m:ctrlPr>
                    </m:sub>
                  </m:sSub>
                  <m:ctrlPr>
                    <w:rPr>
                      <w:rFonts w:ascii="Cambria Math" w:hAnsi="Cambria Math"/>
                      <w:i/>
                      <w:color w:val="000000"/>
                    </w:rPr>
                  </m:ctrlPr>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4,2</m:t>
                  </m:r>
                  <m:ctrlPr>
                    <w:rPr>
                      <w:rFonts w:ascii="Cambria Math" w:hAnsi="Cambria Math"/>
                      <w:i/>
                      <w:color w:val="000000"/>
                    </w:rPr>
                  </m:ctrlPr>
                </m:e>
              </m:d>
            </m:oMath>
            <w:r>
              <w:rPr>
                <w:color w:val="000000"/>
              </w:rPr>
              <w:t xml:space="preserve"> as either or the combinations have exactly the same BD and CCE budget. As such, it seems to be more accurate to specify that,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during initial access (i.e., when </w:t>
            </w:r>
            <w:r>
              <w:rPr>
                <w:i/>
                <w:color w:val="000000"/>
              </w:rPr>
              <w:t>monitoringCapabilityConfig</w:t>
            </w:r>
            <w:r>
              <w:rPr>
                <w:color w:val="000000"/>
              </w:rPr>
              <w:t xml:space="preserve"> is not provided) monitors PDCCH on the serving cell for a maximum number of PDCCH candidates and non-overlapping CCEs according to </w:t>
            </w:r>
            <m:oMath>
              <m:sSub>
                <m:sSubPr>
                  <m:ctrlPr>
                    <w:rPr>
                      <w:rFonts w:ascii="Cambria Math" w:hAnsi="Cambria Math"/>
                      <w:i/>
                      <w:color w:val="000000"/>
                    </w:rPr>
                  </m:ctrlPr>
                </m:sSubPr>
                <m:e>
                  <m:r>
                    <w:rPr>
                      <w:rFonts w:ascii="Cambria Math" w:hAnsi="Cambria Math"/>
                      <w:color w:val="000000"/>
                    </w:rPr>
                    <m:t>X</m:t>
                  </m:r>
                  <m:ctrlPr>
                    <w:rPr>
                      <w:rFonts w:ascii="Cambria Math" w:hAnsi="Cambria Math"/>
                      <w:i/>
                      <w:color w:val="000000"/>
                    </w:rPr>
                  </m:ctrlPr>
                </m:e>
                <m:sub>
                  <m:r>
                    <w:rPr>
                      <w:rFonts w:ascii="Cambria Math" w:hAnsi="Cambria Math"/>
                      <w:color w:val="000000"/>
                    </w:rPr>
                    <m:t>s</m:t>
                  </m:r>
                  <m:ctrlPr>
                    <w:rPr>
                      <w:rFonts w:ascii="Cambria Math" w:hAnsi="Cambria Math"/>
                      <w:i/>
                      <w:color w:val="000000"/>
                    </w:rPr>
                  </m:ctrlPr>
                </m:sub>
              </m:sSub>
              <m:r>
                <m:rPr>
                  <m:sty m:val="p"/>
                </m:rPr>
                <w:rPr>
                  <w:rFonts w:ascii="Cambria Math" w:hAnsi="Cambria Math"/>
                  <w:color w:val="000000"/>
                </w:rPr>
                <m:t>=4</m:t>
              </m:r>
            </m:oMath>
            <w:r>
              <w:rPr>
                <w:color w:val="000000"/>
              </w:rPr>
              <w:t xml:space="preserve">. However, as a convention, it may be preferable to alternatively specify that,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during initial access (i.e., when </w:t>
            </w:r>
            <w:r>
              <w:rPr>
                <w:i/>
                <w:color w:val="000000"/>
              </w:rPr>
              <w:t>monitoringCapabilityConfig</w:t>
            </w:r>
            <w:r>
              <w:rPr>
                <w:color w:val="000000"/>
              </w:rPr>
              <w:t xml:space="preserve"> is not provided) monitors PDCCH on the serving cell for a maximum number of PDCCH candidates and non-overlapping CCEs according to combination</w:t>
            </w:r>
            <m:oMath>
              <m:d>
                <m:dPr>
                  <m:ctrlPr>
                    <w:rPr>
                      <w:rFonts w:ascii="Cambria Math" w:hAnsi="Cambria Math"/>
                      <w:color w:val="000000"/>
                    </w:rPr>
                  </m:ctrlPr>
                </m:dPr>
                <m:e>
                  <m:sSub>
                    <m:sSubPr>
                      <m:ctrlPr>
                        <w:rPr>
                          <w:rFonts w:ascii="Cambria Math" w:hAnsi="Cambria Math"/>
                          <w:color w:val="000000"/>
                        </w:rPr>
                      </m:ctrlPr>
                    </m:sSubPr>
                    <m:e>
                      <m:r>
                        <w:rPr>
                          <w:rFonts w:ascii="Cambria Math" w:hAnsi="Cambria Math"/>
                          <w:color w:val="000000"/>
                        </w:rPr>
                        <m:t>X</m:t>
                      </m:r>
                      <m:ctrlPr>
                        <w:rPr>
                          <w:rFonts w:ascii="Cambria Math" w:hAnsi="Cambria Math"/>
                          <w:color w:val="000000"/>
                        </w:rPr>
                      </m:ctrlPr>
                    </m:e>
                    <m:sub>
                      <m:r>
                        <w:rPr>
                          <w:rFonts w:ascii="Cambria Math" w:hAnsi="Cambria Math"/>
                          <w:color w:val="000000"/>
                        </w:rPr>
                        <m:t>s</m:t>
                      </m:r>
                      <m:ctrlPr>
                        <w:rPr>
                          <w:rFonts w:ascii="Cambria Math" w:hAnsi="Cambria Math"/>
                          <w:color w:val="000000"/>
                        </w:rPr>
                      </m:ctrlPr>
                    </m:sub>
                  </m:sSub>
                  <m:r>
                    <m:rPr>
                      <m:sty m:val="p"/>
                    </m:rPr>
                    <w:rPr>
                      <w:rFonts w:ascii="Cambria Math" w:hAnsi="Cambria Math"/>
                      <w:color w:val="000000"/>
                    </w:rPr>
                    <m:t>,</m:t>
                  </m:r>
                  <m:sSub>
                    <m:sSubPr>
                      <m:ctrlPr>
                        <w:rPr>
                          <w:rFonts w:ascii="Cambria Math" w:hAnsi="Cambria Math"/>
                          <w:color w:val="000000"/>
                        </w:rPr>
                      </m:ctrlPr>
                    </m:sSubPr>
                    <m:e>
                      <m:r>
                        <w:rPr>
                          <w:rFonts w:ascii="Cambria Math" w:hAnsi="Cambria Math"/>
                          <w:color w:val="000000"/>
                        </w:rPr>
                        <m:t>Y</m:t>
                      </m:r>
                      <m:ctrlPr>
                        <w:rPr>
                          <w:rFonts w:ascii="Cambria Math" w:hAnsi="Cambria Math"/>
                          <w:color w:val="000000"/>
                        </w:rPr>
                      </m:ctrlPr>
                    </m:e>
                    <m:sub>
                      <m:r>
                        <w:rPr>
                          <w:rFonts w:ascii="Cambria Math" w:hAnsi="Cambria Math"/>
                          <w:color w:val="000000"/>
                        </w:rPr>
                        <m:t>s</m:t>
                      </m:r>
                      <m:ctrlPr>
                        <w:rPr>
                          <w:rFonts w:ascii="Cambria Math" w:hAnsi="Cambria Math"/>
                          <w:color w:val="000000"/>
                        </w:rPr>
                      </m:ctrlPr>
                    </m:sub>
                  </m:sSub>
                  <m:ctrlPr>
                    <w:rPr>
                      <w:rFonts w:ascii="Cambria Math" w:hAnsi="Cambria Math"/>
                      <w:color w:val="000000"/>
                    </w:rPr>
                  </m:ctrlPr>
                </m:e>
              </m:d>
              <m:r>
                <m:rPr>
                  <m:sty m:val="p"/>
                </m:rPr>
                <w:rPr>
                  <w:rFonts w:ascii="Cambria Math" w:hAnsi="Cambria Math"/>
                  <w:color w:val="000000"/>
                </w:rPr>
                <m:t>=</m:t>
              </m:r>
              <m:d>
                <m:dPr>
                  <m:ctrlPr>
                    <w:rPr>
                      <w:rFonts w:ascii="Cambria Math" w:hAnsi="Cambria Math"/>
                      <w:color w:val="000000"/>
                    </w:rPr>
                  </m:ctrlPr>
                </m:dPr>
                <m:e>
                  <m:r>
                    <m:rPr>
                      <m:sty m:val="p"/>
                    </m:rPr>
                    <w:rPr>
                      <w:rFonts w:ascii="Cambria Math" w:hAnsi="Cambria Math"/>
                      <w:color w:val="000000"/>
                    </w:rPr>
                    <m:t>4,1</m:t>
                  </m:r>
                  <m:ctrlPr>
                    <w:rPr>
                      <w:rFonts w:ascii="Cambria Math" w:hAnsi="Cambria Math"/>
                      <w:color w:val="000000"/>
                    </w:rPr>
                  </m:ctrlPr>
                </m:e>
              </m:d>
            </m:oMath>
            <w:r>
              <w:rPr>
                <w:color w:val="000000"/>
              </w:rPr>
              <w:t xml:space="preserve"> simply because combination </w:t>
            </w:r>
            <m:oMath>
              <m:d>
                <m:dPr>
                  <m:ctrlPr>
                    <w:rPr>
                      <w:rFonts w:ascii="Cambria Math" w:hAnsi="Cambria Math"/>
                      <w:color w:val="000000"/>
                    </w:rPr>
                  </m:ctrlPr>
                </m:dPr>
                <m:e>
                  <m:sSub>
                    <m:sSubPr>
                      <m:ctrlPr>
                        <w:rPr>
                          <w:rFonts w:ascii="Cambria Math" w:hAnsi="Cambria Math"/>
                          <w:color w:val="000000"/>
                        </w:rPr>
                      </m:ctrlPr>
                    </m:sSubPr>
                    <m:e>
                      <m:r>
                        <w:rPr>
                          <w:rFonts w:ascii="Cambria Math" w:hAnsi="Cambria Math"/>
                          <w:color w:val="000000"/>
                        </w:rPr>
                        <m:t>X</m:t>
                      </m:r>
                      <m:ctrlPr>
                        <w:rPr>
                          <w:rFonts w:ascii="Cambria Math" w:hAnsi="Cambria Math"/>
                          <w:color w:val="000000"/>
                        </w:rPr>
                      </m:ctrlPr>
                    </m:e>
                    <m:sub>
                      <m:r>
                        <w:rPr>
                          <w:rFonts w:ascii="Cambria Math" w:hAnsi="Cambria Math"/>
                          <w:color w:val="000000"/>
                        </w:rPr>
                        <m:t>s</m:t>
                      </m:r>
                      <m:ctrlPr>
                        <w:rPr>
                          <w:rFonts w:ascii="Cambria Math" w:hAnsi="Cambria Math"/>
                          <w:color w:val="000000"/>
                        </w:rPr>
                      </m:ctrlPr>
                    </m:sub>
                  </m:sSub>
                  <m:r>
                    <m:rPr>
                      <m:sty m:val="p"/>
                    </m:rPr>
                    <w:rPr>
                      <w:rFonts w:ascii="Cambria Math" w:hAnsi="Cambria Math"/>
                      <w:color w:val="000000"/>
                    </w:rPr>
                    <m:t>,</m:t>
                  </m:r>
                  <m:sSub>
                    <m:sSubPr>
                      <m:ctrlPr>
                        <w:rPr>
                          <w:rFonts w:ascii="Cambria Math" w:hAnsi="Cambria Math"/>
                          <w:color w:val="000000"/>
                        </w:rPr>
                      </m:ctrlPr>
                    </m:sSubPr>
                    <m:e>
                      <m:r>
                        <w:rPr>
                          <w:rFonts w:ascii="Cambria Math" w:hAnsi="Cambria Math"/>
                          <w:color w:val="000000"/>
                        </w:rPr>
                        <m:t>Y</m:t>
                      </m:r>
                      <m:ctrlPr>
                        <w:rPr>
                          <w:rFonts w:ascii="Cambria Math" w:hAnsi="Cambria Math"/>
                          <w:color w:val="000000"/>
                        </w:rPr>
                      </m:ctrlPr>
                    </m:e>
                    <m:sub>
                      <m:r>
                        <w:rPr>
                          <w:rFonts w:ascii="Cambria Math" w:hAnsi="Cambria Math"/>
                          <w:color w:val="000000"/>
                        </w:rPr>
                        <m:t>s</m:t>
                      </m:r>
                      <m:ctrlPr>
                        <w:rPr>
                          <w:rFonts w:ascii="Cambria Math" w:hAnsi="Cambria Math"/>
                          <w:color w:val="000000"/>
                        </w:rPr>
                      </m:ctrlPr>
                    </m:sub>
                  </m:sSub>
                  <m:ctrlPr>
                    <w:rPr>
                      <w:rFonts w:ascii="Cambria Math" w:hAnsi="Cambria Math"/>
                      <w:color w:val="000000"/>
                    </w:rPr>
                  </m:ctrlPr>
                </m:e>
              </m:d>
              <m:r>
                <m:rPr>
                  <m:sty m:val="p"/>
                </m:rPr>
                <w:rPr>
                  <w:rFonts w:ascii="Cambria Math" w:hAnsi="Cambria Math"/>
                  <w:color w:val="000000"/>
                </w:rPr>
                <m:t>=</m:t>
              </m:r>
              <m:d>
                <m:dPr>
                  <m:ctrlPr>
                    <w:rPr>
                      <w:rFonts w:ascii="Cambria Math" w:hAnsi="Cambria Math"/>
                      <w:color w:val="000000"/>
                    </w:rPr>
                  </m:ctrlPr>
                </m:dPr>
                <m:e>
                  <m:r>
                    <m:rPr>
                      <m:sty m:val="p"/>
                    </m:rPr>
                    <w:rPr>
                      <w:rFonts w:ascii="Cambria Math" w:hAnsi="Cambria Math"/>
                      <w:color w:val="000000"/>
                    </w:rPr>
                    <m:t>4,1</m:t>
                  </m:r>
                  <m:ctrlPr>
                    <w:rPr>
                      <w:rFonts w:ascii="Cambria Math" w:hAnsi="Cambria Math"/>
                      <w:color w:val="000000"/>
                    </w:rPr>
                  </m:ctrlPr>
                </m:e>
              </m:d>
            </m:oMath>
            <w:r>
              <w:rPr>
                <w:color w:val="000000"/>
              </w:rPr>
              <w:t xml:space="preserve"> is mandatorily supported.</w:t>
            </w:r>
          </w:p>
          <w:p>
            <w:pPr>
              <w:pStyle w:val="82"/>
              <w:widowControl w:val="0"/>
              <w:autoSpaceDE w:val="0"/>
              <w:autoSpaceDN w:val="0"/>
              <w:adjustRightInd w:val="0"/>
              <w:spacing w:before="180" w:after="240" w:afterLines="100"/>
              <w:ind w:left="65"/>
              <w:contextualSpacing/>
              <w:rPr>
                <w:color w:val="000000"/>
              </w:rPr>
            </w:pPr>
            <w:r>
              <w:rPr>
                <w:color w:val="000000"/>
              </w:rPr>
              <w:t xml:space="preserve">Further, it can be clarified for </w:t>
            </w:r>
            <m:oMath>
              <m:r>
                <w:rPr>
                  <w:rFonts w:ascii="Cambria Math" w:hAnsi="Cambria Math"/>
                  <w:color w:val="000000"/>
                </w:rPr>
                <m:t>μ</m:t>
              </m:r>
              <m:r>
                <m:rPr>
                  <m:sty m:val="p"/>
                </m:rPr>
                <w:rPr>
                  <w:rFonts w:ascii="Cambria Math" w:hAnsi="Cambria Math"/>
                  <w:color w:val="000000"/>
                </w:rPr>
                <m:t>∈</m:t>
              </m:r>
              <m:d>
                <m:dPr>
                  <m:begChr m:val="{"/>
                  <m:endChr m:val="}"/>
                  <m:ctrlPr>
                    <w:rPr>
                      <w:rFonts w:ascii="Cambria Math" w:hAnsi="Cambria Math"/>
                      <w:color w:val="000000"/>
                    </w:rPr>
                  </m:ctrlPr>
                </m:dPr>
                <m:e>
                  <m:r>
                    <m:rPr>
                      <m:sty m:val="p"/>
                    </m:rPr>
                    <w:rPr>
                      <w:rFonts w:ascii="Cambria Math" w:hAnsi="Cambria Math"/>
                      <w:color w:val="000000"/>
                    </w:rPr>
                    <m:t>5,6</m:t>
                  </m:r>
                  <m:ctrlPr>
                    <w:rPr>
                      <w:rFonts w:ascii="Cambria Math" w:hAnsi="Cambria Math"/>
                      <w:color w:val="000000"/>
                    </w:rPr>
                  </m:ctrlPr>
                </m:e>
              </m:d>
            </m:oMath>
            <w:r>
              <w:rPr>
                <w:color w:val="000000"/>
              </w:rPr>
              <w:t xml:space="preserve"> that an RRC_CONNECTED UE is expected to be provided with </w:t>
            </w:r>
            <w:r>
              <w:rPr>
                <w:i/>
                <w:color w:val="000000"/>
              </w:rPr>
              <w:t>monitoringCapabilityConfig=</w:t>
            </w:r>
            <w:r>
              <w:rPr>
                <w:color w:val="000000"/>
              </w:rPr>
              <w:t xml:space="preserve"> r17monitoringcapability. Note that this does not mean that </w:t>
            </w:r>
            <w:r>
              <w:rPr>
                <w:i/>
                <w:color w:val="000000"/>
              </w:rPr>
              <w:t>monitoringCapabilityConfig=</w:t>
            </w:r>
            <w:r>
              <w:rPr>
                <w:color w:val="000000"/>
              </w:rPr>
              <w:t xml:space="preserve"> r17monitoringcapability should always be present in </w:t>
            </w:r>
            <w:r>
              <w:rPr>
                <w:i/>
                <w:color w:val="000000"/>
              </w:rPr>
              <w:t xml:space="preserve">PDCCH-Config </w:t>
            </w:r>
            <w:r>
              <w:rPr>
                <w:color w:val="000000"/>
              </w:rPr>
              <w:t xml:space="preserve">as </w:t>
            </w:r>
            <w:r>
              <w:rPr>
                <w:i/>
                <w:color w:val="000000"/>
              </w:rPr>
              <w:t>monitoringCapabilityConfig</w:t>
            </w:r>
            <w:r>
              <w:rPr>
                <w:color w:val="000000"/>
              </w:rPr>
              <w:t xml:space="preserve"> is an optional field “Need M” and its value is stored by the UE and upon receiving a message with the field absent, the UE maintains the current value.</w:t>
            </w:r>
          </w:p>
          <w:p>
            <w:pPr>
              <w:pStyle w:val="82"/>
              <w:widowControl w:val="0"/>
              <w:autoSpaceDE w:val="0"/>
              <w:autoSpaceDN w:val="0"/>
              <w:adjustRightInd w:val="0"/>
              <w:spacing w:before="180" w:after="240" w:afterLines="100"/>
              <w:ind w:left="65"/>
              <w:contextualSpacing/>
              <w:rPr>
                <w:color w:val="000000"/>
              </w:rPr>
            </w:pPr>
            <w:r>
              <w:rPr>
                <w:color w:val="000000"/>
              </w:rPr>
              <w:t xml:space="preserve">As such, we propose the following. </w:t>
            </w:r>
          </w:p>
          <w:p>
            <w:pPr>
              <w:pStyle w:val="82"/>
              <w:widowControl w:val="0"/>
              <w:numPr>
                <w:ilvl w:val="0"/>
                <w:numId w:val="67"/>
              </w:numPr>
              <w:autoSpaceDE w:val="0"/>
              <w:autoSpaceDN w:val="0"/>
              <w:adjustRightInd w:val="0"/>
              <w:rPr>
                <w:b/>
                <w:i/>
                <w:color w:val="000000"/>
              </w:rPr>
            </w:pPr>
            <w:bookmarkStart w:id="10" w:name="_Ref95493959"/>
            <w:r>
              <w:rPr>
                <w:b/>
                <w:i/>
                <w:color w:val="000000"/>
              </w:rPr>
              <w:t xml:space="preserve">Support either of </w:t>
            </w:r>
            <w:r>
              <w:rPr>
                <w:b/>
                <w:i/>
                <w:color w:val="000000"/>
              </w:rPr>
              <w:fldChar w:fldCharType="begin"/>
            </w:r>
            <w:r>
              <w:rPr>
                <w:b/>
                <w:i/>
                <w:color w:val="000000"/>
              </w:rPr>
              <w:instrText xml:space="preserve"> REF _Ref95380933 \h  \* MERGEFORMAT </w:instrText>
            </w:r>
            <w:r>
              <w:rPr>
                <w:b/>
                <w:i/>
                <w:color w:val="000000"/>
              </w:rPr>
              <w:fldChar w:fldCharType="separate"/>
            </w:r>
            <w:r>
              <w:rPr>
                <w:b/>
                <w:i/>
                <w:color w:val="000000"/>
              </w:rPr>
              <w:t>TP 1</w:t>
            </w:r>
            <w:r>
              <w:rPr>
                <w:color w:val="000000"/>
              </w:rPr>
              <w:fldChar w:fldCharType="end"/>
            </w:r>
            <w:r>
              <w:rPr>
                <w:b/>
                <w:i/>
                <w:color w:val="000000"/>
              </w:rPr>
              <w:t xml:space="preserve"> or </w:t>
            </w:r>
            <w:r>
              <w:rPr>
                <w:b/>
                <w:i/>
                <w:color w:val="000000"/>
              </w:rPr>
              <w:fldChar w:fldCharType="begin"/>
            </w:r>
            <w:r>
              <w:rPr>
                <w:b/>
                <w:i/>
                <w:color w:val="000000"/>
              </w:rPr>
              <w:instrText xml:space="preserve"> REF _Ref95380940 \h  \* MERGEFORMAT </w:instrText>
            </w:r>
            <w:r>
              <w:rPr>
                <w:b/>
                <w:i/>
                <w:color w:val="000000"/>
              </w:rPr>
              <w:fldChar w:fldCharType="separate"/>
            </w:r>
            <w:r>
              <w:rPr>
                <w:b/>
                <w:i/>
                <w:color w:val="000000"/>
              </w:rPr>
              <w:t>TP 1A</w:t>
            </w:r>
            <w:r>
              <w:rPr>
                <w:color w:val="000000"/>
              </w:rPr>
              <w:fldChar w:fldCharType="end"/>
            </w:r>
            <w:r>
              <w:rPr>
                <w:b/>
                <w:i/>
                <w:color w:val="000000"/>
              </w:rPr>
              <w:t xml:space="preserve"> for 38.213 to describe the default PDCCH monitoring behavior for </w:t>
            </w:r>
            <m:oMath>
              <m:r>
                <m:rPr>
                  <m:sty m:val="bi"/>
                </m:rPr>
                <w:rPr>
                  <w:rFonts w:ascii="Cambria Math" w:hAnsi="Cambria Math"/>
                  <w:color w:val="000000"/>
                </w:rPr>
                <m:t>μ=5</m:t>
              </m:r>
            </m:oMath>
            <w:r>
              <w:rPr>
                <w:b/>
                <w:i/>
                <w:color w:val="000000"/>
              </w:rPr>
              <w:t>.</w:t>
            </w:r>
            <w:bookmarkEnd w:id="10"/>
          </w:p>
          <w:p>
            <w:pPr>
              <w:pStyle w:val="82"/>
              <w:widowControl w:val="0"/>
              <w:snapToGrid/>
              <w:spacing w:before="120" w:beforeLines="50" w:after="120" w:afterLines="50"/>
              <w:ind w:left="0"/>
              <w:rPr>
                <w:color w:val="000000"/>
              </w:rPr>
            </w:pPr>
          </w:p>
        </w:tc>
      </w:tr>
    </w:tbl>
    <w:p>
      <w:pPr>
        <w:rPr>
          <w:lang w:eastAsia="zh-CN"/>
        </w:rPr>
      </w:pPr>
    </w:p>
    <w:p>
      <w:pPr>
        <w:pStyle w:val="4"/>
      </w:pPr>
      <w:r>
        <w:t>R1-2200988 (Futurewei)</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iCs/>
              </w:rPr>
            </w:pPr>
            <w:r>
              <w:t xml:space="preserve">In RAN1#107bis-e it was concluded that </w:t>
            </w:r>
            <w:r>
              <w:rPr>
                <w:i/>
              </w:rPr>
              <w:t xml:space="preserve">r17monitoringcapability </w:t>
            </w:r>
            <w:r>
              <w:rPr>
                <w:iCs/>
              </w:rPr>
              <w:t>it should be maintained for consistency purposes.</w:t>
            </w:r>
            <w:r>
              <w:rPr>
                <w:i/>
              </w:rPr>
              <w:t xml:space="preserve"> </w:t>
            </w:r>
            <w:r>
              <w:rPr>
                <w:iCs/>
              </w:rPr>
              <w:t xml:space="preserve">In this case the specs should define the interpretation of this configuration parameter as well as the UE behavior when this parameter is not provided. We propose the following text change in </w:t>
            </w:r>
          </w:p>
          <w:p>
            <w:pPr>
              <w:widowControl w:val="0"/>
              <w:rPr>
                <w:b/>
                <w:bCs/>
              </w:rPr>
            </w:pPr>
            <w:r>
              <w:rPr>
                <w:b/>
                <w:bCs/>
              </w:rPr>
              <w:t>Proposal 4:  Change the TS 38.213 Clause 10.1 as follows (changes are underlined):</w:t>
            </w:r>
          </w:p>
          <w:p>
            <w:pPr>
              <w:widowControl w:val="0"/>
              <w:rPr>
                <w:b/>
                <w:bCs/>
              </w:rPr>
            </w:pPr>
            <w:r>
              <w:rPr>
                <w:b/>
                <w:bCs/>
              </w:rPr>
              <w:t xml:space="preserve">“If a UE is provided </w:t>
            </w:r>
            <w:r>
              <w:rPr>
                <w:b/>
                <w:bCs/>
                <w:i/>
              </w:rPr>
              <w:t>monitoringCapabilityConfig</w:t>
            </w:r>
            <w:r>
              <w:rPr>
                <w:b/>
                <w:bCs/>
              </w:rPr>
              <w:t xml:space="preserve"> for a serving cell, the UE obtains an indication to monitor PDCCH on the serving cell for a maximum number of PDCCH candidates and non-overlapping CCEs </w:t>
            </w:r>
          </w:p>
          <w:p>
            <w:pPr>
              <w:pStyle w:val="103"/>
              <w:widowControl w:val="0"/>
              <w:rPr>
                <w:b/>
                <w:bCs/>
                <w:lang w:val="en-US"/>
              </w:rPr>
            </w:pPr>
            <w:r>
              <w:rPr>
                <w:b/>
                <w:bCs/>
              </w:rPr>
              <w:t>-</w:t>
            </w:r>
            <w:r>
              <w:rPr>
                <w:b/>
                <w:bCs/>
              </w:rPr>
              <w:tab/>
            </w:r>
            <w:r>
              <w:rPr>
                <w:b/>
                <w:bCs/>
                <w:lang w:val="en-US"/>
              </w:rPr>
              <w:t xml:space="preserve">per slot, as in Tables 10.1-2 and 10.1-3, </w:t>
            </w:r>
            <w:r>
              <w:rPr>
                <w:b/>
                <w:bCs/>
                <w:szCs w:val="22"/>
              </w:rPr>
              <w:t xml:space="preserve">if </w:t>
            </w:r>
            <w:r>
              <w:rPr>
                <w:b/>
                <w:bCs/>
                <w:i/>
                <w:lang w:val="en-US"/>
              </w:rPr>
              <w:t>monitoringCapabilityConfig</w:t>
            </w:r>
            <w:r>
              <w:rPr>
                <w:b/>
                <w:bCs/>
                <w:szCs w:val="22"/>
              </w:rPr>
              <w:t xml:space="preserve"> </w:t>
            </w:r>
            <w:r>
              <w:rPr>
                <w:b/>
                <w:bCs/>
                <w:szCs w:val="22"/>
                <w:lang w:val="en-US"/>
              </w:rPr>
              <w:t>=</w:t>
            </w:r>
            <w:r>
              <w:rPr>
                <w:b/>
                <w:bCs/>
                <w:szCs w:val="22"/>
              </w:rPr>
              <w:t xml:space="preserve"> </w:t>
            </w:r>
            <w:r>
              <w:rPr>
                <w:b/>
                <w:bCs/>
                <w:i/>
              </w:rPr>
              <w:t>r1</w:t>
            </w:r>
            <w:r>
              <w:rPr>
                <w:b/>
                <w:bCs/>
                <w:i/>
                <w:lang w:val="en-US"/>
              </w:rPr>
              <w:t>5</w:t>
            </w:r>
            <w:r>
              <w:rPr>
                <w:b/>
                <w:bCs/>
                <w:i/>
              </w:rPr>
              <w:t>monitoringcapability</w:t>
            </w:r>
            <w:r>
              <w:rPr>
                <w:b/>
                <w:bCs/>
                <w:szCs w:val="22"/>
                <w:lang w:val="en-US"/>
              </w:rPr>
              <w:t xml:space="preserve">, </w:t>
            </w:r>
            <w:r>
              <w:rPr>
                <w:b/>
                <w:bCs/>
                <w:lang w:val="en-US"/>
              </w:rPr>
              <w:t xml:space="preserve">or </w:t>
            </w:r>
          </w:p>
          <w:p>
            <w:pPr>
              <w:pStyle w:val="103"/>
              <w:widowControl w:val="0"/>
              <w:rPr>
                <w:b/>
                <w:bCs/>
                <w:lang w:val="en-US"/>
              </w:rPr>
            </w:pPr>
            <w:r>
              <w:rPr>
                <w:b/>
                <w:bCs/>
              </w:rPr>
              <w:t>-</w:t>
            </w:r>
            <w:r>
              <w:rPr>
                <w:b/>
                <w:bCs/>
              </w:rPr>
              <w:tab/>
            </w:r>
            <w:r>
              <w:rPr>
                <w:b/>
                <w:bCs/>
                <w:lang w:val="en-US"/>
              </w:rPr>
              <w:t xml:space="preserve">per span, as in Tables 10.1-2A and 10.1-3A, </w:t>
            </w:r>
            <w:r>
              <w:rPr>
                <w:b/>
                <w:bCs/>
                <w:szCs w:val="22"/>
              </w:rPr>
              <w:t xml:space="preserve">if </w:t>
            </w:r>
            <w:r>
              <w:rPr>
                <w:b/>
                <w:bCs/>
                <w:i/>
                <w:lang w:val="en-US"/>
              </w:rPr>
              <w:t>monitoringCapabilityConfig</w:t>
            </w:r>
            <w:r>
              <w:rPr>
                <w:b/>
                <w:bCs/>
                <w:szCs w:val="22"/>
              </w:rPr>
              <w:t xml:space="preserve"> </w:t>
            </w:r>
            <w:r>
              <w:rPr>
                <w:b/>
                <w:bCs/>
                <w:szCs w:val="22"/>
                <w:lang w:val="en-US"/>
              </w:rPr>
              <w:t>=</w:t>
            </w:r>
            <w:r>
              <w:rPr>
                <w:b/>
                <w:bCs/>
                <w:szCs w:val="22"/>
              </w:rPr>
              <w:t xml:space="preserve"> </w:t>
            </w:r>
            <w:r>
              <w:rPr>
                <w:b/>
                <w:bCs/>
                <w:i/>
              </w:rPr>
              <w:t>r16monitoringcapability</w:t>
            </w:r>
          </w:p>
          <w:p>
            <w:pPr>
              <w:pStyle w:val="103"/>
              <w:widowControl w:val="0"/>
              <w:rPr>
                <w:b/>
                <w:bCs/>
                <w:color w:val="FF0000"/>
                <w:lang w:val="en-US"/>
              </w:rPr>
            </w:pPr>
            <w:r>
              <w:rPr>
                <w:b/>
                <w:bCs/>
              </w:rPr>
              <w:t>-</w:t>
            </w:r>
            <w:r>
              <w:rPr>
                <w:b/>
                <w:bCs/>
              </w:rPr>
              <w:tab/>
            </w:r>
            <w:r>
              <w:rPr>
                <w:b/>
                <w:bCs/>
                <w:u w:val="single"/>
                <w:lang w:val="en-US"/>
              </w:rPr>
              <w:t xml:space="preserve">per group </w:t>
            </w:r>
            <w:r>
              <w:rPr>
                <w:b/>
                <w:bCs/>
                <w:u w:val="single"/>
                <w:lang w:eastAsia="zh-CN"/>
              </w:rPr>
              <w:t xml:space="preserve">of </w:t>
            </w:r>
            <m:oMath>
              <m:sSub>
                <m:sSubPr>
                  <m:ctrlPr>
                    <w:rPr>
                      <w:rFonts w:ascii="Cambria Math" w:hAnsi="Cambria Math"/>
                      <w:b/>
                      <w:bCs/>
                      <w:i/>
                      <w:u w:val="single"/>
                      <w:lang w:eastAsia="zh-CN"/>
                    </w:rPr>
                  </m:ctrlPr>
                </m:sSubPr>
                <m:e>
                  <m:r>
                    <m:rPr>
                      <m:sty m:val="bi"/>
                    </m:rPr>
                    <w:rPr>
                      <w:rFonts w:ascii="Cambria Math" w:hAnsi="Cambria Math"/>
                      <w:u w:val="single"/>
                      <w:lang w:eastAsia="zh-CN"/>
                    </w:rPr>
                    <m:t>X</m:t>
                  </m:r>
                  <m:ctrlPr>
                    <w:rPr>
                      <w:rFonts w:ascii="Cambria Math" w:hAnsi="Cambria Math"/>
                      <w:b/>
                      <w:bCs/>
                      <w:i/>
                      <w:u w:val="single"/>
                      <w:lang w:eastAsia="zh-CN"/>
                    </w:rPr>
                  </m:ctrlPr>
                </m:e>
                <m:sub>
                  <m:r>
                    <m:rPr>
                      <m:sty m:val="bi"/>
                    </m:rPr>
                    <w:rPr>
                      <w:rFonts w:ascii="Cambria Math" w:hAnsi="Cambria Math"/>
                      <w:u w:val="single"/>
                      <w:lang w:eastAsia="zh-CN"/>
                    </w:rPr>
                    <m:t>s</m:t>
                  </m:r>
                  <m:ctrlPr>
                    <w:rPr>
                      <w:rFonts w:ascii="Cambria Math" w:hAnsi="Cambria Math"/>
                      <w:b/>
                      <w:bCs/>
                      <w:i/>
                      <w:u w:val="single"/>
                      <w:lang w:eastAsia="zh-CN"/>
                    </w:rPr>
                  </m:ctrlPr>
                </m:sub>
              </m:sSub>
            </m:oMath>
            <w:r>
              <w:rPr>
                <w:b/>
                <w:bCs/>
                <w:u w:val="single"/>
                <w:lang w:eastAsia="zh-CN"/>
              </w:rPr>
              <w:t xml:space="preserve"> slots</w:t>
            </w:r>
            <w:r>
              <w:rPr>
                <w:b/>
                <w:bCs/>
                <w:u w:val="single"/>
                <w:lang w:val="en-US"/>
              </w:rPr>
              <w:t xml:space="preserve"> </w:t>
            </w:r>
            <w:r>
              <w:rPr>
                <w:b/>
                <w:bCs/>
                <w:u w:val="single"/>
                <w:lang w:eastAsia="zh-CN"/>
              </w:rPr>
              <w:t xml:space="preserve">according to combination </w:t>
            </w:r>
            <m:oMath>
              <m:d>
                <m:dPr>
                  <m:ctrlPr>
                    <w:rPr>
                      <w:rFonts w:ascii="Cambria Math" w:hAnsi="Cambria Math"/>
                      <w:b/>
                      <w:bCs/>
                      <w:u w:val="single"/>
                      <w:lang w:eastAsia="zh-CN"/>
                    </w:rPr>
                  </m:ctrlPr>
                </m:dPr>
                <m:e>
                  <m:sSub>
                    <m:sSubPr>
                      <m:ctrlPr>
                        <w:rPr>
                          <w:rFonts w:ascii="Cambria Math" w:hAnsi="Cambria Math"/>
                          <w:b/>
                          <w:bCs/>
                          <w:i/>
                          <w:u w:val="single"/>
                          <w:lang w:eastAsia="zh-CN"/>
                        </w:rPr>
                      </m:ctrlPr>
                    </m:sSubPr>
                    <m:e>
                      <m:r>
                        <m:rPr>
                          <m:sty m:val="bi"/>
                        </m:rPr>
                        <w:rPr>
                          <w:rFonts w:ascii="Cambria Math" w:hAnsi="Cambria Math"/>
                          <w:u w:val="single"/>
                          <w:lang w:eastAsia="zh-CN"/>
                        </w:rPr>
                        <m:t>X</m:t>
                      </m:r>
                      <m:ctrlPr>
                        <w:rPr>
                          <w:rFonts w:ascii="Cambria Math" w:hAnsi="Cambria Math"/>
                          <w:b/>
                          <w:bCs/>
                          <w:i/>
                          <w:u w:val="single"/>
                          <w:lang w:eastAsia="zh-CN"/>
                        </w:rPr>
                      </m:ctrlPr>
                    </m:e>
                    <m:sub>
                      <m:r>
                        <m:rPr>
                          <m:sty m:val="bi"/>
                        </m:rPr>
                        <w:rPr>
                          <w:rFonts w:ascii="Cambria Math" w:hAnsi="Cambria Math"/>
                          <w:u w:val="single"/>
                          <w:lang w:eastAsia="zh-CN"/>
                        </w:rPr>
                        <m:t>s</m:t>
                      </m:r>
                      <m:ctrlPr>
                        <w:rPr>
                          <w:rFonts w:ascii="Cambria Math" w:hAnsi="Cambria Math"/>
                          <w:b/>
                          <w:bCs/>
                          <w:i/>
                          <w:u w:val="single"/>
                          <w:lang w:eastAsia="zh-CN"/>
                        </w:rPr>
                      </m:ctrlPr>
                    </m:sub>
                  </m:sSub>
                  <m:r>
                    <m:rPr>
                      <m:sty m:val="bi"/>
                    </m:rPr>
                    <w:rPr>
                      <w:rFonts w:ascii="Cambria Math" w:hAnsi="Cambria Math"/>
                      <w:u w:val="single"/>
                      <w:lang w:eastAsia="zh-CN"/>
                    </w:rPr>
                    <m:t>,</m:t>
                  </m:r>
                  <m:sSub>
                    <m:sSubPr>
                      <m:ctrlPr>
                        <w:rPr>
                          <w:rFonts w:ascii="Cambria Math" w:hAnsi="Cambria Math"/>
                          <w:b/>
                          <w:bCs/>
                          <w:i/>
                          <w:u w:val="single"/>
                          <w:lang w:eastAsia="zh-CN"/>
                        </w:rPr>
                      </m:ctrlPr>
                    </m:sSubPr>
                    <m:e>
                      <m:r>
                        <m:rPr>
                          <m:sty m:val="bi"/>
                        </m:rPr>
                        <w:rPr>
                          <w:rFonts w:ascii="Cambria Math" w:hAnsi="Cambria Math"/>
                          <w:u w:val="single"/>
                          <w:lang w:eastAsia="zh-CN"/>
                        </w:rPr>
                        <m:t>Y</m:t>
                      </m:r>
                      <m:ctrlPr>
                        <w:rPr>
                          <w:rFonts w:ascii="Cambria Math" w:hAnsi="Cambria Math"/>
                          <w:b/>
                          <w:bCs/>
                          <w:i/>
                          <w:u w:val="single"/>
                          <w:lang w:eastAsia="zh-CN"/>
                        </w:rPr>
                      </m:ctrlPr>
                    </m:e>
                    <m:sub>
                      <m:r>
                        <m:rPr>
                          <m:sty m:val="bi"/>
                        </m:rPr>
                        <w:rPr>
                          <w:rFonts w:ascii="Cambria Math" w:hAnsi="Cambria Math"/>
                          <w:u w:val="single"/>
                          <w:lang w:eastAsia="zh-CN"/>
                        </w:rPr>
                        <m:t>s</m:t>
                      </m:r>
                      <m:ctrlPr>
                        <w:rPr>
                          <w:rFonts w:ascii="Cambria Math" w:hAnsi="Cambria Math"/>
                          <w:b/>
                          <w:bCs/>
                          <w:i/>
                          <w:u w:val="single"/>
                          <w:lang w:eastAsia="zh-CN"/>
                        </w:rPr>
                      </m:ctrlPr>
                    </m:sub>
                  </m:sSub>
                  <m:ctrlPr>
                    <w:rPr>
                      <w:rFonts w:ascii="Cambria Math" w:hAnsi="Cambria Math"/>
                      <w:b/>
                      <w:bCs/>
                      <w:u w:val="single"/>
                      <w:lang w:eastAsia="zh-CN"/>
                    </w:rPr>
                  </m:ctrlPr>
                </m:e>
              </m:d>
            </m:oMath>
            <w:r>
              <w:rPr>
                <w:b/>
                <w:bCs/>
                <w:u w:val="single"/>
                <w:lang w:val="en-US"/>
              </w:rPr>
              <w:t xml:space="preserve">, as in Tables 10.1-2B and 10.1-3B, </w:t>
            </w:r>
            <w:r>
              <w:rPr>
                <w:b/>
                <w:bCs/>
                <w:szCs w:val="22"/>
                <w:u w:val="single"/>
              </w:rPr>
              <w:t xml:space="preserve">if </w:t>
            </w:r>
            <w:r>
              <w:rPr>
                <w:b/>
                <w:bCs/>
                <w:i/>
                <w:u w:val="single"/>
                <w:lang w:val="en-US"/>
              </w:rPr>
              <w:t>monitoringCapabilityConfig</w:t>
            </w:r>
            <w:r>
              <w:rPr>
                <w:b/>
                <w:bCs/>
                <w:szCs w:val="22"/>
                <w:u w:val="single"/>
              </w:rPr>
              <w:t xml:space="preserve"> </w:t>
            </w:r>
            <w:r>
              <w:rPr>
                <w:b/>
                <w:bCs/>
                <w:szCs w:val="22"/>
                <w:u w:val="single"/>
                <w:lang w:val="en-US"/>
              </w:rPr>
              <w:t>=</w:t>
            </w:r>
            <w:r>
              <w:rPr>
                <w:b/>
                <w:bCs/>
                <w:szCs w:val="22"/>
                <w:u w:val="single"/>
              </w:rPr>
              <w:t xml:space="preserve"> </w:t>
            </w:r>
            <w:r>
              <w:rPr>
                <w:b/>
                <w:bCs/>
                <w:i/>
                <w:u w:val="single"/>
              </w:rPr>
              <w:t>r1</w:t>
            </w:r>
            <w:r>
              <w:rPr>
                <w:b/>
                <w:bCs/>
                <w:i/>
                <w:u w:val="single"/>
                <w:lang w:val="en-US"/>
              </w:rPr>
              <w:t>7</w:t>
            </w:r>
            <w:r>
              <w:rPr>
                <w:b/>
                <w:bCs/>
                <w:i/>
                <w:u w:val="single"/>
              </w:rPr>
              <w:t>monitoringcapability.</w:t>
            </w:r>
            <w:r>
              <w:rPr>
                <w:b/>
                <w:bCs/>
                <w:i/>
              </w:rPr>
              <w:t xml:space="preserve"> </w:t>
            </w:r>
          </w:p>
          <w:p>
            <w:pPr>
              <w:widowControl w:val="0"/>
              <w:rPr>
                <w:b/>
                <w:bCs/>
              </w:rPr>
            </w:pPr>
            <w:r>
              <w:rPr>
                <w:b/>
                <w:bCs/>
              </w:rPr>
              <w:t xml:space="preserve">If a UE is not provided </w:t>
            </w:r>
            <w:r>
              <w:rPr>
                <w:b/>
                <w:bCs/>
                <w:i/>
              </w:rPr>
              <w:t>monitoringCapabilityConfig</w:t>
            </w:r>
          </w:p>
          <w:p>
            <w:pPr>
              <w:pStyle w:val="82"/>
              <w:widowControl w:val="0"/>
              <w:numPr>
                <w:ilvl w:val="0"/>
                <w:numId w:val="68"/>
              </w:numPr>
              <w:snapToGrid/>
              <w:spacing w:after="160"/>
              <w:ind w:firstLine="0"/>
              <w:contextualSpacing/>
              <w:rPr>
                <w:b/>
                <w:bCs/>
              </w:rPr>
            </w:pPr>
            <w:r>
              <w:rPr>
                <w:b/>
                <w:bCs/>
                <w:color w:val="000000" w:themeColor="text1"/>
                <w14:textFill>
                  <w14:solidFill>
                    <w14:schemeClr w14:val="tx1"/>
                  </w14:solidFill>
                </w14:textFill>
              </w:rPr>
              <w:t xml:space="preserve">For </w:t>
            </w:r>
            <w:r>
              <w:rPr>
                <w:rFonts w:hint="eastAsia"/>
                <w:b/>
                <w:bCs/>
                <w:color w:val="000000" w:themeColor="text1"/>
                <w14:textFill>
                  <w14:solidFill>
                    <w14:schemeClr w14:val="tx1"/>
                  </w14:solidFill>
                </w14:textFill>
              </w:rPr>
              <w:t>μ</w:t>
            </w:r>
            <w:r>
              <w:rPr>
                <w:b/>
                <w:bCs/>
                <w:color w:val="000000" w:themeColor="text1"/>
                <w14:textFill>
                  <w14:solidFill>
                    <w14:schemeClr w14:val="tx1"/>
                  </w14:solidFill>
                </w14:textFill>
              </w:rPr>
              <w:t xml:space="preserve"> </w:t>
            </w:r>
            <w:r>
              <w:rPr>
                <w:rFonts w:ascii="Cambria Math" w:hAnsi="Cambria Math" w:cs="Cambria Math"/>
                <w:b/>
                <w:bCs/>
                <w:color w:val="000000" w:themeColor="text1"/>
                <w14:textFill>
                  <w14:solidFill>
                    <w14:schemeClr w14:val="tx1"/>
                  </w14:solidFill>
                </w14:textFill>
              </w:rPr>
              <w:t xml:space="preserve">∈ </w:t>
            </w:r>
            <w:r>
              <w:rPr>
                <w:rFonts w:hint="eastAsia"/>
                <w:b/>
                <w:bCs/>
                <w:color w:val="000000" w:themeColor="text1"/>
                <w14:textFill>
                  <w14:solidFill>
                    <w14:schemeClr w14:val="tx1"/>
                  </w14:solidFill>
                </w14:textFill>
              </w:rPr>
              <w:t>{0,1,2,3}</w:t>
            </w:r>
            <w:r>
              <w:rPr>
                <w:b/>
                <w:bCs/>
                <w:color w:val="000000" w:themeColor="text1"/>
                <w14:textFill>
                  <w14:solidFill>
                    <w14:schemeClr w14:val="tx1"/>
                  </w14:solidFill>
                </w14:textFill>
              </w:rPr>
              <w:t xml:space="preserve">, </w:t>
            </w:r>
            <w:r>
              <w:rPr>
                <w:b/>
                <w:bCs/>
              </w:rPr>
              <w:t>the UE monitors PDCCH on the serving cell for a maximum number of PDCCH candidates and non-overlapping CCEs per slot.</w:t>
            </w:r>
          </w:p>
          <w:p>
            <w:pPr>
              <w:pStyle w:val="82"/>
              <w:widowControl w:val="0"/>
              <w:numPr>
                <w:ilvl w:val="0"/>
                <w:numId w:val="68"/>
              </w:numPr>
              <w:snapToGrid/>
              <w:spacing w:after="160"/>
              <w:ind w:firstLine="0"/>
              <w:contextualSpacing/>
              <w:rPr>
                <w:b/>
                <w:bCs/>
                <w:color w:val="000000" w:themeColor="text1"/>
                <w14:textFill>
                  <w14:solidFill>
                    <w14:schemeClr w14:val="tx1"/>
                  </w14:solidFill>
                </w14:textFill>
              </w:rPr>
            </w:pPr>
            <w:r>
              <w:rPr>
                <w:b/>
                <w:bCs/>
                <w:color w:val="000000" w:themeColor="text1"/>
                <w:u w:val="single"/>
                <w14:textFill>
                  <w14:solidFill>
                    <w14:schemeClr w14:val="tx1"/>
                  </w14:solidFill>
                </w14:textFill>
              </w:rPr>
              <w:t xml:space="preserve">For </w:t>
            </w:r>
            <w:r>
              <w:rPr>
                <w:rFonts w:hint="eastAsia"/>
                <w:b/>
                <w:bCs/>
                <w:color w:val="000000" w:themeColor="text1"/>
                <w:u w:val="single"/>
                <w14:textFill>
                  <w14:solidFill>
                    <w14:schemeClr w14:val="tx1"/>
                  </w14:solidFill>
                </w14:textFill>
              </w:rPr>
              <w:t>μ</w:t>
            </w:r>
            <w:r>
              <w:rPr>
                <w:b/>
                <w:bCs/>
                <w:color w:val="000000" w:themeColor="text1"/>
                <w:u w:val="single"/>
                <w14:textFill>
                  <w14:solidFill>
                    <w14:schemeClr w14:val="tx1"/>
                  </w14:solidFill>
                </w14:textFill>
              </w:rPr>
              <w:t xml:space="preserve">=5 </w:t>
            </w:r>
            <w:r>
              <w:rPr>
                <w:b/>
                <w:bCs/>
                <w:color w:val="000000" w:themeColor="text1"/>
                <w:u w:val="single"/>
                <w:lang w:eastAsia="zh-CN"/>
                <w14:textFill>
                  <w14:solidFill>
                    <w14:schemeClr w14:val="tx1"/>
                  </w14:solidFill>
                </w14:textFill>
              </w:rPr>
              <w:t xml:space="preserve">the UE applies </w:t>
            </w:r>
            <m:oMath>
              <m:d>
                <m:dPr>
                  <m:ctrlPr>
                    <w:rPr>
                      <w:rFonts w:ascii="Cambria Math" w:hAnsi="Cambria Math"/>
                      <w:b/>
                      <w:bCs/>
                      <w:color w:val="000000" w:themeColor="text1"/>
                      <w:u w:val="single"/>
                      <w:lang w:eastAsia="zh-CN"/>
                      <w14:textFill>
                        <w14:solidFill>
                          <w14:schemeClr w14:val="tx1"/>
                        </w14:solidFill>
                      </w14:textFill>
                    </w:rPr>
                  </m:ctrlPr>
                </m:dPr>
                <m:e>
                  <m:sSub>
                    <m:sSubPr>
                      <m:ctrlPr>
                        <w:rPr>
                          <w:rFonts w:ascii="Cambria Math" w:hAnsi="Cambria Math"/>
                          <w:b/>
                          <w:bCs/>
                          <w:color w:val="000000" w:themeColor="text1"/>
                          <w:u w:val="single"/>
                          <w:lang w:eastAsia="zh-CN"/>
                          <w14:textFill>
                            <w14:solidFill>
                              <w14:schemeClr w14:val="tx1"/>
                            </w14:solidFill>
                          </w14:textFill>
                        </w:rPr>
                      </m:ctrlPr>
                    </m:sSubPr>
                    <m:e>
                      <m:r>
                        <m:rPr>
                          <m:sty m:val="b"/>
                        </m:rPr>
                        <w:rPr>
                          <w:rFonts w:ascii="Cambria Math" w:hAnsi="Cambria Math"/>
                          <w:color w:val="000000" w:themeColor="text1"/>
                          <w:u w:val="single"/>
                          <w:lang w:eastAsia="zh-CN"/>
                          <w14:textFill>
                            <w14:solidFill>
                              <w14:schemeClr w14:val="tx1"/>
                            </w14:solidFill>
                          </w14:textFill>
                        </w:rPr>
                        <m:t>X</m:t>
                      </m:r>
                      <m:ctrlPr>
                        <w:rPr>
                          <w:rFonts w:ascii="Cambria Math" w:hAnsi="Cambria Math"/>
                          <w:b/>
                          <w:bCs/>
                          <w:color w:val="000000" w:themeColor="text1"/>
                          <w:u w:val="single"/>
                          <w:lang w:eastAsia="zh-CN"/>
                          <w14:textFill>
                            <w14:solidFill>
                              <w14:schemeClr w14:val="tx1"/>
                            </w14:solidFill>
                          </w14:textFill>
                        </w:rPr>
                      </m:ctrlPr>
                    </m:e>
                    <m:sub>
                      <m:r>
                        <m:rPr>
                          <m:sty m:val="b"/>
                        </m:rPr>
                        <w:rPr>
                          <w:rFonts w:ascii="Cambria Math" w:hAnsi="Cambria Math"/>
                          <w:color w:val="000000" w:themeColor="text1"/>
                          <w:u w:val="single"/>
                          <w:lang w:eastAsia="zh-CN"/>
                          <w14:textFill>
                            <w14:solidFill>
                              <w14:schemeClr w14:val="tx1"/>
                            </w14:solidFill>
                          </w14:textFill>
                        </w:rPr>
                        <m:t>s</m:t>
                      </m:r>
                      <m:ctrlPr>
                        <w:rPr>
                          <w:rFonts w:ascii="Cambria Math" w:hAnsi="Cambria Math"/>
                          <w:b/>
                          <w:bCs/>
                          <w:color w:val="000000" w:themeColor="text1"/>
                          <w:u w:val="single"/>
                          <w:lang w:eastAsia="zh-CN"/>
                          <w14:textFill>
                            <w14:solidFill>
                              <w14:schemeClr w14:val="tx1"/>
                            </w14:solidFill>
                          </w14:textFill>
                        </w:rPr>
                      </m:ctrlPr>
                    </m:sub>
                  </m:sSub>
                  <m:r>
                    <m:rPr>
                      <m:sty m:val="b"/>
                    </m:rPr>
                    <w:rPr>
                      <w:rFonts w:ascii="Cambria Math" w:hAnsi="Cambria Math"/>
                      <w:color w:val="000000" w:themeColor="text1"/>
                      <w:u w:val="single"/>
                      <w:lang w:eastAsia="zh-CN"/>
                      <w14:textFill>
                        <w14:solidFill>
                          <w14:schemeClr w14:val="tx1"/>
                        </w14:solidFill>
                      </w14:textFill>
                    </w:rPr>
                    <m:t>,</m:t>
                  </m:r>
                  <m:sSub>
                    <m:sSubPr>
                      <m:ctrlPr>
                        <w:rPr>
                          <w:rFonts w:ascii="Cambria Math" w:hAnsi="Cambria Math"/>
                          <w:b/>
                          <w:bCs/>
                          <w:color w:val="000000" w:themeColor="text1"/>
                          <w:u w:val="single"/>
                          <w:lang w:eastAsia="zh-CN"/>
                          <w14:textFill>
                            <w14:solidFill>
                              <w14:schemeClr w14:val="tx1"/>
                            </w14:solidFill>
                          </w14:textFill>
                        </w:rPr>
                      </m:ctrlPr>
                    </m:sSubPr>
                    <m:e>
                      <m:r>
                        <m:rPr>
                          <m:sty m:val="b"/>
                        </m:rPr>
                        <w:rPr>
                          <w:rFonts w:ascii="Cambria Math" w:hAnsi="Cambria Math"/>
                          <w:color w:val="000000" w:themeColor="text1"/>
                          <w:u w:val="single"/>
                          <w:lang w:eastAsia="zh-CN"/>
                          <w14:textFill>
                            <w14:solidFill>
                              <w14:schemeClr w14:val="tx1"/>
                            </w14:solidFill>
                          </w14:textFill>
                        </w:rPr>
                        <m:t>Y</m:t>
                      </m:r>
                      <m:ctrlPr>
                        <w:rPr>
                          <w:rFonts w:ascii="Cambria Math" w:hAnsi="Cambria Math"/>
                          <w:b/>
                          <w:bCs/>
                          <w:color w:val="000000" w:themeColor="text1"/>
                          <w:u w:val="single"/>
                          <w:lang w:eastAsia="zh-CN"/>
                          <w14:textFill>
                            <w14:solidFill>
                              <w14:schemeClr w14:val="tx1"/>
                            </w14:solidFill>
                          </w14:textFill>
                        </w:rPr>
                      </m:ctrlPr>
                    </m:e>
                    <m:sub>
                      <m:r>
                        <m:rPr>
                          <m:sty m:val="b"/>
                        </m:rPr>
                        <w:rPr>
                          <w:rFonts w:ascii="Cambria Math" w:hAnsi="Cambria Math"/>
                          <w:color w:val="000000" w:themeColor="text1"/>
                          <w:u w:val="single"/>
                          <w:lang w:eastAsia="zh-CN"/>
                          <w14:textFill>
                            <w14:solidFill>
                              <w14:schemeClr w14:val="tx1"/>
                            </w14:solidFill>
                          </w14:textFill>
                        </w:rPr>
                        <m:t>s</m:t>
                      </m:r>
                      <m:ctrlPr>
                        <w:rPr>
                          <w:rFonts w:ascii="Cambria Math" w:hAnsi="Cambria Math"/>
                          <w:b/>
                          <w:bCs/>
                          <w:color w:val="000000" w:themeColor="text1"/>
                          <w:u w:val="single"/>
                          <w:lang w:eastAsia="zh-CN"/>
                          <w14:textFill>
                            <w14:solidFill>
                              <w14:schemeClr w14:val="tx1"/>
                            </w14:solidFill>
                          </w14:textFill>
                        </w:rPr>
                      </m:ctrlPr>
                    </m:sub>
                  </m:sSub>
                  <m:ctrlPr>
                    <w:rPr>
                      <w:rFonts w:ascii="Cambria Math" w:hAnsi="Cambria Math"/>
                      <w:b/>
                      <w:bCs/>
                      <w:color w:val="000000" w:themeColor="text1"/>
                      <w:u w:val="single"/>
                      <w:lang w:eastAsia="zh-CN"/>
                      <w14:textFill>
                        <w14:solidFill>
                          <w14:schemeClr w14:val="tx1"/>
                        </w14:solidFill>
                      </w14:textFill>
                    </w:rPr>
                  </m:ctrlPr>
                </m:e>
              </m:d>
              <m:r>
                <m:rPr>
                  <m:sty m:val="b"/>
                </m:rPr>
                <w:rPr>
                  <w:rFonts w:ascii="Cambria Math" w:hAnsi="Cambria Math"/>
                  <w:color w:val="000000" w:themeColor="text1"/>
                  <w:u w:val="single"/>
                  <w:lang w:eastAsia="zh-CN"/>
                  <w14:textFill>
                    <w14:solidFill>
                      <w14:schemeClr w14:val="tx1"/>
                    </w14:solidFill>
                  </w14:textFill>
                </w:rPr>
                <m:t>=(4,1)</m:t>
              </m:r>
            </m:oMath>
            <w:r>
              <w:rPr>
                <w:b/>
                <w:bCs/>
                <w:color w:val="000000" w:themeColor="text1"/>
                <w:u w:val="single"/>
                <w:lang w:eastAsia="zh-CN"/>
                <w14:textFill>
                  <w14:solidFill>
                    <w14:schemeClr w14:val="tx1"/>
                  </w14:solidFill>
                </w14:textFill>
              </w:rPr>
              <w:t xml:space="preserve"> </w:t>
            </w:r>
            <w:r>
              <w:rPr>
                <w:b/>
                <w:bCs/>
                <w:color w:val="000000" w:themeColor="text1"/>
                <w:u w:val="single"/>
                <w14:textFill>
                  <w14:solidFill>
                    <w14:schemeClr w14:val="tx1"/>
                  </w14:solidFill>
                </w14:textFill>
              </w:rPr>
              <w:t xml:space="preserve">and for </w:t>
            </w:r>
            <w:r>
              <w:rPr>
                <w:rFonts w:hint="eastAsia"/>
                <w:b/>
                <w:bCs/>
                <w:color w:val="000000" w:themeColor="text1"/>
                <w:u w:val="single"/>
                <w14:textFill>
                  <w14:solidFill>
                    <w14:schemeClr w14:val="tx1"/>
                  </w14:solidFill>
                </w14:textFill>
              </w:rPr>
              <w:t>μ</w:t>
            </w:r>
            <w:r>
              <w:rPr>
                <w:b/>
                <w:bCs/>
                <w:color w:val="000000" w:themeColor="text1"/>
                <w:u w:val="single"/>
                <w14:textFill>
                  <w14:solidFill>
                    <w14:schemeClr w14:val="tx1"/>
                  </w14:solidFill>
                </w14:textFill>
              </w:rPr>
              <w:t xml:space="preserve">=6 the UE applies </w:t>
            </w:r>
            <m:oMath>
              <m:d>
                <m:dPr>
                  <m:ctrlPr>
                    <w:rPr>
                      <w:rFonts w:ascii="Cambria Math" w:hAnsi="Cambria Math"/>
                      <w:b/>
                      <w:bCs/>
                      <w:color w:val="000000" w:themeColor="text1"/>
                      <w:u w:val="single"/>
                      <w:lang w:eastAsia="zh-CN"/>
                      <w14:textFill>
                        <w14:solidFill>
                          <w14:schemeClr w14:val="tx1"/>
                        </w14:solidFill>
                      </w14:textFill>
                    </w:rPr>
                  </m:ctrlPr>
                </m:dPr>
                <m:e>
                  <m:sSub>
                    <m:sSubPr>
                      <m:ctrlPr>
                        <w:rPr>
                          <w:rFonts w:ascii="Cambria Math" w:hAnsi="Cambria Math"/>
                          <w:b/>
                          <w:bCs/>
                          <w:color w:val="000000" w:themeColor="text1"/>
                          <w:u w:val="single"/>
                          <w:lang w:eastAsia="zh-CN"/>
                          <w14:textFill>
                            <w14:solidFill>
                              <w14:schemeClr w14:val="tx1"/>
                            </w14:solidFill>
                          </w14:textFill>
                        </w:rPr>
                      </m:ctrlPr>
                    </m:sSubPr>
                    <m:e>
                      <m:r>
                        <m:rPr>
                          <m:sty m:val="b"/>
                        </m:rPr>
                        <w:rPr>
                          <w:rFonts w:ascii="Cambria Math" w:hAnsi="Cambria Math"/>
                          <w:color w:val="000000" w:themeColor="text1"/>
                          <w:u w:val="single"/>
                          <w:lang w:eastAsia="zh-CN"/>
                          <w14:textFill>
                            <w14:solidFill>
                              <w14:schemeClr w14:val="tx1"/>
                            </w14:solidFill>
                          </w14:textFill>
                        </w:rPr>
                        <m:t>X</m:t>
                      </m:r>
                      <m:ctrlPr>
                        <w:rPr>
                          <w:rFonts w:ascii="Cambria Math" w:hAnsi="Cambria Math"/>
                          <w:b/>
                          <w:bCs/>
                          <w:color w:val="000000" w:themeColor="text1"/>
                          <w:u w:val="single"/>
                          <w:lang w:eastAsia="zh-CN"/>
                          <w14:textFill>
                            <w14:solidFill>
                              <w14:schemeClr w14:val="tx1"/>
                            </w14:solidFill>
                          </w14:textFill>
                        </w:rPr>
                      </m:ctrlPr>
                    </m:e>
                    <m:sub>
                      <m:r>
                        <m:rPr>
                          <m:sty m:val="b"/>
                        </m:rPr>
                        <w:rPr>
                          <w:rFonts w:ascii="Cambria Math" w:hAnsi="Cambria Math"/>
                          <w:color w:val="000000" w:themeColor="text1"/>
                          <w:u w:val="single"/>
                          <w:lang w:eastAsia="zh-CN"/>
                          <w14:textFill>
                            <w14:solidFill>
                              <w14:schemeClr w14:val="tx1"/>
                            </w14:solidFill>
                          </w14:textFill>
                        </w:rPr>
                        <m:t>s</m:t>
                      </m:r>
                      <m:ctrlPr>
                        <w:rPr>
                          <w:rFonts w:ascii="Cambria Math" w:hAnsi="Cambria Math"/>
                          <w:b/>
                          <w:bCs/>
                          <w:color w:val="000000" w:themeColor="text1"/>
                          <w:u w:val="single"/>
                          <w:lang w:eastAsia="zh-CN"/>
                          <w14:textFill>
                            <w14:solidFill>
                              <w14:schemeClr w14:val="tx1"/>
                            </w14:solidFill>
                          </w14:textFill>
                        </w:rPr>
                      </m:ctrlPr>
                    </m:sub>
                  </m:sSub>
                  <m:r>
                    <m:rPr>
                      <m:sty m:val="b"/>
                    </m:rPr>
                    <w:rPr>
                      <w:rFonts w:ascii="Cambria Math" w:hAnsi="Cambria Math"/>
                      <w:color w:val="000000" w:themeColor="text1"/>
                      <w:u w:val="single"/>
                      <w:lang w:eastAsia="zh-CN"/>
                      <w14:textFill>
                        <w14:solidFill>
                          <w14:schemeClr w14:val="tx1"/>
                        </w14:solidFill>
                      </w14:textFill>
                    </w:rPr>
                    <m:t>,</m:t>
                  </m:r>
                  <m:sSub>
                    <m:sSubPr>
                      <m:ctrlPr>
                        <w:rPr>
                          <w:rFonts w:ascii="Cambria Math" w:hAnsi="Cambria Math"/>
                          <w:b/>
                          <w:bCs/>
                          <w:color w:val="000000" w:themeColor="text1"/>
                          <w:u w:val="single"/>
                          <w:lang w:eastAsia="zh-CN"/>
                          <w14:textFill>
                            <w14:solidFill>
                              <w14:schemeClr w14:val="tx1"/>
                            </w14:solidFill>
                          </w14:textFill>
                        </w:rPr>
                      </m:ctrlPr>
                    </m:sSubPr>
                    <m:e>
                      <m:r>
                        <m:rPr>
                          <m:sty m:val="b"/>
                        </m:rPr>
                        <w:rPr>
                          <w:rFonts w:ascii="Cambria Math" w:hAnsi="Cambria Math"/>
                          <w:color w:val="000000" w:themeColor="text1"/>
                          <w:u w:val="single"/>
                          <w:lang w:eastAsia="zh-CN"/>
                          <w14:textFill>
                            <w14:solidFill>
                              <w14:schemeClr w14:val="tx1"/>
                            </w14:solidFill>
                          </w14:textFill>
                        </w:rPr>
                        <m:t>Y</m:t>
                      </m:r>
                      <m:ctrlPr>
                        <w:rPr>
                          <w:rFonts w:ascii="Cambria Math" w:hAnsi="Cambria Math"/>
                          <w:b/>
                          <w:bCs/>
                          <w:color w:val="000000" w:themeColor="text1"/>
                          <w:u w:val="single"/>
                          <w:lang w:eastAsia="zh-CN"/>
                          <w14:textFill>
                            <w14:solidFill>
                              <w14:schemeClr w14:val="tx1"/>
                            </w14:solidFill>
                          </w14:textFill>
                        </w:rPr>
                      </m:ctrlPr>
                    </m:e>
                    <m:sub>
                      <m:r>
                        <m:rPr>
                          <m:sty m:val="b"/>
                        </m:rPr>
                        <w:rPr>
                          <w:rFonts w:ascii="Cambria Math" w:hAnsi="Cambria Math"/>
                          <w:color w:val="000000" w:themeColor="text1"/>
                          <w:u w:val="single"/>
                          <w:lang w:eastAsia="zh-CN"/>
                          <w14:textFill>
                            <w14:solidFill>
                              <w14:schemeClr w14:val="tx1"/>
                            </w14:solidFill>
                          </w14:textFill>
                        </w:rPr>
                        <m:t>s</m:t>
                      </m:r>
                      <m:ctrlPr>
                        <w:rPr>
                          <w:rFonts w:ascii="Cambria Math" w:hAnsi="Cambria Math"/>
                          <w:b/>
                          <w:bCs/>
                          <w:color w:val="000000" w:themeColor="text1"/>
                          <w:u w:val="single"/>
                          <w:lang w:eastAsia="zh-CN"/>
                          <w14:textFill>
                            <w14:solidFill>
                              <w14:schemeClr w14:val="tx1"/>
                            </w14:solidFill>
                          </w14:textFill>
                        </w:rPr>
                      </m:ctrlPr>
                    </m:sub>
                  </m:sSub>
                  <m:ctrlPr>
                    <w:rPr>
                      <w:rFonts w:ascii="Cambria Math" w:hAnsi="Cambria Math"/>
                      <w:b/>
                      <w:bCs/>
                      <w:color w:val="000000" w:themeColor="text1"/>
                      <w:u w:val="single"/>
                      <w:lang w:eastAsia="zh-CN"/>
                      <w14:textFill>
                        <w14:solidFill>
                          <w14:schemeClr w14:val="tx1"/>
                        </w14:solidFill>
                      </w14:textFill>
                    </w:rPr>
                  </m:ctrlPr>
                </m:e>
              </m:d>
              <m:r>
                <m:rPr>
                  <m:sty m:val="b"/>
                </m:rPr>
                <w:rPr>
                  <w:rFonts w:ascii="Cambria Math" w:hAnsi="Cambria Math"/>
                  <w:color w:val="000000" w:themeColor="text1"/>
                  <w:u w:val="single"/>
                  <w:lang w:eastAsia="zh-CN"/>
                  <w14:textFill>
                    <w14:solidFill>
                      <w14:schemeClr w14:val="tx1"/>
                    </w14:solidFill>
                  </w14:textFill>
                </w:rPr>
                <m:t>=(8,1)</m:t>
              </m:r>
            </m:oMath>
            <w:r>
              <w:rPr>
                <w:b/>
                <w:bCs/>
                <w:color w:val="000000" w:themeColor="text1"/>
                <w14:textFill>
                  <w14:solidFill>
                    <w14:schemeClr w14:val="tx1"/>
                  </w14:solidFill>
                </w14:textFill>
              </w:rPr>
              <w:t xml:space="preserve"> “</w:t>
            </w:r>
          </w:p>
        </w:tc>
      </w:tr>
    </w:tbl>
    <w:p>
      <w:pPr>
        <w:rPr>
          <w:lang w:eastAsia="zh-CN"/>
        </w:rPr>
      </w:pPr>
    </w:p>
    <w:p>
      <w:pPr>
        <w:pStyle w:val="4"/>
      </w:pPr>
      <w:r>
        <w:t>R1-2201033 (InterDigital)</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line="276" w:lineRule="auto"/>
              <w:jc w:val="both"/>
              <w:rPr>
                <w:rFonts w:ascii="Arial" w:hAnsi="Arial" w:cs="Arial"/>
                <w:bCs/>
              </w:rPr>
            </w:pPr>
            <w:r>
              <w:rPr>
                <w:rFonts w:ascii="Arial" w:hAnsi="Arial" w:cs="Arial"/>
                <w:bCs/>
              </w:rPr>
              <w:t>For 480 kHz, in addition to the agreed values of X</w:t>
            </w:r>
            <w:r>
              <w:rPr>
                <w:rFonts w:ascii="Arial" w:hAnsi="Arial" w:cs="Arial"/>
                <w:bCs/>
                <w:vertAlign w:val="subscript"/>
              </w:rPr>
              <w:t>s</w:t>
            </w:r>
            <w:r>
              <w:rPr>
                <w:rFonts w:ascii="Arial" w:hAnsi="Arial" w:cs="Arial"/>
                <w:bCs/>
              </w:rPr>
              <w:t xml:space="preserve"> (i.e., X</w:t>
            </w:r>
            <w:r>
              <w:rPr>
                <w:rFonts w:ascii="Arial" w:hAnsi="Arial" w:cs="Arial"/>
                <w:bCs/>
                <w:vertAlign w:val="subscript"/>
              </w:rPr>
              <w:t>s</w:t>
            </w:r>
            <w:r>
              <w:rPr>
                <w:rFonts w:ascii="Arial" w:hAnsi="Arial" w:cs="Arial"/>
                <w:bCs/>
              </w:rPr>
              <w:t>=4 for 480 kHz and X</w:t>
            </w:r>
            <w:r>
              <w:rPr>
                <w:rFonts w:ascii="Arial" w:hAnsi="Arial" w:cs="Arial"/>
                <w:bCs/>
                <w:vertAlign w:val="subscript"/>
              </w:rPr>
              <w:t>s</w:t>
            </w:r>
            <w:r>
              <w:rPr>
                <w:rFonts w:ascii="Arial" w:hAnsi="Arial" w:cs="Arial"/>
                <w:bCs/>
              </w:rPr>
              <w:t>=4 or 8 for 960 kHz), whether to support X</w:t>
            </w:r>
            <w:r>
              <w:rPr>
                <w:rFonts w:ascii="Arial" w:hAnsi="Arial" w:cs="Arial"/>
                <w:bCs/>
                <w:vertAlign w:val="subscript"/>
              </w:rPr>
              <w:t>s</w:t>
            </w:r>
            <w:r>
              <w:rPr>
                <w:rFonts w:ascii="Arial" w:hAnsi="Arial" w:cs="Arial"/>
                <w:bCs/>
              </w:rPr>
              <w:t>=2 with Y</w:t>
            </w:r>
            <w:r>
              <w:rPr>
                <w:rFonts w:ascii="Arial" w:hAnsi="Arial" w:cs="Arial"/>
                <w:bCs/>
                <w:vertAlign w:val="subscript"/>
              </w:rPr>
              <w:t>s</w:t>
            </w:r>
            <w:r>
              <w:rPr>
                <w:rFonts w:ascii="Arial" w:hAnsi="Arial" w:cs="Arial"/>
                <w:bCs/>
              </w:rPr>
              <w:t>=1 was further discussed. The technical motivation was to allow more flexible network implementation with the identical absolute time window with X</w:t>
            </w:r>
            <w:r>
              <w:rPr>
                <w:rFonts w:ascii="Arial" w:hAnsi="Arial" w:cs="Arial"/>
                <w:bCs/>
                <w:vertAlign w:val="subscript"/>
              </w:rPr>
              <w:t>s</w:t>
            </w:r>
            <w:r>
              <w:rPr>
                <w:rFonts w:ascii="Arial" w:hAnsi="Arial" w:cs="Arial"/>
                <w:bCs/>
              </w:rPr>
              <w:t xml:space="preserve">=4 with 960 kHz. In addition, it should be noted that the combination (2,1) is not a mandatory value, but an optional value, so that only capable UEs would support. As required discussion and corresponding specification impact can be minimized by reusing the values for 960 kHz with (4,1), support the combination (2,1) would be beneficial for better network flexibility and reducing latency for FR 2-2. </w:t>
            </w:r>
          </w:p>
          <w:p>
            <w:pPr>
              <w:widowControl w:val="0"/>
              <w:rPr>
                <w:rFonts w:ascii="Arial" w:hAnsi="Arial" w:cs="Arial"/>
                <w:bCs/>
              </w:rPr>
            </w:pPr>
          </w:p>
          <w:p>
            <w:pPr>
              <w:widowControl w:val="0"/>
              <w:spacing w:line="276" w:lineRule="auto"/>
              <w:jc w:val="both"/>
              <w:rPr>
                <w:rFonts w:ascii="Arial" w:hAnsi="Arial" w:cs="Arial"/>
                <w:bCs/>
              </w:rPr>
            </w:pPr>
            <w:r>
              <w:rPr>
                <w:rFonts w:ascii="Arial" w:hAnsi="Arial" w:cs="Arial"/>
                <w:b/>
                <w:i/>
                <w:iCs/>
              </w:rPr>
              <w:t>Proposal 2:</w:t>
            </w:r>
            <w:r>
              <w:rPr>
                <w:rFonts w:ascii="Arial" w:hAnsi="Arial" w:cs="Arial"/>
                <w:bCs/>
                <w:i/>
                <w:iCs/>
              </w:rPr>
              <w:t xml:space="preserve"> Support the combination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xml:space="preserve">) = (2,1) for 480 kHz. </w:t>
            </w:r>
          </w:p>
          <w:p>
            <w:pPr>
              <w:widowControl w:val="0"/>
              <w:rPr>
                <w:rFonts w:ascii="Arial" w:hAnsi="Arial" w:cs="Arial"/>
                <w:bCs/>
              </w:rPr>
            </w:pPr>
          </w:p>
          <w:p>
            <w:pPr>
              <w:widowControl w:val="0"/>
              <w:spacing w:line="276" w:lineRule="auto"/>
              <w:jc w:val="both"/>
              <w:rPr>
                <w:rFonts w:ascii="Arial" w:hAnsi="Arial" w:cs="Arial"/>
                <w:bCs/>
              </w:rPr>
            </w:pPr>
            <w:r>
              <w:rPr>
                <w:rFonts w:ascii="Arial" w:hAnsi="Arial" w:cs="Arial"/>
                <w:bCs/>
              </w:rPr>
              <w:t>For 960 kHz, there was a proposal to reopen the discussion on the supported combination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The proposal was to support only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 (8,1) and (8,4) without (4,2) and (4,1). The raised concern was whether BD/CCE limit for X</w:t>
            </w:r>
            <w:r>
              <w:rPr>
                <w:rFonts w:ascii="Arial" w:hAnsi="Arial" w:cs="Arial"/>
                <w:bCs/>
                <w:vertAlign w:val="subscript"/>
              </w:rPr>
              <w:t>s</w:t>
            </w:r>
            <w:r>
              <w:rPr>
                <w:rFonts w:ascii="Arial" w:hAnsi="Arial" w:cs="Arial"/>
                <w:bCs/>
              </w:rPr>
              <w:t>=4 in 960kHz can satisfy Type-0 PDCCH monitoring BD/CCE number specified in the specification. However, as (4,2) and (4,1) are optional values which can be used when only available UEs report their capability, it is preferred to keep the existing agreement.</w:t>
            </w:r>
          </w:p>
          <w:p>
            <w:pPr>
              <w:widowControl w:val="0"/>
              <w:rPr>
                <w:rFonts w:ascii="Arial" w:hAnsi="Arial" w:cs="Arial"/>
                <w:bCs/>
              </w:rPr>
            </w:pPr>
          </w:p>
          <w:p>
            <w:pPr>
              <w:widowControl w:val="0"/>
              <w:spacing w:line="276" w:lineRule="auto"/>
              <w:jc w:val="both"/>
              <w:rPr>
                <w:rFonts w:ascii="Arial" w:hAnsi="Arial" w:cs="Arial"/>
                <w:bCs/>
                <w:i/>
                <w:iCs/>
              </w:rPr>
            </w:pPr>
            <w:r>
              <w:rPr>
                <w:rFonts w:ascii="Arial" w:hAnsi="Arial" w:cs="Arial"/>
                <w:b/>
                <w:i/>
                <w:iCs/>
              </w:rPr>
              <w:t xml:space="preserve">Proposal 3: </w:t>
            </w:r>
            <w:r>
              <w:rPr>
                <w:rFonts w:ascii="Arial" w:hAnsi="Arial" w:cs="Arial"/>
                <w:bCs/>
                <w:i/>
                <w:iCs/>
              </w:rPr>
              <w:t>Do not reopen the discussion for the combinations of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for 960 kHz.</w:t>
            </w:r>
          </w:p>
          <w:p>
            <w:pPr>
              <w:pStyle w:val="82"/>
              <w:widowControl w:val="0"/>
              <w:numPr>
                <w:ilvl w:val="0"/>
                <w:numId w:val="69"/>
              </w:numPr>
              <w:snapToGrid/>
              <w:spacing w:after="120" w:line="276" w:lineRule="auto"/>
              <w:jc w:val="both"/>
              <w:rPr>
                <w:rFonts w:ascii="Arial" w:hAnsi="Arial" w:cs="Arial"/>
                <w:bCs/>
              </w:rPr>
            </w:pPr>
            <w:r>
              <w:rPr>
                <w:rFonts w:ascii="Arial" w:hAnsi="Arial" w:cs="Arial"/>
                <w:bCs/>
                <w:i/>
                <w:iCs/>
              </w:rPr>
              <w:t>Support the agreed combinations of (8,1), (8,4), (4,2) and (4,1) for 960 kHz.</w:t>
            </w:r>
          </w:p>
          <w:p>
            <w:pPr>
              <w:widowControl w:val="0"/>
              <w:rPr>
                <w:highlight w:val="yellow"/>
              </w:rPr>
            </w:pPr>
          </w:p>
          <w:p>
            <w:pPr>
              <w:widowControl w:val="0"/>
              <w:rPr>
                <w:highlight w:val="yellow"/>
              </w:rPr>
            </w:pPr>
          </w:p>
          <w:p>
            <w:pPr>
              <w:widowControl w:val="0"/>
              <w:spacing w:line="276" w:lineRule="auto"/>
              <w:jc w:val="both"/>
              <w:rPr>
                <w:rFonts w:ascii="Arial" w:hAnsi="Arial" w:cs="Arial"/>
                <w:bCs/>
              </w:rPr>
            </w:pPr>
            <w:r>
              <w:rPr>
                <w:rFonts w:ascii="Arial" w:hAnsi="Arial" w:cs="Arial"/>
                <w:bCs/>
              </w:rPr>
              <w:t>In RAN1#107bis-e [2], how to determine a combination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values for PDCCH monitoring when UE reports multiple applicable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combinations as UE capability. To resolve this issue, the following two possible solutions are suggested:</w:t>
            </w:r>
          </w:p>
          <w:p>
            <w:pPr>
              <w:pStyle w:val="82"/>
              <w:widowControl w:val="0"/>
              <w:numPr>
                <w:ilvl w:val="0"/>
                <w:numId w:val="70"/>
              </w:numPr>
              <w:snapToGrid/>
              <w:spacing w:after="120" w:line="276" w:lineRule="auto"/>
              <w:jc w:val="both"/>
              <w:rPr>
                <w:rFonts w:ascii="Arial" w:hAnsi="Arial" w:cs="Arial"/>
                <w:bCs/>
              </w:rPr>
            </w:pPr>
            <w:r>
              <w:rPr>
                <w:rFonts w:ascii="Arial" w:hAnsi="Arial" w:cs="Arial"/>
                <w:bCs/>
              </w:rPr>
              <w:t>Alt #1: Introduce RRC signaling to indicate a combination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to be used for PDCCH monitoring. If the parameter is absent, the UE uses a default combination, i.e., (4,1) for 480 kHz and (8,1) for 960 kHz.</w:t>
            </w:r>
          </w:p>
          <w:p>
            <w:pPr>
              <w:pStyle w:val="82"/>
              <w:widowControl w:val="0"/>
              <w:numPr>
                <w:ilvl w:val="0"/>
                <w:numId w:val="70"/>
              </w:numPr>
              <w:snapToGrid/>
              <w:spacing w:after="120" w:line="276" w:lineRule="auto"/>
              <w:jc w:val="both"/>
              <w:rPr>
                <w:rFonts w:ascii="Arial" w:hAnsi="Arial" w:cs="Arial"/>
                <w:bCs/>
              </w:rPr>
            </w:pPr>
            <w:r>
              <w:rPr>
                <w:rFonts w:ascii="Arial" w:hAnsi="Arial" w:cs="Arial"/>
                <w:bCs/>
              </w:rPr>
              <w:t>Alt #2: If there are more than one combination complying with the SS configurations among the reported combinations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 the UE monitors PDCCHs according to the complying combination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that is associated with the largest maximum number of BD/CCE budget (largest value of X</w:t>
            </w:r>
            <w:r>
              <w:rPr>
                <w:rFonts w:ascii="Arial" w:hAnsi="Arial" w:cs="Arial"/>
                <w:bCs/>
                <w:vertAlign w:val="subscript"/>
              </w:rPr>
              <w:t>s</w:t>
            </w:r>
            <w:r>
              <w:rPr>
                <w:rFonts w:ascii="Arial" w:hAnsi="Arial" w:cs="Arial"/>
                <w:bCs/>
              </w:rPr>
              <w:t>).</w:t>
            </w:r>
          </w:p>
          <w:p>
            <w:pPr>
              <w:widowControl w:val="0"/>
              <w:spacing w:line="276" w:lineRule="auto"/>
              <w:ind w:left="360"/>
              <w:jc w:val="both"/>
              <w:rPr>
                <w:rFonts w:ascii="Arial" w:hAnsi="Arial" w:cs="Arial"/>
                <w:bCs/>
              </w:rPr>
            </w:pPr>
          </w:p>
          <w:p>
            <w:pPr>
              <w:widowControl w:val="0"/>
              <w:spacing w:line="276" w:lineRule="auto"/>
              <w:jc w:val="both"/>
              <w:rPr>
                <w:rFonts w:ascii="Arial" w:hAnsi="Arial" w:cs="Arial"/>
                <w:bCs/>
              </w:rPr>
            </w:pPr>
            <w:r>
              <w:rPr>
                <w:rFonts w:ascii="Arial" w:hAnsi="Arial" w:cs="Arial"/>
                <w:bCs/>
              </w:rPr>
              <w:t>Although Alt #1 provides a simplest solution to resolve the multi-capability issue, however, Alt #1 requires additional RRC specification impact to introduce the essential signaling. On the other hand, Alt #2 resolves the issue without introduction of any RRC signaling. In addition, it should be noted that Alt #2 is a simple way to extend Rel-16 UE behavior for span based PDCCH monitoring. Having said that, supporting Alt #2 is preferred to avoid unnecessary RRC specification impact.</w:t>
            </w:r>
          </w:p>
          <w:p>
            <w:pPr>
              <w:widowControl w:val="0"/>
              <w:spacing w:line="276" w:lineRule="auto"/>
              <w:jc w:val="both"/>
              <w:rPr>
                <w:rFonts w:ascii="Arial" w:hAnsi="Arial" w:cs="Arial"/>
                <w:bCs/>
              </w:rPr>
            </w:pPr>
          </w:p>
          <w:p>
            <w:pPr>
              <w:widowControl w:val="0"/>
              <w:spacing w:line="276" w:lineRule="auto"/>
              <w:jc w:val="both"/>
              <w:rPr>
                <w:rFonts w:ascii="Arial" w:hAnsi="Arial" w:cs="Arial"/>
                <w:bCs/>
              </w:rPr>
            </w:pPr>
            <w:r>
              <w:rPr>
                <w:rFonts w:ascii="Arial" w:hAnsi="Arial" w:cs="Arial"/>
                <w:b/>
                <w:i/>
                <w:iCs/>
              </w:rPr>
              <w:t>Proposal 1:</w:t>
            </w:r>
            <w:r>
              <w:rPr>
                <w:rFonts w:ascii="Arial" w:hAnsi="Arial" w:cs="Arial"/>
                <w:bCs/>
                <w:i/>
                <w:iCs/>
              </w:rPr>
              <w:t xml:space="preserve"> UE monitors PDCCHs according to the complying combination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that is associated with the largest maximum number of BD/CCE budget (largest value of X</w:t>
            </w:r>
            <w:r>
              <w:rPr>
                <w:rFonts w:ascii="Arial" w:hAnsi="Arial" w:cs="Arial"/>
                <w:bCs/>
                <w:i/>
                <w:iCs/>
                <w:vertAlign w:val="subscript"/>
              </w:rPr>
              <w:t>s</w:t>
            </w:r>
            <w:r>
              <w:rPr>
                <w:rFonts w:ascii="Arial" w:hAnsi="Arial" w:cs="Arial"/>
                <w:bCs/>
                <w:i/>
                <w:iCs/>
              </w:rPr>
              <w:t>), if there are more than one combination complying with the SS configurations among reported combinations of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via UE capability.</w:t>
            </w:r>
          </w:p>
          <w:p>
            <w:pPr>
              <w:widowControl w:val="0"/>
              <w:snapToGrid/>
              <w:spacing w:after="160"/>
              <w:contextualSpacing/>
              <w:rPr>
                <w:b/>
                <w:bCs/>
                <w:color w:val="000000" w:themeColor="text1"/>
                <w14:textFill>
                  <w14:solidFill>
                    <w14:schemeClr w14:val="tx1"/>
                  </w14:solidFill>
                </w14:textFill>
              </w:rPr>
            </w:pPr>
          </w:p>
          <w:p>
            <w:pPr>
              <w:widowControl w:val="0"/>
              <w:spacing w:line="276" w:lineRule="auto"/>
              <w:jc w:val="both"/>
              <w:rPr>
                <w:rFonts w:ascii="Arial" w:hAnsi="Arial" w:cs="Arial"/>
                <w:bCs/>
              </w:rPr>
            </w:pPr>
            <w:r>
              <w:rPr>
                <w:rFonts w:ascii="Arial" w:hAnsi="Arial" w:cs="Arial"/>
                <w:bCs/>
              </w:rPr>
              <w:t>In RAN1#107bis-e [2], whether to capture default UE behavior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xml:space="preserve">) was discussed. As the UE receives the parameter monitoringCapabilityConfig in PDCCH-Config via UE specific configurations not in PDCCH-ConfigCommon for cell-specific PDCCH configuration, the UE shall perform per-slot PDCCH monitoring for Type0/0A/2-PDCCH CSS set and Type1-PDCCH CSS set provided in SIB1. The UE behavior is not aligned with the agreement in RAN1#107-e [1]. Having said that, it is preferred to capture the UE default behavior and adopt the following TP in the specification. </w:t>
            </w:r>
          </w:p>
          <w:p>
            <w:pPr>
              <w:widowControl w:val="0"/>
              <w:spacing w:line="276" w:lineRule="auto"/>
              <w:jc w:val="both"/>
              <w:rPr>
                <w:rFonts w:ascii="Arial" w:hAnsi="Arial" w:cs="Arial"/>
                <w:bCs/>
              </w:rPr>
            </w:pPr>
          </w:p>
          <w:p>
            <w:pPr>
              <w:widowControl w:val="0"/>
              <w:spacing w:line="276" w:lineRule="auto"/>
              <w:jc w:val="both"/>
              <w:rPr>
                <w:rFonts w:ascii="Arial" w:hAnsi="Arial" w:cs="Arial"/>
                <w:bCs/>
                <w:i/>
                <w:iCs/>
              </w:rPr>
            </w:pPr>
            <w:r>
              <w:rPr>
                <w:rFonts w:ascii="Arial" w:hAnsi="Arial" w:cs="Arial"/>
                <w:b/>
                <w:i/>
                <w:iCs/>
              </w:rPr>
              <w:t xml:space="preserve">Proposal 4: </w:t>
            </w:r>
            <w:r>
              <w:rPr>
                <w:rFonts w:ascii="Arial" w:hAnsi="Arial" w:cs="Arial"/>
                <w:bCs/>
                <w:i/>
                <w:iCs/>
              </w:rPr>
              <w:t>Adopt Text proposal #1 to reflect the UE default behavior with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 (4,1) and (8,1) for 480 kHz and 960 kHz, respectively.</w:t>
            </w:r>
          </w:p>
          <w:p>
            <w:pPr>
              <w:widowControl w:val="0"/>
              <w:snapToGrid/>
              <w:spacing w:after="160"/>
              <w:contextualSpacing/>
              <w:rPr>
                <w:b/>
                <w:bCs/>
                <w:color w:val="000000" w:themeColor="text1"/>
                <w14:textFill>
                  <w14:solidFill>
                    <w14:schemeClr w14:val="tx1"/>
                  </w14:solidFill>
                </w14:textFill>
              </w:rPr>
            </w:pPr>
          </w:p>
        </w:tc>
      </w:tr>
    </w:tbl>
    <w:p>
      <w:pPr>
        <w:rPr>
          <w:lang w:eastAsia="zh-CN"/>
        </w:rPr>
      </w:pPr>
    </w:p>
    <w:p>
      <w:pPr>
        <w:pStyle w:val="4"/>
      </w:pPr>
      <w:r>
        <w:t>R1-2201086 (vivo)</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rPr>
                <w:lang w:eastAsia="zh-CN"/>
              </w:rPr>
            </w:pPr>
            <w:bookmarkStart w:id="11" w:name="_Hlk62233360"/>
            <w:r>
              <w:rPr>
                <w:lang w:eastAsia="zh-CN"/>
              </w:rPr>
              <w:t>Based on the above agreement, it is obviously that multiple (Xs, Ys) values may be reported by UE, i.e.</w:t>
            </w:r>
          </w:p>
          <w:p>
            <w:pPr>
              <w:pStyle w:val="82"/>
              <w:widowControl/>
              <w:numPr>
                <w:ilvl w:val="2"/>
                <w:numId w:val="71"/>
              </w:numPr>
              <w:snapToGrid/>
              <w:rPr>
                <w:rFonts w:ascii="Times New Roman" w:hAnsi="Times New Roman"/>
                <w:sz w:val="20"/>
                <w:szCs w:val="18"/>
              </w:rPr>
            </w:pPr>
            <w:r>
              <w:rPr>
                <w:rFonts w:ascii="Times New Roman" w:hAnsi="Times New Roman"/>
                <w:sz w:val="20"/>
                <w:szCs w:val="18"/>
              </w:rPr>
              <w:t>480KHz PDCCH: (4, 1) mandatory, (4, 2) optional</w:t>
            </w:r>
          </w:p>
          <w:p>
            <w:pPr>
              <w:pStyle w:val="82"/>
              <w:widowControl/>
              <w:numPr>
                <w:ilvl w:val="2"/>
                <w:numId w:val="71"/>
              </w:numPr>
              <w:snapToGrid/>
              <w:rPr>
                <w:rFonts w:ascii="Times New Roman" w:hAnsi="Times New Roman"/>
                <w:sz w:val="20"/>
                <w:szCs w:val="18"/>
              </w:rPr>
            </w:pPr>
            <w:r>
              <w:rPr>
                <w:rFonts w:hint="eastAsia" w:ascii="Times New Roman" w:hAnsi="Times New Roman"/>
                <w:sz w:val="20"/>
                <w:szCs w:val="18"/>
              </w:rPr>
              <w:t>9</w:t>
            </w:r>
            <w:r>
              <w:rPr>
                <w:rFonts w:ascii="Times New Roman" w:hAnsi="Times New Roman"/>
                <w:sz w:val="20"/>
                <w:szCs w:val="18"/>
              </w:rPr>
              <w:t>60KHz PDCCH: (8, 1) mandatory, (8, 4), (4, 2) and (4, 1) optional</w:t>
            </w:r>
          </w:p>
          <w:p>
            <w:pPr>
              <w:widowControl w:val="0"/>
              <w:spacing w:before="120"/>
              <w:rPr>
                <w:lang w:eastAsia="zh-CN"/>
              </w:rPr>
            </w:pPr>
            <w:r>
              <w:rPr>
                <w:lang w:eastAsia="zh-CN"/>
              </w:rPr>
              <w:t xml:space="preserve">If a UE indicates a capability to monitor PDCCH according to multiple </w:t>
            </w:r>
            <m:oMath>
              <m:d>
                <m:dPr>
                  <m:ctrlPr>
                    <w:rPr>
                      <w:rFonts w:ascii="Cambria Math" w:hAnsi="Cambria Math"/>
                      <w:lang w:eastAsia="zh-CN"/>
                    </w:rPr>
                  </m:ctrlPr>
                </m:dPr>
                <m:e>
                  <m:r>
                    <m:rPr>
                      <m:sty m:val="p"/>
                    </m:rPr>
                    <w:rPr>
                      <w:rFonts w:ascii="Cambria Math" w:hAnsi="Cambria Math"/>
                      <w:lang w:eastAsia="zh-CN"/>
                    </w:rPr>
                    <m:t>Xs,Ys</m:t>
                  </m:r>
                  <m:ctrlPr>
                    <w:rPr>
                      <w:rFonts w:ascii="Cambria Math" w:hAnsi="Cambria Math"/>
                      <w:lang w:eastAsia="zh-CN"/>
                    </w:rPr>
                  </m:ctrlPr>
                </m:e>
              </m:d>
            </m:oMath>
            <w:r>
              <w:rPr>
                <w:lang w:eastAsia="zh-CN"/>
              </w:rPr>
              <w:t xml:space="preserve"> combinations, how to determine the value of (Xs, Ys) for a scheduling cell should be specified. First, UE should determine a set of (Xs, Ys) values according to which the search space configuration meets the limitation, i.e. configured Group (1) SSs are located within Y consecutive slots within a slot group of X slots where the location of the Y consecutive slots within the slot group of X slots is maintained across different slot groups. Among the set of (Xs, Ys) value, determine one or more (Xs, Ys) with the largest Xs value (i.e. the largest BD/CCE budget) first and then select (Xs, Ys) with the smallest Ys value.</w:t>
            </w:r>
          </w:p>
          <w:p>
            <w:pPr>
              <w:pStyle w:val="27"/>
              <w:widowControl w:val="0"/>
              <w:rPr>
                <w:b w:val="0"/>
              </w:rPr>
            </w:pPr>
            <w:bookmarkStart w:id="12" w:name="_Ref92376955"/>
            <w:r>
              <w:t xml:space="preserve">Proposal </w:t>
            </w:r>
            <w:r>
              <w:fldChar w:fldCharType="begin"/>
            </w:r>
            <w:r>
              <w:instrText xml:space="preserve"> SEQ Proposal \* ARABIC </w:instrText>
            </w:r>
            <w:r>
              <w:fldChar w:fldCharType="separate"/>
            </w:r>
            <w:r>
              <w:t>1</w:t>
            </w:r>
            <w:r>
              <w:fldChar w:fldCharType="end"/>
            </w:r>
            <w:r>
              <w:t xml:space="preserve">: Adopt TP1 in </w:t>
            </w:r>
            <w:r>
              <w:rPr>
                <w:b w:val="0"/>
              </w:rPr>
              <w:fldChar w:fldCharType="begin"/>
            </w:r>
            <w:r>
              <w:instrText xml:space="preserve"> REF _Ref92735121 \h  \* MERGEFORMAT </w:instrText>
            </w:r>
            <w:r>
              <w:rPr>
                <w:b w:val="0"/>
              </w:rPr>
              <w:fldChar w:fldCharType="separate"/>
            </w:r>
            <w:r>
              <w:t>Appendix</w:t>
            </w:r>
            <w:r>
              <w:rPr>
                <w:b w:val="0"/>
              </w:rPr>
              <w:fldChar w:fldCharType="end"/>
            </w:r>
            <w:r>
              <w:t xml:space="preserve"> to implement the following:</w:t>
            </w:r>
          </w:p>
          <w:p>
            <w:pPr>
              <w:pStyle w:val="27"/>
              <w:widowControl w:val="0"/>
              <w:rPr>
                <w:b w:val="0"/>
              </w:rPr>
            </w:pPr>
            <w:r>
              <w:t>Select one (Xs, Ys) value from multiple (Xs, Ys) combinations reported by a UE according to the following steps: 1) Determine a set of (Xs, Ys) values according to which the search space configurations meets the limitation, i.e. configured Group (1) SSs are located within Y consecutive slots within a slot group of X slots; 2) Determine one or more (Xs, Ys) with the largest Xs value (i.e. the largest BD/CCE budget) first; 3) Select (Xs, Ys) with the smallest Ys value from the above selected (Xs, Ys) combinations.</w:t>
            </w:r>
            <w:bookmarkEnd w:id="12"/>
          </w:p>
          <w:p>
            <w:pPr>
              <w:widowControl w:val="0"/>
              <w:spacing w:before="120"/>
              <w:rPr>
                <w:bCs/>
              </w:rPr>
            </w:pPr>
          </w:p>
          <w:p>
            <w:pPr>
              <w:widowControl w:val="0"/>
              <w:spacing w:before="120" w:beforeLines="50" w:afterLines="50"/>
              <w:rPr>
                <w:szCs w:val="20"/>
                <w:lang w:eastAsia="zh-CN"/>
              </w:rPr>
            </w:pPr>
            <w:r>
              <w:rPr>
                <w:rFonts w:hint="eastAsia"/>
                <w:szCs w:val="20"/>
                <w:lang w:eastAsia="zh-CN"/>
              </w:rPr>
              <w:t>A</w:t>
            </w:r>
            <w:r>
              <w:rPr>
                <w:szCs w:val="20"/>
                <w:lang w:eastAsia="zh-CN"/>
              </w:rPr>
              <w:t>ccording to current spec in TS 38.213, PDCCH monitoring capability type is determined according to the following text:</w:t>
            </w:r>
          </w:p>
          <w:p>
            <w:pPr>
              <w:widowControl w:val="0"/>
              <w:spacing w:after="180"/>
              <w:ind w:left="220" w:leftChars="100"/>
              <w:rPr>
                <w:rFonts w:eastAsia="宋体"/>
                <w:sz w:val="16"/>
                <w:szCs w:val="16"/>
              </w:rPr>
            </w:pPr>
            <w:r>
              <w:rPr>
                <w:rFonts w:eastAsia="宋体"/>
                <w:sz w:val="16"/>
                <w:szCs w:val="16"/>
              </w:rPr>
              <w:t xml:space="preserve">If a UE is provided </w:t>
            </w:r>
            <w:r>
              <w:rPr>
                <w:rFonts w:eastAsia="宋体"/>
                <w:i/>
                <w:sz w:val="16"/>
                <w:szCs w:val="16"/>
              </w:rPr>
              <w:t>monitoringCapabilityConfig</w:t>
            </w:r>
            <w:r>
              <w:rPr>
                <w:rFonts w:eastAsia="宋体"/>
                <w:sz w:val="16"/>
                <w:szCs w:val="16"/>
              </w:rPr>
              <w:t xml:space="preserve"> for a serving cell, the UE obtains an indication to monitor PDCCH on the serving cell for a maximum number of PDCCH candidates and non-overlapping CCEs </w:t>
            </w:r>
          </w:p>
          <w:p>
            <w:pPr>
              <w:widowControl w:val="0"/>
              <w:spacing w:after="180"/>
              <w:ind w:left="816" w:leftChars="242" w:hanging="284"/>
              <w:rPr>
                <w:rFonts w:eastAsia="宋体"/>
                <w:sz w:val="16"/>
                <w:szCs w:val="16"/>
              </w:rPr>
            </w:pPr>
            <w:r>
              <w:rPr>
                <w:rFonts w:eastAsia="宋体"/>
                <w:sz w:val="16"/>
                <w:szCs w:val="16"/>
              </w:rPr>
              <w:t>-</w:t>
            </w:r>
            <w:r>
              <w:rPr>
                <w:rFonts w:eastAsia="宋体"/>
                <w:sz w:val="16"/>
                <w:szCs w:val="16"/>
              </w:rPr>
              <w:tab/>
            </w:r>
            <w:r>
              <w:rPr>
                <w:rFonts w:eastAsia="宋体"/>
                <w:sz w:val="16"/>
                <w:szCs w:val="16"/>
              </w:rPr>
              <w:t xml:space="preserve">per slot, as in Tables 10.1-2 and 10.1-3, </w:t>
            </w:r>
            <w:r>
              <w:rPr>
                <w:rFonts w:eastAsia="宋体"/>
                <w:sz w:val="16"/>
                <w:szCs w:val="20"/>
              </w:rPr>
              <w:t xml:space="preserve">if </w:t>
            </w:r>
            <w:r>
              <w:rPr>
                <w:rFonts w:eastAsia="宋体"/>
                <w:i/>
                <w:sz w:val="16"/>
                <w:szCs w:val="16"/>
              </w:rPr>
              <w:t>monitoringCapabilityConfig</w:t>
            </w:r>
            <w:r>
              <w:rPr>
                <w:rFonts w:eastAsia="宋体"/>
                <w:sz w:val="16"/>
                <w:szCs w:val="20"/>
              </w:rPr>
              <w:t xml:space="preserve"> = </w:t>
            </w:r>
            <w:r>
              <w:rPr>
                <w:rFonts w:eastAsia="宋体"/>
                <w:i/>
                <w:sz w:val="16"/>
                <w:szCs w:val="16"/>
              </w:rPr>
              <w:t>r15monitoringcapability</w:t>
            </w:r>
            <w:r>
              <w:rPr>
                <w:rFonts w:eastAsia="宋体"/>
                <w:sz w:val="16"/>
                <w:szCs w:val="20"/>
              </w:rPr>
              <w:t xml:space="preserve">, </w:t>
            </w:r>
            <w:r>
              <w:rPr>
                <w:rFonts w:eastAsia="宋体"/>
                <w:sz w:val="16"/>
                <w:szCs w:val="16"/>
              </w:rPr>
              <w:t xml:space="preserve">or </w:t>
            </w:r>
          </w:p>
          <w:p>
            <w:pPr>
              <w:widowControl w:val="0"/>
              <w:spacing w:after="180"/>
              <w:ind w:left="816" w:leftChars="242" w:hanging="284"/>
              <w:rPr>
                <w:rFonts w:eastAsia="宋体"/>
                <w:sz w:val="16"/>
                <w:szCs w:val="16"/>
              </w:rPr>
            </w:pPr>
            <w:r>
              <w:rPr>
                <w:rFonts w:eastAsia="宋体"/>
                <w:sz w:val="16"/>
                <w:szCs w:val="16"/>
              </w:rPr>
              <w:t>-</w:t>
            </w:r>
            <w:r>
              <w:rPr>
                <w:rFonts w:eastAsia="宋体"/>
                <w:sz w:val="16"/>
                <w:szCs w:val="16"/>
              </w:rPr>
              <w:tab/>
            </w:r>
            <w:r>
              <w:rPr>
                <w:rFonts w:eastAsia="宋体"/>
                <w:sz w:val="16"/>
                <w:szCs w:val="16"/>
              </w:rPr>
              <w:t xml:space="preserve">per span, as in Tables 10.1-2A and 10.1-3A, </w:t>
            </w:r>
            <w:r>
              <w:rPr>
                <w:rFonts w:eastAsia="宋体"/>
                <w:sz w:val="16"/>
                <w:szCs w:val="20"/>
              </w:rPr>
              <w:t xml:space="preserve">if </w:t>
            </w:r>
            <w:r>
              <w:rPr>
                <w:rFonts w:eastAsia="宋体"/>
                <w:i/>
                <w:sz w:val="16"/>
                <w:szCs w:val="16"/>
              </w:rPr>
              <w:t>monitoringCapabilityConfig</w:t>
            </w:r>
            <w:r>
              <w:rPr>
                <w:rFonts w:eastAsia="宋体"/>
                <w:sz w:val="16"/>
                <w:szCs w:val="20"/>
              </w:rPr>
              <w:t xml:space="preserve"> = </w:t>
            </w:r>
            <w:r>
              <w:rPr>
                <w:rFonts w:eastAsia="宋体"/>
                <w:i/>
                <w:sz w:val="16"/>
                <w:szCs w:val="16"/>
              </w:rPr>
              <w:t>r16monitoringcapability</w:t>
            </w:r>
          </w:p>
          <w:p>
            <w:pPr>
              <w:widowControl w:val="0"/>
              <w:spacing w:after="180"/>
              <w:ind w:left="816" w:leftChars="242" w:hanging="284"/>
              <w:rPr>
                <w:rFonts w:eastAsia="宋体"/>
                <w:sz w:val="16"/>
                <w:szCs w:val="16"/>
              </w:rPr>
            </w:pPr>
            <w:r>
              <w:rPr>
                <w:rFonts w:eastAsia="宋体"/>
                <w:sz w:val="16"/>
                <w:szCs w:val="16"/>
              </w:rPr>
              <w:t>-</w:t>
            </w:r>
            <w:r>
              <w:rPr>
                <w:rFonts w:eastAsia="宋体"/>
                <w:sz w:val="16"/>
                <w:szCs w:val="16"/>
              </w:rPr>
              <w:tab/>
            </w:r>
            <w:r>
              <w:rPr>
                <w:rFonts w:eastAsia="宋体"/>
                <w:sz w:val="16"/>
                <w:szCs w:val="16"/>
              </w:rPr>
              <w:t xml:space="preserve">per group </w:t>
            </w:r>
            <w:r>
              <w:rPr>
                <w:rFonts w:eastAsia="宋体"/>
                <w:sz w:val="16"/>
                <w:szCs w:val="16"/>
                <w:lang w:eastAsia="zh-CN"/>
              </w:rPr>
              <w:t xml:space="preserve">of </w:t>
            </w:r>
            <m:oMath>
              <m:sSub>
                <m:sSubPr>
                  <m:ctrlPr>
                    <w:rPr>
                      <w:rFonts w:ascii="Cambria Math" w:hAnsi="Cambria Math" w:eastAsia="宋体"/>
                      <w:i/>
                      <w:sz w:val="16"/>
                      <w:szCs w:val="16"/>
                      <w:lang w:val="zh-CN" w:eastAsia="zh-CN"/>
                    </w:rPr>
                  </m:ctrlPr>
                </m:sSubPr>
                <m:e>
                  <m:r>
                    <w:rPr>
                      <w:rFonts w:ascii="Cambria Math" w:hAnsi="Cambria Math" w:eastAsia="宋体"/>
                      <w:sz w:val="16"/>
                      <w:szCs w:val="16"/>
                      <w:lang w:val="zh-CN" w:eastAsia="zh-CN"/>
                    </w:rPr>
                    <m:t>X</m:t>
                  </m:r>
                  <m:ctrlPr>
                    <w:rPr>
                      <w:rFonts w:ascii="Cambria Math" w:hAnsi="Cambria Math" w:eastAsia="宋体"/>
                      <w:i/>
                      <w:sz w:val="16"/>
                      <w:szCs w:val="16"/>
                      <w:lang w:val="zh-CN" w:eastAsia="zh-CN"/>
                    </w:rPr>
                  </m:ctrlPr>
                </m:e>
                <m:sub>
                  <m:r>
                    <w:rPr>
                      <w:rFonts w:ascii="Cambria Math" w:hAnsi="Cambria Math" w:eastAsia="宋体"/>
                      <w:sz w:val="16"/>
                      <w:szCs w:val="16"/>
                      <w:lang w:val="zh-CN" w:eastAsia="zh-CN"/>
                    </w:rPr>
                    <m:t>s</m:t>
                  </m:r>
                  <m:ctrlPr>
                    <w:rPr>
                      <w:rFonts w:ascii="Cambria Math" w:hAnsi="Cambria Math" w:eastAsia="宋体"/>
                      <w:i/>
                      <w:sz w:val="16"/>
                      <w:szCs w:val="16"/>
                      <w:lang w:val="zh-CN" w:eastAsia="zh-CN"/>
                    </w:rPr>
                  </m:ctrlPr>
                </m:sub>
              </m:sSub>
            </m:oMath>
            <w:r>
              <w:rPr>
                <w:rFonts w:eastAsia="宋体"/>
                <w:sz w:val="16"/>
                <w:szCs w:val="16"/>
                <w:lang w:eastAsia="zh-CN"/>
              </w:rPr>
              <w:t xml:space="preserve"> slots</w:t>
            </w:r>
            <w:r>
              <w:rPr>
                <w:rFonts w:eastAsia="宋体"/>
                <w:sz w:val="16"/>
                <w:szCs w:val="16"/>
              </w:rPr>
              <w:t xml:space="preserve"> </w:t>
            </w:r>
            <w:r>
              <w:rPr>
                <w:rFonts w:eastAsia="宋体"/>
                <w:sz w:val="16"/>
                <w:szCs w:val="16"/>
                <w:lang w:eastAsia="zh-CN"/>
              </w:rPr>
              <w:t xml:space="preserve">according to combination </w:t>
            </w:r>
            <m:oMath>
              <m:d>
                <m:dPr>
                  <m:ctrlPr>
                    <w:rPr>
                      <w:rFonts w:ascii="Cambria Math" w:hAnsi="Cambria Math" w:eastAsia="宋体"/>
                      <w:sz w:val="16"/>
                      <w:szCs w:val="16"/>
                      <w:lang w:val="zh-CN" w:eastAsia="zh-CN"/>
                    </w:rPr>
                  </m:ctrlPr>
                </m:dPr>
                <m:e>
                  <m:sSub>
                    <m:sSubPr>
                      <m:ctrlPr>
                        <w:rPr>
                          <w:rFonts w:ascii="Cambria Math" w:hAnsi="Cambria Math" w:eastAsia="宋体"/>
                          <w:i/>
                          <w:sz w:val="16"/>
                          <w:szCs w:val="16"/>
                          <w:lang w:val="zh-CN" w:eastAsia="zh-CN"/>
                        </w:rPr>
                      </m:ctrlPr>
                    </m:sSubPr>
                    <m:e>
                      <m:r>
                        <w:rPr>
                          <w:rFonts w:ascii="Cambria Math" w:hAnsi="Cambria Math" w:eastAsia="宋体"/>
                          <w:sz w:val="16"/>
                          <w:szCs w:val="16"/>
                          <w:lang w:val="zh-CN" w:eastAsia="zh-CN"/>
                        </w:rPr>
                        <m:t>X</m:t>
                      </m:r>
                      <m:ctrlPr>
                        <w:rPr>
                          <w:rFonts w:ascii="Cambria Math" w:hAnsi="Cambria Math" w:eastAsia="宋体"/>
                          <w:i/>
                          <w:sz w:val="16"/>
                          <w:szCs w:val="16"/>
                          <w:lang w:val="zh-CN" w:eastAsia="zh-CN"/>
                        </w:rPr>
                      </m:ctrlPr>
                    </m:e>
                    <m:sub>
                      <m:r>
                        <w:rPr>
                          <w:rFonts w:ascii="Cambria Math" w:hAnsi="Cambria Math" w:eastAsia="宋体"/>
                          <w:sz w:val="16"/>
                          <w:szCs w:val="16"/>
                          <w:lang w:val="zh-CN" w:eastAsia="zh-CN"/>
                        </w:rPr>
                        <m:t>s</m:t>
                      </m:r>
                      <m:ctrlPr>
                        <w:rPr>
                          <w:rFonts w:ascii="Cambria Math" w:hAnsi="Cambria Math" w:eastAsia="宋体"/>
                          <w:i/>
                          <w:sz w:val="16"/>
                          <w:szCs w:val="16"/>
                          <w:lang w:val="zh-CN" w:eastAsia="zh-CN"/>
                        </w:rPr>
                      </m:ctrlPr>
                    </m:sub>
                  </m:sSub>
                  <m:r>
                    <w:rPr>
                      <w:rFonts w:ascii="Cambria Math" w:hAnsi="Cambria Math" w:eastAsia="宋体"/>
                      <w:sz w:val="16"/>
                      <w:szCs w:val="16"/>
                      <w:lang w:eastAsia="zh-CN"/>
                    </w:rPr>
                    <m:t>,</m:t>
                  </m:r>
                  <m:sSub>
                    <m:sSubPr>
                      <m:ctrlPr>
                        <w:rPr>
                          <w:rFonts w:ascii="Cambria Math" w:hAnsi="Cambria Math" w:eastAsia="宋体"/>
                          <w:i/>
                          <w:sz w:val="16"/>
                          <w:szCs w:val="16"/>
                          <w:lang w:val="zh-CN" w:eastAsia="zh-CN"/>
                        </w:rPr>
                      </m:ctrlPr>
                    </m:sSubPr>
                    <m:e>
                      <m:r>
                        <w:rPr>
                          <w:rFonts w:ascii="Cambria Math" w:hAnsi="Cambria Math" w:eastAsia="宋体"/>
                          <w:sz w:val="16"/>
                          <w:szCs w:val="16"/>
                          <w:lang w:val="zh-CN" w:eastAsia="zh-CN"/>
                        </w:rPr>
                        <m:t>Y</m:t>
                      </m:r>
                      <m:ctrlPr>
                        <w:rPr>
                          <w:rFonts w:ascii="Cambria Math" w:hAnsi="Cambria Math" w:eastAsia="宋体"/>
                          <w:i/>
                          <w:sz w:val="16"/>
                          <w:szCs w:val="16"/>
                          <w:lang w:val="zh-CN" w:eastAsia="zh-CN"/>
                        </w:rPr>
                      </m:ctrlPr>
                    </m:e>
                    <m:sub>
                      <m:r>
                        <w:rPr>
                          <w:rFonts w:ascii="Cambria Math" w:hAnsi="Cambria Math" w:eastAsia="宋体"/>
                          <w:sz w:val="16"/>
                          <w:szCs w:val="16"/>
                          <w:lang w:val="zh-CN" w:eastAsia="zh-CN"/>
                        </w:rPr>
                        <m:t>s</m:t>
                      </m:r>
                      <m:ctrlPr>
                        <w:rPr>
                          <w:rFonts w:ascii="Cambria Math" w:hAnsi="Cambria Math" w:eastAsia="宋体"/>
                          <w:i/>
                          <w:sz w:val="16"/>
                          <w:szCs w:val="16"/>
                          <w:lang w:val="zh-CN" w:eastAsia="zh-CN"/>
                        </w:rPr>
                      </m:ctrlPr>
                    </m:sub>
                  </m:sSub>
                  <m:ctrlPr>
                    <w:rPr>
                      <w:rFonts w:ascii="Cambria Math" w:hAnsi="Cambria Math" w:eastAsia="宋体"/>
                      <w:sz w:val="16"/>
                      <w:szCs w:val="16"/>
                      <w:lang w:val="zh-CN" w:eastAsia="zh-CN"/>
                    </w:rPr>
                  </m:ctrlPr>
                </m:e>
              </m:d>
            </m:oMath>
            <w:r>
              <w:rPr>
                <w:rFonts w:eastAsia="宋体"/>
                <w:sz w:val="16"/>
                <w:szCs w:val="16"/>
              </w:rPr>
              <w:t xml:space="preserve">, as in Tables 10.1-2B and 10.1-3B, </w:t>
            </w:r>
            <w:r>
              <w:rPr>
                <w:rFonts w:eastAsia="宋体"/>
                <w:sz w:val="16"/>
                <w:szCs w:val="20"/>
              </w:rPr>
              <w:t xml:space="preserve">if </w:t>
            </w:r>
            <w:r>
              <w:rPr>
                <w:rFonts w:eastAsia="宋体"/>
                <w:i/>
                <w:sz w:val="16"/>
                <w:szCs w:val="16"/>
              </w:rPr>
              <w:t>monitoringCapabilityConfig</w:t>
            </w:r>
            <w:r>
              <w:rPr>
                <w:rFonts w:eastAsia="宋体"/>
                <w:sz w:val="16"/>
                <w:szCs w:val="20"/>
              </w:rPr>
              <w:t xml:space="preserve"> = </w:t>
            </w:r>
            <w:r>
              <w:rPr>
                <w:rFonts w:eastAsia="宋体"/>
                <w:i/>
                <w:sz w:val="16"/>
                <w:szCs w:val="16"/>
              </w:rPr>
              <w:t>r17monitoringcapability</w:t>
            </w:r>
          </w:p>
          <w:p>
            <w:pPr>
              <w:widowControl w:val="0"/>
              <w:spacing w:before="120" w:beforeLines="50" w:afterLines="50"/>
              <w:ind w:left="220" w:leftChars="100"/>
              <w:rPr>
                <w:sz w:val="16"/>
                <w:szCs w:val="16"/>
                <w:lang w:eastAsia="zh-CN"/>
              </w:rPr>
            </w:pPr>
            <w:r>
              <w:rPr>
                <w:rFonts w:eastAsia="宋体"/>
                <w:sz w:val="16"/>
                <w:szCs w:val="16"/>
              </w:rPr>
              <w:t xml:space="preserve">If the UE is not provided </w:t>
            </w:r>
            <w:r>
              <w:rPr>
                <w:rFonts w:eastAsia="宋体"/>
                <w:i/>
                <w:sz w:val="16"/>
                <w:szCs w:val="16"/>
              </w:rPr>
              <w:t>monitoringCapabilityConfig</w:t>
            </w:r>
            <w:r>
              <w:rPr>
                <w:rFonts w:eastAsia="宋体"/>
                <w:sz w:val="16"/>
                <w:szCs w:val="16"/>
              </w:rPr>
              <w:t>, the UE monitors PDCCH on the serving cell for a maximum number of PDCCH candidates and non-overlapping CCEs per slot.</w:t>
            </w:r>
          </w:p>
          <w:p>
            <w:pPr>
              <w:widowControl w:val="0"/>
              <w:spacing w:before="120" w:beforeLines="50" w:afterLines="50"/>
              <w:rPr>
                <w:rFonts w:eastAsia="宋体"/>
                <w:iCs/>
                <w:szCs w:val="20"/>
              </w:rPr>
            </w:pPr>
            <w:r>
              <w:rPr>
                <w:rFonts w:hint="eastAsia"/>
                <w:szCs w:val="20"/>
                <w:lang w:eastAsia="zh-CN"/>
              </w:rPr>
              <w:t>I</w:t>
            </w:r>
            <w:r>
              <w:rPr>
                <w:szCs w:val="20"/>
                <w:lang w:eastAsia="zh-CN"/>
              </w:rPr>
              <w:t xml:space="preserve">n TS 38.331, </w:t>
            </w:r>
            <w:r>
              <w:rPr>
                <w:rFonts w:eastAsia="宋体"/>
                <w:i/>
                <w:szCs w:val="20"/>
              </w:rPr>
              <w:t>monitoringCapabilityConfig</w:t>
            </w:r>
            <w:r>
              <w:rPr>
                <w:rFonts w:eastAsia="宋体"/>
                <w:iCs/>
                <w:szCs w:val="20"/>
              </w:rPr>
              <w:t xml:space="preserve"> is provided in </w:t>
            </w:r>
            <w:r>
              <w:rPr>
                <w:rFonts w:eastAsia="宋体"/>
                <w:i/>
                <w:szCs w:val="20"/>
              </w:rPr>
              <w:t>PDCCH-Config</w:t>
            </w:r>
            <w:r>
              <w:rPr>
                <w:rFonts w:eastAsia="宋体"/>
                <w:iCs/>
                <w:szCs w:val="20"/>
              </w:rPr>
              <w:t xml:space="preserve"> that is configured per BWP. However, according to the above text “</w:t>
            </w:r>
            <w:r>
              <w:rPr>
                <w:rFonts w:eastAsia="宋体"/>
                <w:szCs w:val="20"/>
              </w:rPr>
              <w:t xml:space="preserve">If a UE is provided </w:t>
            </w:r>
            <w:r>
              <w:rPr>
                <w:rFonts w:eastAsia="宋体"/>
                <w:i/>
                <w:szCs w:val="20"/>
              </w:rPr>
              <w:t>monitoringCapabilityConfig</w:t>
            </w:r>
            <w:r>
              <w:rPr>
                <w:rFonts w:eastAsia="宋体"/>
                <w:szCs w:val="20"/>
              </w:rPr>
              <w:t xml:space="preserve"> for a serving cell</w:t>
            </w:r>
            <w:r>
              <w:rPr>
                <w:rFonts w:eastAsia="宋体"/>
                <w:sz w:val="16"/>
                <w:szCs w:val="16"/>
              </w:rPr>
              <w:t xml:space="preserve">”, </w:t>
            </w:r>
            <w:r>
              <w:rPr>
                <w:rFonts w:eastAsia="宋体"/>
                <w:iCs/>
                <w:szCs w:val="20"/>
              </w:rPr>
              <w:t xml:space="preserve">it seems </w:t>
            </w:r>
            <w:r>
              <w:rPr>
                <w:rFonts w:eastAsia="宋体"/>
                <w:i/>
                <w:szCs w:val="20"/>
              </w:rPr>
              <w:t>monitoringCapabilityConfig</w:t>
            </w:r>
            <w:r>
              <w:rPr>
                <w:rFonts w:eastAsia="宋体"/>
                <w:iCs/>
                <w:szCs w:val="20"/>
              </w:rPr>
              <w:t xml:space="preserve"> is provided per serving cell. For NR Rel-16, it could be understood that the value of  </w:t>
            </w:r>
            <w:r>
              <w:rPr>
                <w:rFonts w:eastAsia="宋体"/>
                <w:i/>
                <w:szCs w:val="20"/>
              </w:rPr>
              <w:t xml:space="preserve">monitoringCapabilityConfig </w:t>
            </w:r>
            <w:r>
              <w:rPr>
                <w:rFonts w:eastAsia="宋体"/>
                <w:iCs/>
                <w:szCs w:val="20"/>
              </w:rPr>
              <w:t>should be the same for all BWPs in a serving cell. However, this is not possible for NR Rel-17. For example, assuming a case that there are</w:t>
            </w:r>
            <w:r>
              <w:rPr>
                <w:lang w:eastAsia="zh-CN"/>
              </w:rPr>
              <w:t xml:space="preserve"> </w:t>
            </w:r>
            <w:r>
              <w:rPr>
                <w:rFonts w:eastAsia="宋体"/>
                <w:iCs/>
                <w:szCs w:val="20"/>
              </w:rPr>
              <w:t>two BWPs existing in one serving cell, i.e. one BWP with 120KHz SCS and the other BWP with 480KHz SCS, these two BWPs can’t be configured with the same PDCCH monitoring capability type according to current agreement. In this case, for the BWP with 120K</w:t>
            </w:r>
            <w:r>
              <w:rPr>
                <w:rFonts w:hint="eastAsia" w:eastAsia="宋体"/>
                <w:iCs/>
                <w:szCs w:val="20"/>
                <w:lang w:eastAsia="zh-CN"/>
              </w:rPr>
              <w:t>Hz</w:t>
            </w:r>
            <w:r>
              <w:rPr>
                <w:rFonts w:eastAsia="宋体"/>
                <w:iCs/>
                <w:szCs w:val="20"/>
              </w:rPr>
              <w:t xml:space="preserve"> </w:t>
            </w:r>
            <w:r>
              <w:rPr>
                <w:rFonts w:hint="eastAsia" w:eastAsia="宋体"/>
                <w:iCs/>
                <w:szCs w:val="20"/>
                <w:lang w:eastAsia="zh-CN"/>
              </w:rPr>
              <w:t>SCS,</w:t>
            </w:r>
            <w:r>
              <w:rPr>
                <w:rFonts w:eastAsia="宋体"/>
                <w:iCs/>
                <w:szCs w:val="20"/>
                <w:lang w:eastAsia="zh-CN"/>
              </w:rPr>
              <w:t xml:space="preserve"> </w:t>
            </w:r>
            <w:r>
              <w:rPr>
                <w:rFonts w:eastAsia="宋体"/>
                <w:i/>
                <w:szCs w:val="20"/>
              </w:rPr>
              <w:t>monitoringCapabilityConfig</w:t>
            </w:r>
            <w:r>
              <w:rPr>
                <w:rFonts w:eastAsia="宋体"/>
              </w:rPr>
              <w:t xml:space="preserve"> may not be provided or provided with </w:t>
            </w:r>
            <w:r>
              <w:rPr>
                <w:rFonts w:eastAsia="宋体"/>
                <w:i/>
                <w:szCs w:val="20"/>
              </w:rPr>
              <w:t>r15monitoringcapability</w:t>
            </w:r>
            <w:r>
              <w:rPr>
                <w:rFonts w:eastAsia="宋体"/>
                <w:iCs/>
                <w:szCs w:val="20"/>
              </w:rPr>
              <w:t xml:space="preserve"> in </w:t>
            </w:r>
            <w:r>
              <w:rPr>
                <w:rFonts w:eastAsia="宋体"/>
                <w:i/>
                <w:szCs w:val="20"/>
              </w:rPr>
              <w:t>PDCCH-Config</w:t>
            </w:r>
            <w:r>
              <w:rPr>
                <w:rFonts w:eastAsia="宋体"/>
                <w:iCs/>
                <w:szCs w:val="20"/>
              </w:rPr>
              <w:t>; for the BWP with 480K</w:t>
            </w:r>
            <w:r>
              <w:rPr>
                <w:rFonts w:hint="eastAsia" w:eastAsia="宋体"/>
                <w:iCs/>
                <w:szCs w:val="20"/>
                <w:lang w:eastAsia="zh-CN"/>
              </w:rPr>
              <w:t>Hz</w:t>
            </w:r>
            <w:r>
              <w:rPr>
                <w:rFonts w:eastAsia="宋体"/>
                <w:iCs/>
                <w:szCs w:val="20"/>
              </w:rPr>
              <w:t xml:space="preserve"> </w:t>
            </w:r>
            <w:r>
              <w:rPr>
                <w:rFonts w:hint="eastAsia" w:eastAsia="宋体"/>
                <w:iCs/>
                <w:szCs w:val="20"/>
                <w:lang w:eastAsia="zh-CN"/>
              </w:rPr>
              <w:t>SCS</w:t>
            </w:r>
            <w:r>
              <w:rPr>
                <w:rFonts w:eastAsia="宋体"/>
                <w:iCs/>
                <w:szCs w:val="20"/>
                <w:lang w:eastAsia="zh-CN"/>
              </w:rPr>
              <w:t xml:space="preserve">, </w:t>
            </w:r>
            <w:r>
              <w:rPr>
                <w:rFonts w:eastAsia="宋体"/>
                <w:i/>
                <w:szCs w:val="20"/>
              </w:rPr>
              <w:t>monitoringCapabilityConfig</w:t>
            </w:r>
            <w:r>
              <w:rPr>
                <w:rFonts w:eastAsia="宋体"/>
                <w:iCs/>
                <w:szCs w:val="20"/>
              </w:rPr>
              <w:t xml:space="preserve"> should be provided with </w:t>
            </w:r>
            <w:r>
              <w:rPr>
                <w:rFonts w:eastAsia="宋体"/>
                <w:i/>
                <w:szCs w:val="20"/>
              </w:rPr>
              <w:t>r17monitoringcapability</w:t>
            </w:r>
            <w:r>
              <w:rPr>
                <w:rFonts w:eastAsia="宋体"/>
                <w:iCs/>
                <w:szCs w:val="20"/>
              </w:rPr>
              <w:t>. Thus the above text “</w:t>
            </w:r>
            <w:r>
              <w:rPr>
                <w:rFonts w:eastAsia="宋体"/>
                <w:szCs w:val="20"/>
              </w:rPr>
              <w:t xml:space="preserve">If a UE is provided </w:t>
            </w:r>
            <w:r>
              <w:rPr>
                <w:rFonts w:eastAsia="宋体"/>
                <w:i/>
                <w:szCs w:val="20"/>
              </w:rPr>
              <w:t>monitoringCapabilityConfig</w:t>
            </w:r>
            <w:r>
              <w:rPr>
                <w:rFonts w:eastAsia="宋体"/>
                <w:szCs w:val="20"/>
              </w:rPr>
              <w:t xml:space="preserve"> for a serving cell</w:t>
            </w:r>
            <w:r>
              <w:rPr>
                <w:rFonts w:eastAsia="宋体"/>
                <w:sz w:val="16"/>
                <w:szCs w:val="16"/>
              </w:rPr>
              <w:t xml:space="preserve">” </w:t>
            </w:r>
            <w:r>
              <w:rPr>
                <w:rFonts w:eastAsia="宋体"/>
                <w:iCs/>
                <w:szCs w:val="20"/>
              </w:rPr>
              <w:t>is not accurate anymore.</w:t>
            </w:r>
          </w:p>
          <w:p>
            <w:pPr>
              <w:widowControl w:val="0"/>
              <w:spacing w:before="120"/>
              <w:rPr>
                <w:iCs/>
                <w:lang w:eastAsia="zh-CN"/>
              </w:rPr>
            </w:pPr>
            <w:r>
              <w:rPr>
                <w:lang w:eastAsia="zh-CN"/>
              </w:rPr>
              <w:t xml:space="preserve">Another issue is the default PDCCH monitoring capability type when </w:t>
            </w:r>
            <w:r>
              <w:rPr>
                <w:rFonts w:eastAsia="宋体"/>
                <w:i/>
                <w:szCs w:val="20"/>
              </w:rPr>
              <w:t>monitoringCapabilityConfig</w:t>
            </w:r>
            <w:r>
              <w:rPr>
                <w:rFonts w:eastAsia="宋体"/>
                <w:iCs/>
                <w:szCs w:val="20"/>
              </w:rPr>
              <w:t xml:space="preserve"> is not provided for a BWP, which depends on the BWP SCS. Namely, when the BWP SCS is 15/30/60/120KHz, default PDCCH monitoring capability type is slot-based monitoring. When the BWP SCS is 480/960KHz, default PDCCH monitoring capability type is multi-slot-based monitoring. Besides, if a </w:t>
            </w:r>
            <w:r>
              <w:rPr>
                <w:lang w:eastAsia="zh-CN"/>
              </w:rPr>
              <w:t xml:space="preserve">UE doesn’t indicate any combination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ctrlPr>
                        <w:rPr>
                          <w:rFonts w:ascii="Cambria Math" w:hAnsi="Cambria Math"/>
                          <w:lang w:eastAsia="zh-CN"/>
                        </w:rPr>
                      </m:ctrlPr>
                    </m:e>
                    <m:sub>
                      <m:r>
                        <w:rPr>
                          <w:rFonts w:ascii="Cambria Math" w:hAnsi="Cambria Math"/>
                          <w:lang w:eastAsia="zh-CN"/>
                        </w:rPr>
                        <m:t>s</m:t>
                      </m:r>
                      <m:ctrlPr>
                        <w:rPr>
                          <w:rFonts w:ascii="Cambria Math" w:hAnsi="Cambria Math"/>
                          <w:lang w:eastAsia="zh-CN"/>
                        </w:rPr>
                      </m:ctrlP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ctrlPr>
                        <w:rPr>
                          <w:rFonts w:ascii="Cambria Math" w:hAnsi="Cambria Math"/>
                          <w:lang w:eastAsia="zh-CN"/>
                        </w:rPr>
                      </m:ctrlPr>
                    </m:e>
                    <m:sub>
                      <m:r>
                        <w:rPr>
                          <w:rFonts w:ascii="Cambria Math" w:hAnsi="Cambria Math"/>
                          <w:lang w:eastAsia="zh-CN"/>
                        </w:rPr>
                        <m:t>s</m:t>
                      </m:r>
                      <m:ctrlPr>
                        <w:rPr>
                          <w:rFonts w:ascii="Cambria Math" w:hAnsi="Cambria Math"/>
                          <w:lang w:eastAsia="zh-CN"/>
                        </w:rPr>
                      </m:ctrlPr>
                    </m:sub>
                  </m:sSub>
                  <m:ctrlPr>
                    <w:rPr>
                      <w:rFonts w:ascii="Cambria Math" w:hAnsi="Cambria Math"/>
                      <w:lang w:eastAsia="zh-CN"/>
                    </w:rPr>
                  </m:ctrlPr>
                </m:e>
              </m:d>
            </m:oMath>
            <w:r>
              <w:rPr>
                <w:lang w:eastAsia="zh-CN"/>
              </w:rPr>
              <w:t xml:space="preserve">, the UE applies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ctrlPr>
                        <w:rPr>
                          <w:rFonts w:ascii="Cambria Math" w:hAnsi="Cambria Math"/>
                          <w:lang w:eastAsia="zh-CN"/>
                        </w:rPr>
                      </m:ctrlPr>
                    </m:e>
                    <m:sub>
                      <m:r>
                        <w:rPr>
                          <w:rFonts w:ascii="Cambria Math" w:hAnsi="Cambria Math"/>
                          <w:lang w:eastAsia="zh-CN"/>
                        </w:rPr>
                        <m:t>s</m:t>
                      </m:r>
                      <m:ctrlPr>
                        <w:rPr>
                          <w:rFonts w:ascii="Cambria Math" w:hAnsi="Cambria Math"/>
                          <w:lang w:eastAsia="zh-CN"/>
                        </w:rPr>
                      </m:ctrlP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ctrlPr>
                        <w:rPr>
                          <w:rFonts w:ascii="Cambria Math" w:hAnsi="Cambria Math"/>
                          <w:lang w:eastAsia="zh-CN"/>
                        </w:rPr>
                      </m:ctrlPr>
                    </m:e>
                    <m:sub>
                      <m:r>
                        <w:rPr>
                          <w:rFonts w:ascii="Cambria Math" w:hAnsi="Cambria Math"/>
                          <w:lang w:eastAsia="zh-CN"/>
                        </w:rPr>
                        <m:t>s</m:t>
                      </m:r>
                      <m:ctrlPr>
                        <w:rPr>
                          <w:rFonts w:ascii="Cambria Math" w:hAnsi="Cambria Math"/>
                          <w:lang w:eastAsia="zh-CN"/>
                        </w:rPr>
                      </m:ctrlPr>
                    </m:sub>
                  </m:sSub>
                  <m:ctrlPr>
                    <w:rPr>
                      <w:rFonts w:ascii="Cambria Math" w:hAnsi="Cambria Math"/>
                      <w:lang w:eastAsia="zh-CN"/>
                    </w:rPr>
                  </m:ctrlPr>
                </m:e>
              </m:d>
              <m:r>
                <m:rPr>
                  <m:sty m:val="p"/>
                </m:rPr>
                <w:rPr>
                  <w:rFonts w:ascii="Cambria Math" w:hAnsi="Cambria Math"/>
                  <w:lang w:eastAsia="zh-CN"/>
                </w:rPr>
                <m:t>=(4,1)</m:t>
              </m:r>
            </m:oMath>
            <w:r>
              <w:rPr>
                <w:lang w:eastAsia="zh-CN"/>
              </w:rPr>
              <w:t xml:space="preserve"> for </w:t>
            </w:r>
            <w:r>
              <w:rPr>
                <w:rFonts w:hint="eastAsia"/>
                <w:lang w:eastAsia="zh-CN"/>
              </w:rPr>
              <w:t>μ</w:t>
            </w:r>
            <w:r>
              <w:rPr>
                <w:lang w:eastAsia="zh-CN"/>
              </w:rPr>
              <w:t xml:space="preserve">=5 and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ctrlPr>
                        <w:rPr>
                          <w:rFonts w:ascii="Cambria Math" w:hAnsi="Cambria Math"/>
                          <w:lang w:eastAsia="zh-CN"/>
                        </w:rPr>
                      </m:ctrlPr>
                    </m:e>
                    <m:sub>
                      <m:r>
                        <w:rPr>
                          <w:rFonts w:ascii="Cambria Math" w:hAnsi="Cambria Math"/>
                          <w:lang w:eastAsia="zh-CN"/>
                        </w:rPr>
                        <m:t>s</m:t>
                      </m:r>
                      <m:ctrlPr>
                        <w:rPr>
                          <w:rFonts w:ascii="Cambria Math" w:hAnsi="Cambria Math"/>
                          <w:lang w:eastAsia="zh-CN"/>
                        </w:rPr>
                      </m:ctrlP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ctrlPr>
                        <w:rPr>
                          <w:rFonts w:ascii="Cambria Math" w:hAnsi="Cambria Math"/>
                          <w:lang w:eastAsia="zh-CN"/>
                        </w:rPr>
                      </m:ctrlPr>
                    </m:e>
                    <m:sub>
                      <m:r>
                        <w:rPr>
                          <w:rFonts w:ascii="Cambria Math" w:hAnsi="Cambria Math"/>
                          <w:lang w:eastAsia="zh-CN"/>
                        </w:rPr>
                        <m:t>s</m:t>
                      </m:r>
                      <m:ctrlPr>
                        <w:rPr>
                          <w:rFonts w:ascii="Cambria Math" w:hAnsi="Cambria Math"/>
                          <w:lang w:eastAsia="zh-CN"/>
                        </w:rPr>
                      </m:ctrlPr>
                    </m:sub>
                  </m:sSub>
                  <m:ctrlPr>
                    <w:rPr>
                      <w:rFonts w:ascii="Cambria Math" w:hAnsi="Cambria Math"/>
                      <w:lang w:eastAsia="zh-CN"/>
                    </w:rPr>
                  </m:ctrlPr>
                </m:e>
              </m:d>
              <m:r>
                <m:rPr>
                  <m:sty m:val="p"/>
                </m:rPr>
                <w:rPr>
                  <w:rFonts w:ascii="Cambria Math" w:hAnsi="Cambria Math"/>
                  <w:lang w:eastAsia="zh-CN"/>
                </w:rPr>
                <m:t>=(8,1)</m:t>
              </m:r>
            </m:oMath>
            <w:r>
              <w:rPr>
                <w:lang w:eastAsia="zh-CN"/>
              </w:rPr>
              <w:t xml:space="preserve"> for </w:t>
            </w:r>
            <w:r>
              <w:rPr>
                <w:rFonts w:hint="eastAsia"/>
                <w:lang w:eastAsia="zh-CN"/>
              </w:rPr>
              <w:t>μ</w:t>
            </w:r>
            <w:r>
              <w:rPr>
                <w:lang w:eastAsia="zh-CN"/>
              </w:rPr>
              <w:t>=6.</w:t>
            </w:r>
          </w:p>
          <w:p>
            <w:pPr>
              <w:pStyle w:val="27"/>
              <w:widowControl w:val="0"/>
              <w:rPr>
                <w:b w:val="0"/>
              </w:rPr>
            </w:pPr>
            <w:bookmarkStart w:id="13" w:name="_Ref95241110"/>
            <w:r>
              <w:t xml:space="preserve">Proposal </w:t>
            </w:r>
            <w:r>
              <w:fldChar w:fldCharType="begin"/>
            </w:r>
            <w:r>
              <w:instrText xml:space="preserve"> SEQ Proposal \* ARABIC </w:instrText>
            </w:r>
            <w:r>
              <w:fldChar w:fldCharType="separate"/>
            </w:r>
            <w:r>
              <w:t>2</w:t>
            </w:r>
            <w:r>
              <w:fldChar w:fldCharType="end"/>
            </w:r>
            <w:r>
              <w:t>: Adopt TP2 in Appendix to implement the following:</w:t>
            </w:r>
            <w:bookmarkEnd w:id="13"/>
          </w:p>
          <w:p>
            <w:pPr>
              <w:pStyle w:val="27"/>
              <w:widowControl w:val="0"/>
              <w:rPr>
                <w:b w:val="0"/>
              </w:rPr>
            </w:pPr>
            <w:r>
              <w:t>For NR Rel-17 UEs, PDCCH monitoring capability is defined per BWP;</w:t>
            </w:r>
            <w:r>
              <w:br w:type="textWrapping"/>
            </w:r>
            <w:r>
              <w:t>For NR Rel-17 UEs, default PDCCH monitoring capability type is adapted to BWP SCS.</w:t>
            </w:r>
          </w:p>
          <w:p>
            <w:pPr>
              <w:widowControl w:val="0"/>
              <w:spacing w:before="120"/>
              <w:jc w:val="both"/>
              <w:rPr>
                <w:b/>
              </w:rPr>
            </w:pPr>
          </w:p>
        </w:tc>
      </w:tr>
      <w:bookmarkEnd w:id="11"/>
    </w:tbl>
    <w:p>
      <w:pPr>
        <w:rPr>
          <w:lang w:val="en-GB" w:eastAsia="zh-CN"/>
        </w:rPr>
      </w:pPr>
    </w:p>
    <w:p>
      <w:pPr>
        <w:pStyle w:val="4"/>
      </w:pPr>
      <w:r>
        <w:t>R1-2201352 (CATT)</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lang w:val="en-GB" w:eastAsia="zh-CN"/>
              </w:rPr>
            </w:pPr>
            <w:r>
              <w:rPr>
                <w:rFonts w:hint="eastAsia"/>
                <w:lang w:eastAsia="zh-CN"/>
              </w:rPr>
              <w:t xml:space="preserve">In RAN1#107-e meeting, it has been agreed that multiple combinations (X,Y) were supported, including (4,1),(4,2) for 480 kHz SCS and (8,1), (8,4), (4,2), (4,1) for 960 kHz SCS. One remaining issue is how to determine the combination (X,Y) for PDCCH monitoring capability if a UE indicates a capability with multiple combinations (X,Y) of 480 kHz/960 kHz. A potential solution is to reuse the (X,Y) combination determination method of Rel 16. For 480kHz/960kHz, if the UE indicate a capability to monitor PDCCH according to multiple combinations (X,Y) and a configuration of search space sets results to a separation of every two consecutive Y slots of slot groups is equal or larger than a value of X from multiple combinations (X,Y), the UE will monitor the PDCCH according to the combination (X,Y) that is </w:t>
            </w:r>
            <w:r>
              <w:rPr>
                <w:lang w:eastAsia="zh-CN"/>
              </w:rPr>
              <w:t>associated</w:t>
            </w:r>
            <w:r>
              <w:rPr>
                <w:rFonts w:hint="eastAsia"/>
                <w:lang w:eastAsia="zh-CN"/>
              </w:rPr>
              <w:t xml:space="preserve"> with the largest maximum number of BD/CCE. For example, if the UE indicates a capability with combination (8,1) and combination (4,1) for 960kHz SCS, and a configuration of search space sets results in a minimal </w:t>
            </w:r>
            <w:r>
              <w:rPr>
                <w:lang w:eastAsia="zh-CN"/>
              </w:rPr>
              <w:t>separation</w:t>
            </w:r>
            <w:r>
              <w:rPr>
                <w:rFonts w:hint="eastAsia"/>
                <w:lang w:eastAsia="zh-CN"/>
              </w:rPr>
              <w:t xml:space="preserve"> of 9 slots between two Group(1) SSs in two consecutive slot groups, the UE will monitor PDCCH according to the BD/CCE limit of combination (8,1). If a configuration of search space sets results in a minimal </w:t>
            </w:r>
            <w:r>
              <w:rPr>
                <w:lang w:eastAsia="zh-CN"/>
              </w:rPr>
              <w:t>separation</w:t>
            </w:r>
            <w:r>
              <w:rPr>
                <w:rFonts w:hint="eastAsia"/>
                <w:lang w:eastAsia="zh-CN"/>
              </w:rPr>
              <w:t xml:space="preserve"> of 7 slots between two Group(1) SSs in two consecutive slot groups, the UE will monitor PDCCH according to the BD/CCE limit of combination (4,1).</w:t>
            </w:r>
          </w:p>
          <w:p>
            <w:pPr>
              <w:pStyle w:val="31"/>
              <w:widowControl w:val="0"/>
              <w:rPr>
                <w:b/>
                <w:i/>
                <w:lang w:eastAsia="zh-CN"/>
              </w:rPr>
            </w:pPr>
            <w:r>
              <w:rPr>
                <w:b/>
                <w:i/>
                <w:lang w:eastAsia="zh-CN"/>
              </w:rPr>
              <w:t xml:space="preserve">Proposal 2: For 480kHz/960kHz, if the UE indicates a capability to monitor PDCCH according to multiple combinations (X,Y) and a configuration of search space sets results </w:t>
            </w:r>
            <w:r>
              <w:rPr>
                <w:rFonts w:hint="eastAsia"/>
                <w:b/>
                <w:i/>
                <w:lang w:eastAsia="zh-CN"/>
              </w:rPr>
              <w:t>in</w:t>
            </w:r>
            <w:r>
              <w:rPr>
                <w:b/>
                <w:i/>
                <w:lang w:eastAsia="zh-CN"/>
              </w:rPr>
              <w:t xml:space="preserve"> a separation of every two consecutive Y slots of slot groups is equal or larger than a value of X from multiple combinations (X,Y), the UE will monitor the PDCCH according to the combination (X,Y) that is associated with the largest maximum number of BD/CCE.</w:t>
            </w:r>
          </w:p>
          <w:p>
            <w:pPr>
              <w:pStyle w:val="31"/>
              <w:widowControl w:val="0"/>
              <w:rPr>
                <w:b/>
                <w:i/>
                <w:lang w:eastAsia="zh-CN"/>
              </w:rPr>
            </w:pPr>
          </w:p>
        </w:tc>
      </w:tr>
    </w:tbl>
    <w:p>
      <w:pPr>
        <w:rPr>
          <w:lang w:val="en-GB" w:eastAsia="zh-CN"/>
        </w:rPr>
      </w:pPr>
    </w:p>
    <w:p>
      <w:pPr>
        <w:pStyle w:val="4"/>
      </w:pPr>
      <w:r>
        <w:t>R1-2201389 (ZTE, Sanechips)</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numPr>
                <w:ilvl w:val="255"/>
                <w:numId w:val="0"/>
              </w:numPr>
              <w:spacing w:line="240" w:lineRule="auto"/>
              <w:jc w:val="both"/>
              <w:rPr>
                <w:b/>
                <w:bCs/>
                <w:lang w:eastAsia="zh-CN"/>
              </w:rPr>
            </w:pPr>
            <w:r>
              <w:rPr>
                <w:rFonts w:hint="eastAsia"/>
                <w:b/>
                <w:bCs/>
                <w:lang w:eastAsia="zh-CN"/>
              </w:rPr>
              <w:t xml:space="preserve">Proposal 1: Further clarify in </w:t>
            </w:r>
            <w:r>
              <w:rPr>
                <w:rFonts w:hint="eastAsia" w:eastAsia="宋体"/>
                <w:b/>
                <w:bCs/>
                <w:lang w:eastAsia="zh-CN"/>
              </w:rPr>
              <w:t>TS 38.213</w:t>
            </w:r>
            <w:r>
              <w:rPr>
                <w:rFonts w:hint="eastAsia"/>
                <w:b/>
                <w:bCs/>
                <w:lang w:eastAsia="zh-CN"/>
              </w:rPr>
              <w:t xml:space="preserve"> that if the UE is </w:t>
            </w:r>
            <w:r>
              <w:rPr>
                <w:b/>
                <w:bCs/>
              </w:rPr>
              <w:t xml:space="preserve">not provided </w:t>
            </w:r>
            <w:r>
              <w:rPr>
                <w:b/>
                <w:bCs/>
                <w:i/>
              </w:rPr>
              <w:t>monitoringCapabilityConfig</w:t>
            </w:r>
            <w:r>
              <w:rPr>
                <w:rFonts w:hint="eastAsia"/>
                <w:b/>
                <w:bCs/>
                <w:lang w:eastAsia="zh-CN"/>
              </w:rPr>
              <w:t xml:space="preserve"> or not configured with any monitoring capability </w:t>
            </w:r>
            <w:r>
              <w:rPr>
                <w:rFonts w:hint="eastAsia" w:eastAsia="宋体"/>
                <w:b/>
                <w:bCs/>
                <w:lang w:eastAsia="zh-CN"/>
              </w:rPr>
              <w:t xml:space="preserve">combinations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ctrlPr>
                        <w:rPr>
                          <w:rFonts w:ascii="Cambria Math" w:hAnsi="Cambria Math"/>
                          <w:b/>
                          <w:bCs/>
                          <w:i/>
                          <w:lang w:eastAsia="zh-CN"/>
                        </w:rPr>
                      </m:ctrlPr>
                    </m:e>
                    <m:sub>
                      <m:r>
                        <m:rPr>
                          <m:sty m:val="bi"/>
                        </m:rPr>
                        <w:rPr>
                          <w:rFonts w:ascii="Cambria Math" w:hAnsi="Cambria Math"/>
                          <w:lang w:eastAsia="zh-CN"/>
                        </w:rPr>
                        <m:t>s</m:t>
                      </m:r>
                      <m:ctrlPr>
                        <w:rPr>
                          <w:rFonts w:ascii="Cambria Math" w:hAnsi="Cambria Math"/>
                          <w:b/>
                          <w:bCs/>
                          <w:i/>
                          <w:lang w:eastAsia="zh-CN"/>
                        </w:rPr>
                      </m:ctrlP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ctrlPr>
                        <w:rPr>
                          <w:rFonts w:ascii="Cambria Math" w:hAnsi="Cambria Math"/>
                          <w:b/>
                          <w:bCs/>
                          <w:i/>
                          <w:lang w:eastAsia="zh-CN"/>
                        </w:rPr>
                      </m:ctrlPr>
                    </m:e>
                    <m:sub>
                      <m:r>
                        <m:rPr>
                          <m:sty m:val="bi"/>
                        </m:rPr>
                        <w:rPr>
                          <w:rFonts w:ascii="Cambria Math" w:hAnsi="Cambria Math"/>
                          <w:lang w:eastAsia="zh-CN"/>
                        </w:rPr>
                        <m:t>s</m:t>
                      </m:r>
                      <m:ctrlPr>
                        <w:rPr>
                          <w:rFonts w:ascii="Cambria Math" w:hAnsi="Cambria Math"/>
                          <w:b/>
                          <w:bCs/>
                          <w:i/>
                          <w:lang w:eastAsia="zh-CN"/>
                        </w:rPr>
                      </m:ctrlPr>
                    </m:sub>
                  </m:sSub>
                  <m:ctrlPr>
                    <w:rPr>
                      <w:rFonts w:ascii="Cambria Math" w:hAnsi="Cambria Math"/>
                      <w:b/>
                      <w:bCs/>
                      <w:lang w:eastAsia="zh-CN"/>
                    </w:rPr>
                  </m:ctrlPr>
                </m:e>
              </m:d>
            </m:oMath>
            <w:r>
              <w:rPr>
                <w:rFonts w:hint="eastAsia" w:eastAsia="宋体"/>
                <w:b/>
                <w:bCs/>
                <w:lang w:eastAsia="zh-CN"/>
              </w:rPr>
              <w:t xml:space="preserv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ctrlPr>
                        <w:rPr>
                          <w:rFonts w:ascii="Cambria Math" w:hAnsi="Cambria Math"/>
                          <w:b/>
                          <w:bCs/>
                          <w:i/>
                          <w:lang w:eastAsia="zh-CN"/>
                        </w:rPr>
                      </m:ctrlPr>
                    </m:e>
                    <m:sub>
                      <m:r>
                        <m:rPr>
                          <m:sty m:val="bi"/>
                        </m:rPr>
                        <w:rPr>
                          <w:rFonts w:ascii="Cambria Math" w:hAnsi="Cambria Math"/>
                          <w:lang w:eastAsia="zh-CN"/>
                        </w:rPr>
                        <m:t>s</m:t>
                      </m:r>
                      <m:ctrlPr>
                        <w:rPr>
                          <w:rFonts w:ascii="Cambria Math" w:hAnsi="Cambria Math"/>
                          <w:b/>
                          <w:bCs/>
                          <w:i/>
                          <w:lang w:eastAsia="zh-CN"/>
                        </w:rPr>
                      </m:ctrlP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ctrlPr>
                        <w:rPr>
                          <w:rFonts w:ascii="Cambria Math" w:hAnsi="Cambria Math"/>
                          <w:b/>
                          <w:bCs/>
                          <w:i/>
                          <w:lang w:eastAsia="zh-CN"/>
                        </w:rPr>
                      </m:ctrlPr>
                    </m:e>
                    <m:sub>
                      <m:r>
                        <m:rPr>
                          <m:sty m:val="bi"/>
                        </m:rPr>
                        <w:rPr>
                          <w:rFonts w:ascii="Cambria Math" w:hAnsi="Cambria Math"/>
                          <w:lang w:eastAsia="zh-CN"/>
                        </w:rPr>
                        <m:t>s</m:t>
                      </m:r>
                      <m:ctrlPr>
                        <w:rPr>
                          <w:rFonts w:ascii="Cambria Math" w:hAnsi="Cambria Math"/>
                          <w:b/>
                          <w:bCs/>
                          <w:i/>
                          <w:lang w:eastAsia="zh-CN"/>
                        </w:rPr>
                      </m:ctrlPr>
                    </m:sub>
                  </m:sSub>
                  <m:ctrlPr>
                    <w:rPr>
                      <w:rFonts w:ascii="Cambria Math" w:hAnsi="Cambria Math"/>
                      <w:b/>
                      <w:bCs/>
                      <w:lang w:eastAsia="zh-CN"/>
                    </w:rPr>
                  </m:ctrlPr>
                </m:e>
              </m:d>
            </m:oMath>
            <w:r>
              <w:rPr>
                <w:rFonts w:hint="eastAsia" w:ascii="Cambria Math" w:hAnsi="Cambria Math"/>
                <w:b/>
                <w:bCs/>
                <w:lang w:eastAsia="zh-CN"/>
              </w:rPr>
              <w:t xml:space="preserve"> =</w:t>
            </w:r>
            <w:r>
              <w:rPr>
                <w:b/>
                <w:bCs/>
                <w:lang w:eastAsia="zh-CN"/>
              </w:rPr>
              <w:t xml:space="preserve"> (4, 1) or (</w:t>
            </w:r>
            <w:r>
              <w:rPr>
                <w:rFonts w:hint="eastAsia"/>
                <w:b/>
                <w:bCs/>
                <w:lang w:eastAsia="zh-CN"/>
              </w:rPr>
              <w:t xml:space="preserve">8, 1) is mandatorily supported for </w:t>
            </w:r>
            <w:r>
              <w:rPr>
                <w:b/>
                <w:bCs/>
                <w:lang w:eastAsia="zh-CN"/>
              </w:rPr>
              <w:t xml:space="preserve">SCS configuration </w:t>
            </w:r>
            <m:oMath>
              <m:r>
                <m:rPr>
                  <m:sty m:val="bi"/>
                </m:rPr>
                <w:rPr>
                  <w:rFonts w:ascii="Cambria Math" w:hAnsi="Cambria Math"/>
                  <w:lang w:eastAsia="zh-CN"/>
                </w:rPr>
                <m:t>μ=5</m:t>
              </m:r>
            </m:oMath>
            <w:r>
              <w:rPr>
                <w:b/>
                <w:bCs/>
                <w:lang w:eastAsia="zh-CN"/>
              </w:rPr>
              <w:t xml:space="preserve"> or </w:t>
            </w:r>
            <m:oMath>
              <m:r>
                <m:rPr>
                  <m:sty m:val="bi"/>
                </m:rPr>
                <w:rPr>
                  <w:rFonts w:ascii="Cambria Math" w:hAnsi="Cambria Math"/>
                  <w:lang w:eastAsia="zh-CN"/>
                </w:rPr>
                <m:t>μ=6</m:t>
              </m:r>
            </m:oMath>
            <w:r>
              <w:rPr>
                <w:b/>
                <w:bCs/>
                <w:lang w:eastAsia="zh-CN"/>
              </w:rPr>
              <w:t xml:space="preserve"> respectively</w:t>
            </w:r>
            <w:r>
              <w:rPr>
                <w:rFonts w:hint="eastAsia" w:ascii="Cambria Math" w:hAnsi="Cambria Math"/>
                <w:b/>
                <w:bCs/>
                <w:lang w:eastAsia="zh-CN"/>
              </w:rPr>
              <w:t xml:space="preserve">. </w:t>
            </w:r>
          </w:p>
          <w:tbl>
            <w:tblPr>
              <w:tblStyle w:val="54"/>
              <w:tblW w:w="96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9620" w:type="dxa"/>
                </w:tcPr>
                <w:p>
                  <w:pPr>
                    <w:keepNext/>
                    <w:tabs>
                      <w:tab w:val="left" w:pos="432"/>
                    </w:tabs>
                    <w:spacing w:before="120"/>
                    <w:ind w:left="432" w:hanging="432"/>
                    <w:jc w:val="both"/>
                    <w:outlineLvl w:val="1"/>
                  </w:pPr>
                  <w:r>
                    <w:rPr>
                      <w:rFonts w:hint="eastAsia" w:eastAsia="宋体"/>
                      <w:b/>
                      <w:bCs/>
                      <w:sz w:val="21"/>
                      <w:szCs w:val="21"/>
                      <w:lang w:eastAsia="zh-CN"/>
                    </w:rPr>
                    <w:t>TP</w:t>
                  </w:r>
                  <w:r>
                    <w:rPr>
                      <w:rFonts w:eastAsia="宋体"/>
                      <w:b/>
                      <w:bCs/>
                      <w:sz w:val="21"/>
                      <w:szCs w:val="21"/>
                    </w:rPr>
                    <w:t xml:space="preserve"> for TS</w:t>
                  </w:r>
                  <w:r>
                    <w:rPr>
                      <w:rFonts w:hint="eastAsia" w:eastAsia="宋体"/>
                      <w:b/>
                      <w:bCs/>
                      <w:sz w:val="21"/>
                      <w:szCs w:val="21"/>
                      <w:lang w:eastAsia="zh-CN"/>
                    </w:rPr>
                    <w:t xml:space="preserve"> </w:t>
                  </w:r>
                  <w:r>
                    <w:rPr>
                      <w:rFonts w:eastAsia="宋体"/>
                      <w:b/>
                      <w:bCs/>
                      <w:sz w:val="21"/>
                      <w:szCs w:val="21"/>
                    </w:rPr>
                    <w:t>38.21</w:t>
                  </w:r>
                  <w:r>
                    <w:rPr>
                      <w:rFonts w:hint="eastAsia" w:eastAsia="宋体"/>
                      <w:b/>
                      <w:bCs/>
                      <w:sz w:val="21"/>
                      <w:szCs w:val="21"/>
                      <w:lang w:eastAsia="zh-CN"/>
                    </w:rPr>
                    <w:t>3  (marked in red)</w:t>
                  </w:r>
                </w:p>
                <w:p>
                  <w:r>
                    <w:t xml:space="preserve">If a UE is provided </w:t>
                  </w:r>
                  <w:r>
                    <w:rPr>
                      <w:i/>
                    </w:rPr>
                    <w:t>monitoringCapabilityConfig</w:t>
                  </w:r>
                  <w:r>
                    <w:t xml:space="preserve"> for a serving cell, the UE obtains an indication to monitor PDCCH on the serving cell for a maximum number of PDCCH candidates and non-overlapping CCEs </w:t>
                  </w:r>
                </w:p>
                <w:p>
                  <w:pPr>
                    <w:ind w:left="440" w:leftChars="200"/>
                  </w:pPr>
                  <w:r>
                    <w:t>-</w:t>
                  </w:r>
                  <w:r>
                    <w:tab/>
                  </w:r>
                  <w:r>
                    <w:t xml:space="preserve">per slot, as in Tables 10.1-2 and 10.1-3, if </w:t>
                  </w:r>
                  <w:r>
                    <w:rPr>
                      <w:i/>
                    </w:rPr>
                    <w:t>monitoringCapabilityConfig</w:t>
                  </w:r>
                  <w:r>
                    <w:t xml:space="preserve"> = </w:t>
                  </w:r>
                  <w:r>
                    <w:rPr>
                      <w:i/>
                    </w:rPr>
                    <w:t>r15monitoringcapability</w:t>
                  </w:r>
                  <w:r>
                    <w:t xml:space="preserve">, or </w:t>
                  </w:r>
                </w:p>
                <w:p>
                  <w:pPr>
                    <w:ind w:left="440" w:leftChars="200"/>
                  </w:pPr>
                  <w:r>
                    <w:t>-</w:t>
                  </w:r>
                  <w:r>
                    <w:tab/>
                  </w:r>
                  <w:r>
                    <w:t xml:space="preserve">per span, as in Tables 10.1-2A and 10.1-3A, if </w:t>
                  </w:r>
                  <w:r>
                    <w:rPr>
                      <w:i/>
                    </w:rPr>
                    <w:t>monitoringCapabilityConfig</w:t>
                  </w:r>
                  <w:r>
                    <w:t xml:space="preserve"> = </w:t>
                  </w:r>
                  <w:r>
                    <w:rPr>
                      <w:i/>
                    </w:rPr>
                    <w:t>r16monitoringcapability</w:t>
                  </w:r>
                </w:p>
                <w:p>
                  <w:pPr>
                    <w:ind w:left="440" w:leftChars="200"/>
                  </w:pPr>
                  <w:r>
                    <w:t>-</w:t>
                  </w:r>
                  <w:r>
                    <w:tab/>
                  </w:r>
                  <w:r>
                    <w:t xml:space="preserve">per group </w:t>
                  </w:r>
                  <w:r>
                    <w:rPr>
                      <w:lang w:eastAsia="zh-CN"/>
                    </w:rPr>
                    <w:t xml:space="preserve">of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lang w:eastAsia="zh-CN"/>
                    </w:rPr>
                    <w:t xml:space="preserve"> slots</w:t>
                  </w:r>
                  <w:r>
                    <w:t xml:space="preserve"> </w:t>
                  </w:r>
                  <w:r>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lang w:eastAsia="zh-CN"/>
                          </w:rPr>
                        </m:ctrlPr>
                      </m:e>
                    </m:d>
                  </m:oMath>
                  <w:r>
                    <w:t xml:space="preserve">, as in Tables 10.1-2B and 10.1-3B, if </w:t>
                  </w:r>
                  <w:r>
                    <w:rPr>
                      <w:i/>
                    </w:rPr>
                    <w:t>monitoringCapabilityConfig</w:t>
                  </w:r>
                  <w:r>
                    <w:t xml:space="preserve"> = </w:t>
                  </w:r>
                  <w:r>
                    <w:rPr>
                      <w:i/>
                    </w:rPr>
                    <w:t>r17monitoringcapability</w:t>
                  </w:r>
                </w:p>
                <w:p>
                  <w:pPr>
                    <w:numPr>
                      <w:ilvl w:val="255"/>
                      <w:numId w:val="0"/>
                    </w:numPr>
                    <w:spacing w:line="240" w:lineRule="auto"/>
                  </w:pPr>
                  <w:r>
                    <w:rPr>
                      <w:color w:val="FF0000"/>
                      <w:sz w:val="21"/>
                      <w:szCs w:val="21"/>
                    </w:rPr>
                    <w:t xml:space="preserve">For </w:t>
                  </w:r>
                  <w:r>
                    <w:rPr>
                      <w:rFonts w:hint="eastAsia"/>
                      <w:color w:val="FF0000"/>
                      <w:sz w:val="21"/>
                      <w:szCs w:val="21"/>
                    </w:rPr>
                    <w:t>μ</w:t>
                  </w:r>
                  <w:r>
                    <w:rPr>
                      <w:color w:val="FF0000"/>
                      <w:sz w:val="21"/>
                      <w:szCs w:val="21"/>
                    </w:rPr>
                    <w:t xml:space="preserve"> </w:t>
                  </w:r>
                  <w:r>
                    <w:rPr>
                      <w:rFonts w:ascii="Cambria Math" w:hAnsi="Cambria Math" w:cs="Cambria Math"/>
                      <w:color w:val="FF0000"/>
                      <w:sz w:val="21"/>
                      <w:szCs w:val="21"/>
                    </w:rPr>
                    <w:t xml:space="preserve">∈ </w:t>
                  </w:r>
                  <w:r>
                    <w:rPr>
                      <w:rFonts w:hint="eastAsia"/>
                      <w:color w:val="FF0000"/>
                      <w:sz w:val="21"/>
                      <w:szCs w:val="21"/>
                    </w:rPr>
                    <w:t>{0,1,2,3}</w:t>
                  </w:r>
                  <w:r>
                    <w:rPr>
                      <w:color w:val="FF0000"/>
                      <w:sz w:val="21"/>
                      <w:szCs w:val="21"/>
                    </w:rPr>
                    <w:t>,</w:t>
                  </w:r>
                  <w:r>
                    <w:rPr>
                      <w:rFonts w:hint="eastAsia" w:eastAsia="宋体"/>
                      <w:color w:val="FF0000"/>
                      <w:sz w:val="21"/>
                      <w:szCs w:val="21"/>
                      <w:lang w:eastAsia="zh-CN"/>
                    </w:rPr>
                    <w:t xml:space="preserve"> </w:t>
                  </w:r>
                  <w:r>
                    <w:rPr>
                      <w:rFonts w:hint="eastAsia" w:eastAsia="宋体"/>
                      <w:sz w:val="21"/>
                      <w:szCs w:val="21"/>
                      <w:lang w:eastAsia="zh-CN"/>
                    </w:rPr>
                    <w:t>i</w:t>
                  </w:r>
                  <w:r>
                    <w:t xml:space="preserve">f the UE is not provided </w:t>
                  </w:r>
                  <w:r>
                    <w:rPr>
                      <w:i/>
                    </w:rPr>
                    <w:t>monitoringCapabilityConfig</w:t>
                  </w:r>
                  <w:r>
                    <w:t xml:space="preserve">, the UE monitors PDCCH on the serving cell for a maximum number of PDCCH candidates and non-overlapping CCEs per slot. </w:t>
                  </w:r>
                </w:p>
                <w:p>
                  <w:pPr>
                    <w:numPr>
                      <w:ilvl w:val="255"/>
                      <w:numId w:val="0"/>
                    </w:numPr>
                    <w:spacing w:after="0" w:line="240" w:lineRule="auto"/>
                  </w:pPr>
                  <w:r>
                    <w:rPr>
                      <w:color w:val="FF0000"/>
                    </w:rPr>
                    <w:t xml:space="preserve">For </w:t>
                  </w:r>
                  <w:r>
                    <w:rPr>
                      <w:rFonts w:hint="eastAsia"/>
                      <w:color w:val="FF0000"/>
                    </w:rPr>
                    <w:t>μ</w:t>
                  </w:r>
                  <w:r>
                    <w:rPr>
                      <w:color w:val="FF0000"/>
                    </w:rPr>
                    <w:t xml:space="preserve"> </w:t>
                  </w:r>
                  <w:r>
                    <w:rPr>
                      <w:rFonts w:ascii="Cambria Math" w:hAnsi="Cambria Math" w:cs="Cambria Math"/>
                      <w:color w:val="FF0000"/>
                    </w:rPr>
                    <w:t xml:space="preserve">∈ </w:t>
                  </w:r>
                  <w:r>
                    <w:rPr>
                      <w:rFonts w:hint="eastAsia"/>
                      <w:color w:val="FF0000"/>
                    </w:rPr>
                    <w:t>{</w:t>
                  </w:r>
                  <w:r>
                    <w:rPr>
                      <w:color w:val="FF0000"/>
                    </w:rPr>
                    <w:t>5,6</w:t>
                  </w:r>
                  <w:r>
                    <w:rPr>
                      <w:rFonts w:hint="eastAsia"/>
                      <w:color w:val="FF0000"/>
                    </w:rPr>
                    <w:t>}</w:t>
                  </w:r>
                  <w:r>
                    <w:rPr>
                      <w:color w:val="FF0000"/>
                    </w:rPr>
                    <w:t>,</w:t>
                  </w:r>
                  <w:r>
                    <w:rPr>
                      <w:rFonts w:hint="eastAsia" w:eastAsia="宋体"/>
                      <w:color w:val="FF0000"/>
                      <w:lang w:eastAsia="zh-CN"/>
                    </w:rPr>
                    <w:t xml:space="preserve"> i</w:t>
                  </w:r>
                  <w:r>
                    <w:rPr>
                      <w:color w:val="FF0000"/>
                      <w:lang w:eastAsia="zh-CN"/>
                    </w:rPr>
                    <w:t>f</w:t>
                  </w:r>
                  <w:r>
                    <w:rPr>
                      <w:color w:val="FF0000"/>
                    </w:rPr>
                    <w:t xml:space="preserve"> </w:t>
                  </w:r>
                  <w:r>
                    <w:rPr>
                      <w:rFonts w:hint="eastAsia" w:eastAsia="宋体"/>
                      <w:color w:val="FF0000"/>
                      <w:lang w:eastAsia="zh-CN"/>
                    </w:rPr>
                    <w:t>the</w:t>
                  </w:r>
                  <w:r>
                    <w:rPr>
                      <w:color w:val="FF0000"/>
                    </w:rPr>
                    <w:t xml:space="preserve"> UE is</w:t>
                  </w:r>
                  <w:r>
                    <w:rPr>
                      <w:rFonts w:hint="eastAsia" w:eastAsia="宋体"/>
                      <w:color w:val="FF0000"/>
                      <w:lang w:eastAsia="zh-CN"/>
                    </w:rPr>
                    <w:t xml:space="preserve"> </w:t>
                  </w:r>
                  <w:r>
                    <w:rPr>
                      <w:color w:val="FF0000"/>
                    </w:rPr>
                    <w:t xml:space="preserve">not provided </w:t>
                  </w:r>
                  <w:r>
                    <w:rPr>
                      <w:i/>
                      <w:color w:val="FF0000"/>
                    </w:rPr>
                    <w:t>monitoringCapabilityConfig</w:t>
                  </w:r>
                  <w:r>
                    <w:rPr>
                      <w:rFonts w:hint="eastAsia"/>
                      <w:color w:val="FF0000"/>
                      <w:lang w:eastAsia="zh-CN"/>
                    </w:rPr>
                    <w:t xml:space="preserve"> or not</w:t>
                  </w:r>
                  <w:r>
                    <w:rPr>
                      <w:color w:val="FF0000"/>
                    </w:rPr>
                    <w:t xml:space="preserve"> </w:t>
                  </w:r>
                  <w:r>
                    <w:rPr>
                      <w:rFonts w:hint="eastAsia" w:eastAsia="宋体"/>
                      <w:color w:val="FF0000"/>
                      <w:lang w:eastAsia="zh-CN"/>
                    </w:rPr>
                    <w:t xml:space="preserve">configured </w:t>
                  </w:r>
                  <w:r>
                    <w:rPr>
                      <w:color w:val="FF0000"/>
                    </w:rPr>
                    <w:t xml:space="preserve">with a combination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ctrlPr>
                              <w:rPr>
                                <w:rFonts w:ascii="Cambria Math" w:hAnsi="Cambria Math"/>
                                <w:i/>
                                <w:color w:val="FF0000"/>
                                <w:lang w:eastAsia="zh-CN"/>
                              </w:rPr>
                            </m:ctrlPr>
                          </m:e>
                          <m:sub>
                            <m:r>
                              <w:rPr>
                                <w:rFonts w:ascii="Cambria Math" w:hAnsi="Cambria Math"/>
                                <w:color w:val="FF0000"/>
                                <w:lang w:eastAsia="zh-CN"/>
                              </w:rPr>
                              <m:t>s</m:t>
                            </m:r>
                            <m:ctrlPr>
                              <w:rPr>
                                <w:rFonts w:ascii="Cambria Math" w:hAnsi="Cambria Math"/>
                                <w:i/>
                                <w:color w:val="FF0000"/>
                                <w:lang w:eastAsia="zh-CN"/>
                              </w:rPr>
                            </m:ctrlP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ctrlPr>
                              <w:rPr>
                                <w:rFonts w:ascii="Cambria Math" w:hAnsi="Cambria Math"/>
                                <w:i/>
                                <w:color w:val="FF0000"/>
                                <w:lang w:eastAsia="zh-CN"/>
                              </w:rPr>
                            </m:ctrlPr>
                          </m:e>
                          <m:sub>
                            <m:r>
                              <w:rPr>
                                <w:rFonts w:ascii="Cambria Math" w:hAnsi="Cambria Math"/>
                                <w:color w:val="FF0000"/>
                                <w:lang w:eastAsia="zh-CN"/>
                              </w:rPr>
                              <m:t>s</m:t>
                            </m:r>
                            <m:ctrlPr>
                              <w:rPr>
                                <w:rFonts w:ascii="Cambria Math" w:hAnsi="Cambria Math"/>
                                <w:i/>
                                <w:color w:val="FF0000"/>
                                <w:lang w:eastAsia="zh-CN"/>
                              </w:rPr>
                            </m:ctrlPr>
                          </m:sub>
                        </m:sSub>
                        <m:ctrlPr>
                          <w:rPr>
                            <w:rFonts w:ascii="Cambria Math" w:hAnsi="Cambria Math"/>
                            <w:color w:val="FF0000"/>
                            <w:lang w:eastAsia="zh-CN"/>
                          </w:rPr>
                        </m:ctrlPr>
                      </m:e>
                    </m:d>
                  </m:oMath>
                  <w:r>
                    <w:rPr>
                      <w:color w:val="FF0000"/>
                      <w:lang w:eastAsia="zh-CN"/>
                    </w:rPr>
                    <w:t xml:space="preserve">, the UE assumes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ctrlPr>
                              <w:rPr>
                                <w:rFonts w:ascii="Cambria Math" w:hAnsi="Cambria Math"/>
                                <w:i/>
                                <w:color w:val="FF0000"/>
                                <w:lang w:eastAsia="zh-CN"/>
                              </w:rPr>
                            </m:ctrlPr>
                          </m:e>
                          <m:sub>
                            <m:r>
                              <w:rPr>
                                <w:rFonts w:ascii="Cambria Math" w:hAnsi="Cambria Math"/>
                                <w:color w:val="FF0000"/>
                                <w:lang w:eastAsia="zh-CN"/>
                              </w:rPr>
                              <m:t>s</m:t>
                            </m:r>
                            <m:ctrlPr>
                              <w:rPr>
                                <w:rFonts w:ascii="Cambria Math" w:hAnsi="Cambria Math"/>
                                <w:i/>
                                <w:color w:val="FF0000"/>
                                <w:lang w:eastAsia="zh-CN"/>
                              </w:rPr>
                            </m:ctrlP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ctrlPr>
                              <w:rPr>
                                <w:rFonts w:ascii="Cambria Math" w:hAnsi="Cambria Math"/>
                                <w:i/>
                                <w:color w:val="FF0000"/>
                                <w:lang w:eastAsia="zh-CN"/>
                              </w:rPr>
                            </m:ctrlPr>
                          </m:e>
                          <m:sub>
                            <m:r>
                              <w:rPr>
                                <w:rFonts w:ascii="Cambria Math" w:hAnsi="Cambria Math"/>
                                <w:color w:val="FF0000"/>
                                <w:lang w:eastAsia="zh-CN"/>
                              </w:rPr>
                              <m:t>s</m:t>
                            </m:r>
                            <m:ctrlPr>
                              <w:rPr>
                                <w:rFonts w:ascii="Cambria Math" w:hAnsi="Cambria Math"/>
                                <w:i/>
                                <w:color w:val="FF0000"/>
                                <w:lang w:eastAsia="zh-CN"/>
                              </w:rPr>
                            </m:ctrlPr>
                          </m:sub>
                        </m:sSub>
                        <m:ctrlPr>
                          <w:rPr>
                            <w:rFonts w:ascii="Cambria Math" w:hAnsi="Cambria Math"/>
                            <w:color w:val="FF0000"/>
                            <w:lang w:eastAsia="zh-CN"/>
                          </w:rPr>
                        </m:ctrlPr>
                      </m:e>
                    </m:d>
                    <m:r>
                      <w:rPr>
                        <w:rFonts w:ascii="Cambria Math" w:hAnsi="Cambria Math"/>
                        <w:color w:val="FF0000"/>
                        <w:lang w:eastAsia="zh-CN"/>
                      </w:rPr>
                      <m:t>=(4,1)</m:t>
                    </m:r>
                  </m:oMath>
                  <w:r>
                    <w:rPr>
                      <w:color w:val="FF0000"/>
                      <w:lang w:eastAsia="zh-CN"/>
                    </w:rPr>
                    <w:t xml:space="preserve"> for</w:t>
                  </w:r>
                  <w:r>
                    <w:rPr>
                      <w:rFonts w:hint="eastAsia"/>
                      <w:color w:val="FF0000"/>
                      <w:lang w:eastAsia="zh-CN"/>
                    </w:rPr>
                    <w:t xml:space="preserve"> </w:t>
                  </w:r>
                  <w:r>
                    <w:rPr>
                      <w:rFonts w:hint="eastAsia"/>
                      <w:color w:val="FF0000"/>
                    </w:rPr>
                    <w:t>μ</w:t>
                  </w:r>
                  <w:r>
                    <w:rPr>
                      <w:color w:val="FF0000"/>
                    </w:rPr>
                    <w:t xml:space="preserve">=5 and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ctrlPr>
                              <w:rPr>
                                <w:rFonts w:ascii="Cambria Math" w:hAnsi="Cambria Math"/>
                                <w:i/>
                                <w:color w:val="FF0000"/>
                                <w:lang w:eastAsia="zh-CN"/>
                              </w:rPr>
                            </m:ctrlPr>
                          </m:e>
                          <m:sub>
                            <m:r>
                              <w:rPr>
                                <w:rFonts w:ascii="Cambria Math" w:hAnsi="Cambria Math"/>
                                <w:color w:val="FF0000"/>
                                <w:lang w:eastAsia="zh-CN"/>
                              </w:rPr>
                              <m:t>s</m:t>
                            </m:r>
                            <m:ctrlPr>
                              <w:rPr>
                                <w:rFonts w:ascii="Cambria Math" w:hAnsi="Cambria Math"/>
                                <w:i/>
                                <w:color w:val="FF0000"/>
                                <w:lang w:eastAsia="zh-CN"/>
                              </w:rPr>
                            </m:ctrlP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ctrlPr>
                              <w:rPr>
                                <w:rFonts w:ascii="Cambria Math" w:hAnsi="Cambria Math"/>
                                <w:i/>
                                <w:color w:val="FF0000"/>
                                <w:lang w:eastAsia="zh-CN"/>
                              </w:rPr>
                            </m:ctrlPr>
                          </m:e>
                          <m:sub>
                            <m:r>
                              <w:rPr>
                                <w:rFonts w:ascii="Cambria Math" w:hAnsi="Cambria Math"/>
                                <w:color w:val="FF0000"/>
                                <w:lang w:eastAsia="zh-CN"/>
                              </w:rPr>
                              <m:t>s</m:t>
                            </m:r>
                            <m:ctrlPr>
                              <w:rPr>
                                <w:rFonts w:ascii="Cambria Math" w:hAnsi="Cambria Math"/>
                                <w:i/>
                                <w:color w:val="FF0000"/>
                                <w:lang w:eastAsia="zh-CN"/>
                              </w:rPr>
                            </m:ctrlPr>
                          </m:sub>
                        </m:sSub>
                        <m:ctrlPr>
                          <w:rPr>
                            <w:rFonts w:ascii="Cambria Math" w:hAnsi="Cambria Math"/>
                            <w:color w:val="FF0000"/>
                            <w:lang w:eastAsia="zh-CN"/>
                          </w:rPr>
                        </m:ctrlPr>
                      </m:e>
                    </m:d>
                    <m:r>
                      <w:rPr>
                        <w:rFonts w:ascii="Cambria Math" w:hAnsi="Cambria Math"/>
                        <w:color w:val="FF0000"/>
                        <w:lang w:eastAsia="zh-CN"/>
                      </w:rPr>
                      <m:t>=(8,1)</m:t>
                    </m:r>
                  </m:oMath>
                  <w:r>
                    <w:rPr>
                      <w:color w:val="FF0000"/>
                    </w:rPr>
                    <w:t xml:space="preserve"> for </w:t>
                  </w:r>
                  <w:r>
                    <w:rPr>
                      <w:rFonts w:hint="eastAsia"/>
                      <w:color w:val="FF0000"/>
                    </w:rPr>
                    <w:t>μ</w:t>
                  </w:r>
                  <w:r>
                    <w:rPr>
                      <w:color w:val="FF0000"/>
                    </w:rPr>
                    <w:t>=6.</w:t>
                  </w:r>
                </w:p>
                <w:p>
                  <w:pPr>
                    <w:numPr>
                      <w:ilvl w:val="255"/>
                      <w:numId w:val="0"/>
                    </w:numPr>
                    <w:spacing w:after="0" w:line="240" w:lineRule="auto"/>
                    <w:rPr>
                      <w:lang w:eastAsia="zh-CN"/>
                    </w:rPr>
                  </w:pPr>
                </w:p>
              </w:tc>
            </w:tr>
          </w:tbl>
          <w:p>
            <w:pPr>
              <w:widowControl w:val="0"/>
              <w:jc w:val="both"/>
              <w:rPr>
                <w:rFonts w:eastAsia="宋体"/>
                <w:bCs/>
                <w:lang w:eastAsia="zh-CN"/>
              </w:rPr>
            </w:pPr>
          </w:p>
          <w:p>
            <w:pPr>
              <w:widowControl w:val="0"/>
              <w:spacing w:before="120" w:beforeLines="50" w:line="260" w:lineRule="auto"/>
              <w:jc w:val="both"/>
              <w:rPr>
                <w:lang w:eastAsia="zh-CN"/>
              </w:rPr>
            </w:pPr>
            <w:r>
              <w:rPr>
                <w:rFonts w:hint="eastAsia" w:eastAsia="宋体"/>
                <w:lang w:eastAsia="zh-CN"/>
              </w:rPr>
              <w:t>Moreover, f</w:t>
            </w:r>
            <w:r>
              <w:rPr>
                <w:lang w:eastAsia="zh-CN"/>
              </w:rPr>
              <w:t xml:space="preserve">or SCS configuration </w:t>
            </w:r>
            <m:oMath>
              <m:r>
                <w:rPr>
                  <w:rFonts w:ascii="Cambria Math" w:hAnsi="Cambria Math"/>
                  <w:lang w:eastAsia="zh-CN"/>
                </w:rPr>
                <m:t>μ=5</m:t>
              </m:r>
            </m:oMath>
            <w:r>
              <w:rPr>
                <w:lang w:eastAsia="zh-CN"/>
              </w:rPr>
              <w:t xml:space="preserve"> or </w:t>
            </w:r>
            <m:oMath>
              <m:r>
                <w:rPr>
                  <w:rFonts w:ascii="Cambria Math" w:hAnsi="Cambria Math"/>
                  <w:lang w:eastAsia="zh-CN"/>
                </w:rPr>
                <m:t>μ=6</m:t>
              </m:r>
            </m:oMath>
            <w:r>
              <w:rPr>
                <w:lang w:eastAsia="zh-CN"/>
              </w:rPr>
              <w:t xml:space="preserve">, a UE can indicate a capability to monitor PDCCH according to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lang w:eastAsia="zh-CN"/>
                    </w:rPr>
                  </m:ctrlPr>
                </m:e>
              </m:d>
            </m:oMath>
            <w:r>
              <w:rPr>
                <w:rFonts w:hint="eastAsia"/>
                <w:lang w:eastAsia="zh-CN"/>
              </w:rPr>
              <w:t xml:space="preserve">, different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lang w:eastAsia="zh-CN"/>
                    </w:rPr>
                  </m:ctrlPr>
                </m:e>
              </m:d>
            </m:oMath>
            <w:r>
              <w:rPr>
                <w:rFonts w:hint="eastAsia" w:ascii="Cambria Math" w:hAnsi="Cambria Math"/>
                <w:lang w:eastAsia="zh-CN"/>
              </w:rPr>
              <w:t xml:space="preserve"> may </w:t>
            </w:r>
            <w:r>
              <w:rPr>
                <w:rFonts w:hint="eastAsia"/>
                <w:lang w:eastAsia="zh-CN"/>
              </w:rPr>
              <w:t xml:space="preserve">correspond to different BD/CCE budget, we need to determine the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lang w:eastAsia="zh-CN"/>
                    </w:rPr>
                  </m:ctrlPr>
                </m:e>
              </m:d>
            </m:oMath>
            <w:r>
              <w:rPr>
                <w:rFonts w:hint="eastAsia" w:ascii="Cambria Math" w:hAnsi="Cambria Math"/>
                <w:lang w:eastAsia="zh-CN"/>
              </w:rPr>
              <w:t xml:space="preserve"> </w:t>
            </w:r>
            <w:r>
              <w:rPr>
                <w:lang w:eastAsia="zh-CN"/>
              </w:rPr>
              <w:t>combination</w:t>
            </w:r>
            <w:r>
              <w:rPr>
                <w:rFonts w:hint="eastAsia" w:ascii="Cambria Math" w:hAnsi="Cambria Math"/>
                <w:lang w:eastAsia="zh-CN"/>
              </w:rPr>
              <w:t xml:space="preserve">. </w:t>
            </w:r>
            <w:r>
              <w:rPr>
                <w:rFonts w:hint="eastAsia"/>
                <w:lang w:eastAsia="zh-CN"/>
              </w:rPr>
              <w:t xml:space="preserve"> However, the determination of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lang w:eastAsia="zh-CN"/>
              </w:rPr>
              <w:t xml:space="preserve"> </w:t>
            </w:r>
            <w:r>
              <w:rPr>
                <w:rFonts w:hint="eastAsia"/>
                <w:lang w:eastAsia="zh-CN"/>
              </w:rPr>
              <w:t xml:space="preserve">for multi-slot PDCCH monitoring is different from that in Rel-16. There is no mandatory capability among </w:t>
            </w:r>
            <w:r>
              <w:rPr>
                <w:lang w:eastAsia="ko-KR"/>
              </w:rPr>
              <w:t xml:space="preserve">the combinations </w:t>
            </w:r>
            <m:oMath>
              <m:d>
                <m:dPr>
                  <m:ctrlPr>
                    <w:rPr>
                      <w:rFonts w:ascii="Cambria Math" w:hAnsi="Cambria Math"/>
                      <w:lang w:eastAsia="zh-CN"/>
                    </w:rPr>
                  </m:ctrlPr>
                </m:dPr>
                <m:e>
                  <m:r>
                    <w:rPr>
                      <w:rFonts w:ascii="Cambria Math" w:hAnsi="Cambria Math"/>
                      <w:lang w:eastAsia="zh-CN"/>
                    </w:rPr>
                    <m:t>X,Y</m:t>
                  </m:r>
                  <m:ctrlPr>
                    <w:rPr>
                      <w:rFonts w:ascii="Cambria Math" w:hAnsi="Cambria Math"/>
                      <w:lang w:eastAsia="zh-CN"/>
                    </w:rPr>
                  </m:ctrlP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rFonts w:hint="eastAsia" w:ascii="Cambria Math" w:hAnsi="Cambria Math"/>
                <w:lang w:eastAsia="zh-CN"/>
              </w:rPr>
              <w:t xml:space="preserve"> </w:t>
            </w:r>
            <w:r>
              <w:rPr>
                <w:rFonts w:hint="eastAsia"/>
                <w:lang w:eastAsia="zh-CN"/>
              </w:rPr>
              <w:t>and a</w:t>
            </w:r>
            <w:r>
              <w:rPr>
                <w:lang w:eastAsia="ko-KR"/>
              </w:rPr>
              <w:t xml:space="preserve"> UE can indicate a capability to monitor PDCCH according to one or more of the</w:t>
            </w:r>
            <w:r>
              <w:rPr>
                <w:rFonts w:hint="eastAsia" w:eastAsia="宋体"/>
                <w:lang w:eastAsia="zh-CN"/>
              </w:rPr>
              <w:t xml:space="preserve"> </w:t>
            </w:r>
            <m:oMath>
              <m:d>
                <m:dPr>
                  <m:ctrlPr>
                    <w:rPr>
                      <w:rFonts w:ascii="Cambria Math" w:hAnsi="Cambria Math"/>
                      <w:lang w:eastAsia="zh-CN"/>
                    </w:rPr>
                  </m:ctrlPr>
                </m:dPr>
                <m:e>
                  <m:r>
                    <w:rPr>
                      <w:rFonts w:ascii="Cambria Math" w:hAnsi="Cambria Math"/>
                      <w:lang w:eastAsia="zh-CN"/>
                    </w:rPr>
                    <m:t>X,Y</m:t>
                  </m:r>
                  <m:ctrlPr>
                    <w:rPr>
                      <w:rFonts w:ascii="Cambria Math" w:hAnsi="Cambria Math"/>
                      <w:lang w:eastAsia="zh-CN"/>
                    </w:rPr>
                  </m:ctrlPr>
                </m:e>
              </m:d>
            </m:oMath>
            <w:r>
              <w:rPr>
                <w:lang w:eastAsia="ko-KR"/>
              </w:rPr>
              <w:t xml:space="preserve"> combinations</w:t>
            </w:r>
            <w:r>
              <w:rPr>
                <w:rFonts w:hint="eastAsia" w:ascii="Cambria Math" w:hAnsi="Cambria Math"/>
                <w:lang w:eastAsia="zh-CN"/>
              </w:rPr>
              <w:t xml:space="preserve"> </w:t>
            </w:r>
            <w:r>
              <w:rPr>
                <w:lang w:eastAsia="zh-CN"/>
              </w:rPr>
              <w:t>in Rel-16</w:t>
            </w:r>
            <w:r>
              <w:rPr>
                <w:rFonts w:hint="eastAsia"/>
                <w:lang w:eastAsia="zh-CN"/>
              </w:rPr>
              <w:t xml:space="preserve"> . </w:t>
            </w:r>
          </w:p>
          <w:p>
            <w:pPr>
              <w:widowControl w:val="0"/>
              <w:numPr>
                <w:ilvl w:val="255"/>
                <w:numId w:val="0"/>
              </w:numPr>
              <w:spacing w:line="260" w:lineRule="auto"/>
              <w:jc w:val="both"/>
              <w:rPr>
                <w:rFonts w:ascii="Cambria Math" w:hAnsi="Cambria Math"/>
                <w:lang w:eastAsia="zh-CN"/>
              </w:rPr>
            </w:pPr>
            <w:r>
              <w:rPr>
                <w:rFonts w:hint="eastAsia"/>
                <w:lang w:eastAsia="zh-CN"/>
              </w:rPr>
              <w:t xml:space="preserve">Assuming that a similar rule as Rel-16 is extended to Rel-17 and the UE monitors PDCCH according to the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rPr>
                <w:rFonts w:hint="eastAsia"/>
                <w:lang w:eastAsia="zh-CN"/>
              </w:rPr>
              <w:t xml:space="preserve"> that is associated with the largest maximum number of BD/CCE for the SCS. </w:t>
            </w:r>
            <w:r>
              <w:rPr>
                <w:lang w:eastAsia="zh-CN"/>
              </w:rPr>
              <w:t>If a UE indicates a capability to</w:t>
            </w:r>
            <w:r>
              <w:rPr>
                <w:lang w:eastAsia="ko-KR"/>
              </w:rPr>
              <w:t xml:space="preserve"> monitor PDCCH according to multiple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lang w:eastAsia="zh-CN"/>
                    </w:rPr>
                  </m:ctrlPr>
                </m:e>
              </m:d>
            </m:oMath>
            <w:r>
              <w:rPr>
                <w:lang w:eastAsia="zh-CN"/>
              </w:rPr>
              <w:t xml:space="preserve"> combinations</w:t>
            </w:r>
            <w:r>
              <w:rPr>
                <w:lang w:eastAsia="ko-KR"/>
              </w:rPr>
              <w:t xml:space="preserve"> and </w:t>
            </w:r>
            <w:r>
              <w:rPr>
                <w:rFonts w:hint="eastAsia" w:eastAsia="宋体"/>
                <w:lang w:eastAsia="zh-CN"/>
              </w:rPr>
              <w:t xml:space="preserve">one or more </w:t>
            </w:r>
            <w:r>
              <w:rPr>
                <w:lang w:eastAsia="ko-KR"/>
              </w:rPr>
              <w:t>multiple</w:t>
            </w:r>
            <w:r>
              <w:rPr>
                <w:lang w:eastAsia="zh-CN"/>
              </w:rPr>
              <w:t xml:space="preserve"> combinations</w:t>
            </w:r>
            <w:r>
              <w:rPr>
                <w:lang w:eastAsia="ko-KR"/>
              </w:rPr>
              <w:t xml:space="preserv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lang w:eastAsia="zh-CN"/>
                    </w:rPr>
                  </m:ctrlPr>
                </m:e>
              </m:d>
            </m:oMath>
            <w:r>
              <w:rPr>
                <w:rFonts w:hint="eastAsia" w:eastAsia="宋体"/>
                <w:lang w:eastAsia="zh-CN"/>
              </w:rPr>
              <w:t xml:space="preserve"> can meet the</w:t>
            </w:r>
            <w:r>
              <w:rPr>
                <w:lang w:eastAsia="ko-KR"/>
              </w:rPr>
              <w:t xml:space="preserve"> configuration of search space sets to the UE for PDCCH monitoring on a cell</w:t>
            </w:r>
            <w:r>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rFonts w:hint="eastAsia" w:ascii="Cambria Math" w:hAnsi="Cambria Math"/>
                <w:lang w:eastAsia="zh-CN"/>
              </w:rPr>
              <w:t xml:space="preserve"> </w:t>
            </w:r>
            <w:r>
              <w:rPr>
                <w:rFonts w:hint="eastAsia"/>
                <w:lang w:eastAsia="zh-CN"/>
              </w:rPr>
              <w:t xml:space="preserve">= 4 and 8 slots for 480 and 960 kHz respectively are almostly always chosen since those two values are mandatorily supported and associated with the largest BD/CCE budget. However, in our understanding, the value of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rFonts w:hint="eastAsia"/>
                <w:lang w:eastAsia="zh-CN"/>
              </w:rPr>
              <w:t xml:space="preserve"> should be configurable for more flexible operation in above 52.6 GHz band depending on UE capability. We need to consider  introducing new RRC parameter to configure the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rPr>
                <w:rFonts w:hint="eastAsia"/>
                <w:lang w:eastAsia="zh-CN"/>
              </w:rPr>
              <w:t xml:space="preserve"> with smaller value of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rFonts w:hint="eastAsia"/>
                <w:lang w:eastAsia="zh-CN"/>
              </w:rPr>
              <w:t xml:space="preserve"> for some scenarios such as low latency traffic and flexible scenarios. Also, t</w:t>
            </w:r>
            <w:r>
              <w:rPr>
                <w:lang w:eastAsia="zh-CN"/>
              </w:rPr>
              <w:t xml:space="preserve">he UE expects to monitor PDCCH according to the same </w:t>
            </w:r>
            <w:r>
              <w:rPr>
                <w:lang w:eastAsia="ko-KR"/>
              </w:rPr>
              <w:t xml:space="preserve">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rPr>
                <w:rFonts w:hint="eastAsia"/>
                <w:lang w:eastAsia="zh-CN"/>
              </w:rPr>
              <w:t xml:space="preserve"> </w:t>
            </w:r>
            <w:r>
              <w:rPr>
                <w:lang w:eastAsia="zh-CN"/>
              </w:rPr>
              <w:t>in every slot</w:t>
            </w:r>
            <w:r>
              <w:rPr>
                <w:rFonts w:hint="eastAsia"/>
                <w:lang w:eastAsia="zh-CN"/>
              </w:rPr>
              <w:t xml:space="preserve"> group</w:t>
            </w:r>
            <w:r>
              <w:rPr>
                <w:lang w:eastAsia="zh-CN"/>
              </w:rPr>
              <w:t xml:space="preserve"> on the active DL BWP of a cell.</w:t>
            </w:r>
          </w:p>
          <w:p>
            <w:pPr>
              <w:widowControl w:val="0"/>
              <w:numPr>
                <w:ilvl w:val="1"/>
                <w:numId w:val="0"/>
              </w:numPr>
              <w:spacing w:line="260" w:lineRule="auto"/>
              <w:jc w:val="both"/>
              <w:rPr>
                <w:rFonts w:ascii="Cambria Math" w:hAnsi="Cambria Math"/>
                <w:lang w:eastAsia="zh-CN"/>
              </w:rPr>
            </w:pPr>
            <w:r>
              <w:rPr>
                <w:rFonts w:hint="eastAsia" w:eastAsia="宋体"/>
                <w:b/>
                <w:bCs/>
                <w:lang w:eastAsia="zh-CN"/>
              </w:rPr>
              <w:t xml:space="preserve">Proposal 2: </w:t>
            </w:r>
            <w:r>
              <w:rPr>
                <w:b/>
                <w:bCs/>
                <w:lang w:eastAsia="zh-CN"/>
              </w:rPr>
              <w:t>If a UE indicates a capability to</w:t>
            </w:r>
            <w:r>
              <w:rPr>
                <w:b/>
                <w:bCs/>
                <w:lang w:eastAsia="ko-KR"/>
              </w:rPr>
              <w:t xml:space="preserve"> monitor PDCCH according to multiple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ctrlPr>
                        <w:rPr>
                          <w:rFonts w:ascii="Cambria Math" w:hAnsi="Cambria Math"/>
                          <w:b/>
                          <w:bCs/>
                          <w:i/>
                          <w:lang w:eastAsia="zh-CN"/>
                        </w:rPr>
                      </m:ctrlPr>
                    </m:e>
                    <m:sub>
                      <m:r>
                        <m:rPr>
                          <m:sty m:val="bi"/>
                        </m:rPr>
                        <w:rPr>
                          <w:rFonts w:ascii="Cambria Math" w:hAnsi="Cambria Math"/>
                          <w:lang w:eastAsia="zh-CN"/>
                        </w:rPr>
                        <m:t>s</m:t>
                      </m:r>
                      <m:ctrlPr>
                        <w:rPr>
                          <w:rFonts w:ascii="Cambria Math" w:hAnsi="Cambria Math"/>
                          <w:b/>
                          <w:bCs/>
                          <w:i/>
                          <w:lang w:eastAsia="zh-CN"/>
                        </w:rPr>
                      </m:ctrlP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ctrlPr>
                        <w:rPr>
                          <w:rFonts w:ascii="Cambria Math" w:hAnsi="Cambria Math"/>
                          <w:b/>
                          <w:bCs/>
                          <w:i/>
                          <w:lang w:eastAsia="zh-CN"/>
                        </w:rPr>
                      </m:ctrlPr>
                    </m:e>
                    <m:sub>
                      <m:r>
                        <m:rPr>
                          <m:sty m:val="bi"/>
                        </m:rPr>
                        <w:rPr>
                          <w:rFonts w:ascii="Cambria Math" w:hAnsi="Cambria Math"/>
                          <w:lang w:eastAsia="zh-CN"/>
                        </w:rPr>
                        <m:t>s</m:t>
                      </m:r>
                      <m:ctrlPr>
                        <w:rPr>
                          <w:rFonts w:ascii="Cambria Math" w:hAnsi="Cambria Math"/>
                          <w:b/>
                          <w:bCs/>
                          <w:i/>
                          <w:lang w:eastAsia="zh-CN"/>
                        </w:rPr>
                      </m:ctrlPr>
                    </m:sub>
                  </m:sSub>
                  <m:ctrlPr>
                    <w:rPr>
                      <w:rFonts w:ascii="Cambria Math" w:hAnsi="Cambria Math"/>
                      <w:b/>
                      <w:bCs/>
                      <w:lang w:eastAsia="zh-CN"/>
                    </w:rPr>
                  </m:ctrlPr>
                </m:e>
              </m:d>
            </m:oMath>
            <w:r>
              <w:rPr>
                <w:b/>
                <w:bCs/>
                <w:lang w:eastAsia="zh-CN"/>
              </w:rPr>
              <w:t xml:space="preserve"> combinations</w:t>
            </w:r>
            <w:r>
              <w:rPr>
                <w:b/>
                <w:bCs/>
                <w:lang w:eastAsia="ko-KR"/>
              </w:rPr>
              <w:t xml:space="preserve"> and </w:t>
            </w:r>
            <w:r>
              <w:rPr>
                <w:rFonts w:hint="eastAsia" w:eastAsia="宋体"/>
                <w:b/>
                <w:bCs/>
                <w:lang w:eastAsia="zh-CN"/>
              </w:rPr>
              <w:t xml:space="preserve">one or more </w:t>
            </w:r>
            <w:r>
              <w:rPr>
                <w:b/>
                <w:bCs/>
                <w:lang w:eastAsia="ko-KR"/>
              </w:rPr>
              <w:t>multiple</w:t>
            </w:r>
            <w:r>
              <w:rPr>
                <w:b/>
                <w:bCs/>
                <w:lang w:eastAsia="zh-CN"/>
              </w:rPr>
              <w:t xml:space="preserve"> combinations</w:t>
            </w:r>
            <w:r>
              <w:rPr>
                <w:b/>
                <w:bCs/>
                <w:lang w:eastAsia="ko-KR"/>
              </w:rPr>
              <w:t xml:space="preserv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ctrlPr>
                        <w:rPr>
                          <w:rFonts w:ascii="Cambria Math" w:hAnsi="Cambria Math"/>
                          <w:b/>
                          <w:bCs/>
                          <w:i/>
                          <w:lang w:eastAsia="zh-CN"/>
                        </w:rPr>
                      </m:ctrlPr>
                    </m:e>
                    <m:sub>
                      <m:r>
                        <m:rPr>
                          <m:sty m:val="bi"/>
                        </m:rPr>
                        <w:rPr>
                          <w:rFonts w:ascii="Cambria Math" w:hAnsi="Cambria Math"/>
                          <w:lang w:eastAsia="zh-CN"/>
                        </w:rPr>
                        <m:t>s</m:t>
                      </m:r>
                      <m:ctrlPr>
                        <w:rPr>
                          <w:rFonts w:ascii="Cambria Math" w:hAnsi="Cambria Math"/>
                          <w:b/>
                          <w:bCs/>
                          <w:i/>
                          <w:lang w:eastAsia="zh-CN"/>
                        </w:rPr>
                      </m:ctrlP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ctrlPr>
                        <w:rPr>
                          <w:rFonts w:ascii="Cambria Math" w:hAnsi="Cambria Math"/>
                          <w:b/>
                          <w:bCs/>
                          <w:i/>
                          <w:lang w:eastAsia="zh-CN"/>
                        </w:rPr>
                      </m:ctrlPr>
                    </m:e>
                    <m:sub>
                      <m:r>
                        <m:rPr>
                          <m:sty m:val="bi"/>
                        </m:rPr>
                        <w:rPr>
                          <w:rFonts w:ascii="Cambria Math" w:hAnsi="Cambria Math"/>
                          <w:lang w:eastAsia="zh-CN"/>
                        </w:rPr>
                        <m:t>s</m:t>
                      </m:r>
                      <m:ctrlPr>
                        <w:rPr>
                          <w:rFonts w:ascii="Cambria Math" w:hAnsi="Cambria Math"/>
                          <w:b/>
                          <w:bCs/>
                          <w:i/>
                          <w:lang w:eastAsia="zh-CN"/>
                        </w:rPr>
                      </m:ctrlPr>
                    </m:sub>
                  </m:sSub>
                  <m:ctrlPr>
                    <w:rPr>
                      <w:rFonts w:ascii="Cambria Math" w:hAnsi="Cambria Math"/>
                      <w:b/>
                      <w:bCs/>
                      <w:lang w:eastAsia="zh-CN"/>
                    </w:rPr>
                  </m:ctrlPr>
                </m:e>
              </m:d>
            </m:oMath>
            <w:r>
              <w:rPr>
                <w:rFonts w:hint="eastAsia" w:eastAsia="宋体"/>
                <w:b/>
                <w:bCs/>
                <w:lang w:eastAsia="zh-CN"/>
              </w:rPr>
              <w:t xml:space="preserve"> can meet the</w:t>
            </w:r>
            <w:r>
              <w:rPr>
                <w:b/>
                <w:bCs/>
                <w:lang w:eastAsia="ko-KR"/>
              </w:rPr>
              <w:t xml:space="preserve"> configuration of search space sets to the UE for PDCCH monitoring on a cell</w:t>
            </w:r>
            <w:r>
              <w:rPr>
                <w:rFonts w:hint="eastAsia" w:eastAsia="宋体"/>
                <w:b/>
                <w:bCs/>
                <w:lang w:eastAsia="zh-CN"/>
              </w:rPr>
              <w:t xml:space="preserve">, </w:t>
            </w:r>
            <w:r>
              <w:rPr>
                <w:rFonts w:hint="eastAsia"/>
                <w:b/>
                <w:bCs/>
                <w:lang w:eastAsia="zh-CN"/>
              </w:rPr>
              <w:t xml:space="preserve">we need to consider RRC signaling to configure the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ctrlPr>
                        <w:rPr>
                          <w:rFonts w:ascii="Cambria Math" w:hAnsi="Cambria Math"/>
                          <w:b/>
                          <w:bCs/>
                          <w:i/>
                          <w:lang w:eastAsia="zh-CN"/>
                        </w:rPr>
                      </m:ctrlPr>
                    </m:e>
                    <m:sub>
                      <m:r>
                        <m:rPr>
                          <m:sty m:val="bi"/>
                        </m:rPr>
                        <w:rPr>
                          <w:rFonts w:ascii="Cambria Math" w:hAnsi="Cambria Math"/>
                          <w:lang w:eastAsia="zh-CN"/>
                        </w:rPr>
                        <m:t>s</m:t>
                      </m:r>
                      <m:ctrlPr>
                        <w:rPr>
                          <w:rFonts w:ascii="Cambria Math" w:hAnsi="Cambria Math"/>
                          <w:b/>
                          <w:bCs/>
                          <w:i/>
                          <w:lang w:eastAsia="zh-CN"/>
                        </w:rPr>
                      </m:ctrlP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ctrlPr>
                        <w:rPr>
                          <w:rFonts w:ascii="Cambria Math" w:hAnsi="Cambria Math"/>
                          <w:b/>
                          <w:bCs/>
                          <w:i/>
                          <w:lang w:eastAsia="zh-CN"/>
                        </w:rPr>
                      </m:ctrlPr>
                    </m:e>
                    <m:sub>
                      <m:r>
                        <m:rPr>
                          <m:sty m:val="bi"/>
                        </m:rPr>
                        <w:rPr>
                          <w:rFonts w:ascii="Cambria Math" w:hAnsi="Cambria Math"/>
                          <w:lang w:eastAsia="zh-CN"/>
                        </w:rPr>
                        <m:t>s</m:t>
                      </m:r>
                      <m:ctrlPr>
                        <w:rPr>
                          <w:rFonts w:ascii="Cambria Math" w:hAnsi="Cambria Math"/>
                          <w:b/>
                          <w:bCs/>
                          <w:i/>
                          <w:lang w:eastAsia="zh-CN"/>
                        </w:rPr>
                      </m:ctrlPr>
                    </m:sub>
                  </m:sSub>
                  <m:ctrlPr>
                    <w:rPr>
                      <w:rFonts w:ascii="Cambria Math" w:hAnsi="Cambria Math"/>
                      <w:b/>
                      <w:bCs/>
                      <w:i/>
                    </w:rPr>
                  </m:ctrlPr>
                </m:e>
              </m:d>
            </m:oMath>
            <w:r>
              <w:rPr>
                <w:rFonts w:hint="eastAsia" w:ascii="Cambria Math" w:hAnsi="Cambria Math" w:eastAsia="宋体"/>
                <w:b/>
                <w:bCs/>
                <w:lang w:eastAsia="zh-CN"/>
              </w:rPr>
              <w:t xml:space="preserve"> </w:t>
            </w:r>
            <w:r>
              <w:rPr>
                <w:rFonts w:eastAsia="宋体"/>
                <w:b/>
                <w:bCs/>
                <w:lang w:eastAsia="zh-CN"/>
              </w:rPr>
              <w:t>for flexible scheduling</w:t>
            </w:r>
            <w:r>
              <w:rPr>
                <w:rFonts w:hint="eastAsia" w:eastAsia="宋体"/>
                <w:b/>
                <w:bCs/>
                <w:lang w:eastAsia="zh-CN"/>
              </w:rPr>
              <w:t xml:space="preserve">. Moreover, </w:t>
            </w:r>
            <w:r>
              <w:rPr>
                <w:rFonts w:hint="eastAsia"/>
                <w:b/>
                <w:bCs/>
                <w:lang w:eastAsia="zh-CN"/>
              </w:rPr>
              <w:t>t</w:t>
            </w:r>
            <w:r>
              <w:rPr>
                <w:b/>
                <w:bCs/>
                <w:lang w:eastAsia="zh-CN"/>
              </w:rPr>
              <w:t xml:space="preserve">he UE expects to monitor PDCCH according to the same </w:t>
            </w:r>
            <w:r>
              <w:rPr>
                <w:b/>
                <w:bCs/>
                <w:lang w:eastAsia="ko-KR"/>
              </w:rPr>
              <w:t xml:space="preserve">combination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ctrlPr>
                        <w:rPr>
                          <w:rFonts w:ascii="Cambria Math" w:hAnsi="Cambria Math"/>
                          <w:b/>
                          <w:bCs/>
                          <w:i/>
                          <w:lang w:eastAsia="zh-CN"/>
                        </w:rPr>
                      </m:ctrlPr>
                    </m:e>
                    <m:sub>
                      <m:r>
                        <m:rPr>
                          <m:sty m:val="bi"/>
                        </m:rPr>
                        <w:rPr>
                          <w:rFonts w:ascii="Cambria Math" w:hAnsi="Cambria Math"/>
                          <w:lang w:eastAsia="zh-CN"/>
                        </w:rPr>
                        <m:t>s</m:t>
                      </m:r>
                      <m:ctrlPr>
                        <w:rPr>
                          <w:rFonts w:ascii="Cambria Math" w:hAnsi="Cambria Math"/>
                          <w:b/>
                          <w:bCs/>
                          <w:i/>
                          <w:lang w:eastAsia="zh-CN"/>
                        </w:rPr>
                      </m:ctrlP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ctrlPr>
                        <w:rPr>
                          <w:rFonts w:ascii="Cambria Math" w:hAnsi="Cambria Math"/>
                          <w:b/>
                          <w:bCs/>
                          <w:i/>
                          <w:lang w:eastAsia="zh-CN"/>
                        </w:rPr>
                      </m:ctrlPr>
                    </m:e>
                    <m:sub>
                      <m:r>
                        <m:rPr>
                          <m:sty m:val="bi"/>
                        </m:rPr>
                        <w:rPr>
                          <w:rFonts w:ascii="Cambria Math" w:hAnsi="Cambria Math"/>
                          <w:lang w:eastAsia="zh-CN"/>
                        </w:rPr>
                        <m:t>s</m:t>
                      </m:r>
                      <m:ctrlPr>
                        <w:rPr>
                          <w:rFonts w:ascii="Cambria Math" w:hAnsi="Cambria Math"/>
                          <w:b/>
                          <w:bCs/>
                          <w:i/>
                          <w:lang w:eastAsia="zh-CN"/>
                        </w:rPr>
                      </m:ctrlPr>
                    </m:sub>
                  </m:sSub>
                  <m:ctrlPr>
                    <w:rPr>
                      <w:rFonts w:ascii="Cambria Math" w:hAnsi="Cambria Math"/>
                      <w:b/>
                      <w:bCs/>
                      <w:i/>
                    </w:rPr>
                  </m:ctrlPr>
                </m:e>
              </m:d>
            </m:oMath>
            <w:r>
              <w:rPr>
                <w:rFonts w:hint="eastAsia"/>
                <w:b/>
                <w:bCs/>
                <w:lang w:eastAsia="zh-CN"/>
              </w:rPr>
              <w:t xml:space="preserve"> </w:t>
            </w:r>
            <w:r>
              <w:rPr>
                <w:b/>
                <w:bCs/>
                <w:lang w:eastAsia="zh-CN"/>
              </w:rPr>
              <w:t>in every slot</w:t>
            </w:r>
            <w:r>
              <w:rPr>
                <w:rFonts w:hint="eastAsia"/>
                <w:b/>
                <w:bCs/>
                <w:lang w:eastAsia="zh-CN"/>
              </w:rPr>
              <w:t xml:space="preserve"> group</w:t>
            </w:r>
            <w:r>
              <w:rPr>
                <w:b/>
                <w:bCs/>
                <w:lang w:eastAsia="zh-CN"/>
              </w:rPr>
              <w:t xml:space="preserve"> on the active DL BWP of a cell.</w:t>
            </w:r>
          </w:p>
          <w:p>
            <w:pPr>
              <w:widowControl w:val="0"/>
              <w:jc w:val="both"/>
              <w:rPr>
                <w:rFonts w:eastAsia="宋体"/>
                <w:b/>
                <w:lang w:eastAsia="zh-CN"/>
              </w:rPr>
            </w:pPr>
          </w:p>
        </w:tc>
      </w:tr>
    </w:tbl>
    <w:p>
      <w:pPr>
        <w:rPr>
          <w:lang w:eastAsia="zh-CN"/>
        </w:rPr>
      </w:pPr>
    </w:p>
    <w:p>
      <w:pPr>
        <w:pStyle w:val="4"/>
      </w:pPr>
      <w:r>
        <w:t>R1-2201471 (NTT DOCOMO)</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szCs w:val="18"/>
              </w:rPr>
            </w:pPr>
            <w:r>
              <w:rPr>
                <w:szCs w:val="18"/>
              </w:rPr>
              <w:t>In our understanding, the dropped USS can be different depending on which BD/CCE budget to apply. Thus, it is necessary to define the rule to avoid misunderstanding between UE and gNB on which BD/CCE budget to apply, especially for the case when UE supports multiple combinations of (Xs, Ys) and multiple combinations of them can meet the SS set configuration by gNB. For multi-slot PDCCH monitoring, BD/CCE budget is defined depending on the value of X, and Y is irrelevant. In that sense, it is sufficient to specify the rule to determine Xs when multiple (Xs, Ys) meet SS set configuration and which Y to apply can be implicitly indicated by SS set configuration.</w:t>
            </w:r>
            <w:r>
              <w:rPr>
                <w:rFonts w:hint="eastAsia"/>
                <w:szCs w:val="18"/>
              </w:rPr>
              <w:t xml:space="preserve"> </w:t>
            </w:r>
            <w:r>
              <w:rPr>
                <w:szCs w:val="18"/>
              </w:rPr>
              <w:t xml:space="preserve">At the last RAN1 meeting, some companies pointed out that (X, Y) determination rule </w:t>
            </w:r>
            <w:r>
              <w:rPr>
                <w:rFonts w:hint="eastAsia"/>
                <w:szCs w:val="18"/>
              </w:rPr>
              <w:t>a</w:t>
            </w:r>
            <w:r>
              <w:rPr>
                <w:szCs w:val="18"/>
              </w:rPr>
              <w:t xml:space="preserve">lready exists for URLLC in Rel-16. More specifically, when UE indicates a capability to monitor PDCCH according to one or more of (X, Y) combinations and multiple combinations of them meet a SS set configuration to the UE, the UE monitors PDCCH according to </w:t>
            </w:r>
            <w:bookmarkStart w:id="14" w:name="_Hlk95720099"/>
            <w:r>
              <w:rPr>
                <w:szCs w:val="18"/>
              </w:rPr>
              <w:t>the combination (X, Y) which associates with the largest maximum number of BD/CCE</w:t>
            </w:r>
            <w:bookmarkEnd w:id="14"/>
            <w:r>
              <w:rPr>
                <w:szCs w:val="18"/>
              </w:rPr>
              <w:t xml:space="preserve"> for span PDCCH monitoring. This rule can be expanded for multi-slot PDCCH monitoring, i.e., the UE monitors PDCCH according to the X which associates with the largest maximum number of BD/CCE. </w:t>
            </w:r>
          </w:p>
          <w:p>
            <w:pPr>
              <w:widowControl w:val="0"/>
              <w:rPr>
                <w:szCs w:val="18"/>
              </w:rPr>
            </w:pPr>
          </w:p>
          <w:p>
            <w:pPr>
              <w:widowControl w:val="0"/>
              <w:rPr>
                <w:b/>
                <w:bCs/>
                <w:szCs w:val="18"/>
              </w:rPr>
            </w:pPr>
            <w:r>
              <w:rPr>
                <w:b/>
                <w:bCs/>
                <w:szCs w:val="18"/>
              </w:rPr>
              <w:t xml:space="preserve">Proposal 1: If a UE supports multiple combinations of (Xs, Ys) and more than one combination comply with SS set configuration by gNB, the UE monitors PDCCH on a cell with according to the Xs which associates with </w:t>
            </w:r>
            <w:r>
              <w:rPr>
                <w:rFonts w:hint="eastAsia"/>
                <w:b/>
                <w:bCs/>
                <w:szCs w:val="18"/>
              </w:rPr>
              <w:t>t</w:t>
            </w:r>
            <w:r>
              <w:rPr>
                <w:b/>
                <w:bCs/>
                <w:szCs w:val="18"/>
              </w:rPr>
              <w:t>he largest maximum number of BD/CCE.</w:t>
            </w:r>
          </w:p>
          <w:p>
            <w:pPr>
              <w:widowControl w:val="0"/>
              <w:jc w:val="both"/>
              <w:rPr>
                <w:b/>
                <w:u w:val="single"/>
              </w:rPr>
            </w:pPr>
          </w:p>
        </w:tc>
      </w:tr>
    </w:tbl>
    <w:p>
      <w:pPr>
        <w:rPr>
          <w:lang w:eastAsia="zh-CN"/>
        </w:rPr>
      </w:pPr>
    </w:p>
    <w:p>
      <w:pPr>
        <w:pStyle w:val="4"/>
      </w:pPr>
      <w:r>
        <w:t>R1-2201542 (Spreadtrum)</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afterLines="50"/>
              <w:rPr>
                <w:lang w:eastAsia="zh-CN"/>
              </w:rPr>
            </w:pPr>
            <w:r>
              <w:rPr>
                <w:lang w:eastAsia="zh-CN"/>
              </w:rPr>
              <w:t>As pointed out by many companies in the last RAN1 meeting, the determination of (X, Y) when multiple combinations are reported by UE is similar to Rel-16 span-based capability reporting. Since Rel-16 already specified a rule for this issue(as follows), the same handling method as Rel-16 URLLC can be used, i.e., the UE monitors PDCCH according to the combination (X,Y) that is associated with the largest maximum number of BD and CCE. While some other companies prefer a simple way to determine the active combination (X, Y), that is configure the actual (X,Y) value to the UE via RRC.</w:t>
            </w:r>
          </w:p>
          <w:tbl>
            <w:tblPr>
              <w:tblStyle w:val="55"/>
              <w:tblW w:w="930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0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07" w:type="dxa"/>
                  <w:vAlign w:val="center"/>
                </w:tcPr>
                <w:p>
                  <w:pPr>
                    <w:widowControl w:val="0"/>
                    <w:spacing w:before="120" w:after="0"/>
                    <w:rPr>
                      <w:i/>
                      <w:sz w:val="20"/>
                      <w:lang w:eastAsia="zh-CN"/>
                    </w:rPr>
                  </w:pPr>
                  <w:r>
                    <w:rPr>
                      <w:rFonts w:hint="eastAsia"/>
                      <w:i/>
                      <w:sz w:val="20"/>
                      <w:lang w:eastAsia="zh-CN"/>
                    </w:rPr>
                    <w:t>3</w:t>
                  </w:r>
                  <w:r>
                    <w:rPr>
                      <w:i/>
                      <w:sz w:val="20"/>
                      <w:lang w:eastAsia="zh-CN"/>
                    </w:rPr>
                    <w:t>8.213 10.1</w:t>
                  </w:r>
                </w:p>
                <w:p>
                  <w:pPr>
                    <w:widowControl w:val="0"/>
                    <w:rPr>
                      <w:i/>
                      <w:lang w:eastAsia="zh-CN"/>
                    </w:rPr>
                  </w:pPr>
                  <w:r>
                    <w:rPr>
                      <w:i/>
                      <w:sz w:val="20"/>
                      <w:lang w:eastAsia="zh-CN"/>
                    </w:rPr>
                    <w:t>If a UE indicates a capability to</w:t>
                  </w:r>
                  <w:r>
                    <w:rPr>
                      <w:i/>
                      <w:sz w:val="20"/>
                      <w:lang w:eastAsia="ko-KR"/>
                    </w:rPr>
                    <w:t xml:space="preserve"> monitor PDCCH according to multiple </w:t>
                  </w:r>
                  <m:oMath>
                    <m:d>
                      <m:dPr>
                        <m:ctrlPr>
                          <w:rPr>
                            <w:rFonts w:ascii="Cambria Math" w:hAnsi="Cambria Math"/>
                            <w:i/>
                            <w:sz w:val="20"/>
                            <w:lang w:eastAsia="zh-CN"/>
                          </w:rPr>
                        </m:ctrlPr>
                      </m:dPr>
                      <m:e>
                        <m:r>
                          <w:rPr>
                            <w:rFonts w:ascii="Cambria Math" w:hAnsi="Cambria Math"/>
                            <w:sz w:val="20"/>
                            <w:lang w:eastAsia="zh-CN"/>
                          </w:rPr>
                          <m:t>X,Y</m:t>
                        </m:r>
                        <m:ctrlPr>
                          <w:rPr>
                            <w:rFonts w:ascii="Cambria Math" w:hAnsi="Cambria Math"/>
                            <w:i/>
                            <w:sz w:val="20"/>
                            <w:lang w:eastAsia="zh-CN"/>
                          </w:rPr>
                        </m:ctrlPr>
                      </m:e>
                    </m:d>
                  </m:oMath>
                  <w:r>
                    <w:rPr>
                      <w:i/>
                      <w:sz w:val="20"/>
                      <w:lang w:eastAsia="zh-CN"/>
                    </w:rPr>
                    <w:t xml:space="preserve"> combinations</w:t>
                  </w:r>
                  <w:r>
                    <w:rPr>
                      <w:i/>
                      <w:sz w:val="20"/>
                      <w:lang w:eastAsia="ko-KR"/>
                    </w:rPr>
                    <w:t xml:space="preserve"> and a configuration of search space sets to the UE for PDCCH monitoring on a cell results to a separation of every two consecutive PDCCH monitoring spans</w:t>
                  </w:r>
                  <w:r>
                    <w:rPr>
                      <w:i/>
                      <w:sz w:val="20"/>
                    </w:rPr>
                    <w:t xml:space="preserve"> that is equal to or larger than the value of </w:t>
                  </w:r>
                  <m:oMath>
                    <m:r>
                      <w:rPr>
                        <w:rFonts w:ascii="Cambria Math" w:hAnsi="Cambria Math"/>
                        <w:sz w:val="20"/>
                      </w:rPr>
                      <m:t>X</m:t>
                    </m:r>
                  </m:oMath>
                  <w:r>
                    <w:rPr>
                      <w:i/>
                      <w:sz w:val="20"/>
                    </w:rPr>
                    <w:t xml:space="preserve"> for one or more of the multiple </w:t>
                  </w:r>
                  <w:r>
                    <w:rPr>
                      <w:i/>
                      <w:sz w:val="20"/>
                      <w:lang w:eastAsia="ko-KR"/>
                    </w:rPr>
                    <w:t xml:space="preserve">combinations </w:t>
                  </w:r>
                  <m:oMath>
                    <m:d>
                      <m:dPr>
                        <m:ctrlPr>
                          <w:rPr>
                            <w:rFonts w:ascii="Cambria Math" w:hAnsi="Cambria Math"/>
                            <w:i/>
                            <w:sz w:val="20"/>
                            <w:lang w:eastAsia="zh-CN"/>
                          </w:rPr>
                        </m:ctrlPr>
                      </m:dPr>
                      <m:e>
                        <m:r>
                          <w:rPr>
                            <w:rFonts w:ascii="Cambria Math" w:hAnsi="Cambria Math"/>
                            <w:sz w:val="20"/>
                            <w:lang w:eastAsia="zh-CN"/>
                          </w:rPr>
                          <m:t>X,Y</m:t>
                        </m:r>
                        <m:ctrlPr>
                          <w:rPr>
                            <w:rFonts w:ascii="Cambria Math" w:hAnsi="Cambria Math"/>
                            <w:i/>
                            <w:sz w:val="20"/>
                            <w:lang w:eastAsia="zh-CN"/>
                          </w:rPr>
                        </m:ctrlPr>
                      </m:e>
                    </m:d>
                  </m:oMath>
                  <w:r>
                    <w:rPr>
                      <w:i/>
                      <w:sz w:val="20"/>
                    </w:rPr>
                    <w:t xml:space="preserve">, the UE monitors PDCCH on the cell according to the </w:t>
                  </w:r>
                  <w:r>
                    <w:rPr>
                      <w:i/>
                      <w:sz w:val="20"/>
                      <w:lang w:eastAsia="ko-KR"/>
                    </w:rPr>
                    <w:t xml:space="preserve">combination </w:t>
                  </w:r>
                  <m:oMath>
                    <m:d>
                      <m:dPr>
                        <m:ctrlPr>
                          <w:rPr>
                            <w:rFonts w:ascii="Cambria Math" w:hAnsi="Cambria Math"/>
                            <w:i/>
                            <w:sz w:val="20"/>
                            <w:lang w:eastAsia="zh-CN"/>
                          </w:rPr>
                        </m:ctrlPr>
                      </m:dPr>
                      <m:e>
                        <m:r>
                          <w:rPr>
                            <w:rFonts w:ascii="Cambria Math" w:hAnsi="Cambria Math"/>
                            <w:sz w:val="20"/>
                            <w:lang w:eastAsia="zh-CN"/>
                          </w:rPr>
                          <m:t>X,Y</m:t>
                        </m:r>
                        <m:ctrlPr>
                          <w:rPr>
                            <w:rFonts w:ascii="Cambria Math" w:hAnsi="Cambria Math"/>
                            <w:i/>
                            <w:sz w:val="20"/>
                            <w:lang w:eastAsia="zh-CN"/>
                          </w:rPr>
                        </m:ctrlPr>
                      </m:e>
                    </m:d>
                  </m:oMath>
                  <w:r>
                    <w:rPr>
                      <w:i/>
                      <w:sz w:val="20"/>
                      <w:lang w:eastAsia="zh-CN"/>
                    </w:rPr>
                    <w:t>,</w:t>
                  </w:r>
                  <w:r>
                    <w:rPr>
                      <w:i/>
                      <w:sz w:val="20"/>
                    </w:rPr>
                    <w:t xml:space="preserve"> from the one or more </w:t>
                  </w:r>
                  <w:r>
                    <w:rPr>
                      <w:i/>
                      <w:sz w:val="20"/>
                      <w:lang w:eastAsia="ko-KR"/>
                    </w:rPr>
                    <w:t xml:space="preserve">combinations </w:t>
                  </w:r>
                  <m:oMath>
                    <m:d>
                      <m:dPr>
                        <m:ctrlPr>
                          <w:rPr>
                            <w:rFonts w:ascii="Cambria Math" w:hAnsi="Cambria Math"/>
                            <w:i/>
                            <w:sz w:val="20"/>
                            <w:lang w:eastAsia="zh-CN"/>
                          </w:rPr>
                        </m:ctrlPr>
                      </m:dPr>
                      <m:e>
                        <m:r>
                          <w:rPr>
                            <w:rFonts w:ascii="Cambria Math" w:hAnsi="Cambria Math"/>
                            <w:sz w:val="20"/>
                            <w:lang w:eastAsia="zh-CN"/>
                          </w:rPr>
                          <m:t>X,Y</m:t>
                        </m:r>
                        <m:ctrlPr>
                          <w:rPr>
                            <w:rFonts w:ascii="Cambria Math" w:hAnsi="Cambria Math"/>
                            <w:i/>
                            <w:sz w:val="20"/>
                            <w:lang w:eastAsia="zh-CN"/>
                          </w:rPr>
                        </m:ctrlPr>
                      </m:e>
                    </m:d>
                  </m:oMath>
                  <w:r>
                    <w:rPr>
                      <w:i/>
                      <w:sz w:val="20"/>
                      <w:lang w:eastAsia="zh-CN"/>
                    </w:rPr>
                    <w:t>,</w:t>
                  </w:r>
                  <w:r>
                    <w:rPr>
                      <w:i/>
                      <w:sz w:val="20"/>
                    </w:rPr>
                    <w:t xml:space="preserve"> that is associated with the largest maximum number of </w:t>
                  </w:r>
                  <m:oMath>
                    <m:sSubSup>
                      <m:sSubSupPr>
                        <m:ctrlPr>
                          <w:rPr>
                            <w:rFonts w:ascii="Cambria Math" w:hAnsi="Cambria Math"/>
                            <w:i/>
                            <w:sz w:val="20"/>
                            <w:lang w:eastAsia="zh-CN"/>
                          </w:rPr>
                        </m:ctrlPr>
                      </m:sSubSupPr>
                      <m:e>
                        <m:r>
                          <w:rPr>
                            <w:rFonts w:ascii="Cambria Math" w:hAnsi="Cambria Math"/>
                            <w:sz w:val="20"/>
                            <w:lang w:eastAsia="zh-CN"/>
                          </w:rPr>
                          <m:t>M</m:t>
                        </m:r>
                        <m:ctrlPr>
                          <w:rPr>
                            <w:rFonts w:ascii="Cambria Math" w:hAnsi="Cambria Math"/>
                            <w:i/>
                            <w:sz w:val="20"/>
                            <w:lang w:eastAsia="zh-CN"/>
                          </w:rPr>
                        </m:ctrlPr>
                      </m:e>
                      <m:sub>
                        <m:r>
                          <w:rPr>
                            <w:rFonts w:ascii="Cambria Math" w:hAnsi="Cambria Math"/>
                            <w:sz w:val="20"/>
                            <w:lang w:eastAsia="zh-CN"/>
                          </w:rPr>
                          <m:t>PDCCH</m:t>
                        </m:r>
                        <m:ctrlPr>
                          <w:rPr>
                            <w:rFonts w:ascii="Cambria Math" w:hAnsi="Cambria Math"/>
                            <w:i/>
                            <w:sz w:val="20"/>
                            <w:lang w:eastAsia="zh-CN"/>
                          </w:rPr>
                        </m:ctrlPr>
                      </m:sub>
                      <m:sup>
                        <m:r>
                          <w:rPr>
                            <w:rFonts w:ascii="Cambria Math" w:hAnsi="Cambria Math"/>
                            <w:sz w:val="20"/>
                            <w:lang w:eastAsia="zh-CN"/>
                          </w:rPr>
                          <m:t>max,</m:t>
                        </m:r>
                        <m:d>
                          <m:dPr>
                            <m:ctrlPr>
                              <w:rPr>
                                <w:rFonts w:ascii="Cambria Math" w:hAnsi="Cambria Math"/>
                                <w:i/>
                                <w:sz w:val="20"/>
                                <w:lang w:eastAsia="zh-CN"/>
                              </w:rPr>
                            </m:ctrlPr>
                          </m:dPr>
                          <m:e>
                            <m:r>
                              <w:rPr>
                                <w:rFonts w:ascii="Cambria Math" w:hAnsi="Cambria Math"/>
                                <w:sz w:val="20"/>
                                <w:lang w:eastAsia="zh-CN"/>
                              </w:rPr>
                              <m:t>X,Y</m:t>
                            </m:r>
                            <m:ctrlPr>
                              <w:rPr>
                                <w:rFonts w:ascii="Cambria Math" w:hAnsi="Cambria Math"/>
                                <w:i/>
                                <w:sz w:val="20"/>
                                <w:lang w:eastAsia="zh-CN"/>
                              </w:rPr>
                            </m:ctrlPr>
                          </m:e>
                        </m:d>
                        <m:r>
                          <w:rPr>
                            <w:rFonts w:ascii="Cambria Math" w:hAnsi="Cambria Math"/>
                            <w:sz w:val="20"/>
                            <w:lang w:eastAsia="zh-CN"/>
                          </w:rPr>
                          <m:t>,μ</m:t>
                        </m:r>
                        <m:ctrlPr>
                          <w:rPr>
                            <w:rFonts w:ascii="Cambria Math" w:hAnsi="Cambria Math"/>
                            <w:i/>
                            <w:sz w:val="20"/>
                            <w:lang w:eastAsia="zh-CN"/>
                          </w:rPr>
                        </m:ctrlPr>
                      </m:sup>
                    </m:sSubSup>
                  </m:oMath>
                  <w:r>
                    <w:rPr>
                      <w:i/>
                      <w:sz w:val="20"/>
                      <w:lang w:eastAsia="zh-CN"/>
                    </w:rPr>
                    <w:t xml:space="preserve"> and </w:t>
                  </w:r>
                  <m:oMath>
                    <m:sSubSup>
                      <m:sSubSupPr>
                        <m:ctrlPr>
                          <w:rPr>
                            <w:rFonts w:ascii="Cambria Math" w:hAnsi="Cambria Math"/>
                            <w:i/>
                            <w:sz w:val="20"/>
                            <w:lang w:eastAsia="zh-CN"/>
                          </w:rPr>
                        </m:ctrlPr>
                      </m:sSubSupPr>
                      <m:e>
                        <m:r>
                          <w:rPr>
                            <w:rFonts w:ascii="Cambria Math" w:hAnsi="Cambria Math"/>
                            <w:sz w:val="20"/>
                            <w:lang w:eastAsia="zh-CN"/>
                          </w:rPr>
                          <m:t>C</m:t>
                        </m:r>
                        <m:ctrlPr>
                          <w:rPr>
                            <w:rFonts w:ascii="Cambria Math" w:hAnsi="Cambria Math"/>
                            <w:i/>
                            <w:sz w:val="20"/>
                            <w:lang w:eastAsia="zh-CN"/>
                          </w:rPr>
                        </m:ctrlPr>
                      </m:e>
                      <m:sub>
                        <m:r>
                          <w:rPr>
                            <w:rFonts w:ascii="Cambria Math" w:hAnsi="Cambria Math"/>
                            <w:sz w:val="20"/>
                            <w:lang w:eastAsia="zh-CN"/>
                          </w:rPr>
                          <m:t>PDCCH</m:t>
                        </m:r>
                        <m:ctrlPr>
                          <w:rPr>
                            <w:rFonts w:ascii="Cambria Math" w:hAnsi="Cambria Math"/>
                            <w:i/>
                            <w:sz w:val="20"/>
                            <w:lang w:eastAsia="zh-CN"/>
                          </w:rPr>
                        </m:ctrlPr>
                      </m:sub>
                      <m:sup>
                        <m:r>
                          <w:rPr>
                            <w:rFonts w:ascii="Cambria Math" w:hAnsi="Cambria Math"/>
                            <w:sz w:val="20"/>
                            <w:lang w:eastAsia="zh-CN"/>
                          </w:rPr>
                          <m:t>max,</m:t>
                        </m:r>
                        <m:d>
                          <m:dPr>
                            <m:ctrlPr>
                              <w:rPr>
                                <w:rFonts w:ascii="Cambria Math" w:hAnsi="Cambria Math"/>
                                <w:i/>
                                <w:sz w:val="20"/>
                                <w:lang w:eastAsia="zh-CN"/>
                              </w:rPr>
                            </m:ctrlPr>
                          </m:dPr>
                          <m:e>
                            <m:r>
                              <w:rPr>
                                <w:rFonts w:ascii="Cambria Math" w:hAnsi="Cambria Math"/>
                                <w:sz w:val="20"/>
                                <w:lang w:eastAsia="zh-CN"/>
                              </w:rPr>
                              <m:t>X,Y</m:t>
                            </m:r>
                            <m:ctrlPr>
                              <w:rPr>
                                <w:rFonts w:ascii="Cambria Math" w:hAnsi="Cambria Math"/>
                                <w:i/>
                                <w:sz w:val="20"/>
                                <w:lang w:eastAsia="zh-CN"/>
                              </w:rPr>
                            </m:ctrlPr>
                          </m:e>
                        </m:d>
                        <m:r>
                          <w:rPr>
                            <w:rFonts w:ascii="Cambria Math" w:hAnsi="Cambria Math"/>
                            <w:sz w:val="20"/>
                            <w:lang w:eastAsia="zh-CN"/>
                          </w:rPr>
                          <m:t>,μ</m:t>
                        </m:r>
                        <m:ctrlPr>
                          <w:rPr>
                            <w:rFonts w:ascii="Cambria Math" w:hAnsi="Cambria Math"/>
                            <w:i/>
                            <w:sz w:val="20"/>
                            <w:lang w:eastAsia="zh-CN"/>
                          </w:rPr>
                        </m:ctrlPr>
                      </m:sup>
                    </m:sSubSup>
                  </m:oMath>
                  <w:r>
                    <w:rPr>
                      <w:i/>
                      <w:sz w:val="20"/>
                      <w:lang w:eastAsia="zh-CN"/>
                    </w:rPr>
                    <w:t xml:space="preserve"> defined in </w:t>
                  </w:r>
                  <w:r>
                    <w:rPr>
                      <w:i/>
                      <w:sz w:val="20"/>
                    </w:rPr>
                    <w:t>Table 10.1-2A and</w:t>
                  </w:r>
                  <w:r>
                    <w:rPr>
                      <w:i/>
                      <w:sz w:val="20"/>
                      <w:lang w:eastAsia="zh-CN"/>
                    </w:rPr>
                    <w:t xml:space="preserve"> </w:t>
                  </w:r>
                  <w:r>
                    <w:rPr>
                      <w:i/>
                      <w:sz w:val="20"/>
                    </w:rPr>
                    <w:t>Table 10.1-3A</w:t>
                  </w:r>
                  <w:r>
                    <w:rPr>
                      <w:i/>
                      <w:sz w:val="20"/>
                      <w:lang w:eastAsia="zh-CN"/>
                    </w:rPr>
                    <w:t xml:space="preserve">. </w:t>
                  </w:r>
                  <w:r>
                    <w:rPr>
                      <w:i/>
                      <w:color w:val="000000" w:themeColor="text1"/>
                      <w:sz w:val="20"/>
                      <w:lang w:eastAsia="zh-CN"/>
                      <w14:textFill>
                        <w14:solidFill>
                          <w14:schemeClr w14:val="tx1"/>
                        </w14:solidFill>
                      </w14:textFill>
                    </w:rPr>
                    <w:t xml:space="preserve">The UE expects to monitor PDCCH according to the same </w:t>
                  </w:r>
                  <w:r>
                    <w:rPr>
                      <w:i/>
                      <w:sz w:val="20"/>
                      <w:lang w:eastAsia="ko-KR"/>
                    </w:rPr>
                    <w:t xml:space="preserve">combination </w:t>
                  </w:r>
                  <m:oMath>
                    <m:d>
                      <m:dPr>
                        <m:ctrlPr>
                          <w:rPr>
                            <w:rFonts w:ascii="Cambria Math" w:hAnsi="Cambria Math"/>
                            <w:i/>
                            <w:sz w:val="20"/>
                            <w:lang w:eastAsia="zh-CN"/>
                          </w:rPr>
                        </m:ctrlPr>
                      </m:dPr>
                      <m:e>
                        <m:r>
                          <w:rPr>
                            <w:rFonts w:ascii="Cambria Math" w:hAnsi="Cambria Math"/>
                            <w:sz w:val="20"/>
                            <w:lang w:eastAsia="zh-CN"/>
                          </w:rPr>
                          <m:t>X,Y</m:t>
                        </m:r>
                        <m:ctrlPr>
                          <w:rPr>
                            <w:rFonts w:ascii="Cambria Math" w:hAnsi="Cambria Math"/>
                            <w:i/>
                            <w:sz w:val="20"/>
                            <w:lang w:eastAsia="zh-CN"/>
                          </w:rPr>
                        </m:ctrlPr>
                      </m:e>
                    </m:d>
                  </m:oMath>
                  <w:r>
                    <w:rPr>
                      <w:i/>
                      <w:color w:val="000000" w:themeColor="text1"/>
                      <w:sz w:val="20"/>
                      <w:lang w:eastAsia="zh-CN"/>
                      <w14:textFill>
                        <w14:solidFill>
                          <w14:schemeClr w14:val="tx1"/>
                        </w14:solidFill>
                      </w14:textFill>
                    </w:rPr>
                    <w:t xml:space="preserve"> in every slot on the active DL BWP of a cell</w:t>
                  </w:r>
                  <w:r>
                    <w:rPr>
                      <w:i/>
                      <w:sz w:val="20"/>
                      <w:lang w:eastAsia="zh-CN"/>
                    </w:rPr>
                    <w:t>.</w:t>
                  </w:r>
                </w:p>
              </w:tc>
            </w:tr>
          </w:tbl>
          <w:p>
            <w:pPr>
              <w:widowControl w:val="0"/>
              <w:spacing w:before="120" w:after="0"/>
              <w:rPr>
                <w:lang w:eastAsia="zh-CN"/>
              </w:rPr>
            </w:pPr>
            <w:r>
              <w:rPr>
                <w:lang w:eastAsia="zh-CN"/>
              </w:rPr>
              <w:t xml:space="preserve">From our perspective, similar rules from Rel-16 should be adopted, since the existing rule is workable here and we don’t see the need to introduce additional RRC signaling. </w:t>
            </w:r>
          </w:p>
          <w:p>
            <w:pPr>
              <w:widowControl w:val="0"/>
              <w:spacing w:before="120" w:beforeLines="50" w:after="100"/>
              <w:rPr>
                <w:rFonts w:eastAsia="Times New Roman"/>
                <w:b/>
                <w:i/>
                <w:lang w:eastAsia="zh-CN"/>
              </w:rPr>
            </w:pPr>
            <w:r>
              <w:rPr>
                <w:rFonts w:eastAsia="Times New Roman"/>
                <w:b/>
                <w:i/>
                <w:lang w:eastAsia="zh-CN"/>
              </w:rPr>
              <w:t>Proposal 1: For the determination of (X,Y) in case of multiple supported combinations(X, Y), adopt similar rules from Rel-16, i.e., the UE monitors PDCCH according to the combination (X,Y) that is associated with the largest maximum number of BD and CCE.</w:t>
            </w:r>
          </w:p>
          <w:p>
            <w:pPr>
              <w:widowControl w:val="0"/>
              <w:jc w:val="both"/>
              <w:rPr>
                <w:b/>
                <w:u w:val="single"/>
              </w:rPr>
            </w:pPr>
          </w:p>
        </w:tc>
      </w:tr>
    </w:tbl>
    <w:p>
      <w:pPr>
        <w:rPr>
          <w:lang w:eastAsia="zh-CN"/>
        </w:rPr>
      </w:pPr>
    </w:p>
    <w:p>
      <w:pPr>
        <w:pStyle w:val="4"/>
      </w:pPr>
      <w:r>
        <w:t>R1-2201689 (Intel)</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pPr>
            <w:r>
              <w:t>The following TP is proposed to capture additional X value 2 for SCS 480kHz.</w:t>
            </w:r>
          </w:p>
          <w:tbl>
            <w:tblPr>
              <w:tblStyle w:val="55"/>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vAlign w:val="center"/>
                </w:tcPr>
                <w:p>
                  <w:pPr>
                    <w:widowControl w:val="0"/>
                    <w:jc w:val="center"/>
                    <w:rPr>
                      <w:b/>
                      <w:bCs/>
                      <w:color w:val="0070C0"/>
                      <w:lang w:eastAsia="zh-CN"/>
                    </w:rPr>
                  </w:pPr>
                  <w:r>
                    <w:rPr>
                      <w:b/>
                      <w:bCs/>
                      <w:iCs/>
                      <w:color w:val="0070C0"/>
                    </w:rPr>
                    <w:t>------------------------------   TP#1: TS 38.213 -----------------------------------</w:t>
                  </w:r>
                </w:p>
                <w:p>
                  <w:pPr>
                    <w:widowControl w:val="0"/>
                    <w:jc w:val="center"/>
                    <w:rPr>
                      <w:iCs/>
                    </w:rPr>
                  </w:pPr>
                  <w:r>
                    <w:rPr>
                      <w:color w:val="FF0000"/>
                      <w:lang w:eastAsia="zh-CN"/>
                    </w:rPr>
                    <w:t>*** Unchanged text is omitted ***</w:t>
                  </w:r>
                </w:p>
                <w:p>
                  <w:pPr>
                    <w:widowControl w:val="0"/>
                  </w:pPr>
                  <w:bookmarkStart w:id="15" w:name="_Toc29899575"/>
                  <w:bookmarkStart w:id="16" w:name="_Toc20311598"/>
                  <w:bookmarkStart w:id="17" w:name="_Toc36498186"/>
                  <w:bookmarkStart w:id="18" w:name="_Toc29894858"/>
                  <w:bookmarkStart w:id="19" w:name="_Toc12021486"/>
                  <w:bookmarkStart w:id="20" w:name="_Toc29917312"/>
                  <w:bookmarkStart w:id="21" w:name="_Toc45699213"/>
                  <w:bookmarkStart w:id="22" w:name="_Toc26719423"/>
                  <w:bookmarkStart w:id="23" w:name="_Toc83289685"/>
                  <w:bookmarkStart w:id="24" w:name="_Toc29899157"/>
                  <w:bookmarkStart w:id="25" w:name="_Ref491451763"/>
                  <w:bookmarkStart w:id="26" w:name="_Ref491466492"/>
                  <w:r>
                    <w:t>10</w:t>
                  </w:r>
                  <w:r>
                    <w:rPr>
                      <w:rFonts w:hint="eastAsia"/>
                    </w:rPr>
                    <w:t>.1</w:t>
                  </w:r>
                  <w:r>
                    <w:rPr>
                      <w:rFonts w:hint="eastAsia"/>
                    </w:rPr>
                    <w:tab/>
                  </w:r>
                  <w:r>
                    <w:t>UE procedure for determining physical downlink control channel assignment</w:t>
                  </w:r>
                  <w:bookmarkEnd w:id="15"/>
                  <w:bookmarkEnd w:id="16"/>
                  <w:bookmarkEnd w:id="17"/>
                  <w:bookmarkEnd w:id="18"/>
                  <w:bookmarkEnd w:id="19"/>
                  <w:bookmarkEnd w:id="20"/>
                  <w:bookmarkEnd w:id="21"/>
                  <w:bookmarkEnd w:id="22"/>
                  <w:bookmarkEnd w:id="23"/>
                  <w:bookmarkEnd w:id="24"/>
                  <w:r>
                    <w:t xml:space="preserve"> </w:t>
                  </w:r>
                  <w:bookmarkEnd w:id="25"/>
                  <w:bookmarkEnd w:id="26"/>
                </w:p>
                <w:p>
                  <w:pPr>
                    <w:widowControl w:val="0"/>
                    <w:jc w:val="center"/>
                    <w:rPr>
                      <w:b/>
                      <w:bCs/>
                    </w:rPr>
                  </w:pPr>
                  <w:r>
                    <w:rPr>
                      <w:color w:val="FF0000"/>
                      <w:lang w:eastAsia="zh-CN"/>
                    </w:rPr>
                    <w:t>*** Unchanged text is omitted ***</w:t>
                  </w:r>
                </w:p>
                <w:p>
                  <w:pPr>
                    <w:widowControl w:val="0"/>
                    <w:spacing w:before="180"/>
                  </w:pPr>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ctrlPr>
                          <w:rPr>
                            <w:rFonts w:ascii="Cambria Math" w:hAnsi="Cambria Math"/>
                            <w:i/>
                            <w:sz w:val="18"/>
                            <w:szCs w:val="18"/>
                            <w:lang w:eastAsia="zh-CN"/>
                          </w:rPr>
                        </m:ctrlPr>
                      </m:e>
                      <m:sub>
                        <m:r>
                          <m:rPr>
                            <m:sty m:val="p"/>
                          </m:rPr>
                          <w:rPr>
                            <w:rFonts w:ascii="Cambria Math" w:hAnsi="Cambria Math"/>
                            <w:lang w:eastAsia="zh-CN"/>
                          </w:rPr>
                          <m:t>PDCCH</m:t>
                        </m:r>
                        <m:ctrlPr>
                          <w:rPr>
                            <w:rFonts w:ascii="Cambria Math" w:hAnsi="Cambria Math"/>
                            <w:i/>
                            <w:sz w:val="18"/>
                            <w:szCs w:val="18"/>
                            <w:lang w:eastAsia="zh-CN"/>
                          </w:rPr>
                        </m:ctrlP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i/>
                                <w:lang w:eastAsia="zh-CN"/>
                              </w:rPr>
                            </m:ctrlPr>
                          </m:e>
                        </m:d>
                        <m:r>
                          <w:rPr>
                            <w:rFonts w:ascii="Cambria Math" w:hAnsi="Cambria Math"/>
                            <w:lang w:eastAsia="zh-CN"/>
                          </w:rPr>
                          <m:t>,μ</m:t>
                        </m:r>
                        <m:ctrlPr>
                          <w:rPr>
                            <w:rFonts w:ascii="Cambria Math" w:hAnsi="Cambria Math"/>
                            <w:i/>
                            <w:sz w:val="18"/>
                            <w:szCs w:val="18"/>
                            <w:lang w:eastAsia="zh-CN"/>
                          </w:rPr>
                        </m:ctrlPr>
                      </m:sup>
                    </m:sSubSup>
                  </m:oMath>
                  <w:r>
                    <w:t xml:space="preserve">, per slot group for combination </w:t>
                  </w:r>
                  <m:oMath>
                    <m:r>
                      <w:rPr>
                        <w:rFonts w:ascii="Cambria Math" w:hAnsi="Cambria Math"/>
                      </w:rPr>
                      <m:t>(</m:t>
                    </m:r>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pPr>
                    <w:pStyle w:val="120"/>
                    <w:widowControl w:val="0"/>
                  </w:pPr>
                  <w:r>
                    <w:t xml:space="preserve">Table 10.1-2B: Maximum number </w:t>
                  </w:r>
                  <m:oMath>
                    <m:sSubSup>
                      <m:sSubSupPr>
                        <m:ctrlPr>
                          <w:rPr>
                            <w:rFonts w:ascii="Cambria Math" w:hAnsi="Cambria Math"/>
                            <w:i/>
                            <w:sz w:val="18"/>
                            <w:lang w:eastAsia="zh-CN"/>
                          </w:rPr>
                        </m:ctrlPr>
                      </m:sSubSupPr>
                      <m:e>
                        <m:r>
                          <m:rPr>
                            <m:sty m:val="bi"/>
                          </m:rPr>
                          <w:rPr>
                            <w:rFonts w:ascii="Cambria Math" w:hAnsi="Cambria Math"/>
                            <w:lang w:eastAsia="zh-CN"/>
                          </w:rPr>
                          <m:t>M</m:t>
                        </m:r>
                        <m:ctrlPr>
                          <w:rPr>
                            <w:rFonts w:ascii="Cambria Math" w:hAnsi="Cambria Math"/>
                            <w:i/>
                            <w:sz w:val="18"/>
                            <w:lang w:eastAsia="zh-CN"/>
                          </w:rPr>
                        </m:ctrlPr>
                      </m:e>
                      <m:sub>
                        <m:r>
                          <m:rPr>
                            <m:sty m:val="b"/>
                          </m:rPr>
                          <w:rPr>
                            <w:rFonts w:ascii="Cambria Math" w:hAnsi="Cambria Math"/>
                            <w:lang w:eastAsia="zh-CN"/>
                          </w:rPr>
                          <m:t>PDCCH</m:t>
                        </m:r>
                        <m:ctrlPr>
                          <w:rPr>
                            <w:rFonts w:ascii="Cambria Math" w:hAnsi="Cambria Math"/>
                            <w:i/>
                            <w:sz w:val="18"/>
                            <w:lang w:eastAsia="zh-CN"/>
                          </w:rPr>
                        </m:ctrlP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),μ</m:t>
                        </m:r>
                        <m:ctrlPr>
                          <w:rPr>
                            <w:rFonts w:ascii="Cambria Math" w:hAnsi="Cambria Math"/>
                            <w:i/>
                            <w:sz w:val="18"/>
                            <w:lang w:eastAsia="zh-CN"/>
                          </w:rPr>
                        </m:ctrlPr>
                      </m:sup>
                    </m:sSubSup>
                  </m:oMath>
                  <w:r>
                    <w:t xml:space="preserve"> of monitored PDCCH candidates per </w:t>
                  </w:r>
                  <w:r>
                    <w:rPr>
                      <w:sz w:val="18"/>
                      <w:szCs w:val="18"/>
                    </w:rPr>
                    <w:t xml:space="preserve">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ctrlPr>
                          <w:rPr>
                            <w:rFonts w:ascii="Cambria Math" w:hAnsi="Cambria Math"/>
                            <w:i/>
                            <w:sz w:val="24"/>
                            <w:szCs w:val="24"/>
                            <w:lang w:eastAsia="zh-CN"/>
                          </w:rPr>
                        </m:ctrlPr>
                      </m:e>
                    </m:d>
                  </m:oMath>
                  <w:r>
                    <w:t xml:space="preserve"> for a single serving cell</w:t>
                  </w:r>
                </w:p>
                <w:tbl>
                  <w:tblPr>
                    <w:tblStyle w:val="54"/>
                    <w:tblW w:w="810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794"/>
                    <w:gridCol w:w="1451"/>
                    <w:gridCol w:w="1451"/>
                    <w:gridCol w:w="1530"/>
                    <w:gridCol w:w="1440"/>
                    <w:gridCol w:w="14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794" w:type="dxa"/>
                        <w:shd w:val="clear" w:color="auto" w:fill="E0E0E0"/>
                        <w:vAlign w:val="center"/>
                      </w:tcPr>
                      <w:p>
                        <w:pPr>
                          <w:pStyle w:val="90"/>
                          <w:rPr>
                            <w:rFonts w:ascii="Times New Roman" w:hAnsi="Times New Roman"/>
                            <w:sz w:val="20"/>
                          </w:rPr>
                        </w:pPr>
                      </w:p>
                    </w:tc>
                    <w:tc>
                      <w:tcPr>
                        <w:tcW w:w="7312" w:type="dxa"/>
                        <w:gridSpan w:val="5"/>
                        <w:shd w:val="clear" w:color="auto" w:fill="E0E0E0"/>
                      </w:tcPr>
                      <w:p>
                        <w:pPr>
                          <w:pStyle w:val="120"/>
                          <w:spacing w:before="0" w:after="0"/>
                          <w:rPr>
                            <w:sz w:val="18"/>
                            <w:szCs w:val="18"/>
                          </w:rPr>
                        </w:pPr>
                        <w:r>
                          <w:rPr>
                            <w:sz w:val="18"/>
                            <w:szCs w:val="18"/>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ctrlPr>
                                <w:rPr>
                                  <w:rFonts w:ascii="Cambria Math" w:hAnsi="Cambria Math"/>
                                  <w:i/>
                                  <w:sz w:val="18"/>
                                  <w:szCs w:val="18"/>
                                  <w:lang w:eastAsia="zh-CN"/>
                                </w:rPr>
                              </m:ctrlPr>
                            </m:e>
                            <m:sub>
                              <m:r>
                                <m:rPr>
                                  <m:sty m:val="b"/>
                                </m:rPr>
                                <w:rPr>
                                  <w:rFonts w:ascii="Cambria Math" w:hAnsi="Cambria Math"/>
                                  <w:sz w:val="18"/>
                                  <w:szCs w:val="18"/>
                                  <w:lang w:eastAsia="zh-CN"/>
                                </w:rPr>
                                <m:t>PDCCH</m:t>
                              </m:r>
                              <m:ctrlPr>
                                <w:rPr>
                                  <w:rFonts w:ascii="Cambria Math" w:hAnsi="Cambria Math"/>
                                  <w:i/>
                                  <w:sz w:val="18"/>
                                  <w:szCs w:val="18"/>
                                  <w:lang w:eastAsia="zh-CN"/>
                                </w:rPr>
                              </m:ctrlPr>
                            </m:sub>
                            <m:sup>
                              <m:r>
                                <m:rPr>
                                  <m:sty m:val="bi"/>
                                </m:rPr>
                                <w:rPr>
                                  <w:rFonts w:ascii="Cambria Math" w:hAnsi="Cambria Math"/>
                                  <w:sz w:val="18"/>
                                  <w:szCs w:val="18"/>
                                  <w:lang w:eastAsia="zh-CN"/>
                                </w:rPr>
                                <m:t>max,</m:t>
                              </m:r>
                              <m:d>
                                <m:dPr>
                                  <m:ctrlPr>
                                    <w:rPr>
                                      <w:rFonts w:ascii="Cambria Math" w:hAnsi="Cambria Math"/>
                                      <w:i/>
                                      <w:sz w:val="18"/>
                                      <w:szCs w:val="18"/>
                                      <w:lang w:eastAsia="zh-CN"/>
                                    </w:rPr>
                                  </m:ctrlPr>
                                </m:dPr>
                                <m:e>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ctrlPr>
                                    <w:rPr>
                                      <w:rFonts w:ascii="Cambria Math" w:hAnsi="Cambria Math"/>
                                      <w:i/>
                                      <w:sz w:val="18"/>
                                      <w:szCs w:val="18"/>
                                      <w:lang w:eastAsia="zh-CN"/>
                                    </w:rPr>
                                  </m:ctrlPr>
                                </m:e>
                              </m:d>
                              <m:r>
                                <m:rPr>
                                  <m:sty m:val="bi"/>
                                </m:rPr>
                                <w:rPr>
                                  <w:rFonts w:ascii="Cambria Math" w:hAnsi="Cambria Math"/>
                                  <w:sz w:val="18"/>
                                  <w:szCs w:val="18"/>
                                  <w:lang w:eastAsia="zh-CN"/>
                                </w:rPr>
                                <m:t>,μ</m:t>
                              </m:r>
                              <m:ctrlPr>
                                <w:rPr>
                                  <w:rFonts w:ascii="Cambria Math" w:hAnsi="Cambria Math"/>
                                  <w:i/>
                                  <w:sz w:val="18"/>
                                  <w:szCs w:val="18"/>
                                  <w:lang w:eastAsia="zh-CN"/>
                                </w:rPr>
                              </m:ctrlPr>
                            </m:sup>
                          </m:sSubSup>
                        </m:oMath>
                        <w:r>
                          <w:rPr>
                            <w:sz w:val="18"/>
                            <w:szCs w:val="18"/>
                            <w:lang w:eastAsia="zh-CN"/>
                          </w:rPr>
                          <w:t xml:space="preserve"> </w:t>
                        </w:r>
                        <w:r>
                          <w:rPr>
                            <w:sz w:val="18"/>
                            <w:szCs w:val="18"/>
                          </w:rPr>
                          <w:t xml:space="preserve">of monitored PDCCH candidates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rPr>
                            <w:sz w:val="18"/>
                            <w:szCs w:val="18"/>
                          </w:rPr>
                          <w:t xml:space="preserve"> and per serving cell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794" w:type="dxa"/>
                        <w:shd w:val="clear" w:color="auto" w:fill="E0E0E0"/>
                        <w:vAlign w:val="center"/>
                      </w:tcPr>
                      <w:p>
                        <w:pPr>
                          <w:pStyle w:val="114"/>
                        </w:pPr>
                        <m:oMathPara>
                          <m:oMath>
                            <m:r>
                              <m:rPr>
                                <m:sty m:val="bi"/>
                              </m:rPr>
                              <w:rPr>
                                <w:rFonts w:ascii="Cambria Math" w:hAnsi="Cambria Math"/>
                                <w:lang w:eastAsia="zh-CN"/>
                              </w:rPr>
                              <m:t>μ</m:t>
                            </m:r>
                          </m:oMath>
                        </m:oMathPara>
                      </w:p>
                    </w:tc>
                    <w:tc>
                      <w:tcPr>
                        <w:tcW w:w="1451" w:type="dxa"/>
                        <w:vAlign w:val="center"/>
                      </w:tcPr>
                      <w:p>
                        <w:pPr>
                          <w:pStyle w:val="114"/>
                        </w:pPr>
                        <w:ins w:id="875" w:author="Li, Yingyang" w:date="2022-01-04T23:42:00Z">
                          <w:r>
                            <w:rPr/>
                            <w:t>(2, 1)</w:t>
                          </w:r>
                        </w:ins>
                      </w:p>
                    </w:tc>
                    <w:tc>
                      <w:tcPr>
                        <w:tcW w:w="1451" w:type="dxa"/>
                        <w:vAlign w:val="center"/>
                      </w:tcPr>
                      <w:p>
                        <w:pPr>
                          <w:pStyle w:val="114"/>
                        </w:pPr>
                        <w:r>
                          <w:t>(4, 1)</w:t>
                        </w:r>
                      </w:p>
                    </w:tc>
                    <w:tc>
                      <w:tcPr>
                        <w:tcW w:w="1530" w:type="dxa"/>
                      </w:tcPr>
                      <w:p>
                        <w:pPr>
                          <w:pStyle w:val="114"/>
                        </w:pPr>
                        <w:r>
                          <w:t>(4, 2)</w:t>
                        </w:r>
                      </w:p>
                    </w:tc>
                    <w:tc>
                      <w:tcPr>
                        <w:tcW w:w="1440" w:type="dxa"/>
                      </w:tcPr>
                      <w:p>
                        <w:pPr>
                          <w:pStyle w:val="114"/>
                        </w:pPr>
                        <w:r>
                          <w:t>(8, 1)</w:t>
                        </w:r>
                      </w:p>
                    </w:tc>
                    <w:tc>
                      <w:tcPr>
                        <w:tcW w:w="1440" w:type="dxa"/>
                      </w:tcPr>
                      <w:p>
                        <w:pPr>
                          <w:pStyle w:val="114"/>
                        </w:pPr>
                        <w:r>
                          <w:t>(8, 4)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794" w:type="dxa"/>
                        <w:vAlign w:val="center"/>
                      </w:tcPr>
                      <w:p>
                        <w:pPr>
                          <w:pStyle w:val="114"/>
                        </w:pPr>
                        <w:r>
                          <w:t>5</w:t>
                        </w:r>
                      </w:p>
                    </w:tc>
                    <w:tc>
                      <w:tcPr>
                        <w:tcW w:w="1451" w:type="dxa"/>
                      </w:tcPr>
                      <w:p>
                        <w:pPr>
                          <w:pStyle w:val="114"/>
                        </w:pPr>
                        <w:ins w:id="876" w:author="Li, Yingyang" w:date="2022-01-04T23:44:00Z">
                          <w:r>
                            <w:rPr/>
                            <w:t>10</w:t>
                          </w:r>
                        </w:ins>
                        <w:ins w:id="877" w:author="Li, Yingyang" w:date="2022-01-04T23:42:00Z">
                          <w:r>
                            <w:rPr/>
                            <w:t xml:space="preserve"> </w:t>
                          </w:r>
                        </w:ins>
                      </w:p>
                    </w:tc>
                    <w:tc>
                      <w:tcPr>
                        <w:tcW w:w="1451" w:type="dxa"/>
                        <w:vAlign w:val="center"/>
                      </w:tcPr>
                      <w:p>
                        <w:pPr>
                          <w:pStyle w:val="114"/>
                        </w:pPr>
                        <w:r>
                          <w:t>20</w:t>
                        </w:r>
                      </w:p>
                    </w:tc>
                    <w:tc>
                      <w:tcPr>
                        <w:tcW w:w="1530" w:type="dxa"/>
                      </w:tcPr>
                      <w:p>
                        <w:pPr>
                          <w:pStyle w:val="114"/>
                        </w:pPr>
                        <w:r>
                          <w:t>20</w:t>
                        </w:r>
                      </w:p>
                    </w:tc>
                    <w:tc>
                      <w:tcPr>
                        <w:tcW w:w="1440" w:type="dxa"/>
                      </w:tcPr>
                      <w:p>
                        <w:pPr>
                          <w:pStyle w:val="114"/>
                        </w:pPr>
                        <w:r>
                          <w:t>-</w:t>
                        </w:r>
                      </w:p>
                    </w:tc>
                    <w:tc>
                      <w:tcPr>
                        <w:tcW w:w="1440" w:type="dxa"/>
                      </w:tcPr>
                      <w:p>
                        <w:pPr>
                          <w:pStyle w:val="114"/>
                        </w:pP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794" w:type="dxa"/>
                        <w:vAlign w:val="center"/>
                      </w:tcPr>
                      <w:p>
                        <w:pPr>
                          <w:pStyle w:val="114"/>
                        </w:pPr>
                        <w:r>
                          <w:t>6</w:t>
                        </w:r>
                      </w:p>
                    </w:tc>
                    <w:tc>
                      <w:tcPr>
                        <w:tcW w:w="1451" w:type="dxa"/>
                      </w:tcPr>
                      <w:p>
                        <w:pPr>
                          <w:pStyle w:val="114"/>
                        </w:pPr>
                        <w:ins w:id="878" w:author="Li, Yingyang" w:date="2022-01-04T23:42:00Z">
                          <w:r>
                            <w:rPr/>
                            <w:t>-</w:t>
                          </w:r>
                        </w:ins>
                      </w:p>
                    </w:tc>
                    <w:tc>
                      <w:tcPr>
                        <w:tcW w:w="1451" w:type="dxa"/>
                        <w:vAlign w:val="center"/>
                      </w:tcPr>
                      <w:p>
                        <w:pPr>
                          <w:pStyle w:val="114"/>
                        </w:pPr>
                        <w:r>
                          <w:t>10</w:t>
                        </w:r>
                      </w:p>
                    </w:tc>
                    <w:tc>
                      <w:tcPr>
                        <w:tcW w:w="1530" w:type="dxa"/>
                      </w:tcPr>
                      <w:p>
                        <w:pPr>
                          <w:pStyle w:val="114"/>
                        </w:pPr>
                        <w:r>
                          <w:t>10</w:t>
                        </w:r>
                      </w:p>
                    </w:tc>
                    <w:tc>
                      <w:tcPr>
                        <w:tcW w:w="1440" w:type="dxa"/>
                      </w:tcPr>
                      <w:p>
                        <w:pPr>
                          <w:pStyle w:val="114"/>
                        </w:pPr>
                        <w:r>
                          <w:t>20</w:t>
                        </w:r>
                      </w:p>
                    </w:tc>
                    <w:tc>
                      <w:tcPr>
                        <w:tcW w:w="1440" w:type="dxa"/>
                      </w:tcPr>
                      <w:p>
                        <w:pPr>
                          <w:pStyle w:val="114"/>
                        </w:pPr>
                        <w:r>
                          <w:t>20</w:t>
                        </w:r>
                      </w:p>
                    </w:tc>
                  </w:tr>
                </w:tbl>
                <w:p>
                  <w:pPr>
                    <w:widowControl w:val="0"/>
                    <w:jc w:val="center"/>
                    <w:rPr>
                      <w:b/>
                      <w:bCs/>
                    </w:rPr>
                  </w:pPr>
                  <w:r>
                    <w:rPr>
                      <w:color w:val="FF0000"/>
                      <w:lang w:eastAsia="zh-CN"/>
                    </w:rPr>
                    <w:t>*** Unchanged text is omitted ***</w:t>
                  </w:r>
                </w:p>
                <w:p>
                  <w:pPr>
                    <w:widowControl w:val="0"/>
                    <w:spacing w:before="180"/>
                  </w:pPr>
                  <w:r>
                    <w:t xml:space="preserve">Table 10.1-3B provides the maximum number of non-overlapped CCEs, </w:t>
                  </w:r>
                  <m:oMath>
                    <m:sSubSup>
                      <m:sSubSupPr>
                        <m:ctrlPr>
                          <w:rPr>
                            <w:rFonts w:ascii="Cambria Math" w:hAnsi="Cambria Math"/>
                            <w:i/>
                            <w:sz w:val="18"/>
                            <w:lang w:eastAsia="zh-CN"/>
                          </w:rPr>
                        </m:ctrlPr>
                      </m:sSubSupPr>
                      <m:e>
                        <m:r>
                          <w:rPr>
                            <w:rFonts w:ascii="Cambria Math" w:hAnsi="Cambria Math"/>
                            <w:lang w:eastAsia="zh-CN"/>
                          </w:rPr>
                          <m:t>C</m:t>
                        </m:r>
                        <m:ctrlPr>
                          <w:rPr>
                            <w:rFonts w:ascii="Cambria Math" w:hAnsi="Cambria Math"/>
                            <w:i/>
                            <w:sz w:val="18"/>
                            <w:lang w:eastAsia="zh-CN"/>
                          </w:rPr>
                        </m:ctrlPr>
                      </m:e>
                      <m:sub>
                        <m:r>
                          <m:rPr>
                            <m:sty m:val="p"/>
                          </m:rPr>
                          <w:rPr>
                            <w:rFonts w:ascii="Cambria Math" w:hAnsi="Cambria Math"/>
                            <w:lang w:eastAsia="zh-CN"/>
                          </w:rPr>
                          <m:t>PDCCH</m:t>
                        </m:r>
                        <m:ctrlPr>
                          <w:rPr>
                            <w:rFonts w:ascii="Cambria Math" w:hAnsi="Cambria Math"/>
                            <w:i/>
                            <w:sz w:val="18"/>
                            <w:lang w:eastAsia="zh-CN"/>
                          </w:rPr>
                        </m:ctrlP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i/>
                                <w:lang w:eastAsia="zh-CN"/>
                              </w:rPr>
                            </m:ctrlPr>
                          </m:e>
                        </m:d>
                        <m:r>
                          <w:rPr>
                            <w:rFonts w:ascii="Cambria Math" w:hAnsi="Cambria Math"/>
                            <w:lang w:eastAsia="zh-CN"/>
                          </w:rPr>
                          <m:t>,μ</m:t>
                        </m:r>
                        <m:ctrlPr>
                          <w:rPr>
                            <w:rFonts w:ascii="Cambria Math" w:hAnsi="Cambria Math"/>
                            <w:i/>
                            <w:sz w:val="18"/>
                            <w:lang w:eastAsia="zh-CN"/>
                          </w:rPr>
                        </m:ctrlPr>
                      </m:sup>
                    </m:sSubSup>
                  </m:oMath>
                  <w:r>
                    <w:t xml:space="preserve">, for a DL BWP with SCS configuration </w:t>
                  </w:r>
                  <m:oMath>
                    <m:r>
                      <w:rPr>
                        <w:rFonts w:ascii="Cambria Math" w:hAnsi="Cambria Math"/>
                        <w:lang w:eastAsia="zh-CN"/>
                      </w:rPr>
                      <m:t>μ</m:t>
                    </m:r>
                  </m:oMath>
                  <w:r>
                    <w:t xml:space="preserve"> that a UE is expected to monitor corresponding PDCCH candidates 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t xml:space="preserve"> for operation with a single serving cell.</w:t>
                  </w:r>
                </w:p>
                <w:p>
                  <w:pPr>
                    <w:pStyle w:val="120"/>
                    <w:widowControl w:val="0"/>
                  </w:pPr>
                  <w:r>
                    <w:t xml:space="preserve">Table 10.1-3B: Maximum number </w:t>
                  </w:r>
                  <m:oMath>
                    <m:sSubSup>
                      <m:sSubSupPr>
                        <m:ctrlPr>
                          <w:rPr>
                            <w:rFonts w:ascii="Cambria Math" w:hAnsi="Cambria Math"/>
                            <w:i/>
                            <w:sz w:val="18"/>
                            <w:lang w:eastAsia="zh-CN"/>
                          </w:rPr>
                        </m:ctrlPr>
                      </m:sSubSupPr>
                      <m:e>
                        <m:r>
                          <m:rPr>
                            <m:sty m:val="bi"/>
                          </m:rPr>
                          <w:rPr>
                            <w:rFonts w:ascii="Cambria Math" w:hAnsi="Cambria Math"/>
                            <w:lang w:eastAsia="zh-CN"/>
                          </w:rPr>
                          <m:t>C</m:t>
                        </m:r>
                        <m:ctrlPr>
                          <w:rPr>
                            <w:rFonts w:ascii="Cambria Math" w:hAnsi="Cambria Math"/>
                            <w:i/>
                            <w:sz w:val="18"/>
                            <w:lang w:eastAsia="zh-CN"/>
                          </w:rPr>
                        </m:ctrlPr>
                      </m:e>
                      <m:sub>
                        <m:r>
                          <m:rPr>
                            <m:sty m:val="b"/>
                          </m:rPr>
                          <w:rPr>
                            <w:rFonts w:ascii="Cambria Math" w:hAnsi="Cambria Math"/>
                            <w:lang w:eastAsia="zh-CN"/>
                          </w:rPr>
                          <m:t>PDCCH</m:t>
                        </m:r>
                        <m:ctrlPr>
                          <w:rPr>
                            <w:rFonts w:ascii="Cambria Math" w:hAnsi="Cambria Math"/>
                            <w:i/>
                            <w:sz w:val="18"/>
                            <w:lang w:eastAsia="zh-CN"/>
                          </w:rPr>
                        </m:ctrlP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),μ</m:t>
                        </m:r>
                        <m:ctrlPr>
                          <w:rPr>
                            <w:rFonts w:ascii="Cambria Math" w:hAnsi="Cambria Math"/>
                            <w:i/>
                            <w:sz w:val="18"/>
                            <w:lang w:eastAsia="zh-CN"/>
                          </w:rPr>
                        </m:ctrlP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ctrlPr>
                          <w:rPr>
                            <w:rFonts w:ascii="Cambria Math" w:hAnsi="Cambria Math"/>
                            <w:i/>
                            <w:sz w:val="24"/>
                            <w:szCs w:val="24"/>
                            <w:lang w:eastAsia="zh-CN"/>
                          </w:rPr>
                        </m:ctrlPr>
                      </m:e>
                    </m:d>
                  </m:oMath>
                  <w:r>
                    <w:t xml:space="preserve"> for a single serving cell</w:t>
                  </w:r>
                </w:p>
                <w:tbl>
                  <w:tblPr>
                    <w:tblStyle w:val="54"/>
                    <w:tblW w:w="810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794"/>
                    <w:gridCol w:w="1451"/>
                    <w:gridCol w:w="1451"/>
                    <w:gridCol w:w="1530"/>
                    <w:gridCol w:w="1440"/>
                    <w:gridCol w:w="14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794" w:type="dxa"/>
                        <w:shd w:val="clear" w:color="auto" w:fill="E0E0E0"/>
                        <w:vAlign w:val="center"/>
                      </w:tcPr>
                      <w:p>
                        <w:pPr>
                          <w:pStyle w:val="90"/>
                          <w:rPr>
                            <w:rFonts w:ascii="Times New Roman" w:hAnsi="Times New Roman"/>
                            <w:sz w:val="20"/>
                          </w:rPr>
                        </w:pPr>
                      </w:p>
                    </w:tc>
                    <w:tc>
                      <w:tcPr>
                        <w:tcW w:w="7312" w:type="dxa"/>
                        <w:gridSpan w:val="5"/>
                        <w:shd w:val="clear" w:color="auto" w:fill="E0E0E0"/>
                      </w:tcPr>
                      <w:p>
                        <w:pPr>
                          <w:pStyle w:val="120"/>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ctrlPr>
                                <w:rPr>
                                  <w:rFonts w:ascii="Cambria Math" w:hAnsi="Cambria Math"/>
                                  <w:i/>
                                  <w:sz w:val="18"/>
                                  <w:szCs w:val="18"/>
                                  <w:lang w:eastAsia="zh-CN"/>
                                </w:rPr>
                              </m:ctrlPr>
                            </m:e>
                            <m:sub>
                              <m:r>
                                <m:rPr>
                                  <m:sty m:val="b"/>
                                </m:rPr>
                                <w:rPr>
                                  <w:rFonts w:ascii="Cambria Math" w:hAnsi="Cambria Math"/>
                                  <w:sz w:val="18"/>
                                  <w:szCs w:val="18"/>
                                  <w:lang w:eastAsia="zh-CN"/>
                                </w:rPr>
                                <m:t>PDCCH</m:t>
                              </m:r>
                              <m:ctrlPr>
                                <w:rPr>
                                  <w:rFonts w:ascii="Cambria Math" w:hAnsi="Cambria Math"/>
                                  <w:i/>
                                  <w:sz w:val="18"/>
                                  <w:szCs w:val="18"/>
                                  <w:lang w:eastAsia="zh-CN"/>
                                </w:rPr>
                              </m:ctrlP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),μ</m:t>
                              </m:r>
                              <m:ctrlPr>
                                <w:rPr>
                                  <w:rFonts w:ascii="Cambria Math" w:hAnsi="Cambria Math"/>
                                  <w:i/>
                                  <w:sz w:val="18"/>
                                  <w:szCs w:val="18"/>
                                  <w:lang w:eastAsia="zh-CN"/>
                                </w:rPr>
                              </m:ctrlPr>
                            </m:sup>
                          </m:sSubSup>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794" w:type="dxa"/>
                        <w:shd w:val="clear" w:color="auto" w:fill="E0E0E0"/>
                        <w:vAlign w:val="center"/>
                      </w:tcPr>
                      <w:p>
                        <w:pPr>
                          <w:pStyle w:val="114"/>
                        </w:pPr>
                        <m:oMathPara>
                          <m:oMath>
                            <m:r>
                              <m:rPr>
                                <m:sty m:val="bi"/>
                              </m:rPr>
                              <w:rPr>
                                <w:rFonts w:ascii="Cambria Math" w:hAnsi="Cambria Math"/>
                                <w:lang w:eastAsia="zh-CN"/>
                              </w:rPr>
                              <m:t>μ</m:t>
                            </m:r>
                          </m:oMath>
                        </m:oMathPara>
                      </w:p>
                    </w:tc>
                    <w:tc>
                      <w:tcPr>
                        <w:tcW w:w="1451" w:type="dxa"/>
                        <w:vAlign w:val="center"/>
                      </w:tcPr>
                      <w:p>
                        <w:pPr>
                          <w:pStyle w:val="114"/>
                        </w:pPr>
                        <w:ins w:id="879" w:author="Li, Yingyang" w:date="2022-01-04T23:42:00Z">
                          <w:r>
                            <w:rPr/>
                            <w:t>(2, 1)</w:t>
                          </w:r>
                        </w:ins>
                      </w:p>
                    </w:tc>
                    <w:tc>
                      <w:tcPr>
                        <w:tcW w:w="1451" w:type="dxa"/>
                        <w:vAlign w:val="center"/>
                      </w:tcPr>
                      <w:p>
                        <w:pPr>
                          <w:pStyle w:val="114"/>
                        </w:pPr>
                        <w:r>
                          <w:t>(4, 1)</w:t>
                        </w:r>
                      </w:p>
                    </w:tc>
                    <w:tc>
                      <w:tcPr>
                        <w:tcW w:w="1530" w:type="dxa"/>
                      </w:tcPr>
                      <w:p>
                        <w:pPr>
                          <w:pStyle w:val="114"/>
                        </w:pPr>
                        <w:r>
                          <w:t>(4, 2)</w:t>
                        </w:r>
                      </w:p>
                    </w:tc>
                    <w:tc>
                      <w:tcPr>
                        <w:tcW w:w="1440" w:type="dxa"/>
                      </w:tcPr>
                      <w:p>
                        <w:pPr>
                          <w:pStyle w:val="114"/>
                        </w:pPr>
                        <w:r>
                          <w:t>(8, 1)</w:t>
                        </w:r>
                      </w:p>
                    </w:tc>
                    <w:tc>
                      <w:tcPr>
                        <w:tcW w:w="1440" w:type="dxa"/>
                      </w:tcPr>
                      <w:p>
                        <w:pPr>
                          <w:pStyle w:val="114"/>
                        </w:pPr>
                        <w:r>
                          <w:t>(8, 4)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794" w:type="dxa"/>
                        <w:vAlign w:val="center"/>
                      </w:tcPr>
                      <w:p>
                        <w:pPr>
                          <w:pStyle w:val="114"/>
                        </w:pPr>
                        <w:r>
                          <w:t>5</w:t>
                        </w:r>
                      </w:p>
                    </w:tc>
                    <w:tc>
                      <w:tcPr>
                        <w:tcW w:w="1451" w:type="dxa"/>
                      </w:tcPr>
                      <w:p>
                        <w:pPr>
                          <w:pStyle w:val="114"/>
                        </w:pPr>
                        <w:ins w:id="880" w:author="Li, Yingyang" w:date="2022-01-04T23:42:00Z">
                          <w:r>
                            <w:rPr/>
                            <w:t xml:space="preserve">16 </w:t>
                          </w:r>
                        </w:ins>
                      </w:p>
                    </w:tc>
                    <w:tc>
                      <w:tcPr>
                        <w:tcW w:w="1451" w:type="dxa"/>
                      </w:tcPr>
                      <w:p>
                        <w:pPr>
                          <w:pStyle w:val="114"/>
                        </w:pPr>
                        <w:r>
                          <w:t>32</w:t>
                        </w:r>
                      </w:p>
                    </w:tc>
                    <w:tc>
                      <w:tcPr>
                        <w:tcW w:w="1530" w:type="dxa"/>
                      </w:tcPr>
                      <w:p>
                        <w:pPr>
                          <w:pStyle w:val="114"/>
                        </w:pPr>
                        <w:r>
                          <w:t>32</w:t>
                        </w:r>
                      </w:p>
                    </w:tc>
                    <w:tc>
                      <w:tcPr>
                        <w:tcW w:w="1440" w:type="dxa"/>
                      </w:tcPr>
                      <w:p>
                        <w:pPr>
                          <w:pStyle w:val="114"/>
                        </w:pPr>
                        <w:r>
                          <w:t>-</w:t>
                        </w:r>
                      </w:p>
                    </w:tc>
                    <w:tc>
                      <w:tcPr>
                        <w:tcW w:w="1440" w:type="dxa"/>
                      </w:tcPr>
                      <w:p>
                        <w:pPr>
                          <w:pStyle w:val="114"/>
                        </w:pP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794" w:type="dxa"/>
                        <w:vAlign w:val="center"/>
                      </w:tcPr>
                      <w:p>
                        <w:pPr>
                          <w:pStyle w:val="114"/>
                        </w:pPr>
                        <w:r>
                          <w:t>6</w:t>
                        </w:r>
                      </w:p>
                    </w:tc>
                    <w:tc>
                      <w:tcPr>
                        <w:tcW w:w="1451" w:type="dxa"/>
                      </w:tcPr>
                      <w:p>
                        <w:pPr>
                          <w:pStyle w:val="114"/>
                        </w:pPr>
                        <w:ins w:id="881" w:author="Li, Yingyang" w:date="2022-01-04T23:42:00Z">
                          <w:r>
                            <w:rPr/>
                            <w:t>-</w:t>
                          </w:r>
                        </w:ins>
                      </w:p>
                    </w:tc>
                    <w:tc>
                      <w:tcPr>
                        <w:tcW w:w="1451" w:type="dxa"/>
                      </w:tcPr>
                      <w:p>
                        <w:pPr>
                          <w:pStyle w:val="114"/>
                        </w:pPr>
                        <w:r>
                          <w:t>16</w:t>
                        </w:r>
                      </w:p>
                    </w:tc>
                    <w:tc>
                      <w:tcPr>
                        <w:tcW w:w="1530" w:type="dxa"/>
                      </w:tcPr>
                      <w:p>
                        <w:pPr>
                          <w:pStyle w:val="114"/>
                        </w:pPr>
                        <w:r>
                          <w:t>16</w:t>
                        </w:r>
                      </w:p>
                    </w:tc>
                    <w:tc>
                      <w:tcPr>
                        <w:tcW w:w="1440" w:type="dxa"/>
                      </w:tcPr>
                      <w:p>
                        <w:pPr>
                          <w:pStyle w:val="114"/>
                        </w:pPr>
                        <w:r>
                          <w:t>32</w:t>
                        </w:r>
                      </w:p>
                    </w:tc>
                    <w:tc>
                      <w:tcPr>
                        <w:tcW w:w="1440" w:type="dxa"/>
                      </w:tcPr>
                      <w:p>
                        <w:pPr>
                          <w:pStyle w:val="114"/>
                        </w:pPr>
                        <w:r>
                          <w:t>32</w:t>
                        </w:r>
                      </w:p>
                    </w:tc>
                  </w:tr>
                </w:tbl>
                <w:p>
                  <w:pPr>
                    <w:widowControl w:val="0"/>
                    <w:jc w:val="center"/>
                    <w:rPr>
                      <w:b/>
                      <w:bCs/>
                    </w:rPr>
                  </w:pPr>
                  <w:r>
                    <w:rPr>
                      <w:color w:val="FF0000"/>
                      <w:lang w:eastAsia="zh-CN"/>
                    </w:rPr>
                    <w:t>*** Unchanged text is omitted ***</w:t>
                  </w:r>
                </w:p>
              </w:tc>
            </w:tr>
          </w:tbl>
          <w:p>
            <w:pPr>
              <w:widowControl w:val="0"/>
              <w:spacing w:before="240" w:after="0"/>
              <w:jc w:val="both"/>
              <w:rPr>
                <w:b/>
              </w:rPr>
            </w:pPr>
            <w:r>
              <w:rPr>
                <w:b/>
              </w:rPr>
              <w:t xml:space="preserve">Proposal 1: </w:t>
            </w:r>
          </w:p>
          <w:p>
            <w:pPr>
              <w:pStyle w:val="82"/>
              <w:widowControl w:val="0"/>
              <w:numPr>
                <w:ilvl w:val="0"/>
                <w:numId w:val="4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SCS 480kHz, which corresponds to combination (X, Y) = (2, 1). </w:t>
            </w:r>
            <w:r>
              <w:t xml:space="preserve">The </w:t>
            </w:r>
            <w:r>
              <w:rPr>
                <w:rFonts w:ascii="Times New Roman" w:hAnsi="Times New Roman"/>
                <w:sz w:val="20"/>
                <w:szCs w:val="20"/>
              </w:rPr>
              <w:t>BD/CCE budget for (2,1) can be half that of X=4</w:t>
            </w:r>
          </w:p>
          <w:p>
            <w:pPr>
              <w:pStyle w:val="82"/>
              <w:widowControl w:val="0"/>
              <w:numPr>
                <w:ilvl w:val="0"/>
                <w:numId w:val="4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Agree on TP 1 to capture additional X value 2 for SCS 480kHz</w:t>
            </w:r>
          </w:p>
          <w:p>
            <w:pPr>
              <w:widowControl w:val="0"/>
              <w:snapToGrid/>
              <w:spacing w:before="60" w:line="240" w:lineRule="auto"/>
              <w:jc w:val="both"/>
              <w:rPr>
                <w:bCs/>
                <w:sz w:val="20"/>
                <w:szCs w:val="20"/>
              </w:rPr>
            </w:pPr>
          </w:p>
          <w:p>
            <w:pPr>
              <w:widowControl w:val="0"/>
              <w:spacing w:before="240" w:after="0"/>
              <w:jc w:val="both"/>
              <w:rPr>
                <w:rFonts w:eastAsia="Times New Roman"/>
                <w:lang w:eastAsia="zh-CN"/>
              </w:rPr>
            </w:pPr>
            <w:r>
              <w:rPr>
                <w:rFonts w:eastAsia="Times New Roman"/>
                <w:lang w:eastAsia="zh-CN"/>
              </w:rPr>
              <w:t xml:space="preserve">Based on the agreed framework, UE may report the capability to support multiple combinations (X, Y) for SCS 480/960kHz. The configured search space sets for the UE must satisfy at least one supported combination (X, Y). </w:t>
            </w:r>
          </w:p>
          <w:p>
            <w:pPr>
              <w:pStyle w:val="82"/>
              <w:widowControl w:val="0"/>
              <w:numPr>
                <w:ilvl w:val="0"/>
                <w:numId w:val="22"/>
              </w:numPr>
              <w:spacing w:line="240" w:lineRule="auto"/>
              <w:rPr>
                <w:rFonts w:ascii="Times New Roman" w:hAnsi="Times New Roman"/>
                <w:sz w:val="20"/>
                <w:szCs w:val="20"/>
              </w:rPr>
            </w:pPr>
            <w:r>
              <w:rPr>
                <w:rFonts w:ascii="Times New Roman" w:hAnsi="Times New Roman"/>
                <w:sz w:val="20"/>
                <w:szCs w:val="20"/>
              </w:rPr>
              <w:t xml:space="preserve">For SCS 480 kHz: (X,Y) = (4,1), (4,2), </w:t>
            </w:r>
            <w:r>
              <w:rPr>
                <w:rFonts w:ascii="Times New Roman" w:hAnsi="Times New Roman"/>
                <w:color w:val="FF0000"/>
                <w:sz w:val="20"/>
                <w:szCs w:val="20"/>
              </w:rPr>
              <w:t>(2,1)?</w:t>
            </w:r>
          </w:p>
          <w:p>
            <w:pPr>
              <w:pStyle w:val="82"/>
              <w:widowControl w:val="0"/>
              <w:numPr>
                <w:ilvl w:val="0"/>
                <w:numId w:val="22"/>
              </w:numPr>
              <w:spacing w:line="240" w:lineRule="auto"/>
              <w:rPr>
                <w:rFonts w:ascii="Times New Roman" w:hAnsi="Times New Roman"/>
                <w:sz w:val="20"/>
                <w:szCs w:val="20"/>
              </w:rPr>
            </w:pPr>
            <w:r>
              <w:rPr>
                <w:rFonts w:ascii="Times New Roman" w:hAnsi="Times New Roman"/>
                <w:sz w:val="20"/>
                <w:szCs w:val="20"/>
              </w:rPr>
              <w:t>For SCS 960 kHz: (X,Y) = (8,1), (8,4), (4,2), (4,1)</w:t>
            </w:r>
          </w:p>
          <w:p>
            <w:pPr>
              <w:widowControl w:val="0"/>
              <w:jc w:val="both"/>
              <w:rPr>
                <w:lang w:eastAsia="zh-CN"/>
              </w:rPr>
            </w:pPr>
            <w:r>
              <w:rPr>
                <w:lang w:eastAsia="zh-CN"/>
              </w:rPr>
              <w:t xml:space="preserve">Further, if the configured search space sets of the UE satisfy two or more supported combinations (X, Y), the UE needs to identify the active combination (X, Y). Since the supported maximum numbers of BD/CCE is only determined by value X, UE can determine a combination (X, Y) with larger X which enables larger maximum numbers of BD/CCE for PDCCH monitoring for better flexibility. If multiple potential combinations (X, Y) have same value X, the active combination (X, Y) could be determined as the combination (X, Y) with smallest value Y. </w:t>
            </w:r>
          </w:p>
          <w:p>
            <w:pPr>
              <w:widowControl w:val="0"/>
            </w:pPr>
            <w:r>
              <w:t xml:space="preserve">The </w:t>
            </w:r>
            <w:r>
              <w:rPr>
                <w:lang w:eastAsia="zh-CN"/>
              </w:rPr>
              <w:t>following</w:t>
            </w:r>
            <w:r>
              <w:t xml:space="preserve"> TP is proposed to determine the active combination (X, Y).</w:t>
            </w:r>
          </w:p>
          <w:tbl>
            <w:tblPr>
              <w:tblStyle w:val="55"/>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vAlign w:val="center"/>
                </w:tcPr>
                <w:p>
                  <w:pPr>
                    <w:widowControl w:val="0"/>
                    <w:jc w:val="center"/>
                    <w:rPr>
                      <w:b/>
                      <w:bCs/>
                      <w:color w:val="0070C0"/>
                      <w:lang w:eastAsia="zh-CN"/>
                    </w:rPr>
                  </w:pPr>
                  <w:r>
                    <w:rPr>
                      <w:b/>
                      <w:bCs/>
                      <w:iCs/>
                      <w:color w:val="0070C0"/>
                    </w:rPr>
                    <w:t>------------------------------   TP#2: TS 38.213 -----------------------------------</w:t>
                  </w:r>
                </w:p>
                <w:p>
                  <w:pPr>
                    <w:widowControl w:val="0"/>
                    <w:jc w:val="center"/>
                    <w:rPr>
                      <w:iCs/>
                    </w:rPr>
                  </w:pPr>
                  <w:r>
                    <w:rPr>
                      <w:color w:val="FF0000"/>
                      <w:lang w:eastAsia="zh-CN"/>
                    </w:rPr>
                    <w:t>*** Unchanged text is omitted ***</w:t>
                  </w:r>
                </w:p>
                <w:p>
                  <w:pPr>
                    <w:widowControl w:val="0"/>
                  </w:pPr>
                  <w:bookmarkStart w:id="27" w:name="_Toc20311597"/>
                  <w:bookmarkStart w:id="28" w:name="_Toc26719422"/>
                  <w:bookmarkStart w:id="29" w:name="_Toc29917311"/>
                  <w:bookmarkStart w:id="30" w:name="_Toc45699212"/>
                  <w:bookmarkStart w:id="31" w:name="_Toc83289684"/>
                  <w:bookmarkStart w:id="32" w:name="_Toc29899156"/>
                  <w:bookmarkStart w:id="33" w:name="_Toc29894857"/>
                  <w:bookmarkStart w:id="34" w:name="_Toc36498185"/>
                  <w:bookmarkStart w:id="35" w:name="_Toc29899574"/>
                  <w:bookmarkStart w:id="36" w:name="_Toc12021485"/>
                  <w:r>
                    <w:t>10</w:t>
                  </w:r>
                  <w:r>
                    <w:rPr>
                      <w:rFonts w:hint="eastAsia"/>
                    </w:rPr>
                    <w:tab/>
                  </w:r>
                  <w:r>
                    <w:t>UE procedure for receiving control information</w:t>
                  </w:r>
                  <w:bookmarkEnd w:id="27"/>
                  <w:bookmarkEnd w:id="28"/>
                  <w:bookmarkEnd w:id="29"/>
                  <w:bookmarkEnd w:id="30"/>
                  <w:bookmarkEnd w:id="31"/>
                  <w:bookmarkEnd w:id="32"/>
                  <w:bookmarkEnd w:id="33"/>
                  <w:bookmarkEnd w:id="34"/>
                  <w:bookmarkEnd w:id="35"/>
                  <w:bookmarkEnd w:id="36"/>
                </w:p>
                <w:p>
                  <w:pPr>
                    <w:widowControl w:val="0"/>
                    <w:jc w:val="center"/>
                    <w:rPr>
                      <w:b/>
                      <w:bCs/>
                    </w:rPr>
                  </w:pPr>
                  <w:r>
                    <w:rPr>
                      <w:color w:val="FF0000"/>
                      <w:lang w:eastAsia="zh-CN"/>
                    </w:rPr>
                    <w:t>*** Unchanged text is omitted ***</w:t>
                  </w:r>
                </w:p>
                <w:p>
                  <w:pPr>
                    <w:widowControl w:val="0"/>
                    <w:rPr>
                      <w:color w:val="C00000"/>
                      <w:u w:val="single"/>
                      <w:lang w:eastAsia="zh-CN"/>
                    </w:rPr>
                  </w:pPr>
                  <w:r>
                    <w:rPr>
                      <w:lang w:eastAsia="zh-CN"/>
                    </w:rPr>
                    <w:t xml:space="preserve">For SCS configuration </w:t>
                  </w:r>
                  <m:oMath>
                    <m:r>
                      <w:rPr>
                        <w:rFonts w:ascii="Cambria Math" w:hAnsi="Cambria Math"/>
                        <w:lang w:eastAsia="zh-CN"/>
                      </w:rPr>
                      <m:t>μ=5</m:t>
                    </m:r>
                  </m:oMath>
                  <w:r>
                    <w:rPr>
                      <w:lang w:eastAsia="zh-CN"/>
                    </w:rPr>
                    <w:t xml:space="preserve"> or </w:t>
                  </w:r>
                  <m:oMath>
                    <m:r>
                      <w:rPr>
                        <w:rFonts w:ascii="Cambria Math" w:hAnsi="Cambria Math"/>
                        <w:lang w:eastAsia="zh-CN"/>
                      </w:rPr>
                      <m:t>μ=6</m:t>
                    </m:r>
                  </m:oMath>
                  <w:r>
                    <w:rPr>
                      <w:lang w:eastAsia="zh-CN"/>
                    </w:rPr>
                    <w:t xml:space="preserve">, a UE can indicate a capability to monitor PDCCH according to one or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lang w:eastAsia="zh-CN"/>
                          </w:rPr>
                        </m:ctrlPr>
                      </m:e>
                    </m:d>
                  </m:oMath>
                  <w:r>
                    <w:rPr>
                      <w:lang w:eastAsia="zh-CN"/>
                    </w:rPr>
                    <w:t xml:space="preserve">, where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lang w:eastAsia="zh-CN"/>
                    </w:rPr>
                    <w:t xml:space="preserve"> and </w:t>
                  </w:r>
                  <m:oMath>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lang w:eastAsia="zh-CN"/>
                    </w:rPr>
                    <w:t xml:space="preserve"> are numbers of consecutive slots, groups of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lang w:eastAsia="zh-CN"/>
                    </w:rPr>
                    <w:t xml:space="preserve"> slots are consecutive and non-overlapping, and the </w:t>
                  </w:r>
                  <m:oMath>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lang w:eastAsia="zh-CN"/>
                    </w:rPr>
                    <w:t xml:space="preserve"> slots are within the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lang w:eastAsia="zh-CN"/>
                    </w:rPr>
                    <w:t xml:space="preserve"> slots. The first group of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lang w:eastAsia="zh-CN"/>
                    </w:rPr>
                    <w:t xml:space="preserve"> slots starts from the beginning of a subframe. The start of two consecutive groups of </w:t>
                  </w:r>
                  <m:oMath>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lang w:eastAsia="zh-CN"/>
                    </w:rPr>
                    <w:t xml:space="preserve"> slots is separated by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lang w:eastAsia="zh-CN"/>
                    </w:rPr>
                    <w:t xml:space="preserve"> slots. </w:t>
                  </w:r>
                  <w:r>
                    <w:rPr>
                      <w:color w:val="C00000"/>
                      <w:u w:val="single"/>
                      <w:lang w:eastAsia="zh-CN"/>
                    </w:rPr>
                    <w:t>If a UE indicates a capability to</w:t>
                  </w:r>
                  <w:r>
                    <w:rPr>
                      <w:color w:val="C00000"/>
                      <w:u w:val="single"/>
                      <w:lang w:eastAsia="ko-KR"/>
                    </w:rPr>
                    <w:t xml:space="preserve"> monitor PDCCH according to multiple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ctrlPr>
                              <w:rPr>
                                <w:rFonts w:ascii="Cambria Math" w:hAnsi="Cambria Math"/>
                                <w:i/>
                                <w:color w:val="C00000"/>
                                <w:u w:val="single"/>
                                <w:lang w:eastAsia="zh-CN"/>
                              </w:rPr>
                            </m:ctrlPr>
                          </m:e>
                          <m:sub>
                            <m:r>
                              <w:rPr>
                                <w:rFonts w:ascii="Cambria Math" w:hAnsi="Cambria Math"/>
                                <w:color w:val="C00000"/>
                                <w:u w:val="single"/>
                                <w:lang w:eastAsia="zh-CN"/>
                              </w:rPr>
                              <m:t>s</m:t>
                            </m:r>
                            <m:ctrlPr>
                              <w:rPr>
                                <w:rFonts w:ascii="Cambria Math" w:hAnsi="Cambria Math"/>
                                <w:i/>
                                <w:color w:val="C00000"/>
                                <w:u w:val="single"/>
                                <w:lang w:eastAsia="zh-CN"/>
                              </w:rPr>
                            </m:ctrlP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ctrlPr>
                              <w:rPr>
                                <w:rFonts w:ascii="Cambria Math" w:hAnsi="Cambria Math"/>
                                <w:i/>
                                <w:color w:val="C00000"/>
                                <w:u w:val="single"/>
                                <w:lang w:eastAsia="zh-CN"/>
                              </w:rPr>
                            </m:ctrlPr>
                          </m:e>
                          <m:sub>
                            <m:r>
                              <w:rPr>
                                <w:rFonts w:ascii="Cambria Math" w:hAnsi="Cambria Math"/>
                                <w:color w:val="C00000"/>
                                <w:u w:val="single"/>
                                <w:lang w:eastAsia="zh-CN"/>
                              </w:rPr>
                              <m:t>s</m:t>
                            </m:r>
                            <m:ctrlPr>
                              <w:rPr>
                                <w:rFonts w:ascii="Cambria Math" w:hAnsi="Cambria Math"/>
                                <w:i/>
                                <w:color w:val="C00000"/>
                                <w:u w:val="single"/>
                                <w:lang w:eastAsia="zh-CN"/>
                              </w:rPr>
                            </m:ctrlPr>
                          </m:sub>
                        </m:sSub>
                        <m:ctrlPr>
                          <w:rPr>
                            <w:rFonts w:ascii="Cambria Math" w:hAnsi="Cambria Math"/>
                            <w:color w:val="C00000"/>
                            <w:u w:val="single"/>
                            <w:lang w:eastAsia="zh-CN"/>
                          </w:rPr>
                        </m:ctrlPr>
                      </m:e>
                    </m:d>
                  </m:oMath>
                  <w:r>
                    <w:rPr>
                      <w:color w:val="C00000"/>
                      <w:u w:val="single"/>
                      <w:lang w:eastAsia="zh-CN"/>
                    </w:rPr>
                    <w:t xml:space="preserve"> combinations</w:t>
                  </w:r>
                  <w:r>
                    <w:rPr>
                      <w:color w:val="C00000"/>
                      <w:u w:val="single"/>
                      <w:lang w:eastAsia="ko-KR"/>
                    </w:rPr>
                    <w:t xml:space="preserve"> and a configuration of search space sets to the UE for PDCCH monitoring on a cell is allowed by</w:t>
                  </w:r>
                  <w:r>
                    <w:rPr>
                      <w:color w:val="C00000"/>
                      <w:u w:val="single"/>
                    </w:rPr>
                    <w:t xml:space="preserve"> one or more of the multiple </w:t>
                  </w:r>
                  <w:r>
                    <w:rPr>
                      <w:color w:val="C00000"/>
                      <w:u w:val="single"/>
                      <w:lang w:eastAsia="ko-KR"/>
                    </w:rPr>
                    <w:t xml:space="preserve">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ctrlPr>
                              <w:rPr>
                                <w:rFonts w:ascii="Cambria Math" w:hAnsi="Cambria Math"/>
                                <w:i/>
                                <w:color w:val="C00000"/>
                                <w:u w:val="single"/>
                                <w:lang w:eastAsia="zh-CN"/>
                              </w:rPr>
                            </m:ctrlPr>
                          </m:e>
                          <m:sub>
                            <m:r>
                              <w:rPr>
                                <w:rFonts w:ascii="Cambria Math" w:hAnsi="Cambria Math"/>
                                <w:color w:val="C00000"/>
                                <w:u w:val="single"/>
                                <w:lang w:eastAsia="zh-CN"/>
                              </w:rPr>
                              <m:t>s</m:t>
                            </m:r>
                            <m:ctrlPr>
                              <w:rPr>
                                <w:rFonts w:ascii="Cambria Math" w:hAnsi="Cambria Math"/>
                                <w:i/>
                                <w:color w:val="C00000"/>
                                <w:u w:val="single"/>
                                <w:lang w:eastAsia="zh-CN"/>
                              </w:rPr>
                            </m:ctrlP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ctrlPr>
                              <w:rPr>
                                <w:rFonts w:ascii="Cambria Math" w:hAnsi="Cambria Math"/>
                                <w:i/>
                                <w:color w:val="C00000"/>
                                <w:u w:val="single"/>
                                <w:lang w:eastAsia="zh-CN"/>
                              </w:rPr>
                            </m:ctrlPr>
                          </m:e>
                          <m:sub>
                            <m:r>
                              <w:rPr>
                                <w:rFonts w:ascii="Cambria Math" w:hAnsi="Cambria Math"/>
                                <w:color w:val="C00000"/>
                                <w:u w:val="single"/>
                                <w:lang w:eastAsia="zh-CN"/>
                              </w:rPr>
                              <m:t>s</m:t>
                            </m:r>
                            <m:ctrlPr>
                              <w:rPr>
                                <w:rFonts w:ascii="Cambria Math" w:hAnsi="Cambria Math"/>
                                <w:i/>
                                <w:color w:val="C00000"/>
                                <w:u w:val="single"/>
                                <w:lang w:eastAsia="zh-CN"/>
                              </w:rPr>
                            </m:ctrlPr>
                          </m:sub>
                        </m:sSub>
                        <m:ctrlPr>
                          <w:rPr>
                            <w:rFonts w:ascii="Cambria Math" w:hAnsi="Cambria Math"/>
                            <w:color w:val="C00000"/>
                            <w:u w:val="single"/>
                            <w:lang w:eastAsia="zh-CN"/>
                          </w:rPr>
                        </m:ctrlPr>
                      </m:e>
                    </m:d>
                  </m:oMath>
                  <w:r>
                    <w:rPr>
                      <w:color w:val="C00000"/>
                      <w:u w:val="single"/>
                    </w:rPr>
                    <w:t xml:space="preserve">, the UE monitors PDCCH on the cell according to the </w:t>
                  </w:r>
                  <w:r>
                    <w:rPr>
                      <w:color w:val="C00000"/>
                      <w:u w:val="single"/>
                      <w:lang w:eastAsia="ko-KR"/>
                    </w:rPr>
                    <w:t xml:space="preserve">combination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ctrlPr>
                              <w:rPr>
                                <w:rFonts w:ascii="Cambria Math" w:hAnsi="Cambria Math"/>
                                <w:i/>
                                <w:color w:val="C00000"/>
                                <w:u w:val="single"/>
                                <w:lang w:eastAsia="zh-CN"/>
                              </w:rPr>
                            </m:ctrlPr>
                          </m:e>
                          <m:sub>
                            <m:r>
                              <w:rPr>
                                <w:rFonts w:ascii="Cambria Math" w:hAnsi="Cambria Math"/>
                                <w:color w:val="C00000"/>
                                <w:u w:val="single"/>
                                <w:lang w:eastAsia="zh-CN"/>
                              </w:rPr>
                              <m:t>s</m:t>
                            </m:r>
                            <m:ctrlPr>
                              <w:rPr>
                                <w:rFonts w:ascii="Cambria Math" w:hAnsi="Cambria Math"/>
                                <w:i/>
                                <w:color w:val="C00000"/>
                                <w:u w:val="single"/>
                                <w:lang w:eastAsia="zh-CN"/>
                              </w:rPr>
                            </m:ctrlP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ctrlPr>
                              <w:rPr>
                                <w:rFonts w:ascii="Cambria Math" w:hAnsi="Cambria Math"/>
                                <w:i/>
                                <w:color w:val="C00000"/>
                                <w:u w:val="single"/>
                                <w:lang w:eastAsia="zh-CN"/>
                              </w:rPr>
                            </m:ctrlPr>
                          </m:e>
                          <m:sub>
                            <m:r>
                              <w:rPr>
                                <w:rFonts w:ascii="Cambria Math" w:hAnsi="Cambria Math"/>
                                <w:color w:val="C00000"/>
                                <w:u w:val="single"/>
                                <w:lang w:eastAsia="zh-CN"/>
                              </w:rPr>
                              <m:t>s</m:t>
                            </m:r>
                            <m:ctrlPr>
                              <w:rPr>
                                <w:rFonts w:ascii="Cambria Math" w:hAnsi="Cambria Math"/>
                                <w:i/>
                                <w:color w:val="C00000"/>
                                <w:u w:val="single"/>
                                <w:lang w:eastAsia="zh-CN"/>
                              </w:rPr>
                            </m:ctrlPr>
                          </m:sub>
                        </m:sSub>
                        <m:ctrlPr>
                          <w:rPr>
                            <w:rFonts w:ascii="Cambria Math" w:hAnsi="Cambria Math"/>
                            <w:color w:val="C00000"/>
                            <w:u w:val="single"/>
                            <w:lang w:eastAsia="zh-CN"/>
                          </w:rPr>
                        </m:ctrlPr>
                      </m:e>
                    </m:d>
                  </m:oMath>
                  <w:r>
                    <w:rPr>
                      <w:color w:val="C00000"/>
                      <w:u w:val="single"/>
                      <w:lang w:eastAsia="zh-CN"/>
                    </w:rPr>
                    <w:t xml:space="preserve"> with largest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ctrlPr>
                          <w:rPr>
                            <w:rFonts w:ascii="Cambria Math" w:hAnsi="Cambria Math"/>
                            <w:i/>
                            <w:color w:val="C00000"/>
                            <w:u w:val="single"/>
                            <w:lang w:eastAsia="zh-CN"/>
                          </w:rPr>
                        </m:ctrlPr>
                      </m:e>
                      <m:sub>
                        <m:r>
                          <w:rPr>
                            <w:rFonts w:ascii="Cambria Math" w:hAnsi="Cambria Math"/>
                            <w:color w:val="C00000"/>
                            <w:u w:val="single"/>
                            <w:lang w:eastAsia="zh-CN"/>
                          </w:rPr>
                          <m:t>s</m:t>
                        </m:r>
                        <m:ctrlPr>
                          <w:rPr>
                            <w:rFonts w:ascii="Cambria Math" w:hAnsi="Cambria Math"/>
                            <w:i/>
                            <w:color w:val="C00000"/>
                            <w:u w:val="single"/>
                            <w:lang w:eastAsia="zh-CN"/>
                          </w:rPr>
                        </m:ctrlPr>
                      </m:sub>
                    </m:sSub>
                  </m:oMath>
                  <w:r>
                    <w:rPr>
                      <w:color w:val="C00000"/>
                      <w:u w:val="single"/>
                      <w:lang w:eastAsia="zh-CN"/>
                    </w:rPr>
                    <w:t xml:space="preserve"> and smallest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ctrlPr>
                          <w:rPr>
                            <w:rFonts w:ascii="Cambria Math" w:hAnsi="Cambria Math"/>
                            <w:i/>
                            <w:color w:val="C00000"/>
                            <w:u w:val="single"/>
                            <w:lang w:eastAsia="zh-CN"/>
                          </w:rPr>
                        </m:ctrlPr>
                      </m:e>
                      <m:sub>
                        <m:r>
                          <w:rPr>
                            <w:rFonts w:ascii="Cambria Math" w:hAnsi="Cambria Math"/>
                            <w:color w:val="C00000"/>
                            <w:u w:val="single"/>
                            <w:lang w:eastAsia="zh-CN"/>
                          </w:rPr>
                          <m:t>s</m:t>
                        </m:r>
                        <m:ctrlPr>
                          <w:rPr>
                            <w:rFonts w:ascii="Cambria Math" w:hAnsi="Cambria Math"/>
                            <w:i/>
                            <w:color w:val="C00000"/>
                            <w:u w:val="single"/>
                            <w:lang w:eastAsia="zh-CN"/>
                          </w:rPr>
                        </m:ctrlPr>
                      </m:sub>
                    </m:sSub>
                  </m:oMath>
                  <w:r>
                    <w:rPr>
                      <w:color w:val="C00000"/>
                      <w:u w:val="single"/>
                      <w:lang w:eastAsia="zh-CN"/>
                    </w:rPr>
                    <w:t xml:space="preserve">. </w:t>
                  </w:r>
                </w:p>
                <w:p>
                  <w:pPr>
                    <w:widowControl w:val="0"/>
                    <w:jc w:val="center"/>
                    <w:rPr>
                      <w:b/>
                      <w:bCs/>
                    </w:rPr>
                  </w:pPr>
                  <w:r>
                    <w:rPr>
                      <w:color w:val="FF0000"/>
                      <w:lang w:eastAsia="zh-CN"/>
                    </w:rPr>
                    <w:t>*** Unchanged text is omitted ***</w:t>
                  </w:r>
                </w:p>
              </w:tc>
            </w:tr>
          </w:tbl>
          <w:p>
            <w:pPr>
              <w:widowControl w:val="0"/>
            </w:pPr>
          </w:p>
          <w:p>
            <w:pPr>
              <w:widowControl w:val="0"/>
              <w:spacing w:before="240" w:after="0"/>
              <w:jc w:val="both"/>
              <w:rPr>
                <w:b/>
              </w:rPr>
            </w:pPr>
            <w:r>
              <w:rPr>
                <w:b/>
              </w:rPr>
              <w:t xml:space="preserve">Proposal 7: </w:t>
            </w:r>
          </w:p>
          <w:p>
            <w:pPr>
              <w:pStyle w:val="82"/>
              <w:widowControl w:val="0"/>
              <w:numPr>
                <w:ilvl w:val="0"/>
                <w:numId w:val="46"/>
              </w:numPr>
              <w:snapToGrid/>
              <w:spacing w:before="60" w:line="240" w:lineRule="auto"/>
              <w:jc w:val="both"/>
              <w:rPr>
                <w:rFonts w:eastAsia="Times New Roman"/>
                <w:lang w:eastAsia="zh-CN"/>
              </w:rPr>
            </w:pPr>
            <w:r>
              <w:rPr>
                <w:rFonts w:ascii="Times New Roman" w:hAnsi="Times New Roman"/>
                <w:sz w:val="20"/>
                <w:szCs w:val="20"/>
              </w:rPr>
              <w:t xml:space="preserve">For a UE capable of multiple combinations (X, Y), if the configured SS sets are aligned with more than one combination (X, Y), the active combination (X, Y) is determined that is associated with the largest X and smallest Y. </w:t>
            </w:r>
          </w:p>
          <w:p>
            <w:pPr>
              <w:pStyle w:val="82"/>
              <w:widowControl w:val="0"/>
              <w:numPr>
                <w:ilvl w:val="0"/>
                <w:numId w:val="46"/>
              </w:numPr>
              <w:snapToGrid/>
              <w:spacing w:before="60" w:line="240" w:lineRule="auto"/>
              <w:jc w:val="both"/>
              <w:rPr>
                <w:rFonts w:eastAsia="Times New Roman"/>
                <w:lang w:eastAsia="zh-CN"/>
              </w:rPr>
            </w:pPr>
            <w:r>
              <w:rPr>
                <w:rFonts w:ascii="Times New Roman" w:hAnsi="Times New Roman"/>
                <w:sz w:val="20"/>
                <w:szCs w:val="20"/>
                <w:lang w:val="en-GB" w:eastAsia="zh-CN"/>
              </w:rPr>
              <w:t>Agree on TP 2 to determine the active combination (X, Y).</w:t>
            </w:r>
          </w:p>
          <w:p>
            <w:pPr>
              <w:widowControl w:val="0"/>
              <w:snapToGrid/>
              <w:spacing w:before="60" w:line="240" w:lineRule="auto"/>
              <w:jc w:val="both"/>
              <w:rPr>
                <w:b/>
                <w:sz w:val="20"/>
                <w:szCs w:val="20"/>
              </w:rPr>
            </w:pPr>
          </w:p>
        </w:tc>
      </w:tr>
    </w:tbl>
    <w:p>
      <w:pPr>
        <w:rPr>
          <w:lang w:eastAsia="zh-CN"/>
        </w:rPr>
      </w:pPr>
    </w:p>
    <w:p>
      <w:pPr>
        <w:pStyle w:val="4"/>
      </w:pPr>
      <w:r>
        <w:t>R1-2201735 (Ericsson)</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pStyle w:val="212"/>
              <w:widowControl w:val="0"/>
              <w:tabs>
                <w:tab w:val="clear" w:pos="2722"/>
              </w:tabs>
              <w:spacing w:after="120"/>
              <w:jc w:val="both"/>
            </w:pPr>
            <w:bookmarkStart w:id="37" w:name="_Toc95740682"/>
            <w:bookmarkStart w:id="38" w:name="_Ref94802493"/>
            <w:r>
              <w:rPr>
                <w:rFonts w:cs="Arial" w:eastAsiaTheme="minorEastAsia"/>
                <w:lang w:eastAsia="ja-JP"/>
              </w:rPr>
              <w:t xml:space="preserve">Inform RAN2 that the value range for the existing parameter </w:t>
            </w:r>
            <w:r>
              <w:rPr>
                <w:i/>
              </w:rPr>
              <w:t>monitoringCapabilityConfig</w:t>
            </w:r>
            <w:r>
              <w:t xml:space="preserve"> needs to be be extended to include the new value </w:t>
            </w:r>
            <w:r>
              <w:rPr>
                <w:i/>
              </w:rPr>
              <w:t>r17monitoringcapability</w:t>
            </w:r>
            <w:r>
              <w:t>, and that for 480 and 960 kHz SCS, the UE expects to be configured with this value. A note can be added to the RRC parameter spreadsheet to propose that RAN2 updates the field description of the parameter as follows:</w:t>
            </w:r>
            <w:bookmarkEnd w:id="37"/>
            <w:bookmarkEnd w:id="38"/>
          </w:p>
          <w:p>
            <w:pPr>
              <w:pStyle w:val="88"/>
              <w:widowControl w:val="0"/>
              <w:ind w:left="1304"/>
              <w:rPr>
                <w:b/>
                <w:bCs/>
                <w:i/>
                <w:iCs/>
              </w:rPr>
            </w:pPr>
            <w:bookmarkStart w:id="39" w:name="_Hlk94803098"/>
            <w:r>
              <w:rPr>
                <w:b/>
                <w:bCs/>
                <w:i/>
                <w:iCs/>
              </w:rPr>
              <w:t>monitoringCapabilityConfig</w:t>
            </w:r>
          </w:p>
          <w:bookmarkEnd w:id="39"/>
          <w:p>
            <w:pPr>
              <w:widowControl w:val="0"/>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p>
            <w:pPr>
              <w:pStyle w:val="212"/>
              <w:widowControl w:val="0"/>
              <w:tabs>
                <w:tab w:val="clear" w:pos="2722"/>
              </w:tabs>
              <w:spacing w:after="120"/>
              <w:jc w:val="both"/>
              <w:rPr>
                <w:lang w:val="en-GB"/>
              </w:rPr>
            </w:pPr>
            <w:bookmarkStart w:id="40" w:name="_Toc95740683"/>
            <w:bookmarkStart w:id="41" w:name="_Ref94802477"/>
            <w:r>
              <w:rPr>
                <w:lang w:val="en-GB"/>
              </w:rPr>
              <w:t xml:space="preserve">Adopt TP#1 which definines the default PDCCH monitoring behavior for 480/960 kHz SCS when the parameter </w:t>
            </w:r>
            <w:r>
              <w:rPr>
                <w:rFonts w:ascii="Times New Roman" w:hAnsi="Times New Roman" w:eastAsia="宋体" w:cs="Times New Roman"/>
                <w:i/>
                <w:szCs w:val="20"/>
              </w:rPr>
              <w:t>monitoringCapabilityConfig</w:t>
            </w:r>
            <w:r>
              <w:rPr>
                <w:lang w:val="en-GB"/>
              </w:rPr>
              <w:t xml:space="preserve"> is absent</w:t>
            </w:r>
            <w:bookmarkEnd w:id="40"/>
            <w:bookmarkEnd w:id="41"/>
          </w:p>
          <w:p>
            <w:pPr>
              <w:widowControl w:val="0"/>
              <w:rPr>
                <w:szCs w:val="20"/>
                <w:lang w:eastAsia="zh-CN"/>
              </w:rPr>
            </w:pPr>
            <w:bookmarkStart w:id="42" w:name="_Toc29673350"/>
            <w:bookmarkStart w:id="43" w:name="_Toc29674343"/>
            <w:bookmarkStart w:id="44" w:name="_Toc29673209"/>
            <w:r>
              <w:rPr>
                <w:szCs w:val="20"/>
                <w:lang w:eastAsia="zh-CN"/>
              </w:rPr>
              <w:t>----------------------------------------- Text Proposal (TP#1) for 38.213, Section 10 ----------------------------------------</w:t>
            </w:r>
          </w:p>
          <w:p>
            <w:pPr>
              <w:widowControl w:val="0"/>
              <w:jc w:val="center"/>
              <w:rPr>
                <w:color w:val="FF0000"/>
                <w:szCs w:val="20"/>
                <w:lang w:eastAsia="zh-CN"/>
              </w:rPr>
            </w:pPr>
            <w:r>
              <w:rPr>
                <w:color w:val="FF0000"/>
                <w:szCs w:val="20"/>
                <w:lang w:eastAsia="zh-CN"/>
              </w:rPr>
              <w:t>*** Unchanged text omitted ***</w:t>
            </w:r>
          </w:p>
          <w:bookmarkEnd w:id="42"/>
          <w:bookmarkEnd w:id="43"/>
          <w:bookmarkEnd w:id="44"/>
          <w:p>
            <w:pPr>
              <w:widowControl w:val="0"/>
              <w:rPr>
                <w:rFonts w:eastAsia="宋体"/>
                <w:szCs w:val="20"/>
              </w:rPr>
            </w:pPr>
            <w:r>
              <w:rPr>
                <w:rFonts w:eastAsia="宋体"/>
                <w:szCs w:val="20"/>
              </w:rPr>
              <w:t xml:space="preserve">If a UE is provided </w:t>
            </w:r>
            <w:r>
              <w:rPr>
                <w:rFonts w:eastAsia="宋体"/>
                <w:i/>
                <w:szCs w:val="20"/>
              </w:rPr>
              <w:t>monitoringCapabilityConfig</w:t>
            </w:r>
            <w:r>
              <w:rPr>
                <w:rFonts w:eastAsia="宋体"/>
                <w:szCs w:val="20"/>
              </w:rPr>
              <w:t xml:space="preserve"> for a serving cell, the UE obtains an indication to monitor PDCCH on the serving cell for a maximum number of PDCCH candidates and non-overlapping CCEs </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slot, as in Tables 10.1-2 and 10.1-3,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r15monitoringcapability</w:t>
            </w:r>
            <w:r>
              <w:rPr>
                <w:rFonts w:eastAsia="宋体"/>
              </w:rPr>
              <w:t xml:space="preserve">, </w:t>
            </w:r>
            <w:r>
              <w:rPr>
                <w:rFonts w:eastAsia="宋体"/>
                <w:szCs w:val="20"/>
              </w:rPr>
              <w:t xml:space="preserve">or </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span, as in Tables 10.1-2A and 10.1-3A,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r16monitoringcapability</w:t>
            </w:r>
          </w:p>
          <w:p>
            <w:pPr>
              <w:widowControl w:val="0"/>
              <w:spacing w:after="180" w:line="240" w:lineRule="auto"/>
              <w:ind w:left="568" w:hanging="284"/>
              <w:rPr>
                <w:rFonts w:eastAsia="宋体"/>
                <w:szCs w:val="20"/>
              </w:rPr>
            </w:pPr>
            <w:r>
              <w:rPr>
                <w:rFonts w:eastAsia="宋体"/>
                <w:szCs w:val="20"/>
              </w:rPr>
              <w:t>-</w:t>
            </w:r>
            <w:r>
              <w:rPr>
                <w:rFonts w:eastAsia="宋体"/>
                <w:szCs w:val="20"/>
              </w:rPr>
              <w:tab/>
            </w:r>
            <w:r>
              <w:rPr>
                <w:rFonts w:eastAsia="宋体"/>
                <w:szCs w:val="20"/>
              </w:rPr>
              <w:t xml:space="preserve">per group </w:t>
            </w:r>
            <w:r>
              <w:rPr>
                <w:rFonts w:eastAsia="宋体"/>
                <w:szCs w:val="20"/>
                <w:lang w:eastAsia="zh-CN"/>
              </w:rPr>
              <w:t xml:space="preserve">of </w:t>
            </w:r>
            <m:oMath>
              <m:sSub>
                <m:sSubPr>
                  <m:ctrlPr>
                    <w:rPr>
                      <w:rFonts w:ascii="Cambria Math" w:hAnsi="Cambria Math" w:eastAsia="宋体"/>
                      <w:i/>
                      <w:szCs w:val="20"/>
                      <w:lang w:val="zh-CN" w:eastAsia="zh-CN"/>
                    </w:rPr>
                  </m:ctrlPr>
                </m:sSubPr>
                <m:e>
                  <m:r>
                    <w:rPr>
                      <w:rFonts w:ascii="Cambria Math" w:hAnsi="Cambria Math" w:eastAsia="宋体"/>
                      <w:szCs w:val="20"/>
                      <w:lang w:val="zh-CN" w:eastAsia="zh-CN"/>
                    </w:rPr>
                    <m:t>X</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oMath>
            <w:r>
              <w:rPr>
                <w:rFonts w:eastAsia="宋体"/>
                <w:szCs w:val="20"/>
                <w:lang w:eastAsia="zh-CN"/>
              </w:rPr>
              <w:t xml:space="preserve"> slots</w:t>
            </w:r>
            <w:r>
              <w:rPr>
                <w:rFonts w:eastAsia="宋体"/>
                <w:szCs w:val="20"/>
              </w:rPr>
              <w:t xml:space="preserve"> </w:t>
            </w:r>
            <w:r>
              <w:rPr>
                <w:rFonts w:eastAsia="宋体"/>
                <w:szCs w:val="20"/>
                <w:lang w:eastAsia="zh-CN"/>
              </w:rPr>
              <w:t xml:space="preserve">according to combination </w:t>
            </w:r>
            <m:oMath>
              <m:d>
                <m:dPr>
                  <m:ctrlPr>
                    <w:rPr>
                      <w:rFonts w:ascii="Cambria Math" w:hAnsi="Cambria Math" w:eastAsia="宋体"/>
                      <w:szCs w:val="20"/>
                      <w:lang w:val="zh-CN" w:eastAsia="zh-CN"/>
                    </w:rPr>
                  </m:ctrlPr>
                </m:dPr>
                <m:e>
                  <m:sSub>
                    <m:sSubPr>
                      <m:ctrlPr>
                        <w:rPr>
                          <w:rFonts w:ascii="Cambria Math" w:hAnsi="Cambria Math" w:eastAsia="宋体"/>
                          <w:i/>
                          <w:szCs w:val="20"/>
                          <w:lang w:val="zh-CN" w:eastAsia="zh-CN"/>
                        </w:rPr>
                      </m:ctrlPr>
                    </m:sSubPr>
                    <m:e>
                      <m:r>
                        <w:rPr>
                          <w:rFonts w:ascii="Cambria Math" w:hAnsi="Cambria Math" w:eastAsia="宋体"/>
                          <w:szCs w:val="20"/>
                          <w:lang w:val="zh-CN" w:eastAsia="zh-CN"/>
                        </w:rPr>
                        <m:t>X</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r>
                    <w:rPr>
                      <w:rFonts w:ascii="Cambria Math" w:hAnsi="Cambria Math" w:eastAsia="宋体"/>
                      <w:szCs w:val="20"/>
                      <w:lang w:eastAsia="zh-CN"/>
                    </w:rPr>
                    <m:t>,</m:t>
                  </m:r>
                  <m:sSub>
                    <m:sSubPr>
                      <m:ctrlPr>
                        <w:rPr>
                          <w:rFonts w:ascii="Cambria Math" w:hAnsi="Cambria Math" w:eastAsia="宋体"/>
                          <w:i/>
                          <w:szCs w:val="20"/>
                          <w:lang w:val="zh-CN" w:eastAsia="zh-CN"/>
                        </w:rPr>
                      </m:ctrlPr>
                    </m:sSubPr>
                    <m:e>
                      <m:r>
                        <w:rPr>
                          <w:rFonts w:ascii="Cambria Math" w:hAnsi="Cambria Math" w:eastAsia="宋体"/>
                          <w:szCs w:val="20"/>
                          <w:lang w:val="zh-CN" w:eastAsia="zh-CN"/>
                        </w:rPr>
                        <m:t>Y</m:t>
                      </m:r>
                      <m:ctrlPr>
                        <w:rPr>
                          <w:rFonts w:ascii="Cambria Math" w:hAnsi="Cambria Math" w:eastAsia="宋体"/>
                          <w:i/>
                          <w:szCs w:val="20"/>
                          <w:lang w:val="zh-CN" w:eastAsia="zh-CN"/>
                        </w:rPr>
                      </m:ctrlPr>
                    </m:e>
                    <m:sub>
                      <m:r>
                        <w:rPr>
                          <w:rFonts w:ascii="Cambria Math" w:hAnsi="Cambria Math" w:eastAsia="宋体"/>
                          <w:szCs w:val="20"/>
                          <w:lang w:val="zh-CN" w:eastAsia="zh-CN"/>
                        </w:rPr>
                        <m:t>s</m:t>
                      </m:r>
                      <m:ctrlPr>
                        <w:rPr>
                          <w:rFonts w:ascii="Cambria Math" w:hAnsi="Cambria Math" w:eastAsia="宋体"/>
                          <w:i/>
                          <w:szCs w:val="20"/>
                          <w:lang w:val="zh-CN" w:eastAsia="zh-CN"/>
                        </w:rPr>
                      </m:ctrlPr>
                    </m:sub>
                  </m:sSub>
                  <m:ctrlPr>
                    <w:rPr>
                      <w:rFonts w:ascii="Cambria Math" w:hAnsi="Cambria Math" w:eastAsia="宋体"/>
                      <w:szCs w:val="20"/>
                      <w:lang w:val="zh-CN" w:eastAsia="zh-CN"/>
                    </w:rPr>
                  </m:ctrlPr>
                </m:e>
              </m:d>
            </m:oMath>
            <w:r>
              <w:rPr>
                <w:rFonts w:eastAsia="宋体"/>
                <w:szCs w:val="20"/>
              </w:rPr>
              <w:t xml:space="preserve">, as in Tables 10.1-2B and 10.1-3B,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r17monitoringcapability</w:t>
            </w:r>
          </w:p>
          <w:p>
            <w:pPr>
              <w:widowControl w:val="0"/>
              <w:spacing w:after="180" w:line="240" w:lineRule="auto"/>
              <w:rPr>
                <w:rFonts w:eastAsia="宋体"/>
                <w:szCs w:val="20"/>
                <w:lang w:eastAsia="zh-CN"/>
              </w:rPr>
            </w:pPr>
            <w:r>
              <w:rPr>
                <w:rFonts w:eastAsia="Times New Roman"/>
                <w:color w:val="FF0000"/>
                <w:szCs w:val="20"/>
                <w:lang w:eastAsia="en-GB"/>
              </w:rPr>
              <w:t>F</w:t>
            </w:r>
            <w:r>
              <w:rPr>
                <w:rFonts w:eastAsia="Times New Roman"/>
                <w:color w:val="FF0000"/>
                <w:szCs w:val="20"/>
                <w:lang w:val="en-GB" w:eastAsia="en-GB"/>
              </w:rPr>
              <w:t xml:space="preserve">or μ </w:t>
            </w:r>
            <w:r>
              <w:rPr>
                <w:rFonts w:ascii="Cambria Math" w:hAnsi="Cambria Math" w:eastAsia="Times New Roman" w:cs="Cambria Math"/>
                <w:color w:val="FF0000"/>
                <w:szCs w:val="20"/>
                <w:lang w:val="en-GB" w:eastAsia="en-GB"/>
              </w:rPr>
              <w:t>∈</w:t>
            </w:r>
            <w:r>
              <w:rPr>
                <w:rFonts w:eastAsia="Times New Roman"/>
                <w:color w:val="FF0000"/>
                <w:szCs w:val="20"/>
                <w:lang w:val="en-GB" w:eastAsia="en-GB"/>
              </w:rPr>
              <w:t xml:space="preserve"> {0,1,2,3}, if </w:t>
            </w:r>
            <w:r>
              <w:rPr>
                <w:rFonts w:eastAsia="宋体"/>
                <w:strike/>
                <w:color w:val="FF0000"/>
                <w:szCs w:val="20"/>
              </w:rPr>
              <w:t>If</w:t>
            </w:r>
            <w:r>
              <w:rPr>
                <w:rFonts w:eastAsia="宋体"/>
                <w:szCs w:val="20"/>
              </w:rPr>
              <w:t xml:space="preserve"> the UE is not provided </w:t>
            </w:r>
            <w:r>
              <w:rPr>
                <w:rFonts w:eastAsia="宋体"/>
                <w:i/>
                <w:szCs w:val="20"/>
              </w:rPr>
              <w:t>monitoringCapabilityConfig</w:t>
            </w:r>
            <w:r>
              <w:rPr>
                <w:rFonts w:eastAsia="宋体"/>
                <w:szCs w:val="20"/>
              </w:rPr>
              <w:t xml:space="preserve">, the UE monitors PDCCH on the serving cell for a maximum number of PDCCH candidates and non-overlapping CCEs per slot. </w:t>
            </w:r>
          </w:p>
          <w:p>
            <w:pPr>
              <w:widowControl w:val="0"/>
              <w:spacing w:after="180" w:line="240" w:lineRule="auto"/>
              <w:rPr>
                <w:rFonts w:eastAsia="Times New Roman"/>
                <w:color w:val="FF0000"/>
                <w:szCs w:val="20"/>
                <w:lang w:eastAsia="en-GB"/>
              </w:rPr>
            </w:pPr>
            <w:r>
              <w:rPr>
                <w:rFonts w:eastAsia="Times New Roman"/>
                <w:color w:val="FF0000"/>
                <w:szCs w:val="20"/>
                <w:lang w:eastAsia="en-GB"/>
              </w:rPr>
              <w:t xml:space="preserve">For μ </w:t>
            </w:r>
            <w:r>
              <w:rPr>
                <w:rFonts w:ascii="Cambria Math" w:hAnsi="Cambria Math" w:eastAsia="Times New Roman" w:cs="Cambria Math"/>
                <w:color w:val="FF0000"/>
                <w:szCs w:val="20"/>
                <w:lang w:eastAsia="en-GB"/>
              </w:rPr>
              <w:t>∈</w:t>
            </w:r>
            <w:r>
              <w:rPr>
                <w:rFonts w:eastAsia="Times New Roman"/>
                <w:color w:val="FF0000"/>
                <w:szCs w:val="20"/>
                <w:lang w:eastAsia="en-GB"/>
              </w:rPr>
              <w:t xml:space="preserve"> {5,6}, if the UE is not provided </w:t>
            </w:r>
            <w:r>
              <w:rPr>
                <w:rFonts w:eastAsia="Times New Roman"/>
                <w:i/>
                <w:iCs/>
                <w:color w:val="FF0000"/>
                <w:szCs w:val="20"/>
                <w:lang w:eastAsia="en-GB"/>
              </w:rPr>
              <w:t>monitoringCapabilityConfig</w:t>
            </w:r>
            <w:r>
              <w:rPr>
                <w:rFonts w:eastAsia="Times New Roman"/>
                <w:color w:val="FF0000"/>
                <w:szCs w:val="20"/>
                <w:lang w:eastAsia="en-GB"/>
              </w:rPr>
              <w:t xml:space="preserve">, the UE monitors PDCCH on the serving cell for a maximum number of PDCCH candidates and non-overlapping CCEs per group of </w:t>
            </w:r>
            <m:oMath>
              <m:sSub>
                <m:sSubPr>
                  <m:ctrlPr>
                    <w:rPr>
                      <w:rFonts w:ascii="Cambria Math" w:hAnsi="Cambria Math" w:eastAsia="Times New Roman"/>
                      <w:color w:val="FF0000"/>
                      <w:szCs w:val="20"/>
                      <w:lang w:eastAsia="en-GB"/>
                    </w:rPr>
                  </m:ctrlPr>
                </m:sSubPr>
                <m:e>
                  <m:r>
                    <w:rPr>
                      <w:rFonts w:ascii="Cambria Math" w:hAnsi="Cambria Math" w:eastAsia="Times New Roman"/>
                      <w:color w:val="FF0000"/>
                      <w:szCs w:val="20"/>
                      <w:lang w:eastAsia="en-GB"/>
                    </w:rPr>
                    <m:t>X</m:t>
                  </m:r>
                  <m:ctrlPr>
                    <w:rPr>
                      <w:rFonts w:ascii="Cambria Math" w:hAnsi="Cambria Math" w:eastAsia="Times New Roman"/>
                      <w:color w:val="FF0000"/>
                      <w:szCs w:val="20"/>
                      <w:lang w:eastAsia="en-GB"/>
                    </w:rPr>
                  </m:ctrlPr>
                </m:e>
                <m:sub>
                  <m:r>
                    <w:rPr>
                      <w:rFonts w:ascii="Cambria Math" w:hAnsi="Cambria Math" w:eastAsia="Times New Roman"/>
                      <w:color w:val="FF0000"/>
                      <w:szCs w:val="20"/>
                      <w:lang w:eastAsia="en-GB"/>
                    </w:rPr>
                    <m:t>s</m:t>
                  </m:r>
                  <m:ctrlPr>
                    <w:rPr>
                      <w:rFonts w:ascii="Cambria Math" w:hAnsi="Cambria Math" w:eastAsia="Times New Roman"/>
                      <w:color w:val="FF0000"/>
                      <w:szCs w:val="20"/>
                      <w:lang w:eastAsia="en-GB"/>
                    </w:rPr>
                  </m:ctrlPr>
                </m:sub>
              </m:sSub>
            </m:oMath>
            <w:r>
              <w:rPr>
                <w:rFonts w:eastAsia="Times New Roman"/>
                <w:color w:val="FF0000"/>
                <w:szCs w:val="20"/>
                <w:lang w:eastAsia="en-GB"/>
              </w:rPr>
              <w:t xml:space="preserve"> slots according to combination </w:t>
            </w:r>
            <m:oMath>
              <m:d>
                <m:dPr>
                  <m:ctrlPr>
                    <w:rPr>
                      <w:rFonts w:ascii="Cambria Math" w:hAnsi="Cambria Math" w:eastAsia="Times New Roman"/>
                      <w:color w:val="FF0000"/>
                      <w:szCs w:val="20"/>
                      <w:lang w:eastAsia="en-GB"/>
                    </w:rPr>
                  </m:ctrlPr>
                </m:dPr>
                <m:e>
                  <m:sSub>
                    <m:sSubPr>
                      <m:ctrlPr>
                        <w:rPr>
                          <w:rFonts w:ascii="Cambria Math" w:hAnsi="Cambria Math" w:eastAsia="Times New Roman"/>
                          <w:color w:val="FF0000"/>
                          <w:szCs w:val="20"/>
                          <w:lang w:eastAsia="en-GB"/>
                        </w:rPr>
                      </m:ctrlPr>
                    </m:sSubPr>
                    <m:e>
                      <m:r>
                        <w:rPr>
                          <w:rFonts w:ascii="Cambria Math" w:hAnsi="Cambria Math" w:eastAsia="Times New Roman"/>
                          <w:color w:val="FF0000"/>
                          <w:szCs w:val="20"/>
                          <w:lang w:eastAsia="en-GB"/>
                        </w:rPr>
                        <m:t>X</m:t>
                      </m:r>
                      <m:ctrlPr>
                        <w:rPr>
                          <w:rFonts w:ascii="Cambria Math" w:hAnsi="Cambria Math" w:eastAsia="Times New Roman"/>
                          <w:color w:val="FF0000"/>
                          <w:szCs w:val="20"/>
                          <w:lang w:eastAsia="en-GB"/>
                        </w:rPr>
                      </m:ctrlPr>
                    </m:e>
                    <m:sub>
                      <m:r>
                        <w:rPr>
                          <w:rFonts w:ascii="Cambria Math" w:hAnsi="Cambria Math" w:eastAsia="Times New Roman"/>
                          <w:color w:val="FF0000"/>
                          <w:szCs w:val="20"/>
                          <w:lang w:eastAsia="en-GB"/>
                        </w:rPr>
                        <m:t>s</m:t>
                      </m:r>
                      <m:ctrlPr>
                        <w:rPr>
                          <w:rFonts w:ascii="Cambria Math" w:hAnsi="Cambria Math" w:eastAsia="Times New Roman"/>
                          <w:color w:val="FF0000"/>
                          <w:szCs w:val="20"/>
                          <w:lang w:eastAsia="en-GB"/>
                        </w:rPr>
                      </m:ctrlPr>
                    </m:sub>
                  </m:sSub>
                  <m:r>
                    <m:rPr>
                      <m:sty m:val="p"/>
                    </m:rPr>
                    <w:rPr>
                      <w:rFonts w:ascii="Cambria Math" w:hAnsi="Cambria Math" w:eastAsia="Times New Roman"/>
                      <w:color w:val="FF0000"/>
                      <w:szCs w:val="20"/>
                      <w:lang w:eastAsia="en-GB"/>
                    </w:rPr>
                    <m:t>,</m:t>
                  </m:r>
                  <m:sSub>
                    <m:sSubPr>
                      <m:ctrlPr>
                        <w:rPr>
                          <w:rFonts w:ascii="Cambria Math" w:hAnsi="Cambria Math" w:eastAsia="Times New Roman"/>
                          <w:color w:val="FF0000"/>
                          <w:szCs w:val="20"/>
                          <w:lang w:eastAsia="en-GB"/>
                        </w:rPr>
                      </m:ctrlPr>
                    </m:sSubPr>
                    <m:e>
                      <m:r>
                        <w:rPr>
                          <w:rFonts w:ascii="Cambria Math" w:hAnsi="Cambria Math" w:eastAsia="Times New Roman"/>
                          <w:color w:val="FF0000"/>
                          <w:szCs w:val="20"/>
                          <w:lang w:eastAsia="en-GB"/>
                        </w:rPr>
                        <m:t>Y</m:t>
                      </m:r>
                      <m:ctrlPr>
                        <w:rPr>
                          <w:rFonts w:ascii="Cambria Math" w:hAnsi="Cambria Math" w:eastAsia="Times New Roman"/>
                          <w:color w:val="FF0000"/>
                          <w:szCs w:val="20"/>
                          <w:lang w:eastAsia="en-GB"/>
                        </w:rPr>
                      </m:ctrlPr>
                    </m:e>
                    <m:sub>
                      <m:r>
                        <w:rPr>
                          <w:rFonts w:ascii="Cambria Math" w:hAnsi="Cambria Math" w:eastAsia="Times New Roman"/>
                          <w:color w:val="FF0000"/>
                          <w:szCs w:val="20"/>
                          <w:lang w:eastAsia="en-GB"/>
                        </w:rPr>
                        <m:t>s</m:t>
                      </m:r>
                      <m:ctrlPr>
                        <w:rPr>
                          <w:rFonts w:ascii="Cambria Math" w:hAnsi="Cambria Math" w:eastAsia="Times New Roman"/>
                          <w:color w:val="FF0000"/>
                          <w:szCs w:val="20"/>
                          <w:lang w:eastAsia="en-GB"/>
                        </w:rPr>
                      </m:ctrlPr>
                    </m:sub>
                  </m:sSub>
                  <m:ctrlPr>
                    <w:rPr>
                      <w:rFonts w:ascii="Cambria Math" w:hAnsi="Cambria Math" w:eastAsia="Times New Roman"/>
                      <w:color w:val="FF0000"/>
                      <w:szCs w:val="20"/>
                      <w:lang w:eastAsia="en-GB"/>
                    </w:rPr>
                  </m:ctrlPr>
                </m:e>
              </m:d>
              <m:r>
                <m:rPr>
                  <m:sty m:val="p"/>
                </m:rPr>
                <w:rPr>
                  <w:rFonts w:ascii="Cambria Math" w:hAnsi="Cambria Math" w:eastAsia="Times New Roman"/>
                  <w:color w:val="FF0000"/>
                  <w:szCs w:val="20"/>
                  <w:lang w:eastAsia="en-GB"/>
                </w:rPr>
                <m:t>=(4,1)</m:t>
              </m:r>
            </m:oMath>
            <w:r>
              <w:rPr>
                <w:rFonts w:eastAsia="Times New Roman"/>
                <w:color w:val="FF0000"/>
                <w:szCs w:val="20"/>
                <w:lang w:eastAsia="en-GB"/>
              </w:rPr>
              <w:t xml:space="preserve"> for μ </w:t>
            </w:r>
            <w:r>
              <w:rPr>
                <w:rFonts w:ascii="Cambria Math" w:hAnsi="Cambria Math" w:eastAsia="Times New Roman" w:cs="Cambria Math"/>
                <w:color w:val="FF0000"/>
                <w:szCs w:val="20"/>
                <w:lang w:eastAsia="en-GB"/>
              </w:rPr>
              <w:t>=5 and</w:t>
            </w:r>
            <w:r>
              <w:rPr>
                <w:rFonts w:eastAsia="Times New Roman"/>
                <w:color w:val="FF0000"/>
                <w:szCs w:val="20"/>
                <w:lang w:eastAsia="en-GB"/>
              </w:rPr>
              <w:t xml:space="preserve">  </w:t>
            </w:r>
            <m:oMath>
              <m:d>
                <m:dPr>
                  <m:ctrlPr>
                    <w:rPr>
                      <w:rFonts w:ascii="Cambria Math" w:hAnsi="Cambria Math" w:eastAsia="Times New Roman"/>
                      <w:color w:val="FF0000"/>
                      <w:szCs w:val="20"/>
                      <w:lang w:eastAsia="en-GB"/>
                    </w:rPr>
                  </m:ctrlPr>
                </m:dPr>
                <m:e>
                  <m:sSub>
                    <m:sSubPr>
                      <m:ctrlPr>
                        <w:rPr>
                          <w:rFonts w:ascii="Cambria Math" w:hAnsi="Cambria Math" w:eastAsia="Times New Roman"/>
                          <w:color w:val="FF0000"/>
                          <w:szCs w:val="20"/>
                          <w:lang w:eastAsia="en-GB"/>
                        </w:rPr>
                      </m:ctrlPr>
                    </m:sSubPr>
                    <m:e>
                      <m:r>
                        <w:rPr>
                          <w:rFonts w:ascii="Cambria Math" w:hAnsi="Cambria Math" w:eastAsia="Times New Roman"/>
                          <w:color w:val="FF0000"/>
                          <w:szCs w:val="20"/>
                          <w:lang w:eastAsia="en-GB"/>
                        </w:rPr>
                        <m:t>X</m:t>
                      </m:r>
                      <m:ctrlPr>
                        <w:rPr>
                          <w:rFonts w:ascii="Cambria Math" w:hAnsi="Cambria Math" w:eastAsia="Times New Roman"/>
                          <w:color w:val="FF0000"/>
                          <w:szCs w:val="20"/>
                          <w:lang w:eastAsia="en-GB"/>
                        </w:rPr>
                      </m:ctrlPr>
                    </m:e>
                    <m:sub>
                      <m:r>
                        <w:rPr>
                          <w:rFonts w:ascii="Cambria Math" w:hAnsi="Cambria Math" w:eastAsia="Times New Roman"/>
                          <w:color w:val="FF0000"/>
                          <w:szCs w:val="20"/>
                          <w:lang w:eastAsia="en-GB"/>
                        </w:rPr>
                        <m:t>s</m:t>
                      </m:r>
                      <m:ctrlPr>
                        <w:rPr>
                          <w:rFonts w:ascii="Cambria Math" w:hAnsi="Cambria Math" w:eastAsia="Times New Roman"/>
                          <w:color w:val="FF0000"/>
                          <w:szCs w:val="20"/>
                          <w:lang w:eastAsia="en-GB"/>
                        </w:rPr>
                      </m:ctrlPr>
                    </m:sub>
                  </m:sSub>
                  <m:r>
                    <m:rPr>
                      <m:sty m:val="p"/>
                    </m:rPr>
                    <w:rPr>
                      <w:rFonts w:ascii="Cambria Math" w:hAnsi="Cambria Math" w:eastAsia="Times New Roman"/>
                      <w:color w:val="FF0000"/>
                      <w:szCs w:val="20"/>
                      <w:lang w:eastAsia="en-GB"/>
                    </w:rPr>
                    <m:t>,</m:t>
                  </m:r>
                  <m:sSub>
                    <m:sSubPr>
                      <m:ctrlPr>
                        <w:rPr>
                          <w:rFonts w:ascii="Cambria Math" w:hAnsi="Cambria Math" w:eastAsia="Times New Roman"/>
                          <w:color w:val="FF0000"/>
                          <w:szCs w:val="20"/>
                          <w:lang w:eastAsia="en-GB"/>
                        </w:rPr>
                      </m:ctrlPr>
                    </m:sSubPr>
                    <m:e>
                      <m:r>
                        <w:rPr>
                          <w:rFonts w:ascii="Cambria Math" w:hAnsi="Cambria Math" w:eastAsia="Times New Roman"/>
                          <w:color w:val="FF0000"/>
                          <w:szCs w:val="20"/>
                          <w:lang w:eastAsia="en-GB"/>
                        </w:rPr>
                        <m:t>Y</m:t>
                      </m:r>
                      <m:ctrlPr>
                        <w:rPr>
                          <w:rFonts w:ascii="Cambria Math" w:hAnsi="Cambria Math" w:eastAsia="Times New Roman"/>
                          <w:color w:val="FF0000"/>
                          <w:szCs w:val="20"/>
                          <w:lang w:eastAsia="en-GB"/>
                        </w:rPr>
                      </m:ctrlPr>
                    </m:e>
                    <m:sub>
                      <m:r>
                        <w:rPr>
                          <w:rFonts w:ascii="Cambria Math" w:hAnsi="Cambria Math" w:eastAsia="Times New Roman"/>
                          <w:color w:val="FF0000"/>
                          <w:szCs w:val="20"/>
                          <w:lang w:eastAsia="en-GB"/>
                        </w:rPr>
                        <m:t>s</m:t>
                      </m:r>
                      <m:ctrlPr>
                        <w:rPr>
                          <w:rFonts w:ascii="Cambria Math" w:hAnsi="Cambria Math" w:eastAsia="Times New Roman"/>
                          <w:color w:val="FF0000"/>
                          <w:szCs w:val="20"/>
                          <w:lang w:eastAsia="en-GB"/>
                        </w:rPr>
                      </m:ctrlPr>
                    </m:sub>
                  </m:sSub>
                  <m:ctrlPr>
                    <w:rPr>
                      <w:rFonts w:ascii="Cambria Math" w:hAnsi="Cambria Math" w:eastAsia="Times New Roman"/>
                      <w:color w:val="FF0000"/>
                      <w:szCs w:val="20"/>
                      <w:lang w:eastAsia="en-GB"/>
                    </w:rPr>
                  </m:ctrlPr>
                </m:e>
              </m:d>
              <m:r>
                <m:rPr>
                  <m:sty m:val="p"/>
                </m:rPr>
                <w:rPr>
                  <w:rFonts w:ascii="Cambria Math" w:hAnsi="Cambria Math" w:eastAsia="Times New Roman"/>
                  <w:color w:val="FF0000"/>
                  <w:szCs w:val="20"/>
                  <w:lang w:eastAsia="en-GB"/>
                </w:rPr>
                <m:t>=(8,1)</m:t>
              </m:r>
            </m:oMath>
            <w:r>
              <w:rPr>
                <w:rFonts w:eastAsia="Times New Roman"/>
                <w:color w:val="FF0000"/>
                <w:szCs w:val="20"/>
                <w:lang w:eastAsia="en-GB"/>
              </w:rPr>
              <w:t xml:space="preserve"> for μ </w:t>
            </w:r>
            <w:r>
              <w:rPr>
                <w:rFonts w:ascii="Cambria Math" w:hAnsi="Cambria Math" w:eastAsia="Times New Roman" w:cs="Cambria Math"/>
                <w:color w:val="FF0000"/>
                <w:szCs w:val="20"/>
                <w:lang w:eastAsia="en-GB"/>
              </w:rPr>
              <w:t>=6</w:t>
            </w:r>
            <w:r>
              <w:rPr>
                <w:rFonts w:eastAsia="Times New Roman"/>
                <w:color w:val="FF0000"/>
                <w:szCs w:val="20"/>
                <w:lang w:eastAsia="en-GB"/>
              </w:rPr>
              <w:t xml:space="preserve"> as in Tables 10.1-2B and 10.1-3B.</w:t>
            </w:r>
          </w:p>
          <w:p>
            <w:pPr>
              <w:widowControl w:val="0"/>
              <w:jc w:val="center"/>
              <w:rPr>
                <w:color w:val="FF0000"/>
                <w:szCs w:val="20"/>
                <w:lang w:eastAsia="zh-CN"/>
              </w:rPr>
            </w:pPr>
            <w:r>
              <w:rPr>
                <w:color w:val="FF0000"/>
                <w:szCs w:val="20"/>
                <w:lang w:eastAsia="zh-CN"/>
              </w:rPr>
              <w:t>*** Unchanged text omitted ***</w:t>
            </w:r>
          </w:p>
          <w:p>
            <w:pPr>
              <w:widowControl w:val="0"/>
              <w:rPr>
                <w:szCs w:val="20"/>
                <w:highlight w:val="yellow"/>
                <w:lang w:eastAsia="zh-CN"/>
              </w:rPr>
            </w:pPr>
            <w:r>
              <w:rPr>
                <w:szCs w:val="20"/>
                <w:lang w:eastAsia="zh-CN"/>
              </w:rPr>
              <w:t>----------------------------------------------------------- End Text Proposal -----------------------------------------------------------</w:t>
            </w:r>
          </w:p>
          <w:p>
            <w:pPr>
              <w:widowControl w:val="0"/>
              <w:rPr>
                <w:rFonts w:cs="Arial"/>
                <w:lang w:eastAsia="ja-JP"/>
              </w:rPr>
            </w:pPr>
          </w:p>
          <w:p>
            <w:pPr>
              <w:widowControl w:val="0"/>
              <w:rPr>
                <w:lang w:val="en-GB" w:eastAsia="ja-JP"/>
              </w:rPr>
            </w:pPr>
            <w:r>
              <w:rPr>
                <w:lang w:val="en-GB" w:eastAsia="ja-JP"/>
              </w:rPr>
              <w:t>In the previous meeting, there was discussion on how to handle the case if a UE indicates it is capable of operating with multiple (Xs,Ys) combinations for a given subcarrier spacing. For 480 kHz, the supported combinations are (4,1) and (4,2). For 960 kHz SCS, the supported combinations are (8,1), (8,4), (4,1), and (4,2). One approach is to agree on a rule for which combination the UE should assume for multi-slot PDCCH monitoring, and this may require some discussion. Alternatively, we think a far simpler approach would be to support an RRC parameter that enumerates all possible (Xs,Ys) combinations. The gNB can then configure the UE with the desired combination according to the use case. For example, a combination with a small value of Xs could be configured for more latency demanding applications. Conversely, a combination with a larger value of Xs could be configured when lower latency is not critical to achieve. Based on this we propose</w:t>
            </w:r>
          </w:p>
          <w:p>
            <w:pPr>
              <w:pStyle w:val="212"/>
              <w:widowControl w:val="0"/>
              <w:tabs>
                <w:tab w:val="clear" w:pos="2722"/>
              </w:tabs>
              <w:spacing w:after="120"/>
              <w:jc w:val="both"/>
              <w:rPr>
                <w:lang w:val="en-GB"/>
              </w:rPr>
            </w:pPr>
            <w:bookmarkStart w:id="45" w:name="_Toc95740690"/>
            <w:r>
              <w:rPr>
                <w:lang w:val="en-GB"/>
              </w:rPr>
              <w:t>Support an RRC parameter for indicating the (Xs,Ys) combination the UE shall employ for multi-slot PDCCH monitoring based on that UEs indicated capability. The parameter is UE-specific and has the value range {'xs4ys1', 'xs4ys2', 'xs8ys1', 'xs8ys4'}. If the parameter is absent, the UE assumes the default value 'xs4ys1' if 480 kHz SCS is used or 'xs8ys1' if 960 kHz SCS is used.</w:t>
            </w:r>
            <w:bookmarkEnd w:id="45"/>
          </w:p>
          <w:p>
            <w:pPr>
              <w:widowControl w:val="0"/>
              <w:rPr>
                <w:rFonts w:cs="Arial"/>
                <w:lang w:val="en-GB" w:eastAsia="ja-JP"/>
              </w:rPr>
            </w:pPr>
          </w:p>
        </w:tc>
      </w:tr>
    </w:tbl>
    <w:p>
      <w:pPr>
        <w:rPr>
          <w:lang w:eastAsia="zh-CN"/>
        </w:rPr>
      </w:pPr>
    </w:p>
    <w:p>
      <w:pPr>
        <w:pStyle w:val="4"/>
      </w:pPr>
      <w:r>
        <w:t>R1-2201765 (Apple)</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i/>
                <w:iCs/>
              </w:rPr>
            </w:pPr>
            <w:r>
              <w:rPr>
                <w:b/>
                <w:bCs/>
                <w:i/>
                <w:iCs/>
              </w:rPr>
              <w:t>Proposal 1:</w:t>
            </w:r>
            <w:r>
              <w:rPr>
                <w:i/>
                <w:iCs/>
              </w:rPr>
              <w:t xml:space="preserve"> For the slot group size (X) it should be concluded that:</w:t>
            </w:r>
          </w:p>
          <w:p>
            <w:pPr>
              <w:pStyle w:val="82"/>
              <w:widowControl w:val="0"/>
              <w:numPr>
                <w:ilvl w:val="0"/>
                <w:numId w:val="27"/>
              </w:numPr>
              <w:snapToGrid/>
              <w:spacing w:line="240" w:lineRule="auto"/>
              <w:ind w:left="360"/>
              <w:rPr>
                <w:i/>
                <w:iCs/>
              </w:rPr>
            </w:pPr>
            <w:r>
              <w:rPr>
                <w:i/>
                <w:iCs/>
              </w:rPr>
              <w:t>The configurable values for multi-slot PDCCH monitoring operation should be same as the reported X value(s). The  UE is not expected to handle a scenario in which they are different, and a UE can report its monitoring capability for more than one (X,Y) combination.</w:t>
            </w:r>
          </w:p>
          <w:p>
            <w:pPr>
              <w:pStyle w:val="82"/>
              <w:widowControl w:val="0"/>
              <w:numPr>
                <w:ilvl w:val="0"/>
                <w:numId w:val="27"/>
              </w:numPr>
              <w:snapToGrid/>
              <w:spacing w:line="240" w:lineRule="auto"/>
              <w:ind w:left="360"/>
              <w:rPr>
                <w:i/>
                <w:iCs/>
              </w:rPr>
            </w:pPr>
            <w:r>
              <w:rPr>
                <w:i/>
                <w:iCs/>
              </w:rPr>
              <w:t xml:space="preserve">For each SCS 480 kHz and 960 kHz, the minimum configurable multi-slot PDCCH monitoring periodicity is the smallest value X that a UE supports when reporting its PDCCH monitoring capabilities for the corresponding SCS and are UE specific. </w:t>
            </w:r>
          </w:p>
          <w:p>
            <w:pPr>
              <w:pStyle w:val="82"/>
              <w:widowControl w:val="0"/>
              <w:numPr>
                <w:ilvl w:val="0"/>
                <w:numId w:val="27"/>
              </w:numPr>
              <w:snapToGrid/>
              <w:spacing w:line="240" w:lineRule="auto"/>
              <w:ind w:left="360"/>
              <w:rPr>
                <w:i/>
                <w:iCs/>
              </w:rPr>
            </w:pPr>
            <w:r>
              <w:rPr>
                <w:i/>
                <w:iCs/>
              </w:rPr>
              <w:t>Both statements may be either explicitly stated in the specification or as a conclusion in the Chairman’s notes.</w:t>
            </w:r>
          </w:p>
          <w:p>
            <w:pPr>
              <w:widowControl w:val="0"/>
              <w:snapToGrid/>
              <w:spacing w:line="240" w:lineRule="auto"/>
              <w:rPr>
                <w:highlight w:val="yellow"/>
              </w:rPr>
            </w:pPr>
          </w:p>
          <w:p>
            <w:pPr>
              <w:widowControl w:val="0"/>
              <w:rPr>
                <w:i/>
                <w:iCs/>
              </w:rPr>
            </w:pPr>
            <w:r>
              <w:rPr>
                <w:b/>
                <w:bCs/>
                <w:i/>
                <w:iCs/>
              </w:rPr>
              <w:t>Proposal 2:</w:t>
            </w:r>
            <w:r>
              <w:rPr>
                <w:i/>
                <w:iCs/>
              </w:rPr>
              <w:t xml:space="preserve"> </w:t>
            </w:r>
          </w:p>
          <w:p>
            <w:pPr>
              <w:widowControl w:val="0"/>
              <w:rPr>
                <w:i/>
                <w:iCs/>
              </w:rPr>
            </w:pPr>
            <w:r>
              <w:rPr>
                <w:i/>
                <w:iCs/>
              </w:rPr>
              <w:t xml:space="preserve">There is a need to define the UE default behavior in the case that the parameter r17monitoringcapability is absent or in RRC_IDLE mode. This can be defined as follows: </w:t>
            </w:r>
          </w:p>
          <w:p>
            <w:pPr>
              <w:pStyle w:val="82"/>
              <w:widowControl w:val="0"/>
              <w:numPr>
                <w:ilvl w:val="0"/>
                <w:numId w:val="72"/>
              </w:numPr>
              <w:spacing w:line="240" w:lineRule="auto"/>
              <w:jc w:val="both"/>
              <w:rPr>
                <w:i/>
                <w:iCs/>
              </w:rPr>
            </w:pPr>
            <w:r>
              <w:rPr>
                <w:i/>
                <w:iCs/>
              </w:rPr>
              <w:t>For an active DL BWP of the serving cell where a UE has not been configured with a combination  the UE applies  for μ=5 and  for μ=6.</w:t>
            </w:r>
          </w:p>
          <w:p>
            <w:pPr>
              <w:widowControl w:val="0"/>
              <w:snapToGrid/>
              <w:spacing w:line="240" w:lineRule="auto"/>
            </w:pPr>
          </w:p>
          <w:p>
            <w:pPr>
              <w:widowControl w:val="0"/>
              <w:jc w:val="both"/>
              <w:rPr>
                <w:i/>
                <w:iCs/>
                <w:lang w:val="en-GB"/>
              </w:rPr>
            </w:pPr>
            <w:r>
              <w:rPr>
                <w:b/>
                <w:bCs/>
                <w:i/>
                <w:iCs/>
                <w:lang w:val="en-GB"/>
              </w:rPr>
              <w:t>Proposal 3:</w:t>
            </w:r>
            <w:r>
              <w:rPr>
                <w:i/>
                <w:iCs/>
                <w:lang w:val="en-GB"/>
              </w:rPr>
              <w:t xml:space="preserve"> (X,Y)=(2,1) for 480 kHz SCS is not supported</w:t>
            </w:r>
          </w:p>
          <w:p>
            <w:pPr>
              <w:widowControl w:val="0"/>
              <w:spacing w:line="240" w:lineRule="auto"/>
              <w:jc w:val="both"/>
            </w:pPr>
          </w:p>
        </w:tc>
      </w:tr>
    </w:tbl>
    <w:p>
      <w:pPr>
        <w:rPr>
          <w:lang w:val="en-GB" w:eastAsia="zh-CN"/>
        </w:rPr>
      </w:pPr>
    </w:p>
    <w:p>
      <w:pPr>
        <w:pStyle w:val="4"/>
      </w:pPr>
      <w:r>
        <w:t>R1-2201914 (Xiaomi)</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lang w:eastAsia="zh-CN"/>
              </w:rPr>
            </w:pPr>
            <w:r>
              <w:rPr>
                <w:lang w:eastAsia="zh-CN"/>
              </w:rPr>
              <w:t xml:space="preserve">It is already agreed in R1#107 </w:t>
            </w:r>
            <w:r>
              <w:rPr>
                <w:rFonts w:hint="eastAsia"/>
                <w:lang w:eastAsia="zh-CN"/>
              </w:rPr>
              <w:t>meeting</w:t>
            </w:r>
            <w:r>
              <w:rPr>
                <w:lang w:eastAsia="zh-CN"/>
              </w:rPr>
              <w:t xml:space="preserve"> that </w:t>
            </w:r>
            <w:r>
              <w:rPr>
                <w:lang w:eastAsia="ja-JP"/>
              </w:rPr>
              <w:t>BD attempts for Type0-CSS</w:t>
            </w:r>
            <w:r>
              <w:rPr>
                <w:lang w:eastAsia="zh-CN"/>
              </w:rPr>
              <w:t xml:space="preserve"> for SSB/CORESET 0 multiplexing pattern 1</w:t>
            </w:r>
            <w:r>
              <w:rPr>
                <w:lang w:eastAsia="ja-JP"/>
              </w:rPr>
              <w:t xml:space="preserve">, and additionally for Type0A/2-CSS if </w:t>
            </w:r>
            <w:r>
              <w:rPr>
                <w:i/>
                <w:iCs/>
                <w:lang w:eastAsia="ja-JP"/>
              </w:rPr>
              <w:t>searchSpaceId</w:t>
            </w:r>
            <w:r>
              <w:rPr>
                <w:lang w:eastAsia="ja-JP"/>
              </w:rPr>
              <w:t xml:space="preserve"> = 0, occur in slots with index n0 and n0+X0, where n0 is as in Rel-15, X0=4 for 480 kHz SCS and X0=8 for 960 kHz SCS</w:t>
            </w:r>
            <w:r>
              <w:rPr>
                <w:lang w:eastAsia="zh-CN"/>
              </w:rPr>
              <w:t>.</w:t>
            </w:r>
          </w:p>
          <w:p>
            <w:pPr>
              <w:widowControl w:val="0"/>
              <w:jc w:val="both"/>
              <w:rPr>
                <w:lang w:eastAsia="zh-CN"/>
              </w:rPr>
            </w:pPr>
            <w:r>
              <w:rPr>
                <w:lang w:eastAsia="zh-CN"/>
              </w:rPr>
              <w:t>Related TP can be as follows,</w:t>
            </w:r>
          </w:p>
          <w:p>
            <w:pPr>
              <w:widowControl w:val="0"/>
              <w:spacing w:before="240" w:beforeLines="100"/>
              <w:rPr>
                <w:b/>
                <w:sz w:val="24"/>
                <w:lang w:eastAsia="zh-CN"/>
              </w:rPr>
            </w:pPr>
            <w:r>
              <w:rPr>
                <w:b/>
                <w:sz w:val="24"/>
                <w:lang w:eastAsia="zh-CN"/>
              </w:rPr>
              <w:t>TP#2 for TS 38.213 Clause 13</w:t>
            </w:r>
          </w:p>
          <w:p>
            <w:pPr>
              <w:widowControl w:val="0"/>
              <w:rPr>
                <w:lang w:eastAsia="zh-CN"/>
              </w:rPr>
            </w:pPr>
            <w:r>
              <w:rPr>
                <w:lang w:eastAsia="zh-CN"/>
              </w:rPr>
              <w:t>============================= Unchanged part omitted =========================================</w:t>
            </w:r>
            <w:bookmarkStart w:id="46" w:name="_Toc26719432"/>
            <w:bookmarkStart w:id="47" w:name="_Toc20311607"/>
            <w:bookmarkStart w:id="48" w:name="_Ref500334477"/>
            <w:bookmarkStart w:id="49" w:name="_Toc45699227"/>
            <w:bookmarkStart w:id="50" w:name="_Toc12021495"/>
            <w:bookmarkStart w:id="51" w:name="_Toc83289699"/>
            <w:bookmarkStart w:id="52" w:name="_Toc36498199"/>
            <w:bookmarkStart w:id="53" w:name="_Toc29917325"/>
            <w:bookmarkStart w:id="54" w:name="_Toc29899589"/>
            <w:bookmarkStart w:id="55" w:name="_Toc29899171"/>
            <w:bookmarkStart w:id="56" w:name="_Toc29894872"/>
          </w:p>
          <w:p>
            <w:pPr>
              <w:widowControl w:val="0"/>
              <w:rPr>
                <w:b/>
                <w:sz w:val="28"/>
                <w:szCs w:val="28"/>
              </w:rPr>
            </w:pPr>
            <w:r>
              <w:rPr>
                <w:rFonts w:hint="eastAsia"/>
                <w:b/>
                <w:sz w:val="28"/>
                <w:szCs w:val="28"/>
              </w:rPr>
              <w:t>1</w:t>
            </w:r>
            <w:r>
              <w:rPr>
                <w:b/>
                <w:sz w:val="28"/>
                <w:szCs w:val="28"/>
              </w:rPr>
              <w:t>3</w:t>
            </w:r>
            <w:r>
              <w:rPr>
                <w:b/>
                <w:sz w:val="28"/>
                <w:szCs w:val="28"/>
              </w:rPr>
              <w:tab/>
            </w:r>
            <w:r>
              <w:rPr>
                <w:b/>
                <w:sz w:val="28"/>
                <w:szCs w:val="28"/>
              </w:rPr>
              <w:tab/>
            </w:r>
            <w:r>
              <w:rPr>
                <w:b/>
                <w:sz w:val="28"/>
                <w:szCs w:val="28"/>
              </w:rPr>
              <w:t>UE procedure for monitoring Type0-PDCCH CSS sets</w:t>
            </w:r>
            <w:bookmarkEnd w:id="46"/>
            <w:bookmarkEnd w:id="47"/>
            <w:bookmarkEnd w:id="48"/>
            <w:bookmarkEnd w:id="49"/>
            <w:bookmarkEnd w:id="50"/>
            <w:bookmarkEnd w:id="51"/>
            <w:bookmarkEnd w:id="52"/>
            <w:bookmarkEnd w:id="53"/>
            <w:bookmarkEnd w:id="54"/>
            <w:bookmarkEnd w:id="55"/>
            <w:bookmarkEnd w:id="56"/>
          </w:p>
          <w:p>
            <w:pPr>
              <w:widowControl w:val="0"/>
              <w:textAlignment w:val="bottom"/>
            </w:pPr>
            <w:r>
              <w:t xml:space="preserve">If during cell search a UE determines from </w:t>
            </w:r>
            <w:r>
              <w:rPr>
                <w:rFonts w:eastAsia="Yu Mincho"/>
                <w:i/>
                <w:szCs w:val="24"/>
              </w:rPr>
              <w:t>MIB</w:t>
            </w:r>
            <w:r>
              <w:t xml:space="preserve"> </w:t>
            </w:r>
            <w:r>
              <w:rPr>
                <w:szCs w:val="24"/>
              </w:rPr>
              <w:t>that a CORESET for Type0-PDCCH CSS set is present, as described in clause 4.1,</w:t>
            </w:r>
            <w:r>
              <w:t xml:space="preserve"> the UE determines a number of consecutive resource blocks and a number of consecutive symbols for the CORESET of the Type0-PDCCH CSS set from </w:t>
            </w:r>
            <w:r>
              <w:rPr>
                <w:i/>
                <w:iCs/>
              </w:rPr>
              <w:t>controlResourceSetZero</w:t>
            </w:r>
            <w:r>
              <w:rPr>
                <w:iCs/>
              </w:rPr>
              <w:t xml:space="preserve"> in</w:t>
            </w:r>
            <w:r>
              <w:t xml:space="preserve"> </w:t>
            </w:r>
            <w:r>
              <w:rPr>
                <w:i/>
              </w:rPr>
              <w:t>pdcch-ConfigSIB1</w:t>
            </w:r>
            <w:r>
              <w:t xml:space="preserve">, as described in Tables 13-1 through 13-10, for operation without shared spectrum channel access in FR1 and FR2-1, or as described in Tables 13-1A and 13-4A for operation with shared spectrum channel access in FR1, or as described in Tables 13-10A, 13-10B and 13-10C for FR2-2, and determines PDCCH monitoring occasions from </w:t>
            </w:r>
            <w:r>
              <w:rPr>
                <w:i/>
                <w:iCs/>
              </w:rPr>
              <w:t>searchSpaceZero</w:t>
            </w:r>
            <w:r>
              <w:rPr>
                <w:iCs/>
              </w:rPr>
              <w:t xml:space="preserve"> in </w:t>
            </w:r>
            <w:r>
              <w:rPr>
                <w:i/>
              </w:rPr>
              <w:t>pdcch-ConfigSIB1</w:t>
            </w:r>
            <w:r>
              <w:t xml:space="preserve">, </w:t>
            </w:r>
            <w:r>
              <w:rPr>
                <w:rFonts w:eastAsia="MS Mincho"/>
              </w:rPr>
              <w:t xml:space="preserve">included in </w:t>
            </w:r>
            <w:r>
              <w:rPr>
                <w:i/>
              </w:rPr>
              <w:t>MIB</w:t>
            </w:r>
            <w:r>
              <w:t xml:space="preserve">, as described in Tables 13-11 through 13-15. </w:t>
            </w:r>
            <m:oMath>
              <m:sSub>
                <m:sSubPr>
                  <m:ctrlPr>
                    <w:rPr>
                      <w:rFonts w:ascii="Cambria Math" w:hAnsi="Cambria Math"/>
                      <w:iCs/>
                    </w:rPr>
                  </m:ctrlPr>
                </m:sSubPr>
                <m:e>
                  <m:r>
                    <m:rPr>
                      <m:sty m:val="p"/>
                    </m:rPr>
                    <w:rPr>
                      <w:rFonts w:ascii="Cambria Math" w:hAnsi="Cambria Math"/>
                    </w:rPr>
                    <m:t>SFN</m:t>
                  </m:r>
                  <m:ctrlPr>
                    <w:rPr>
                      <w:rFonts w:ascii="Cambria Math" w:hAnsi="Cambria Math"/>
                      <w:iCs/>
                    </w:rPr>
                  </m:ctrlPr>
                </m:e>
                <m:sub>
                  <m:r>
                    <m:rPr>
                      <m:sty m:val="p"/>
                    </m:rPr>
                    <w:rPr>
                      <w:rFonts w:ascii="Cambria Math" w:hAnsi="Cambria Math"/>
                    </w:rPr>
                    <m:t>c</m:t>
                  </m:r>
                  <m:ctrlPr>
                    <w:rPr>
                      <w:rFonts w:ascii="Cambria Math" w:hAnsi="Cambria Math"/>
                      <w:iCs/>
                    </w:rPr>
                  </m:ctrlPr>
                </m:sub>
              </m:sSub>
            </m:oMath>
            <w:r>
              <w:t xml:space="preserve"> and </w:t>
            </w:r>
            <m:oMath>
              <m:sSub>
                <m:sSubPr>
                  <m:ctrlPr>
                    <w:rPr>
                      <w:rFonts w:ascii="Cambria Math" w:hAnsi="Cambria Math"/>
                      <w:iCs/>
                    </w:rPr>
                  </m:ctrlPr>
                </m:sSubPr>
                <m:e>
                  <m:r>
                    <w:rPr>
                      <w:rFonts w:ascii="Cambria Math" w:hAnsi="Cambria Math"/>
                    </w:rPr>
                    <m:t>n</m:t>
                  </m:r>
                  <m:ctrlPr>
                    <w:rPr>
                      <w:rFonts w:ascii="Cambria Math" w:hAnsi="Cambria Math"/>
                      <w:iCs/>
                    </w:rPr>
                  </m:ctrlPr>
                </m:e>
                <m:sub>
                  <m:r>
                    <m:rPr>
                      <m:sty m:val="p"/>
                    </m:rPr>
                    <w:rPr>
                      <w:rFonts w:ascii="Cambria Math" w:hAnsi="Cambria Math"/>
                    </w:rPr>
                    <m:t>c</m:t>
                  </m:r>
                  <m:ctrlPr>
                    <w:rPr>
                      <w:rFonts w:ascii="Cambria Math" w:hAnsi="Cambria Math"/>
                      <w:iCs/>
                    </w:rPr>
                  </m:ctrlPr>
                </m:sub>
              </m:sSub>
            </m:oMath>
            <w:r>
              <w:t xml:space="preserve"> are the SFN and slot index within a frame of the CORESET based on SCS of the CORESET and </w:t>
            </w:r>
            <m:oMath>
              <m:sSub>
                <m:sSubPr>
                  <m:ctrlPr>
                    <w:rPr>
                      <w:rFonts w:ascii="Cambria Math" w:hAnsi="Cambria Math"/>
                      <w:iCs/>
                    </w:rPr>
                  </m:ctrlPr>
                </m:sSubPr>
                <m:e>
                  <m:r>
                    <m:rPr>
                      <m:sty m:val="p"/>
                    </m:rPr>
                    <w:rPr>
                      <w:rFonts w:ascii="Cambria Math" w:hAnsi="Cambria Math"/>
                    </w:rPr>
                    <m:t>SFN</m:t>
                  </m:r>
                  <m:ctrlPr>
                    <w:rPr>
                      <w:rFonts w:ascii="Cambria Math" w:hAnsi="Cambria Math"/>
                      <w:iCs/>
                    </w:rPr>
                  </m:ctrlPr>
                </m:e>
                <m:sub>
                  <m:r>
                    <m:rPr>
                      <m:sty m:val="p"/>
                    </m:rPr>
                    <w:rPr>
                      <w:rFonts w:ascii="Cambria Math" w:hAnsi="Cambria Math"/>
                    </w:rPr>
                    <m:t>SSB,</m:t>
                  </m:r>
                  <m:r>
                    <w:rPr>
                      <w:rFonts w:ascii="Cambria Math" w:hAnsi="Cambria Math"/>
                    </w:rPr>
                    <m:t>i</m:t>
                  </m:r>
                  <m:ctrlPr>
                    <w:rPr>
                      <w:rFonts w:ascii="Cambria Math" w:hAnsi="Cambria Math"/>
                      <w:iCs/>
                    </w:rPr>
                  </m:ctrlPr>
                </m:sub>
              </m:sSub>
            </m:oMath>
            <w:r>
              <w:t xml:space="preserve"> and </w:t>
            </w:r>
            <m:oMath>
              <m:sSub>
                <m:sSubPr>
                  <m:ctrlPr>
                    <w:rPr>
                      <w:rFonts w:ascii="Cambria Math" w:hAnsi="Cambria Math"/>
                      <w:iCs/>
                    </w:rPr>
                  </m:ctrlPr>
                </m:sSubPr>
                <m:e>
                  <m:r>
                    <w:rPr>
                      <w:rFonts w:ascii="Cambria Math" w:hAnsi="Cambria Math"/>
                    </w:rPr>
                    <m:t>n</m:t>
                  </m:r>
                  <m:ctrlPr>
                    <w:rPr>
                      <w:rFonts w:ascii="Cambria Math" w:hAnsi="Cambria Math"/>
                      <w:iCs/>
                    </w:rPr>
                  </m:ctrlPr>
                </m:e>
                <m:sub>
                  <m:r>
                    <m:rPr>
                      <m:sty m:val="p"/>
                    </m:rPr>
                    <w:rPr>
                      <w:rFonts w:ascii="Cambria Math" w:hAnsi="Cambria Math"/>
                    </w:rPr>
                    <m:t>SSB,</m:t>
                  </m:r>
                  <m:r>
                    <w:rPr>
                      <w:rFonts w:ascii="Cambria Math" w:hAnsi="Cambria Math"/>
                    </w:rPr>
                    <m:t>i</m:t>
                  </m:r>
                  <m:ctrlPr>
                    <w:rPr>
                      <w:rFonts w:ascii="Cambria Math" w:hAnsi="Cambria Math"/>
                      <w:iCs/>
                    </w:rPr>
                  </m:ctrlPr>
                </m:sub>
              </m:sSub>
            </m:oMath>
            <w:r>
              <w:t xml:space="preserve"> are the SFN and slot index based on SCS of the CORESET, respectively, where the SS/PBCH block with index </w:t>
            </w:r>
            <m:oMath>
              <m:r>
                <w:rPr>
                  <w:rFonts w:ascii="Cambria Math" w:hAnsi="Cambria Math"/>
                </w:rPr>
                <m:t>i</m:t>
              </m:r>
            </m:oMath>
            <w:r>
              <w:t xml:space="preserve"> overlaps in time with system frame </w:t>
            </w:r>
            <m:oMath>
              <m:sSub>
                <m:sSubPr>
                  <m:ctrlPr>
                    <w:rPr>
                      <w:rFonts w:ascii="Cambria Math" w:hAnsi="Cambria Math"/>
                      <w:iCs/>
                    </w:rPr>
                  </m:ctrlPr>
                </m:sSubPr>
                <m:e>
                  <m:r>
                    <m:rPr>
                      <m:sty m:val="p"/>
                    </m:rPr>
                    <w:rPr>
                      <w:rFonts w:ascii="Cambria Math" w:hAnsi="Cambria Math"/>
                    </w:rPr>
                    <m:t>SFN</m:t>
                  </m:r>
                  <m:ctrlPr>
                    <w:rPr>
                      <w:rFonts w:ascii="Cambria Math" w:hAnsi="Cambria Math"/>
                      <w:iCs/>
                    </w:rPr>
                  </m:ctrlPr>
                </m:e>
                <m:sub>
                  <m:r>
                    <m:rPr>
                      <m:sty m:val="p"/>
                    </m:rPr>
                    <w:rPr>
                      <w:rFonts w:ascii="Cambria Math" w:hAnsi="Cambria Math"/>
                    </w:rPr>
                    <m:t>SSB,</m:t>
                  </m:r>
                  <m:r>
                    <w:rPr>
                      <w:rFonts w:ascii="Cambria Math" w:hAnsi="Cambria Math"/>
                    </w:rPr>
                    <m:t>i</m:t>
                  </m:r>
                  <m:ctrlPr>
                    <w:rPr>
                      <w:rFonts w:ascii="Cambria Math" w:hAnsi="Cambria Math"/>
                      <w:iCs/>
                    </w:rPr>
                  </m:ctrlPr>
                </m:sub>
              </m:sSub>
            </m:oMath>
            <w:r>
              <w:t xml:space="preserve"> and slot </w:t>
            </w:r>
            <m:oMath>
              <m:sSub>
                <m:sSubPr>
                  <m:ctrlPr>
                    <w:rPr>
                      <w:rFonts w:ascii="Cambria Math" w:hAnsi="Cambria Math"/>
                      <w:iCs/>
                    </w:rPr>
                  </m:ctrlPr>
                </m:sSubPr>
                <m:e>
                  <m:r>
                    <w:rPr>
                      <w:rFonts w:ascii="Cambria Math" w:hAnsi="Cambria Math"/>
                    </w:rPr>
                    <m:t>n</m:t>
                  </m:r>
                  <m:ctrlPr>
                    <w:rPr>
                      <w:rFonts w:ascii="Cambria Math" w:hAnsi="Cambria Math"/>
                      <w:iCs/>
                    </w:rPr>
                  </m:ctrlPr>
                </m:e>
                <m:sub>
                  <m:r>
                    <m:rPr>
                      <m:sty m:val="p"/>
                    </m:rPr>
                    <w:rPr>
                      <w:rFonts w:ascii="Cambria Math" w:hAnsi="Cambria Math"/>
                    </w:rPr>
                    <m:t>SSB,</m:t>
                  </m:r>
                  <m:r>
                    <w:rPr>
                      <w:rFonts w:ascii="Cambria Math" w:hAnsi="Cambria Math"/>
                    </w:rPr>
                    <m:t>i</m:t>
                  </m:r>
                  <m:ctrlPr>
                    <w:rPr>
                      <w:rFonts w:ascii="Cambria Math" w:hAnsi="Cambria Math"/>
                      <w:iCs/>
                    </w:rPr>
                  </m:ctrlPr>
                </m:sub>
              </m:sSub>
            </m:oMath>
            <w:r>
              <w:t xml:space="preserve">. The symbols of the CORESET associated </w:t>
            </w:r>
            <w:r>
              <w:rPr>
                <w:lang w:eastAsia="zh-CN"/>
              </w:rPr>
              <w:t xml:space="preserve">with </w:t>
            </w:r>
            <w:r>
              <w:rPr>
                <w:i/>
              </w:rPr>
              <w:t>pdcch-ConfigSIB1</w:t>
            </w:r>
            <w:r>
              <w:t xml:space="preserve"> </w:t>
            </w:r>
            <w:r>
              <w:rPr>
                <w:rFonts w:eastAsia="MS Mincho"/>
              </w:rPr>
              <w:t xml:space="preserve">in </w:t>
            </w:r>
            <w:r>
              <w:rPr>
                <w:i/>
              </w:rPr>
              <w:t>MIB</w:t>
            </w:r>
            <w:r>
              <w:rPr>
                <w:lang w:eastAsia="zh-CN"/>
              </w:rPr>
              <w:t xml:space="preserve"> or with </w:t>
            </w:r>
            <w:r>
              <w:rPr>
                <w:i/>
                <w:iCs/>
                <w:lang w:eastAsia="zh-CN"/>
              </w:rPr>
              <w:t xml:space="preserve">searchSpaceSIB1 </w:t>
            </w:r>
            <w:r>
              <w:rPr>
                <w:iCs/>
                <w:lang w:eastAsia="zh-CN"/>
              </w:rPr>
              <w:t xml:space="preserve">in </w:t>
            </w:r>
            <w:r>
              <w:rPr>
                <w:i/>
                <w:iCs/>
                <w:lang w:eastAsia="zh-CN"/>
              </w:rPr>
              <w:t>PDCCH-ConfigCommon</w:t>
            </w:r>
            <w:r>
              <w:rPr>
                <w:iCs/>
                <w:lang w:eastAsia="zh-CN"/>
              </w:rPr>
              <w:t xml:space="preserve"> have normal cyclic prefix. </w:t>
            </w:r>
          </w:p>
          <w:p>
            <w:pPr>
              <w:widowControl w:val="0"/>
              <w:jc w:val="center"/>
            </w:pPr>
            <w:r>
              <w:rPr>
                <w:rFonts w:hint="eastAsia"/>
                <w:iCs/>
                <w:lang w:eastAsia="zh-CN"/>
              </w:rPr>
              <w:t>*&lt;</w:t>
            </w:r>
            <w:r>
              <w:rPr>
                <w:iCs/>
                <w:lang w:eastAsia="zh-CN"/>
              </w:rPr>
              <w:t>omitted text&gt;*</w:t>
            </w:r>
            <w:r>
              <w:rPr>
                <w:iCs/>
              </w:rPr>
              <w:t>.</w:t>
            </w:r>
          </w:p>
          <w:p>
            <w:pPr>
              <w:widowControl w:val="0"/>
            </w:pPr>
            <w:r>
              <w:t xml:space="preserve">For operation without shared spectrum channel access and for the SS/PBCH block and CORESET multiplexing pattern 1, </w:t>
            </w:r>
            <w:ins w:id="882" w:author="Fu Ting" w:date="2022-01-05T13:41:00Z">
              <w:r>
                <w:rPr/>
                <w:t xml:space="preserve">for FR1 </w:t>
              </w:r>
            </w:ins>
            <w:ins w:id="883" w:author="Fu Ting" w:date="2022-01-05T13:41:00Z">
              <w:r>
                <w:rPr>
                  <w:rFonts w:hint="eastAsia"/>
                  <w:lang w:eastAsia="zh-CN"/>
                </w:rPr>
                <w:t>and</w:t>
              </w:r>
            </w:ins>
            <w:ins w:id="884" w:author="Fu Ting" w:date="2022-01-05T13:41:00Z">
              <w:r>
                <w:rPr/>
                <w:t xml:space="preserve"> FR2-1</w:t>
              </w:r>
            </w:ins>
            <w:ins w:id="885" w:author="Fu Ting" w:date="2022-01-05T14:11:00Z">
              <w:r>
                <w:rPr/>
                <w:t>,</w:t>
              </w:r>
            </w:ins>
            <w:r>
              <w:t xml:space="preserve"> a UE monitors PDCCH in the Type0-PDCCH CSS set over two consecutive slots starting from slot </w:t>
            </w:r>
            <w:r>
              <w:rPr>
                <w:position w:val="-10"/>
              </w:rPr>
              <w:drawing>
                <wp:inline distT="0" distB="0" distL="0" distR="0">
                  <wp:extent cx="178435" cy="201930"/>
                  <wp:effectExtent l="0" t="0" r="0" b="762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Picture 384"/>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ins w:id="886" w:author="Fu Ting" w:date="2022-01-05T13:41:00Z">
              <w:r>
                <w:rPr>
                  <w:lang w:eastAsia="zh-CN"/>
                </w:rPr>
                <w:t xml:space="preserve">. </w:t>
              </w:r>
            </w:ins>
            <w:ins w:id="887" w:author="Fu Ting" w:date="2022-01-05T14:11:00Z">
              <w:r>
                <w:rPr>
                  <w:lang w:eastAsia="zh-CN"/>
                </w:rPr>
                <w:t xml:space="preserve">For FR2, </w:t>
              </w:r>
            </w:ins>
            <w:ins w:id="888" w:author="Fu Ting" w:date="2022-01-05T13:41:00Z">
              <w:r>
                <w:rPr>
                  <w:lang w:eastAsia="zh-CN"/>
                </w:rPr>
                <w:t>UE monitor</w:t>
              </w:r>
            </w:ins>
            <w:ins w:id="889" w:author="Fu Ting" w:date="2022-01-05T13:43:00Z">
              <w:r>
                <w:rPr>
                  <w:lang w:eastAsia="zh-CN"/>
                </w:rPr>
                <w:t>s</w:t>
              </w:r>
            </w:ins>
            <w:ins w:id="890" w:author="Fu Ting" w:date="2022-01-05T13:44:00Z">
              <w:r>
                <w:rPr/>
                <w:t xml:space="preserve"> PDCCH in the Type0-PDCCH CSS set over two slots, slot </w:t>
              </w:r>
            </w:ins>
            <w:ins w:id="891" w:author="Fu Ting" w:date="2022-01-05T13:44:00Z">
              <w:r>
                <w:rPr>
                  <w:position w:val="-10"/>
                </w:rPr>
                <w:drawing>
                  <wp:inline distT="0" distB="0" distL="0" distR="0">
                    <wp:extent cx="178435" cy="201930"/>
                    <wp:effectExtent l="0" t="0" r="0" b="762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Picture 127"/>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ins>
            <w:ins w:id="893" w:author="Fu Ting" w:date="2022-01-05T13:44:00Z">
              <w:r>
                <w:rPr/>
                <w:t xml:space="preserve"> </w:t>
              </w:r>
            </w:ins>
            <w:ins w:id="894" w:author="Fu Ting" w:date="2022-01-05T13:45:00Z">
              <w:r>
                <w:rPr/>
                <w:t xml:space="preserve">and </w:t>
              </w:r>
            </w:ins>
            <w:ins w:id="895" w:author="Fu Ting" w:date="2022-01-05T13:46:00Z"/>
            <w:ins w:id="896" w:author="Fu Ting" w:date="2022-01-05T13:46:00Z"/>
            <w:ins w:id="897" w:author="Fu Ting" w:date="2022-01-05T13:46:00Z"/>
            <w:ins w:id="898" w:author="Fu Ting" w:date="2022-01-05T13:46:00Z">
              <w:r>
                <w:rPr>
                  <w:position w:val="-12"/>
                </w:rPr>
                <w:object>
                  <v:shape id="_x0000_i1035" o:spt="75" type="#_x0000_t75" style="height:18.75pt;width:33.75pt;" o:ole="t" filled="f" o:preferrelative="t" stroked="f" coordsize="21600,21600">
                    <v:path/>
                    <v:fill on="f" focussize="0,0"/>
                    <v:stroke on="f" joinstyle="miter"/>
                    <v:imagedata r:id="rId6" o:title=""/>
                    <o:lock v:ext="edit" aspectratio="t"/>
                    <w10:wrap type="none"/>
                    <w10:anchorlock/>
                  </v:shape>
                  <o:OLEObject Type="Embed" ProgID="Equation.DSMT4" ShapeID="_x0000_i1035" DrawAspect="Content" ObjectID="_1468075735" r:id="rId40">
                    <o:LockedField>false</o:LockedField>
                  </o:OLEObject>
                </w:object>
              </w:r>
            </w:ins>
            <w:ins w:id="900" w:author="Fu Ting" w:date="2022-01-05T13:46:00Z"/>
            <w:ins w:id="901" w:author="Fu Ting" w:date="2022-01-05T13:44:00Z">
              <w:r>
                <w:rPr/>
                <w:t xml:space="preserve"> </w:t>
              </w:r>
            </w:ins>
            <w:ins w:id="902" w:author="Fu Ting" w:date="2022-01-05T13:47:00Z">
              <w:r>
                <w:rPr>
                  <w:rFonts w:hint="eastAsia"/>
                  <w:lang w:eastAsia="zh-CN"/>
                </w:rPr>
                <w:t>,</w:t>
              </w:r>
            </w:ins>
            <w:ins w:id="903" w:author="Fu Ting" w:date="2022-01-05T13:47:00Z">
              <w:r>
                <w:rPr>
                  <w:lang w:eastAsia="zh-CN"/>
                </w:rPr>
                <w:t xml:space="preserve"> </w:t>
              </w:r>
            </w:ins>
            <w:ins w:id="904" w:author="Fu Ting" w:date="2022-01-05T13:47:00Z">
              <w:r>
                <w:rPr>
                  <w:rFonts w:hint="eastAsia"/>
                  <w:lang w:eastAsia="zh-CN"/>
                </w:rPr>
                <w:t>where</w:t>
              </w:r>
            </w:ins>
            <w:ins w:id="905" w:author="Fu Ting" w:date="2022-01-05T13:47:00Z">
              <w:r>
                <w:rPr>
                  <w:lang w:eastAsia="zh-CN"/>
                </w:rPr>
                <w:t xml:space="preserve"> </w:t>
              </w:r>
            </w:ins>
            <w:ins w:id="906" w:author="Fu Ting" w:date="2022-01-05T13:47:00Z"/>
            <w:ins w:id="907" w:author="Fu Ting" w:date="2022-01-05T13:47:00Z"/>
            <w:ins w:id="908" w:author="Fu Ting" w:date="2022-01-05T13:47:00Z"/>
            <w:ins w:id="909" w:author="Fu Ting" w:date="2022-01-05T13:47:00Z">
              <w:r>
                <w:rPr>
                  <w:position w:val="-12"/>
                  <w:lang w:eastAsia="zh-CN"/>
                </w:rPr>
                <w:object>
                  <v:shape id="_x0000_i1036" o:spt="75" type="#_x0000_t75" style="height:14.25pt;width:30pt;" o:ole="t" filled="f" o:preferrelative="t" stroked="f" coordsize="21600,21600">
                    <v:path/>
                    <v:fill on="f" focussize="0,0"/>
                    <v:stroke on="f" joinstyle="miter"/>
                    <v:imagedata r:id="rId8" o:title=""/>
                    <o:lock v:ext="edit" aspectratio="t"/>
                    <w10:wrap type="none"/>
                    <w10:anchorlock/>
                  </v:shape>
                  <o:OLEObject Type="Embed" ProgID="Equation.DSMT4" ShapeID="_x0000_i1036" DrawAspect="Content" ObjectID="_1468075736" r:id="rId41">
                    <o:LockedField>false</o:LockedField>
                  </o:OLEObject>
                </w:object>
              </w:r>
            </w:ins>
            <w:ins w:id="911" w:author="Fu Ting" w:date="2022-01-05T13:47:00Z"/>
            <w:ins w:id="912" w:author="Fu Ting" w:date="2022-01-05T13:47:00Z">
              <w:r>
                <w:rPr>
                  <w:lang w:eastAsia="zh-CN"/>
                </w:rPr>
                <w:t xml:space="preserve">if </w:t>
              </w:r>
            </w:ins>
            <w:ins w:id="913" w:author="Fu Ting" w:date="2022-01-05T13:48:00Z">
              <w:r>
                <w:rPr/>
                <w:t>SCS of the CORESET for Type0-PDCCH CSS is 480</w:t>
              </w:r>
            </w:ins>
            <w:ins w:id="914" w:author="Fu Ting" w:date="2022-01-05T13:49:00Z">
              <w:r>
                <w:rPr/>
                <w:t>kHz</w:t>
              </w:r>
            </w:ins>
            <w:ins w:id="915" w:author="Fu Ting" w:date="2022-01-05T13:49:00Z">
              <w:r>
                <w:rPr>
                  <w:rFonts w:hint="eastAsia"/>
                  <w:lang w:eastAsia="zh-CN"/>
                </w:rPr>
                <w:t>,</w:t>
              </w:r>
            </w:ins>
            <w:ins w:id="916" w:author="Fu Ting" w:date="2022-01-05T13:49:00Z">
              <w:r>
                <w:rPr>
                  <w:lang w:eastAsia="zh-CN"/>
                </w:rPr>
                <w:t xml:space="preserve"> and </w:t>
              </w:r>
            </w:ins>
            <w:ins w:id="917" w:author="Fu Ting" w:date="2022-01-05T13:49:00Z"/>
            <w:ins w:id="918" w:author="Fu Ting" w:date="2022-01-05T13:49:00Z"/>
            <w:ins w:id="919" w:author="Fu Ting" w:date="2022-01-05T13:49:00Z"/>
            <w:ins w:id="920" w:author="Fu Ting" w:date="2022-01-05T13:49:00Z">
              <w:r>
                <w:rPr>
                  <w:position w:val="-12"/>
                  <w:lang w:eastAsia="zh-CN"/>
                </w:rPr>
                <w:object>
                  <v:shape id="_x0000_i1037" o:spt="75" type="#_x0000_t75" style="height:14.25pt;width:30pt;" o:ole="t" filled="f" o:preferrelative="t" stroked="f" coordsize="21600,21600">
                    <v:path/>
                    <v:fill on="f" focussize="0,0"/>
                    <v:stroke on="f" joinstyle="miter"/>
                    <v:imagedata r:id="rId10" o:title=""/>
                    <o:lock v:ext="edit" aspectratio="t"/>
                    <w10:wrap type="none"/>
                    <w10:anchorlock/>
                  </v:shape>
                  <o:OLEObject Type="Embed" ProgID="Equation.DSMT4" ShapeID="_x0000_i1037" DrawAspect="Content" ObjectID="_1468075737" r:id="rId42">
                    <o:LockedField>false</o:LockedField>
                  </o:OLEObject>
                </w:object>
              </w:r>
            </w:ins>
            <w:ins w:id="922" w:author="Fu Ting" w:date="2022-01-05T13:49:00Z"/>
            <w:ins w:id="923" w:author="Fu Ting" w:date="2022-01-05T13:49:00Z">
              <w:r>
                <w:rPr>
                  <w:lang w:eastAsia="zh-CN"/>
                </w:rPr>
                <w:t xml:space="preserve"> if </w:t>
              </w:r>
            </w:ins>
            <w:ins w:id="924" w:author="Fu Ting" w:date="2022-01-05T13:49:00Z">
              <w:r>
                <w:rPr/>
                <w:t>SCS of the CORESET for Type0-PDCCH CSS is 960kHz</w:t>
              </w:r>
            </w:ins>
            <w:ins w:id="925" w:author="Fu Ting" w:date="2022-01-05T13:49:00Z">
              <w:r>
                <w:rPr>
                  <w:lang w:eastAsia="zh-CN"/>
                </w:rPr>
                <w:t>.</w:t>
              </w:r>
            </w:ins>
            <w:ins w:id="926" w:author="Fu Ting" w:date="2022-01-05T13:50:00Z">
              <w:r>
                <w:rPr>
                  <w:lang w:eastAsia="zh-CN"/>
                </w:rPr>
                <w:t xml:space="preserve"> </w:t>
              </w:r>
            </w:ins>
            <w:r>
              <w:t xml:space="preserve">For SS/PBCH block with index </w:t>
            </w:r>
            <w:r>
              <w:rPr>
                <w:position w:val="-6"/>
              </w:rPr>
              <w:drawing>
                <wp:inline distT="0" distB="0" distL="0" distR="0">
                  <wp:extent cx="95250" cy="17843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an index of slot </w:t>
            </w:r>
            <w:r>
              <w:rPr>
                <w:position w:val="-10"/>
              </w:rPr>
              <w:drawing>
                <wp:inline distT="0" distB="0" distL="0" distR="0">
                  <wp:extent cx="178435" cy="201930"/>
                  <wp:effectExtent l="0" t="0" r="0" b="762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25"/>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as </w:t>
            </w:r>
            <w:r>
              <w:rPr>
                <w:position w:val="-10"/>
              </w:rPr>
              <w:drawing>
                <wp:inline distT="0" distB="0" distL="0" distR="0">
                  <wp:extent cx="1733550" cy="23749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12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1733550" cy="237490"/>
                          </a:xfrm>
                          <a:prstGeom prst="rect">
                            <a:avLst/>
                          </a:prstGeom>
                          <a:noFill/>
                          <a:ln>
                            <a:noFill/>
                          </a:ln>
                        </pic:spPr>
                      </pic:pic>
                    </a:graphicData>
                  </a:graphic>
                </wp:inline>
              </w:drawing>
            </w:r>
            <w:r>
              <w:t xml:space="preserve"> that is in a frame with system frame number (SFN) </w:t>
            </w:r>
            <w:r>
              <w:rPr>
                <w:position w:val="-10"/>
              </w:rPr>
              <w:drawing>
                <wp:inline distT="0" distB="0" distL="0" distR="0">
                  <wp:extent cx="320675" cy="178435"/>
                  <wp:effectExtent l="0" t="0" r="3175"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Picture 12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320675" cy="178435"/>
                          </a:xfrm>
                          <a:prstGeom prst="rect">
                            <a:avLst/>
                          </a:prstGeom>
                          <a:noFill/>
                          <a:ln>
                            <a:noFill/>
                          </a:ln>
                        </pic:spPr>
                      </pic:pic>
                    </a:graphicData>
                  </a:graphic>
                </wp:inline>
              </w:drawing>
            </w:r>
            <w:r>
              <w:t xml:space="preserve"> satisfying </w:t>
            </w:r>
            <w:r>
              <w:rPr>
                <w:position w:val="-10"/>
              </w:rPr>
              <w:drawing>
                <wp:inline distT="0" distB="0" distL="0" distR="0">
                  <wp:extent cx="902335" cy="201930"/>
                  <wp:effectExtent l="0" t="0" r="0" b="762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12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902335" cy="201930"/>
                          </a:xfrm>
                          <a:prstGeom prst="rect">
                            <a:avLst/>
                          </a:prstGeom>
                          <a:noFill/>
                          <a:ln>
                            <a:noFill/>
                          </a:ln>
                        </pic:spPr>
                      </pic:pic>
                    </a:graphicData>
                  </a:graphic>
                </wp:inline>
              </w:drawing>
            </w:r>
            <w:r>
              <w:t xml:space="preserve"> if </w:t>
            </w:r>
            <w:r>
              <w:rPr>
                <w:position w:val="-10"/>
              </w:rPr>
              <w:drawing>
                <wp:inline distT="0" distB="0" distL="0" distR="0">
                  <wp:extent cx="1924050" cy="23749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2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924050" cy="237490"/>
                          </a:xfrm>
                          <a:prstGeom prst="rect">
                            <a:avLst/>
                          </a:prstGeom>
                          <a:noFill/>
                          <a:ln>
                            <a:noFill/>
                          </a:ln>
                        </pic:spPr>
                      </pic:pic>
                    </a:graphicData>
                  </a:graphic>
                </wp:inline>
              </w:drawing>
            </w:r>
            <w:r>
              <w:t xml:space="preserve">, or in a frame with SFN satisfying </w:t>
            </w:r>
            <w:r>
              <w:rPr>
                <w:position w:val="-10"/>
              </w:rPr>
              <w:drawing>
                <wp:inline distT="0" distB="0" distL="0" distR="0">
                  <wp:extent cx="819150" cy="201930"/>
                  <wp:effectExtent l="0" t="0" r="0" b="762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2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819150" cy="201930"/>
                          </a:xfrm>
                          <a:prstGeom prst="rect">
                            <a:avLst/>
                          </a:prstGeom>
                          <a:noFill/>
                          <a:ln>
                            <a:noFill/>
                          </a:ln>
                        </pic:spPr>
                      </pic:pic>
                    </a:graphicData>
                  </a:graphic>
                </wp:inline>
              </w:drawing>
            </w:r>
            <w:r>
              <w:t xml:space="preserve"> if </w:t>
            </w:r>
            <w:r>
              <w:rPr>
                <w:position w:val="-10"/>
              </w:rPr>
              <w:drawing>
                <wp:inline distT="0" distB="0" distL="0" distR="0">
                  <wp:extent cx="1828800" cy="201930"/>
                  <wp:effectExtent l="0" t="0" r="0" b="762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828800" cy="201930"/>
                          </a:xfrm>
                          <a:prstGeom prst="rect">
                            <a:avLst/>
                          </a:prstGeom>
                          <a:noFill/>
                          <a:ln>
                            <a:noFill/>
                          </a:ln>
                        </pic:spPr>
                      </pic:pic>
                    </a:graphicData>
                  </a:graphic>
                </wp:inline>
              </w:drawing>
            </w:r>
            <w:r>
              <w:t xml:space="preserve">. </w:t>
            </w:r>
            <w:r>
              <w:rPr>
                <w:position w:val="-4"/>
              </w:rPr>
              <w:drawing>
                <wp:inline distT="0" distB="0" distL="0" distR="0">
                  <wp:extent cx="178435" cy="14224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11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178435" cy="142240"/>
                          </a:xfrm>
                          <a:prstGeom prst="rect">
                            <a:avLst/>
                          </a:prstGeom>
                          <a:noFill/>
                          <a:ln>
                            <a:noFill/>
                          </a:ln>
                        </pic:spPr>
                      </pic:pic>
                    </a:graphicData>
                  </a:graphic>
                </wp:inline>
              </w:drawing>
            </w:r>
            <w:r>
              <w:t xml:space="preserve"> and </w:t>
            </w:r>
            <w:r>
              <w:rPr>
                <w:position w:val="-6"/>
              </w:rPr>
              <w:drawing>
                <wp:inline distT="0" distB="0" distL="0" distR="0">
                  <wp:extent cx="178435" cy="166370"/>
                  <wp:effectExtent l="0" t="0" r="0" b="508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1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178435" cy="166370"/>
                          </a:xfrm>
                          <a:prstGeom prst="rect">
                            <a:avLst/>
                          </a:prstGeom>
                          <a:noFill/>
                          <a:ln>
                            <a:noFill/>
                          </a:ln>
                        </pic:spPr>
                      </pic:pic>
                    </a:graphicData>
                  </a:graphic>
                </wp:inline>
              </w:drawing>
            </w:r>
            <w:r>
              <w:t xml:space="preserve"> are provided by Tables 13-11 and 13-12, and </w:t>
            </w:r>
            <w:r>
              <w:rPr>
                <w:position w:val="-10"/>
              </w:rPr>
              <w:drawing>
                <wp:inline distT="0" distB="0" distL="0" distR="0">
                  <wp:extent cx="641350" cy="189865"/>
                  <wp:effectExtent l="0" t="0" r="6350" b="63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11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641350" cy="189865"/>
                          </a:xfrm>
                          <a:prstGeom prst="rect">
                            <a:avLst/>
                          </a:prstGeom>
                          <a:noFill/>
                          <a:ln>
                            <a:noFill/>
                          </a:ln>
                        </pic:spPr>
                      </pic:pic>
                    </a:graphicData>
                  </a:graphic>
                </wp:inline>
              </w:drawing>
            </w:r>
            <w:r>
              <w:t xml:space="preserve"> based on the SCS for PDCCH receptions in the CORESET [4, TS 38.211]. The index for the first symbol of the CORESET in slots </w:t>
            </w:r>
            <w:r>
              <w:rPr>
                <w:position w:val="-10"/>
              </w:rPr>
              <w:drawing>
                <wp:inline distT="0" distB="0" distL="0" distR="0">
                  <wp:extent cx="178435" cy="17843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115"/>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w:t>
            </w:r>
            <w:r>
              <w:rPr>
                <w:lang w:eastAsia="zh-CN"/>
              </w:rPr>
              <w:t xml:space="preserve">and </w:t>
            </w:r>
            <w:r>
              <w:rPr>
                <w:position w:val="-10"/>
              </w:rPr>
              <w:drawing>
                <wp:inline distT="0" distB="0" distL="0" distR="0">
                  <wp:extent cx="356235" cy="178435"/>
                  <wp:effectExtent l="0" t="0" r="5715"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11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356235" cy="178435"/>
                          </a:xfrm>
                          <a:prstGeom prst="rect">
                            <a:avLst/>
                          </a:prstGeom>
                          <a:noFill/>
                          <a:ln>
                            <a:noFill/>
                          </a:ln>
                        </pic:spPr>
                      </pic:pic>
                    </a:graphicData>
                  </a:graphic>
                </wp:inline>
              </w:drawing>
            </w:r>
            <w:r>
              <w:t xml:space="preserve"> </w:t>
            </w:r>
            <w:ins w:id="927" w:author="Fu Ting" w:date="2022-01-05T13:51:00Z">
              <w:r>
                <w:rPr/>
                <w:t xml:space="preserve">and </w:t>
              </w:r>
            </w:ins>
            <w:ins w:id="928" w:author="Fu Ting" w:date="2022-01-05T13:51:00Z"/>
            <w:ins w:id="929" w:author="Fu Ting" w:date="2022-01-05T13:51:00Z"/>
            <w:ins w:id="930" w:author="Fu Ting" w:date="2022-01-05T13:51:00Z"/>
            <w:ins w:id="931" w:author="Fu Ting" w:date="2022-01-05T13:51:00Z">
              <w:r>
                <w:rPr>
                  <w:position w:val="-12"/>
                </w:rPr>
                <w:object>
                  <v:shape id="_x0000_i1038" o:spt="75" type="#_x0000_t75" style="height:18.75pt;width:33.75pt;" o:ole="t" filled="f" o:preferrelative="t" stroked="f" coordsize="21600,21600">
                    <v:path/>
                    <v:fill on="f" focussize="0,0"/>
                    <v:stroke on="f" joinstyle="miter"/>
                    <v:imagedata r:id="rId6" o:title=""/>
                    <o:lock v:ext="edit" aspectratio="t"/>
                    <w10:wrap type="none"/>
                    <w10:anchorlock/>
                  </v:shape>
                  <o:OLEObject Type="Embed" ProgID="Equation.DSMT4" ShapeID="_x0000_i1038" DrawAspect="Content" ObjectID="_1468075738" r:id="rId43">
                    <o:LockedField>false</o:LockedField>
                  </o:OLEObject>
                </w:object>
              </w:r>
            </w:ins>
            <w:ins w:id="933" w:author="Fu Ting" w:date="2022-01-05T13:51:00Z"/>
            <w:ins w:id="934" w:author="Fu Ting" w:date="2022-01-05T13:51:00Z">
              <w:r>
                <w:rPr/>
                <w:t xml:space="preserve"> </w:t>
              </w:r>
            </w:ins>
            <w:r>
              <w:t>is the first symbol index provided by Tables 13-11 and 13-12.</w:t>
            </w:r>
          </w:p>
          <w:p>
            <w:pPr>
              <w:widowControl w:val="0"/>
              <w:jc w:val="both"/>
            </w:pPr>
            <w:r>
              <w:t xml:space="preserve">For operation with shared spectrum channel access and for the SS/PBCH block and CORESET multiplexing pattern 1, a UE monitors PDCCH in the Type0-PDCCH CSS set over slots that include Type0-PDCCH monitoring occasions associated with </w:t>
            </w:r>
            <w:r>
              <w:rPr>
                <w:lang w:eastAsia="ja-JP"/>
              </w:rPr>
              <w:t xml:space="preserve">SS/PBCH blocks that are </w:t>
            </w:r>
            <w:r>
              <w:t xml:space="preserve">quasi co-located </w:t>
            </w:r>
            <w:r>
              <w:rPr>
                <w:lang w:eastAsia="ja-JP"/>
              </w:rPr>
              <w:t>with the SS/PBCH block that provides a CORESET for Type0-PDCCH CSS set</w:t>
            </w:r>
            <w:r>
              <w:t xml:space="preserve"> with respect to average gain, quasi co-location 'typeA' and 'typeD' properties, when applicable</w:t>
            </w:r>
            <w:r>
              <w:rPr>
                <w:kern w:val="2"/>
                <w:lang w:eastAsia="zh-CN"/>
              </w:rPr>
              <w:t xml:space="preserve"> [6, TS 38.214]. </w:t>
            </w:r>
            <w:ins w:id="935" w:author="Fu Ting" w:date="2022-01-05T13:52:00Z">
              <w:r>
                <w:rPr>
                  <w:kern w:val="2"/>
                  <w:lang w:eastAsia="zh-CN"/>
                </w:rPr>
                <w:t xml:space="preserve">For FR1 </w:t>
              </w:r>
            </w:ins>
            <w:ins w:id="936" w:author="Fu Ting" w:date="2022-01-05T13:52:00Z">
              <w:r>
                <w:rPr>
                  <w:rFonts w:hint="eastAsia"/>
                  <w:kern w:val="2"/>
                  <w:lang w:eastAsia="zh-CN"/>
                </w:rPr>
                <w:t>and</w:t>
              </w:r>
            </w:ins>
            <w:ins w:id="937" w:author="Fu Ting" w:date="2022-01-05T13:52:00Z">
              <w:r>
                <w:rPr>
                  <w:kern w:val="2"/>
                  <w:lang w:eastAsia="zh-CN"/>
                </w:rPr>
                <w:t xml:space="preserve"> FR 2-1, </w:t>
              </w:r>
            </w:ins>
            <w:ins w:id="938" w:author="Fu Ting" w:date="2022-01-05T13:52:00Z">
              <w:r>
                <w:rPr>
                  <w:rFonts w:hint="eastAsia"/>
                  <w:lang w:eastAsia="zh-CN"/>
                </w:rPr>
                <w:t>for</w:t>
              </w:r>
            </w:ins>
            <w:del w:id="939" w:author="Fu Ting" w:date="2022-01-05T13:52:00Z">
              <w:r>
                <w:rPr/>
                <w:delText>For</w:delText>
              </w:r>
            </w:del>
            <w:r>
              <w:t xml:space="preserve"> a candidate SS/PBCH block index </w:t>
            </w:r>
            <m:oMath>
              <m:acc>
                <m:accPr>
                  <m:chr m:val="̅"/>
                  <m:ctrlPr>
                    <w:rPr>
                      <w:rFonts w:ascii="Cambria Math" w:hAnsi="Cambria Math"/>
                      <w:i/>
                    </w:rPr>
                  </m:ctrlPr>
                </m:accPr>
                <m:e>
                  <m:r>
                    <w:rPr>
                      <w:rFonts w:ascii="Cambria Math" w:hAnsi="Cambria Math"/>
                    </w:rPr>
                    <m:t>i</m:t>
                  </m:r>
                  <m:ctrlPr>
                    <w:rPr>
                      <w:rFonts w:ascii="Cambria Math" w:hAnsi="Cambria Math"/>
                      <w:i/>
                    </w:rPr>
                  </m:ctrlPr>
                </m:e>
              </m:acc>
            </m:oMath>
            <w:r>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ctrlPr>
                    <w:rPr>
                      <w:rFonts w:ascii="Cambria Math" w:hAnsi="Cambria Math"/>
                      <w:i/>
                    </w:rPr>
                  </m:ctrlP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ctrlPr>
                        <w:rPr>
                          <w:rFonts w:ascii="Cambria Math" w:hAnsi="Cambria Math"/>
                          <w:i/>
                        </w:rPr>
                      </m:ctrlPr>
                    </m:e>
                  </m:acc>
                  <m:ctrlPr>
                    <w:rPr>
                      <w:rFonts w:ascii="Cambria Math" w:hAnsi="Cambria Math"/>
                      <w:i/>
                    </w:rPr>
                  </m:ctrlPr>
                </m:e>
                <m:sub>
                  <m:r>
                    <w:rPr>
                      <w:rFonts w:ascii="Cambria Math" w:hAnsi="Cambria Math"/>
                    </w:rPr>
                    <m:t>max</m:t>
                  </m:r>
                  <m:ctrlPr>
                    <w:rPr>
                      <w:rFonts w:ascii="Cambria Math" w:hAnsi="Cambria Math"/>
                      <w:i/>
                    </w:rPr>
                  </m:ctrlPr>
                </m:sub>
              </m:sSub>
              <m:r>
                <w:rPr>
                  <w:rFonts w:ascii="Cambria Math" w:hAnsi="Cambria Math"/>
                </w:rPr>
                <m:t>-1</m:t>
              </m:r>
            </m:oMath>
            <w:r>
              <w:t xml:space="preserve">, two consecutive slots starting from slot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oMath>
            <w:r>
              <w:t xml:space="preserve"> include the associated Type0-PDCCH monitoring occasions. </w:t>
            </w:r>
            <w:ins w:id="940" w:author="Fu Ting" w:date="2022-01-05T14:08:00Z">
              <w:r>
                <w:rPr>
                  <w:kern w:val="2"/>
                  <w:lang w:eastAsia="zh-CN"/>
                </w:rPr>
                <w:t>For FR</w:t>
              </w:r>
            </w:ins>
            <w:ins w:id="941" w:author="Fu Ting" w:date="2022-01-05T14:12:00Z">
              <w:r>
                <w:rPr>
                  <w:kern w:val="2"/>
                  <w:lang w:eastAsia="zh-CN"/>
                </w:rPr>
                <w:t>2</w:t>
              </w:r>
            </w:ins>
            <w:ins w:id="942" w:author="Fu Ting" w:date="2022-01-05T14:08:00Z">
              <w:r>
                <w:rPr>
                  <w:kern w:val="2"/>
                  <w:lang w:eastAsia="zh-CN"/>
                </w:rPr>
                <w:t xml:space="preserve">, </w:t>
              </w:r>
            </w:ins>
            <w:ins w:id="943" w:author="Fu Ting" w:date="2022-01-05T14:08:00Z">
              <w:r>
                <w:rPr>
                  <w:rFonts w:hint="eastAsia"/>
                  <w:lang w:eastAsia="zh-CN"/>
                </w:rPr>
                <w:t>for</w:t>
              </w:r>
            </w:ins>
            <w:ins w:id="944" w:author="Fu Ting" w:date="2022-01-05T14:08:00Z">
              <w:r>
                <w:rPr/>
                <w:t xml:space="preserve"> a candidate SS/PBCH block index </w:t>
              </w:r>
            </w:ins>
            <m:oMath>
              <m:acc>
                <m:accPr>
                  <m:chr m:val="̅"/>
                  <m:ctrlPr>
                    <w:rPr>
                      <w:rFonts w:ascii="Cambria Math" w:hAnsi="Cambria Math"/>
                      <w:i/>
                    </w:rPr>
                  </m:ctrlPr>
                </m:accPr>
                <m:e>
                  <m:r>
                    <w:rPr>
                      <w:rFonts w:ascii="Cambria Math" w:hAnsi="Cambria Math"/>
                    </w:rPr>
                    <m:t>i</m:t>
                  </m:r>
                  <m:ctrlPr>
                    <w:rPr>
                      <w:rFonts w:ascii="Cambria Math" w:hAnsi="Cambria Math"/>
                      <w:i/>
                    </w:rPr>
                  </m:ctrlPr>
                </m:e>
              </m:acc>
            </m:oMath>
            <w:ins w:id="945" w:author="Fu Ting" w:date="2022-01-05T14:08:00Z">
              <w:r>
                <w:rPr/>
                <w:t xml:space="preserve">, where </w:t>
              </w:r>
            </w:ins>
            <m:oMath>
              <m:r>
                <w:rPr>
                  <w:rFonts w:ascii="Cambria Math" w:hAnsi="Cambria Math"/>
                </w:rPr>
                <m:t>0≤</m:t>
              </m:r>
              <m:acc>
                <m:accPr>
                  <m:chr m:val="̅"/>
                  <m:ctrlPr>
                    <w:rPr>
                      <w:rFonts w:ascii="Cambria Math" w:hAnsi="Cambria Math"/>
                      <w:i/>
                    </w:rPr>
                  </m:ctrlPr>
                </m:accPr>
                <m:e>
                  <m:r>
                    <w:rPr>
                      <w:rFonts w:ascii="Cambria Math" w:hAnsi="Cambria Math"/>
                    </w:rPr>
                    <m:t>i</m:t>
                  </m:r>
                  <m:ctrlPr>
                    <w:rPr>
                      <w:rFonts w:ascii="Cambria Math" w:hAnsi="Cambria Math"/>
                      <w:i/>
                    </w:rPr>
                  </m:ctrlP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ctrlPr>
                        <w:rPr>
                          <w:rFonts w:ascii="Cambria Math" w:hAnsi="Cambria Math"/>
                          <w:i/>
                        </w:rPr>
                      </m:ctrlPr>
                    </m:e>
                  </m:acc>
                  <m:ctrlPr>
                    <w:rPr>
                      <w:rFonts w:ascii="Cambria Math" w:hAnsi="Cambria Math"/>
                      <w:i/>
                    </w:rPr>
                  </m:ctrlPr>
                </m:e>
                <m:sub>
                  <m:r>
                    <w:rPr>
                      <w:rFonts w:ascii="Cambria Math" w:hAnsi="Cambria Math"/>
                    </w:rPr>
                    <m:t>max</m:t>
                  </m:r>
                  <m:ctrlPr>
                    <w:rPr>
                      <w:rFonts w:ascii="Cambria Math" w:hAnsi="Cambria Math"/>
                      <w:i/>
                    </w:rPr>
                  </m:ctrlPr>
                </m:sub>
              </m:sSub>
              <m:r>
                <w:rPr>
                  <w:rFonts w:ascii="Cambria Math" w:hAnsi="Cambria Math"/>
                </w:rPr>
                <m:t>-1</m:t>
              </m:r>
            </m:oMath>
            <w:ins w:id="946" w:author="Fu Ting" w:date="2022-01-05T14:08:00Z">
              <w:r>
                <w:rPr/>
                <w:t>, two slots</w:t>
              </w:r>
            </w:ins>
            <w:ins w:id="947" w:author="Fu Ting" w:date="2022-01-05T14:09:00Z">
              <w:r>
                <w:rPr>
                  <w:rFonts w:hint="eastAsia"/>
                  <w:lang w:eastAsia="zh-CN"/>
                </w:rPr>
                <w:t>,</w:t>
              </w:r>
            </w:ins>
            <w:ins w:id="948" w:author="Fu Ting" w:date="2022-01-05T14:09:00Z">
              <w:r>
                <w:rPr/>
                <w:t xml:space="preserve"> </w:t>
              </w:r>
            </w:ins>
            <w:ins w:id="949" w:author="Fu Ting" w:date="2022-01-05T14:08:00Z">
              <w:r>
                <w:rPr/>
                <w:t xml:space="preserve">slot </w:t>
              </w:r>
            </w:ins>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oMath>
            <w:ins w:id="950" w:author="Fu Ting" w:date="2022-01-05T14:08:00Z">
              <w:r>
                <w:rPr/>
                <w:t xml:space="preserve"> </w:t>
              </w:r>
            </w:ins>
            <w:ins w:id="951" w:author="Fu Ting" w:date="2022-01-05T14:09:00Z">
              <w:r>
                <w:rPr/>
                <w:t xml:space="preserve">and </w:t>
              </w:r>
            </w:ins>
            <w:ins w:id="952" w:author="Fu Ting" w:date="2022-01-05T14:09:00Z"/>
            <w:ins w:id="953" w:author="Fu Ting" w:date="2022-01-05T14:09:00Z"/>
            <w:ins w:id="954" w:author="Fu Ting" w:date="2022-01-05T14:09:00Z"/>
            <w:ins w:id="955" w:author="Fu Ting" w:date="2022-01-05T14:09:00Z">
              <w:r>
                <w:rPr>
                  <w:position w:val="-12"/>
                </w:rPr>
                <w:object>
                  <v:shape id="_x0000_i1039" o:spt="75" type="#_x0000_t75" style="height:18.75pt;width:33.75pt;" o:ole="t" filled="f" o:preferrelative="t" stroked="f" coordsize="21600,21600">
                    <v:path/>
                    <v:fill on="f" focussize="0,0"/>
                    <v:stroke on="f" joinstyle="miter"/>
                    <v:imagedata r:id="rId6" o:title=""/>
                    <o:lock v:ext="edit" aspectratio="t"/>
                    <w10:wrap type="none"/>
                    <w10:anchorlock/>
                  </v:shape>
                  <o:OLEObject Type="Embed" ProgID="Equation.DSMT4" ShapeID="_x0000_i1039" DrawAspect="Content" ObjectID="_1468075739" r:id="rId44">
                    <o:LockedField>false</o:LockedField>
                  </o:OLEObject>
                </w:object>
              </w:r>
            </w:ins>
            <w:ins w:id="957" w:author="Fu Ting" w:date="2022-01-05T14:09:00Z"/>
            <w:ins w:id="958" w:author="Fu Ting" w:date="2022-01-05T14:09:00Z">
              <w:r>
                <w:rPr/>
                <w:t xml:space="preserve"> </w:t>
              </w:r>
            </w:ins>
            <w:ins w:id="959" w:author="Fu Ting" w:date="2022-01-05T14:09:00Z">
              <w:r>
                <w:rPr>
                  <w:rFonts w:hint="eastAsia"/>
                  <w:lang w:eastAsia="zh-CN"/>
                </w:rPr>
                <w:t>,</w:t>
              </w:r>
            </w:ins>
            <w:ins w:id="960" w:author="Fu Ting" w:date="2022-01-05T14:09:00Z">
              <w:r>
                <w:rPr>
                  <w:lang w:eastAsia="zh-CN"/>
                </w:rPr>
                <w:t xml:space="preserve"> </w:t>
              </w:r>
            </w:ins>
            <w:ins w:id="961" w:author="Fu Ting" w:date="2022-01-05T14:09:00Z">
              <w:r>
                <w:rPr>
                  <w:rFonts w:hint="eastAsia"/>
                  <w:lang w:eastAsia="zh-CN"/>
                </w:rPr>
                <w:t>where</w:t>
              </w:r>
            </w:ins>
            <w:ins w:id="962" w:author="Fu Ting" w:date="2022-01-05T14:09:00Z">
              <w:r>
                <w:rPr>
                  <w:lang w:eastAsia="zh-CN"/>
                </w:rPr>
                <w:t xml:space="preserve"> </w:t>
              </w:r>
            </w:ins>
            <w:ins w:id="963" w:author="Fu Ting" w:date="2022-01-05T14:09:00Z"/>
            <w:ins w:id="964" w:author="Fu Ting" w:date="2022-01-05T14:09:00Z"/>
            <w:ins w:id="965" w:author="Fu Ting" w:date="2022-01-05T14:09:00Z"/>
            <w:ins w:id="966" w:author="Fu Ting" w:date="2022-01-05T14:09:00Z">
              <w:r>
                <w:rPr>
                  <w:position w:val="-12"/>
                  <w:lang w:eastAsia="zh-CN"/>
                </w:rPr>
                <w:object>
                  <v:shape id="_x0000_i1040" o:spt="75" type="#_x0000_t75" style="height:14.25pt;width:30pt;" o:ole="t" filled="f" o:preferrelative="t" stroked="f" coordsize="21600,21600">
                    <v:path/>
                    <v:fill on="f" focussize="0,0"/>
                    <v:stroke on="f" joinstyle="miter"/>
                    <v:imagedata r:id="rId8" o:title=""/>
                    <o:lock v:ext="edit" aspectratio="t"/>
                    <w10:wrap type="none"/>
                    <w10:anchorlock/>
                  </v:shape>
                  <o:OLEObject Type="Embed" ProgID="Equation.DSMT4" ShapeID="_x0000_i1040" DrawAspect="Content" ObjectID="_1468075740" r:id="rId45">
                    <o:LockedField>false</o:LockedField>
                  </o:OLEObject>
                </w:object>
              </w:r>
            </w:ins>
            <w:ins w:id="968" w:author="Fu Ting" w:date="2022-01-05T14:09:00Z"/>
            <w:ins w:id="969" w:author="Fu Ting" w:date="2022-01-05T14:09:00Z">
              <w:r>
                <w:rPr>
                  <w:lang w:eastAsia="zh-CN"/>
                </w:rPr>
                <w:t xml:space="preserve">if </w:t>
              </w:r>
            </w:ins>
            <w:ins w:id="970" w:author="Fu Ting" w:date="2022-01-05T14:09:00Z">
              <w:r>
                <w:rPr/>
                <w:t>SCS of the CORESET for Type0-PDCCH CSS is 480kHz</w:t>
              </w:r>
            </w:ins>
            <w:ins w:id="971" w:author="Fu Ting" w:date="2022-01-05T14:09:00Z">
              <w:r>
                <w:rPr>
                  <w:rFonts w:hint="eastAsia"/>
                  <w:lang w:eastAsia="zh-CN"/>
                </w:rPr>
                <w:t>,</w:t>
              </w:r>
            </w:ins>
            <w:ins w:id="972" w:author="Fu Ting" w:date="2022-01-05T14:09:00Z">
              <w:r>
                <w:rPr>
                  <w:lang w:eastAsia="zh-CN"/>
                </w:rPr>
                <w:t xml:space="preserve"> and </w:t>
              </w:r>
            </w:ins>
            <w:ins w:id="973" w:author="Fu Ting" w:date="2022-01-05T14:09:00Z"/>
            <w:ins w:id="974" w:author="Fu Ting" w:date="2022-01-05T14:09:00Z"/>
            <w:ins w:id="975" w:author="Fu Ting" w:date="2022-01-05T14:09:00Z"/>
            <w:ins w:id="976" w:author="Fu Ting" w:date="2022-01-05T14:09:00Z">
              <w:r>
                <w:rPr>
                  <w:position w:val="-12"/>
                  <w:lang w:eastAsia="zh-CN"/>
                </w:rPr>
                <w:object>
                  <v:shape id="_x0000_i1041" o:spt="75" type="#_x0000_t75" style="height:14.25pt;width:30pt;" o:ole="t" filled="f" o:preferrelative="t" stroked="f" coordsize="21600,21600">
                    <v:path/>
                    <v:fill on="f" focussize="0,0"/>
                    <v:stroke on="f" joinstyle="miter"/>
                    <v:imagedata r:id="rId10" o:title=""/>
                    <o:lock v:ext="edit" aspectratio="t"/>
                    <w10:wrap type="none"/>
                    <w10:anchorlock/>
                  </v:shape>
                  <o:OLEObject Type="Embed" ProgID="Equation.DSMT4" ShapeID="_x0000_i1041" DrawAspect="Content" ObjectID="_1468075741" r:id="rId46">
                    <o:LockedField>false</o:LockedField>
                  </o:OLEObject>
                </w:object>
              </w:r>
            </w:ins>
            <w:ins w:id="978" w:author="Fu Ting" w:date="2022-01-05T14:09:00Z"/>
            <w:ins w:id="979" w:author="Fu Ting" w:date="2022-01-05T14:09:00Z">
              <w:r>
                <w:rPr>
                  <w:lang w:eastAsia="zh-CN"/>
                </w:rPr>
                <w:t xml:space="preserve"> if </w:t>
              </w:r>
            </w:ins>
            <w:ins w:id="980" w:author="Fu Ting" w:date="2022-01-05T14:09:00Z">
              <w:r>
                <w:rPr/>
                <w:t>SCS of the CORESET for Type0-PDCCH CSS is 960kHz</w:t>
              </w:r>
            </w:ins>
            <w:ins w:id="981" w:author="Fu Ting" w:date="2022-01-05T14:09:00Z">
              <w:r>
                <w:rPr>
                  <w:lang w:eastAsia="zh-CN"/>
                </w:rPr>
                <w:t xml:space="preserve">, </w:t>
              </w:r>
            </w:ins>
            <w:ins w:id="982" w:author="Fu Ting" w:date="2022-01-05T14:08:00Z">
              <w:r>
                <w:rPr/>
                <w:t>include the associated Type0-PDCCH monitoring occasions.</w:t>
              </w:r>
            </w:ins>
            <w:ins w:id="983" w:author="Fu Ting" w:date="2022-01-05T14:12:00Z">
              <w:r>
                <w:rPr/>
                <w:t xml:space="preserve"> </w:t>
              </w:r>
            </w:ins>
            <w:r>
              <w:t xml:space="preserve">The UE determines an index of slot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oMath>
            <w:r>
              <w:t xml:space="preserve"> as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ctrlPr>
                        <w:rPr>
                          <w:rFonts w:ascii="Cambria Math" w:hAnsi="Cambria Math"/>
                          <w:i/>
                        </w:rPr>
                      </m:ctrlPr>
                    </m:e>
                    <m:sup>
                      <m:r>
                        <w:rPr>
                          <w:rFonts w:ascii="Cambria Math" w:hAnsi="Cambria Math"/>
                        </w:rPr>
                        <m:t>μ</m:t>
                      </m:r>
                      <m:ctrlPr>
                        <w:rPr>
                          <w:rFonts w:ascii="Cambria Math" w:hAnsi="Cambria Math"/>
                          <w:i/>
                        </w:rPr>
                      </m:ctrlP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ctrlPr>
                            <w:rPr>
                              <w:rFonts w:ascii="Cambria Math" w:hAnsi="Cambria Math"/>
                              <w:i/>
                            </w:rPr>
                          </m:ctrlPr>
                        </m:e>
                      </m:acc>
                      <m:r>
                        <w:rPr>
                          <w:rFonts w:ascii="Cambria Math" w:hAnsi="Cambria Math"/>
                        </w:rPr>
                        <m:t>⋅M</m:t>
                      </m:r>
                      <m:ctrlPr>
                        <w:rPr>
                          <w:rFonts w:ascii="Cambria Math" w:hAnsi="Cambria Math"/>
                          <w:i/>
                        </w:rPr>
                      </m:ctrlPr>
                    </m:e>
                  </m:d>
                  <m:ctrlPr>
                    <w:rPr>
                      <w:rFonts w:ascii="Cambria Math" w:hAnsi="Cambria Math"/>
                      <w:i/>
                    </w:rPr>
                  </m:ctrlPr>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ctrlPr>
                    <w:rPr>
                      <w:rFonts w:ascii="Cambria Math" w:hAnsi="Cambria Math"/>
                      <w:i/>
                    </w:rPr>
                  </m:ctrlPr>
                </m:e>
                <m:sub>
                  <m:r>
                    <m:rPr>
                      <m:sty m:val="p"/>
                    </m:rPr>
                    <w:rPr>
                      <w:rFonts w:ascii="Cambria Math" w:hAnsi="Cambria Math"/>
                    </w:rPr>
                    <m:t>slot</m:t>
                  </m:r>
                  <m:ctrlPr>
                    <w:rPr>
                      <w:rFonts w:ascii="Cambria Math" w:hAnsi="Cambria Math"/>
                      <w:i/>
                    </w:rPr>
                  </m:ctrlPr>
                </m:sub>
                <m:sup>
                  <m:r>
                    <m:rPr>
                      <m:sty m:val="p"/>
                    </m:rPr>
                    <w:rPr>
                      <w:rFonts w:ascii="Cambria Math" w:hAnsi="Cambria Math"/>
                    </w:rPr>
                    <m:t>frame, μ</m:t>
                  </m:r>
                  <m:ctrlPr>
                    <w:rPr>
                      <w:rFonts w:ascii="Cambria Math" w:hAnsi="Cambria Math"/>
                      <w:i/>
                    </w:rPr>
                  </m:ctrlPr>
                </m:sup>
              </m:sSubSup>
            </m:oMath>
            <w:r>
              <w:t xml:space="preserve"> that is in a frame with system frame number (SFN) </w:t>
            </w:r>
            <m:oMath>
              <m:sSub>
                <m:sSubPr>
                  <m:ctrlPr>
                    <w:rPr>
                      <w:rFonts w:ascii="Cambria Math" w:hAnsi="Cambria Math"/>
                      <w:i/>
                    </w:rPr>
                  </m:ctrlPr>
                </m:sSubPr>
                <m:e>
                  <m:r>
                    <m:rPr>
                      <m:sty m:val="p"/>
                    </m:rPr>
                    <w:rPr>
                      <w:rFonts w:ascii="Cambria Math" w:hAnsi="Cambria Math"/>
                    </w:rPr>
                    <m:t>SFN</m:t>
                  </m:r>
                  <m:ctrlPr>
                    <w:rPr>
                      <w:rFonts w:ascii="Cambria Math" w:hAnsi="Cambria Math"/>
                      <w:i/>
                    </w:rPr>
                  </m:ctrlPr>
                </m:e>
                <m:sub>
                  <m:r>
                    <w:rPr>
                      <w:rFonts w:ascii="Cambria Math" w:hAnsi="Cambria Math"/>
                    </w:rPr>
                    <m:t>C</m:t>
                  </m:r>
                  <m:ctrlPr>
                    <w:rPr>
                      <w:rFonts w:ascii="Cambria Math" w:hAnsi="Cambria Math"/>
                      <w:i/>
                    </w:rPr>
                  </m:ctrlPr>
                </m:sub>
              </m:sSub>
            </m:oMath>
            <w:r>
              <w:t xml:space="preserve"> satisfying </w:t>
            </w:r>
            <m:oMath>
              <m:sSub>
                <m:sSubPr>
                  <m:ctrlPr>
                    <w:rPr>
                      <w:rFonts w:ascii="Cambria Math" w:hAnsi="Cambria Math"/>
                      <w:i/>
                    </w:rPr>
                  </m:ctrlPr>
                </m:sSubPr>
                <m:e>
                  <m:r>
                    <m:rPr>
                      <m:sty m:val="p"/>
                    </m:rPr>
                    <w:rPr>
                      <w:rFonts w:ascii="Cambria Math" w:hAnsi="Cambria Math"/>
                    </w:rPr>
                    <m:t>SFN</m:t>
                  </m:r>
                  <m:ctrlPr>
                    <w:rPr>
                      <w:rFonts w:ascii="Cambria Math" w:hAnsi="Cambria Math"/>
                      <w:i/>
                    </w:rPr>
                  </m:ctrlPr>
                </m:e>
                <m:sub>
                  <m:r>
                    <w:rPr>
                      <w:rFonts w:ascii="Cambria Math" w:hAnsi="Cambria Math"/>
                    </w:rPr>
                    <m:t>C</m:t>
                  </m:r>
                  <m:ctrlPr>
                    <w:rPr>
                      <w:rFonts w:ascii="Cambria Math" w:hAnsi="Cambria Math"/>
                      <w:i/>
                    </w:rPr>
                  </m:ctrlPr>
                </m:sub>
              </m:sSub>
              <m:r>
                <w:rPr>
                  <w:rFonts w:ascii="Cambria Math" w:hAnsi="Cambria Math"/>
                </w:rPr>
                <m:t xml:space="preserve"> mod 2=0</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ctrlPr>
                            <w:rPr>
                              <w:rFonts w:ascii="Cambria Math" w:hAnsi="Cambria Math"/>
                              <w:i/>
                            </w:rPr>
                          </m:ctrlPr>
                        </m:e>
                        <m:sup>
                          <m:r>
                            <w:rPr>
                              <w:rFonts w:ascii="Cambria Math" w:hAnsi="Cambria Math"/>
                            </w:rPr>
                            <m:t>μ</m:t>
                          </m:r>
                          <m:ctrlPr>
                            <w:rPr>
                              <w:rFonts w:ascii="Cambria Math" w:hAnsi="Cambria Math"/>
                              <w:i/>
                            </w:rPr>
                          </m:ctrlP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ctrlPr>
                                <w:rPr>
                                  <w:rFonts w:ascii="Cambria Math" w:hAnsi="Cambria Math"/>
                                  <w:i/>
                                </w:rPr>
                              </m:ctrlPr>
                            </m:e>
                          </m:acc>
                          <m:r>
                            <w:rPr>
                              <w:rFonts w:ascii="Cambria Math" w:hAnsi="Cambria Math"/>
                            </w:rPr>
                            <m:t>⋅M</m:t>
                          </m:r>
                          <m:ctrlPr>
                            <w:rPr>
                              <w:rFonts w:ascii="Cambria Math" w:hAnsi="Cambria Math"/>
                              <w:i/>
                            </w:rPr>
                          </m:ctrlPr>
                        </m:e>
                      </m:d>
                      <m:ctrlPr>
                        <w:rPr>
                          <w:rFonts w:ascii="Cambria Math" w:hAnsi="Cambria Math"/>
                          <w:i/>
                        </w:rPr>
                      </m:ctrlPr>
                    </m:e>
                  </m:d>
                  <m:r>
                    <m:rPr>
                      <m:sty m:val="p"/>
                    </m:rPr>
                    <w:rPr>
                      <w:rFonts w:ascii="Cambria Math" w:hAnsi="Cambria Math"/>
                    </w:rPr>
                    <m:t>/</m:t>
                  </m:r>
                  <m:sSubSup>
                    <m:sSubSupPr>
                      <m:ctrlPr>
                        <w:rPr>
                          <w:rFonts w:ascii="Cambria Math" w:hAnsi="Cambria Math"/>
                          <w:i/>
                        </w:rPr>
                      </m:ctrlPr>
                    </m:sSubSupPr>
                    <m:e>
                      <m:r>
                        <w:rPr>
                          <w:rFonts w:ascii="Cambria Math" w:hAnsi="Cambria Math"/>
                        </w:rPr>
                        <m:t>N</m:t>
                      </m:r>
                      <m:ctrlPr>
                        <w:rPr>
                          <w:rFonts w:ascii="Cambria Math" w:hAnsi="Cambria Math"/>
                          <w:i/>
                        </w:rPr>
                      </m:ctrlPr>
                    </m:e>
                    <m:sub>
                      <m:r>
                        <m:rPr>
                          <m:sty m:val="p"/>
                        </m:rPr>
                        <w:rPr>
                          <w:rFonts w:ascii="Cambria Math" w:hAnsi="Cambria Math"/>
                        </w:rPr>
                        <m:t>slot</m:t>
                      </m:r>
                      <m:ctrlPr>
                        <w:rPr>
                          <w:rFonts w:ascii="Cambria Math" w:hAnsi="Cambria Math"/>
                          <w:i/>
                        </w:rPr>
                      </m:ctrlPr>
                    </m:sub>
                    <m:sup>
                      <m:r>
                        <m:rPr>
                          <m:sty m:val="p"/>
                        </m:rPr>
                        <w:rPr>
                          <w:rFonts w:ascii="Cambria Math" w:hAnsi="Cambria Math"/>
                        </w:rPr>
                        <m:t>frame, μ</m:t>
                      </m:r>
                      <m:ctrlPr>
                        <w:rPr>
                          <w:rFonts w:ascii="Cambria Math" w:hAnsi="Cambria Math"/>
                          <w:i/>
                        </w:rPr>
                      </m:ctrlPr>
                    </m:sup>
                  </m:sSubSup>
                  <m:ctrlPr>
                    <w:rPr>
                      <w:rFonts w:ascii="Cambria Math" w:hAnsi="Cambria Math"/>
                      <w:i/>
                    </w:rPr>
                  </m:ctrlPr>
                </m:e>
              </m:d>
              <m:r>
                <w:rPr>
                  <w:rFonts w:ascii="Cambria Math" w:hAnsi="Cambria Math"/>
                </w:rPr>
                <m:t xml:space="preserve"> mod 2=0</m:t>
              </m:r>
            </m:oMath>
            <w:r>
              <w:t xml:space="preserve">, or in a frame with SFN satisfying </w:t>
            </w:r>
            <m:oMath>
              <m:sSub>
                <m:sSubPr>
                  <m:ctrlPr>
                    <w:rPr>
                      <w:rFonts w:ascii="Cambria Math" w:hAnsi="Cambria Math"/>
                      <w:i/>
                    </w:rPr>
                  </m:ctrlPr>
                </m:sSubPr>
                <m:e>
                  <m:r>
                    <m:rPr>
                      <m:sty m:val="p"/>
                    </m:rPr>
                    <w:rPr>
                      <w:rFonts w:ascii="Cambria Math" w:hAnsi="Cambria Math"/>
                    </w:rPr>
                    <m:t>SFN</m:t>
                  </m:r>
                  <m:ctrlPr>
                    <w:rPr>
                      <w:rFonts w:ascii="Cambria Math" w:hAnsi="Cambria Math"/>
                      <w:i/>
                    </w:rPr>
                  </m:ctrlPr>
                </m:e>
                <m:sub>
                  <m:r>
                    <w:rPr>
                      <w:rFonts w:ascii="Cambria Math" w:hAnsi="Cambria Math"/>
                    </w:rPr>
                    <m:t>C</m:t>
                  </m:r>
                  <m:ctrlPr>
                    <w:rPr>
                      <w:rFonts w:ascii="Cambria Math" w:hAnsi="Cambria Math"/>
                      <w:i/>
                    </w:rPr>
                  </m:ctrlPr>
                </m:sub>
              </m:sSub>
              <m:r>
                <w:rPr>
                  <w:rFonts w:ascii="Cambria Math" w:hAnsi="Cambria Math"/>
                </w:rPr>
                <m:t xml:space="preserve"> mod 2=1</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ctrlPr>
                            <w:rPr>
                              <w:rFonts w:ascii="Cambria Math" w:hAnsi="Cambria Math"/>
                              <w:i/>
                            </w:rPr>
                          </m:ctrlPr>
                        </m:e>
                        <m:sup>
                          <m:r>
                            <w:rPr>
                              <w:rFonts w:ascii="Cambria Math" w:hAnsi="Cambria Math"/>
                            </w:rPr>
                            <m:t>μ</m:t>
                          </m:r>
                          <m:ctrlPr>
                            <w:rPr>
                              <w:rFonts w:ascii="Cambria Math" w:hAnsi="Cambria Math"/>
                              <w:i/>
                            </w:rPr>
                          </m:ctrlP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ctrlPr>
                                <w:rPr>
                                  <w:rFonts w:ascii="Cambria Math" w:hAnsi="Cambria Math"/>
                                  <w:i/>
                                </w:rPr>
                              </m:ctrlPr>
                            </m:e>
                          </m:acc>
                          <m:r>
                            <w:rPr>
                              <w:rFonts w:ascii="Cambria Math" w:hAnsi="Cambria Math"/>
                            </w:rPr>
                            <m:t>⋅M</m:t>
                          </m:r>
                          <m:ctrlPr>
                            <w:rPr>
                              <w:rFonts w:ascii="Cambria Math" w:hAnsi="Cambria Math"/>
                              <w:i/>
                            </w:rPr>
                          </m:ctrlPr>
                        </m:e>
                      </m:d>
                      <m:ctrlPr>
                        <w:rPr>
                          <w:rFonts w:ascii="Cambria Math" w:hAnsi="Cambria Math"/>
                          <w:i/>
                        </w:rPr>
                      </m:ctrlPr>
                    </m:e>
                  </m:d>
                  <m:r>
                    <m:rPr>
                      <m:sty m:val="p"/>
                    </m:rPr>
                    <w:rPr>
                      <w:rFonts w:ascii="Cambria Math" w:hAnsi="Cambria Math"/>
                    </w:rPr>
                    <m:t>/</m:t>
                  </m:r>
                  <m:sSubSup>
                    <m:sSubSupPr>
                      <m:ctrlPr>
                        <w:rPr>
                          <w:rFonts w:ascii="Cambria Math" w:hAnsi="Cambria Math"/>
                          <w:i/>
                        </w:rPr>
                      </m:ctrlPr>
                    </m:sSubSupPr>
                    <m:e>
                      <m:r>
                        <w:rPr>
                          <w:rFonts w:ascii="Cambria Math" w:hAnsi="Cambria Math"/>
                        </w:rPr>
                        <m:t>N</m:t>
                      </m:r>
                      <m:ctrlPr>
                        <w:rPr>
                          <w:rFonts w:ascii="Cambria Math" w:hAnsi="Cambria Math"/>
                          <w:i/>
                        </w:rPr>
                      </m:ctrlPr>
                    </m:e>
                    <m:sub>
                      <m:r>
                        <m:rPr>
                          <m:sty m:val="p"/>
                        </m:rPr>
                        <w:rPr>
                          <w:rFonts w:ascii="Cambria Math" w:hAnsi="Cambria Math"/>
                        </w:rPr>
                        <m:t>slot</m:t>
                      </m:r>
                      <m:ctrlPr>
                        <w:rPr>
                          <w:rFonts w:ascii="Cambria Math" w:hAnsi="Cambria Math"/>
                          <w:i/>
                        </w:rPr>
                      </m:ctrlPr>
                    </m:sub>
                    <m:sup>
                      <m:r>
                        <m:rPr>
                          <m:sty m:val="p"/>
                        </m:rPr>
                        <w:rPr>
                          <w:rFonts w:ascii="Cambria Math" w:hAnsi="Cambria Math"/>
                        </w:rPr>
                        <m:t>frame, μ</m:t>
                      </m:r>
                      <m:ctrlPr>
                        <w:rPr>
                          <w:rFonts w:ascii="Cambria Math" w:hAnsi="Cambria Math"/>
                          <w:i/>
                        </w:rPr>
                      </m:ctrlPr>
                    </m:sup>
                  </m:sSubSup>
                  <m:ctrlPr>
                    <w:rPr>
                      <w:rFonts w:ascii="Cambria Math" w:hAnsi="Cambria Math"/>
                      <w:i/>
                    </w:rPr>
                  </m:ctrlPr>
                </m:e>
              </m:d>
              <m:r>
                <w:rPr>
                  <w:rFonts w:ascii="Cambria Math" w:hAnsi="Cambria Math"/>
                </w:rPr>
                <m:t xml:space="preserve"> mod 2=1</m:t>
              </m:r>
            </m:oMath>
            <w:r>
              <w:t xml:space="preserve">. </w:t>
            </w:r>
            <m:oMath>
              <m:r>
                <w:rPr>
                  <w:rFonts w:ascii="Cambria Math" w:hAnsi="Cambria Math"/>
                </w:rPr>
                <m:t>M</m:t>
              </m:r>
            </m:oMath>
            <w:r>
              <w:t xml:space="preserve"> and </w:t>
            </w:r>
            <m:oMath>
              <m:r>
                <w:rPr>
                  <w:rFonts w:ascii="Cambria Math" w:hAnsi="Cambria Math"/>
                </w:rPr>
                <m:t>O</m:t>
              </m:r>
            </m:oMath>
            <w:r>
              <w:t xml:space="preserve"> are provided by Table 13-11, and </w:t>
            </w:r>
            <m:oMath>
              <m:r>
                <w:rPr>
                  <w:rFonts w:ascii="Cambria Math" w:hAnsi="Cambria Math"/>
                </w:rPr>
                <m:t>μ∈{0, 1}</m:t>
              </m:r>
            </m:oMath>
            <w:r>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oMath>
            <w:r>
              <w:t xml:space="preserve"> </w:t>
            </w:r>
            <w:r>
              <w:rPr>
                <w:lang w:eastAsia="zh-CN"/>
              </w:rPr>
              <w:t xml:space="preserve">and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r>
                <w:rPr>
                  <w:rFonts w:ascii="Cambria Math" w:hAnsi="Cambria Math"/>
                </w:rPr>
                <m:t>+1</m:t>
              </m:r>
            </m:oMath>
            <w:r>
              <w:t xml:space="preserve"> is the first symbol index provided by Table 13-11. The UE does not expect to be configured with </w:t>
            </w:r>
            <m:oMath>
              <m:r>
                <w:rPr>
                  <w:rFonts w:ascii="Cambria Math" w:hAnsi="Cambria Math"/>
                </w:rPr>
                <m:t>M=1/2</m:t>
              </m:r>
            </m:oMath>
            <w:r>
              <w:t xml:space="preserve">, or with </w:t>
            </w:r>
            <m:oMath>
              <m:r>
                <w:rPr>
                  <w:rFonts w:ascii="Cambria Math" w:hAnsi="Cambria Math"/>
                </w:rPr>
                <m:t>M=2</m:t>
              </m:r>
            </m:oMath>
            <w:r>
              <w:t xml:space="preserve">, when </w:t>
            </w:r>
            <m:oMath>
              <m:sSubSup>
                <m:sSubSupPr>
                  <m:ctrlPr>
                    <w:rPr>
                      <w:rFonts w:ascii="Cambria Math" w:hAnsi="Cambria Math"/>
                      <w:i/>
                    </w:rPr>
                  </m:ctrlPr>
                </m:sSubSupPr>
                <m:e>
                  <m:r>
                    <w:rPr>
                      <w:rFonts w:ascii="Cambria Math"/>
                    </w:rPr>
                    <m:t>N</m:t>
                  </m:r>
                  <m:ctrlPr>
                    <w:rPr>
                      <w:rFonts w:ascii="Cambria Math" w:hAnsi="Cambria Math"/>
                      <w:i/>
                    </w:rPr>
                  </m:ctrlPr>
                </m:e>
                <m:sub>
                  <m:r>
                    <w:rPr>
                      <w:rFonts w:ascii="Cambria Math"/>
                    </w:rPr>
                    <m:t>SSB</m:t>
                  </m:r>
                  <m:ctrlPr>
                    <w:rPr>
                      <w:rFonts w:ascii="Cambria Math" w:hAnsi="Cambria Math"/>
                      <w:i/>
                    </w:rPr>
                  </m:ctrlPr>
                </m:sub>
                <m:sup>
                  <m:r>
                    <w:rPr>
                      <w:rFonts w:ascii="Cambria Math"/>
                    </w:rPr>
                    <m:t>QCL</m:t>
                  </m:r>
                  <m:ctrlPr>
                    <w:rPr>
                      <w:rFonts w:ascii="Cambria Math" w:hAnsi="Cambria Math"/>
                      <w:i/>
                    </w:rPr>
                  </m:ctrlPr>
                </m:sup>
              </m:sSubSup>
              <m:r>
                <w:rPr>
                  <w:rFonts w:ascii="Cambria Math"/>
                </w:rPr>
                <m:t>=1</m:t>
              </m:r>
            </m:oMath>
            <w:r>
              <w:t>.</w:t>
            </w:r>
          </w:p>
          <w:p>
            <w:pPr>
              <w:widowControl w:val="0"/>
            </w:pPr>
            <w:r>
              <w:t xml:space="preserve">For the SS/PBCH block and CORESET multiplexing patterns 2 and 3, a UE monitors PDCCH in the Type0-PDCCH CSS set over one slot with Type0-PDCCH CSS set periodicity equal to the periodicity of SS/PBCH block. 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CSS set. For a SS/PBCH block with index </w:t>
            </w:r>
            <w:r>
              <w:rPr>
                <w:position w:val="-6"/>
              </w:rPr>
              <w:drawing>
                <wp:inline distT="0" distB="0" distL="0" distR="0">
                  <wp:extent cx="95250" cy="17843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the slot index </w:t>
            </w:r>
            <w:r>
              <w:rPr>
                <w:position w:val="-12"/>
              </w:rPr>
              <w:drawing>
                <wp:inline distT="0" distB="0" distL="0" distR="0">
                  <wp:extent cx="178435" cy="17843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1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and </w:t>
            </w:r>
            <w:r>
              <w:rPr>
                <w:position w:val="-10"/>
              </w:rPr>
              <w:drawing>
                <wp:inline distT="0" distB="0" distL="0" distR="0">
                  <wp:extent cx="273050" cy="17843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273050" cy="178435"/>
                          </a:xfrm>
                          <a:prstGeom prst="rect">
                            <a:avLst/>
                          </a:prstGeom>
                          <a:noFill/>
                          <a:ln>
                            <a:noFill/>
                          </a:ln>
                        </pic:spPr>
                      </pic:pic>
                    </a:graphicData>
                  </a:graphic>
                </wp:inline>
              </w:drawing>
            </w:r>
            <w:r>
              <w:t xml:space="preserve"> based on parameters provided by Tables 13-13 through 13-15.</w:t>
            </w:r>
          </w:p>
          <w:p>
            <w:pPr>
              <w:widowControl w:val="0"/>
              <w:rPr>
                <w:lang w:eastAsia="zh-CN"/>
              </w:rPr>
            </w:pPr>
            <w:r>
              <w:rPr>
                <w:lang w:eastAsia="zh-CN"/>
              </w:rPr>
              <w:t>============================= Unchanged part omitted =========================================</w:t>
            </w:r>
          </w:p>
          <w:p>
            <w:pPr>
              <w:widowControl w:val="0"/>
              <w:rPr>
                <w:lang w:eastAsia="zh-CN"/>
              </w:rPr>
            </w:pPr>
          </w:p>
        </w:tc>
      </w:tr>
    </w:tbl>
    <w:p>
      <w:pPr>
        <w:rPr>
          <w:lang w:eastAsia="zh-CN"/>
        </w:rPr>
      </w:pPr>
    </w:p>
    <w:p>
      <w:pPr>
        <w:pStyle w:val="4"/>
      </w:pPr>
      <w:r>
        <w:t>R1-2202005 (Samsung)</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tabs>
                <w:tab w:val="left" w:pos="1300"/>
              </w:tabs>
              <w:spacing w:after="0"/>
              <w:jc w:val="both"/>
            </w:pPr>
            <w:r>
              <w:t xml:space="preserve">Similar to Rel-16 span-based PDCCH monitoring, a UE can indicate multiple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lang w:eastAsia="zh-CN"/>
                    </w:rPr>
                  </m:ctrlPr>
                </m:e>
              </m:d>
            </m:oMath>
            <w:r>
              <w:rPr>
                <w:lang w:eastAsia="zh-CN"/>
              </w:rPr>
              <w:t xml:space="preserve"> combinations for multi-slot PDCCH monitoring in FR2-2, then the remaining issue is how to determine the combination that the UE will choose from the multiple indicated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lang w:eastAsia="zh-CN"/>
                    </w:rPr>
                  </m:ctrlPr>
                </m:e>
              </m:d>
            </m:oMath>
            <w:r>
              <w:rPr>
                <w:lang w:eastAsia="zh-CN"/>
              </w:rPr>
              <w:t xml:space="preserve"> combinations. A similar approach as Rel-16 span-based PDCCH monitoring can be reused, wherein the maximum values on the BD and non-overlapping CCE are replaced by </w:t>
            </w:r>
            <m:oMath>
              <m:sSubSup>
                <m:sSubSupPr>
                  <m:ctrlPr>
                    <w:rPr>
                      <w:rFonts w:ascii="Cambria Math" w:hAnsi="Cambria Math"/>
                      <w:i/>
                      <w:lang w:eastAsia="zh-CN"/>
                    </w:rPr>
                  </m:ctrlPr>
                </m:sSubSupPr>
                <m:e>
                  <m:r>
                    <w:rPr>
                      <w:rFonts w:ascii="Cambria Math" w:hAnsi="Cambria Math"/>
                      <w:lang w:eastAsia="zh-CN"/>
                    </w:rPr>
                    <m:t>M</m:t>
                  </m:r>
                  <m:ctrlPr>
                    <w:rPr>
                      <w:rFonts w:ascii="Cambria Math" w:hAnsi="Cambria Math"/>
                      <w:i/>
                      <w:lang w:eastAsia="zh-CN"/>
                    </w:rPr>
                  </m:ctrlPr>
                </m:e>
                <m:sub>
                  <m:r>
                    <m:rPr>
                      <m:sty m:val="p"/>
                    </m:rPr>
                    <w:rPr>
                      <w:rFonts w:ascii="Cambria Math" w:hAnsi="Cambria Math"/>
                      <w:lang w:eastAsia="zh-CN"/>
                    </w:rPr>
                    <m:t>PDCCH</m:t>
                  </m:r>
                  <m:ctrlPr>
                    <w:rPr>
                      <w:rFonts w:ascii="Cambria Math" w:hAnsi="Cambria Math"/>
                      <w:i/>
                      <w:lang w:eastAsia="zh-CN"/>
                    </w:rPr>
                  </m:ctrlP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i/>
                          <w:lang w:eastAsia="zh-CN"/>
                        </w:rPr>
                      </m:ctrlPr>
                    </m:e>
                  </m:d>
                  <m:r>
                    <w:rPr>
                      <w:rFonts w:ascii="Cambria Math" w:hAnsi="Cambria Math"/>
                      <w:lang w:eastAsia="zh-CN"/>
                    </w:rPr>
                    <m:t>,μ</m:t>
                  </m:r>
                  <m:ctrlPr>
                    <w:rPr>
                      <w:rFonts w:ascii="Cambria Math" w:hAnsi="Cambria Math"/>
                      <w:i/>
                      <w:lang w:eastAsia="zh-CN"/>
                    </w:rPr>
                  </m:ctrlPr>
                </m:sup>
              </m:sSubSup>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ctrlPr>
                    <w:rPr>
                      <w:rFonts w:ascii="Cambria Math" w:hAnsi="Cambria Math"/>
                      <w:i/>
                      <w:lang w:eastAsia="zh-CN"/>
                    </w:rPr>
                  </m:ctrlPr>
                </m:e>
                <m:sub>
                  <m:r>
                    <m:rPr>
                      <m:sty m:val="p"/>
                    </m:rPr>
                    <w:rPr>
                      <w:rFonts w:ascii="Cambria Math" w:hAnsi="Cambria Math"/>
                      <w:lang w:eastAsia="zh-CN"/>
                    </w:rPr>
                    <m:t>PDCCH</m:t>
                  </m:r>
                  <m:ctrlPr>
                    <w:rPr>
                      <w:rFonts w:ascii="Cambria Math" w:hAnsi="Cambria Math"/>
                      <w:i/>
                      <w:lang w:eastAsia="zh-CN"/>
                    </w:rPr>
                  </m:ctrlP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i/>
                          <w:lang w:eastAsia="zh-CN"/>
                        </w:rPr>
                      </m:ctrlPr>
                    </m:e>
                  </m:d>
                  <m:r>
                    <w:rPr>
                      <w:rFonts w:ascii="Cambria Math" w:hAnsi="Cambria Math"/>
                      <w:lang w:eastAsia="zh-CN"/>
                    </w:rPr>
                    <m:t>,μ</m:t>
                  </m:r>
                  <m:ctrlPr>
                    <w:rPr>
                      <w:rFonts w:ascii="Cambria Math" w:hAnsi="Cambria Math"/>
                      <w:i/>
                      <w:lang w:eastAsia="zh-CN"/>
                    </w:rPr>
                  </m:ctrlPr>
                </m:sup>
              </m:sSubSup>
            </m:oMath>
            <w:r>
              <w:rPr>
                <w:lang w:eastAsia="zh-CN"/>
              </w:rPr>
              <w:t>, respectively.</w:t>
            </w:r>
          </w:p>
          <w:p>
            <w:pPr>
              <w:widowControl w:val="0"/>
              <w:tabs>
                <w:tab w:val="left" w:pos="1300"/>
              </w:tabs>
              <w:spacing w:after="0"/>
              <w:jc w:val="both"/>
              <w:rPr>
                <w:b/>
                <w:u w:val="single"/>
              </w:rPr>
            </w:pPr>
          </w:p>
          <w:p>
            <w:pPr>
              <w:widowControl w:val="0"/>
              <w:tabs>
                <w:tab w:val="left" w:pos="1300"/>
              </w:tabs>
              <w:spacing w:after="0"/>
              <w:jc w:val="both"/>
              <w:rPr>
                <w:b/>
                <w:u w:val="single"/>
              </w:rPr>
            </w:pPr>
            <w:r>
              <w:rPr>
                <w:b/>
                <w:u w:val="single"/>
              </w:rPr>
              <w:t xml:space="preserve">Proposal 1: </w:t>
            </w:r>
            <w:r>
              <w:rPr>
                <w:b/>
                <w:u w:val="single"/>
                <w:lang w:eastAsia="zh-CN"/>
              </w:rPr>
              <w:t>If a UE indicates a capability to</w:t>
            </w:r>
            <w:r>
              <w:rPr>
                <w:b/>
                <w:u w:val="single"/>
              </w:rPr>
              <w:t xml:space="preserve"> monitor PDCCH according to multiple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ctrlPr>
                    <w:rPr>
                      <w:rFonts w:ascii="Cambria Math" w:hAnsi="Cambria Math"/>
                      <w:b/>
                      <w:u w:val="single"/>
                      <w:lang w:eastAsia="zh-CN"/>
                    </w:rPr>
                  </m:ctrlPr>
                </m:e>
              </m:d>
            </m:oMath>
            <w:r>
              <w:rPr>
                <w:b/>
                <w:u w:val="single"/>
                <w:lang w:eastAsia="zh-CN"/>
              </w:rPr>
              <w:t xml:space="preserve"> combinations,</w:t>
            </w:r>
            <w:r>
              <w:rPr>
                <w:b/>
                <w:u w:val="single"/>
              </w:rPr>
              <w:t xml:space="preserve"> for a configuration of search space sets, a UE monitors PDCCH on the cell based on the following steps:</w:t>
            </w:r>
          </w:p>
          <w:p>
            <w:pPr>
              <w:pStyle w:val="82"/>
              <w:widowControl w:val="0"/>
              <w:numPr>
                <w:ilvl w:val="0"/>
                <w:numId w:val="73"/>
              </w:numPr>
              <w:tabs>
                <w:tab w:val="left" w:pos="1300"/>
              </w:tabs>
              <w:snapToGrid/>
              <w:spacing w:line="240" w:lineRule="auto"/>
              <w:jc w:val="both"/>
              <w:rPr>
                <w:b/>
                <w:u w:val="single"/>
              </w:rPr>
            </w:pPr>
            <w:r>
              <w:rPr>
                <w:b/>
                <w:u w:val="single"/>
                <w:lang w:eastAsia="zh-CN"/>
              </w:rPr>
              <w:t xml:space="preserve">Step 1: Choose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ctrlPr>
                    <w:rPr>
                      <w:rFonts w:ascii="Cambria Math" w:hAnsi="Cambria Math"/>
                      <w:b/>
                      <w:u w:val="single"/>
                      <w:lang w:eastAsia="zh-CN"/>
                    </w:rPr>
                  </m:ctrlPr>
                </m:e>
              </m:d>
            </m:oMath>
            <w:r>
              <w:rPr>
                <w:b/>
                <w:u w:val="single"/>
                <w:lang w:eastAsia="zh-CN"/>
              </w:rPr>
              <w:t xml:space="preserve"> combinations based on the configuration of search space sets;</w:t>
            </w:r>
          </w:p>
          <w:p>
            <w:pPr>
              <w:pStyle w:val="82"/>
              <w:widowControl w:val="0"/>
              <w:numPr>
                <w:ilvl w:val="0"/>
                <w:numId w:val="73"/>
              </w:numPr>
              <w:tabs>
                <w:tab w:val="left" w:pos="1300"/>
              </w:tabs>
              <w:snapToGrid/>
              <w:spacing w:line="240" w:lineRule="auto"/>
              <w:jc w:val="both"/>
              <w:rPr>
                <w:b/>
                <w:u w:val="single"/>
              </w:rPr>
            </w:pPr>
            <w:r>
              <w:rPr>
                <w:b/>
                <w:u w:val="single"/>
                <w:lang w:eastAsia="zh-CN"/>
              </w:rPr>
              <w:t xml:space="preserve">Step 2: Choose a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ctrlPr>
                    <w:rPr>
                      <w:rFonts w:ascii="Cambria Math" w:hAnsi="Cambria Math"/>
                      <w:b/>
                      <w:u w:val="single"/>
                      <w:lang w:eastAsia="zh-CN"/>
                    </w:rPr>
                  </m:ctrlPr>
                </m:e>
              </m:d>
            </m:oMath>
            <w:r>
              <w:rPr>
                <w:b/>
                <w:u w:val="single"/>
                <w:lang w:eastAsia="zh-CN"/>
              </w:rPr>
              <w:t xml:space="preserve"> combination, from the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ctrlPr>
                    <w:rPr>
                      <w:rFonts w:ascii="Cambria Math" w:hAnsi="Cambria Math"/>
                      <w:b/>
                      <w:u w:val="single"/>
                      <w:lang w:eastAsia="zh-CN"/>
                    </w:rPr>
                  </m:ctrlPr>
                </m:e>
              </m:d>
            </m:oMath>
            <w:r>
              <w:rPr>
                <w:b/>
                <w:u w:val="single"/>
                <w:lang w:eastAsia="zh-CN"/>
              </w:rPr>
              <w:t xml:space="preserve"> combinations, </w:t>
            </w:r>
            <w:r>
              <w:rPr>
                <w:b/>
                <w:u w:val="single"/>
              </w:rPr>
              <w:t xml:space="preserve">that is associated with the largest maximum number of </w:t>
            </w:r>
            <m:oMath>
              <m:sSubSup>
                <m:sSubSupPr>
                  <m:ctrlPr>
                    <w:rPr>
                      <w:rFonts w:ascii="Cambria Math" w:hAnsi="Cambria Math"/>
                      <w:b/>
                      <w:i/>
                      <w:u w:val="single"/>
                      <w:lang w:eastAsia="zh-CN"/>
                    </w:rPr>
                  </m:ctrlPr>
                </m:sSubSupPr>
                <m:e>
                  <m:r>
                    <m:rPr>
                      <m:sty m:val="bi"/>
                    </m:rPr>
                    <w:rPr>
                      <w:rFonts w:ascii="Cambria Math" w:hAnsi="Cambria Math"/>
                      <w:u w:val="single"/>
                      <w:lang w:eastAsia="zh-CN"/>
                    </w:rPr>
                    <m:t>M</m:t>
                  </m:r>
                  <m:ctrlPr>
                    <w:rPr>
                      <w:rFonts w:ascii="Cambria Math" w:hAnsi="Cambria Math"/>
                      <w:b/>
                      <w:i/>
                      <w:u w:val="single"/>
                      <w:lang w:eastAsia="zh-CN"/>
                    </w:rPr>
                  </m:ctrlPr>
                </m:e>
                <m:sub>
                  <m:r>
                    <m:rPr>
                      <m:sty m:val="b"/>
                    </m:rPr>
                    <w:rPr>
                      <w:rFonts w:ascii="Cambria Math" w:hAnsi="Cambria Math"/>
                      <w:u w:val="single"/>
                      <w:lang w:eastAsia="zh-CN"/>
                    </w:rPr>
                    <m:t>PDCCH</m:t>
                  </m:r>
                  <m:ctrlPr>
                    <w:rPr>
                      <w:rFonts w:ascii="Cambria Math" w:hAnsi="Cambria Math"/>
                      <w:b/>
                      <w:i/>
                      <w:u w:val="single"/>
                      <w:lang w:eastAsia="zh-CN"/>
                    </w:rPr>
                  </m:ctrlP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ctrlPr>
                        <w:rPr>
                          <w:rFonts w:ascii="Cambria Math" w:hAnsi="Cambria Math"/>
                          <w:b/>
                          <w:i/>
                          <w:u w:val="single"/>
                          <w:lang w:eastAsia="zh-CN"/>
                        </w:rPr>
                      </m:ctrlPr>
                    </m:e>
                  </m:d>
                  <m:r>
                    <m:rPr>
                      <m:sty m:val="bi"/>
                    </m:rPr>
                    <w:rPr>
                      <w:rFonts w:ascii="Cambria Math" w:hAnsi="Cambria Math"/>
                      <w:u w:val="single"/>
                      <w:lang w:eastAsia="zh-CN"/>
                    </w:rPr>
                    <m:t>,μ</m:t>
                  </m:r>
                  <m:ctrlPr>
                    <w:rPr>
                      <w:rFonts w:ascii="Cambria Math" w:hAnsi="Cambria Math"/>
                      <w:b/>
                      <w:i/>
                      <w:u w:val="single"/>
                      <w:lang w:eastAsia="zh-CN"/>
                    </w:rPr>
                  </m:ctrlPr>
                </m:sup>
              </m:sSubSup>
            </m:oMath>
            <w:r>
              <w:rPr>
                <w:b/>
                <w:u w:val="single"/>
                <w:lang w:eastAsia="zh-CN"/>
              </w:rPr>
              <w:t xml:space="preserve"> and </w:t>
            </w:r>
            <m:oMath>
              <m:sSubSup>
                <m:sSubSupPr>
                  <m:ctrlPr>
                    <w:rPr>
                      <w:rFonts w:ascii="Cambria Math" w:hAnsi="Cambria Math"/>
                      <w:b/>
                      <w:i/>
                      <w:u w:val="single"/>
                      <w:lang w:eastAsia="zh-CN"/>
                    </w:rPr>
                  </m:ctrlPr>
                </m:sSubSupPr>
                <m:e>
                  <m:r>
                    <m:rPr>
                      <m:sty m:val="bi"/>
                    </m:rPr>
                    <w:rPr>
                      <w:rFonts w:ascii="Cambria Math" w:hAnsi="Cambria Math"/>
                      <w:u w:val="single"/>
                      <w:lang w:eastAsia="zh-CN"/>
                    </w:rPr>
                    <m:t>C</m:t>
                  </m:r>
                  <m:ctrlPr>
                    <w:rPr>
                      <w:rFonts w:ascii="Cambria Math" w:hAnsi="Cambria Math"/>
                      <w:b/>
                      <w:i/>
                      <w:u w:val="single"/>
                      <w:lang w:eastAsia="zh-CN"/>
                    </w:rPr>
                  </m:ctrlPr>
                </m:e>
                <m:sub>
                  <m:r>
                    <m:rPr>
                      <m:sty m:val="b"/>
                    </m:rPr>
                    <w:rPr>
                      <w:rFonts w:ascii="Cambria Math" w:hAnsi="Cambria Math"/>
                      <w:u w:val="single"/>
                      <w:lang w:eastAsia="zh-CN"/>
                    </w:rPr>
                    <m:t>PDCCH</m:t>
                  </m:r>
                  <m:ctrlPr>
                    <w:rPr>
                      <w:rFonts w:ascii="Cambria Math" w:hAnsi="Cambria Math"/>
                      <w:b/>
                      <w:i/>
                      <w:u w:val="single"/>
                      <w:lang w:eastAsia="zh-CN"/>
                    </w:rPr>
                  </m:ctrlP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ctrlPr>
                        <w:rPr>
                          <w:rFonts w:ascii="Cambria Math" w:hAnsi="Cambria Math"/>
                          <w:b/>
                          <w:i/>
                          <w:u w:val="single"/>
                          <w:lang w:eastAsia="zh-CN"/>
                        </w:rPr>
                      </m:ctrlPr>
                    </m:e>
                  </m:d>
                  <m:r>
                    <m:rPr>
                      <m:sty m:val="bi"/>
                    </m:rPr>
                    <w:rPr>
                      <w:rFonts w:ascii="Cambria Math" w:hAnsi="Cambria Math"/>
                      <w:u w:val="single"/>
                      <w:lang w:eastAsia="zh-CN"/>
                    </w:rPr>
                    <m:t>,μ</m:t>
                  </m:r>
                  <m:ctrlPr>
                    <w:rPr>
                      <w:rFonts w:ascii="Cambria Math" w:hAnsi="Cambria Math"/>
                      <w:b/>
                      <w:i/>
                      <w:u w:val="single"/>
                      <w:lang w:eastAsia="zh-CN"/>
                    </w:rPr>
                  </m:ctrlPr>
                </m:sup>
              </m:sSubSup>
            </m:oMath>
            <w:r>
              <w:rPr>
                <w:b/>
                <w:u w:val="single"/>
                <w:lang w:eastAsia="zh-CN"/>
              </w:rPr>
              <w:t>;</w:t>
            </w:r>
          </w:p>
          <w:p>
            <w:pPr>
              <w:pStyle w:val="82"/>
              <w:widowControl w:val="0"/>
              <w:numPr>
                <w:ilvl w:val="0"/>
                <w:numId w:val="73"/>
              </w:numPr>
              <w:tabs>
                <w:tab w:val="left" w:pos="1300"/>
              </w:tabs>
              <w:snapToGrid/>
              <w:spacing w:after="180" w:line="240" w:lineRule="auto"/>
              <w:jc w:val="both"/>
              <w:rPr>
                <w:b/>
                <w:u w:val="single"/>
              </w:rPr>
            </w:pPr>
            <w:r>
              <w:rPr>
                <w:b/>
                <w:u w:val="single"/>
                <w:lang w:eastAsia="zh-CN"/>
              </w:rPr>
              <w:t>Adopt TP#1 for TS 38.213.</w:t>
            </w:r>
          </w:p>
          <w:p>
            <w:pPr>
              <w:widowControl w:val="0"/>
              <w:tabs>
                <w:tab w:val="left" w:pos="1300"/>
              </w:tabs>
              <w:snapToGrid/>
              <w:spacing w:line="240" w:lineRule="auto"/>
              <w:jc w:val="both"/>
              <w:rPr>
                <w:bCs/>
              </w:rPr>
            </w:pPr>
          </w:p>
          <w:p>
            <w:pPr>
              <w:widowControl w:val="0"/>
              <w:tabs>
                <w:tab w:val="left" w:pos="1300"/>
              </w:tabs>
              <w:spacing w:after="0"/>
              <w:jc w:val="both"/>
            </w:pPr>
            <w:r>
              <w:t xml:space="preserve">The discussion on multi-slot PDCCH monitoring was all based on UE capability, and one remaining issue is the UE behavior before the UE capability is reported. Since it has been agreed to not support single slot based PDCCH monitoring, a natural outcome is to support multi-slot PDCCH monitoring only before the UE capability is reported, and the only remaining issue which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lang w:eastAsia="zh-CN"/>
                    </w:rPr>
                  </m:ctrlPr>
                </m:e>
              </m:d>
            </m:oMath>
            <w:r>
              <w:t xml:space="preserve"> should the UE choose for such multi-slot based PDCCH monitoring. Since we anyway need to specify the selection of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lang w:eastAsia="zh-CN"/>
                    </w:rPr>
                  </m:ctrlPr>
                </m:e>
              </m:d>
            </m:oMath>
            <w:r>
              <w:rPr>
                <w:lang w:eastAsia="zh-CN"/>
              </w:rPr>
              <w:t xml:space="preserve"> when multiple </w:t>
            </w:r>
            <w:r>
              <w:t xml:space="preserve">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lang w:eastAsia="zh-CN"/>
                    </w:rPr>
                  </m:ctrlPr>
                </m:e>
              </m:d>
            </m:oMath>
            <w:r>
              <w:rPr>
                <w:lang w:eastAsia="zh-CN"/>
              </w:rPr>
              <w:t xml:space="preserve"> are reported, a simply way could be reuse the same scheme before the UE capability is reported. </w:t>
            </w:r>
          </w:p>
          <w:p>
            <w:pPr>
              <w:widowControl w:val="0"/>
              <w:tabs>
                <w:tab w:val="left" w:pos="1300"/>
              </w:tabs>
              <w:spacing w:after="0"/>
              <w:jc w:val="both"/>
            </w:pPr>
          </w:p>
          <w:p>
            <w:pPr>
              <w:widowControl w:val="0"/>
              <w:tabs>
                <w:tab w:val="left" w:pos="1300"/>
              </w:tabs>
              <w:spacing w:after="0"/>
              <w:jc w:val="both"/>
              <w:rPr>
                <w:b/>
                <w:u w:val="single"/>
              </w:rPr>
            </w:pPr>
            <w:r>
              <w:rPr>
                <w:b/>
                <w:u w:val="single"/>
              </w:rPr>
              <w:t xml:space="preserve">Proposal 2: Before </w:t>
            </w:r>
            <w:r>
              <w:rPr>
                <w:b/>
                <w:u w:val="single"/>
                <w:lang w:eastAsia="zh-CN"/>
              </w:rPr>
              <w:t>a UE indicates a capability to</w:t>
            </w:r>
            <w:r>
              <w:rPr>
                <w:b/>
                <w:u w:val="single"/>
              </w:rPr>
              <w:t xml:space="preserve"> monitor PDCCH, the UE monitors PDCCH on the cell based on the following steps:</w:t>
            </w:r>
          </w:p>
          <w:p>
            <w:pPr>
              <w:pStyle w:val="82"/>
              <w:widowControl w:val="0"/>
              <w:numPr>
                <w:ilvl w:val="0"/>
                <w:numId w:val="74"/>
              </w:numPr>
              <w:tabs>
                <w:tab w:val="left" w:pos="1300"/>
              </w:tabs>
              <w:snapToGrid/>
              <w:spacing w:line="240" w:lineRule="auto"/>
              <w:jc w:val="both"/>
              <w:rPr>
                <w:b/>
                <w:u w:val="single"/>
              </w:rPr>
            </w:pPr>
            <w:r>
              <w:rPr>
                <w:b/>
                <w:u w:val="single"/>
                <w:lang w:eastAsia="zh-CN"/>
              </w:rPr>
              <w:t xml:space="preserve">Step 1: Choose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ctrlPr>
                    <w:rPr>
                      <w:rFonts w:ascii="Cambria Math" w:hAnsi="Cambria Math"/>
                      <w:b/>
                      <w:u w:val="single"/>
                      <w:lang w:eastAsia="zh-CN"/>
                    </w:rPr>
                  </m:ctrlPr>
                </m:e>
              </m:d>
            </m:oMath>
            <w:r>
              <w:rPr>
                <w:b/>
                <w:u w:val="single"/>
                <w:lang w:eastAsia="zh-CN"/>
              </w:rPr>
              <w:t xml:space="preserve"> combinations based on the configuration of search space sets;</w:t>
            </w:r>
          </w:p>
          <w:p>
            <w:pPr>
              <w:pStyle w:val="82"/>
              <w:widowControl w:val="0"/>
              <w:numPr>
                <w:ilvl w:val="0"/>
                <w:numId w:val="74"/>
              </w:numPr>
              <w:tabs>
                <w:tab w:val="left" w:pos="1300"/>
              </w:tabs>
              <w:snapToGrid/>
              <w:spacing w:line="240" w:lineRule="auto"/>
              <w:jc w:val="both"/>
              <w:rPr>
                <w:b/>
                <w:u w:val="single"/>
              </w:rPr>
            </w:pPr>
            <w:r>
              <w:rPr>
                <w:b/>
                <w:u w:val="single"/>
                <w:lang w:eastAsia="zh-CN"/>
              </w:rPr>
              <w:t xml:space="preserve">Step 2: Choose a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ctrlPr>
                    <w:rPr>
                      <w:rFonts w:ascii="Cambria Math" w:hAnsi="Cambria Math"/>
                      <w:b/>
                      <w:u w:val="single"/>
                      <w:lang w:eastAsia="zh-CN"/>
                    </w:rPr>
                  </m:ctrlPr>
                </m:e>
              </m:d>
            </m:oMath>
            <w:r>
              <w:rPr>
                <w:b/>
                <w:u w:val="single"/>
                <w:lang w:eastAsia="zh-CN"/>
              </w:rPr>
              <w:t xml:space="preserve"> combination, from the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ctrlPr>
                    <w:rPr>
                      <w:rFonts w:ascii="Cambria Math" w:hAnsi="Cambria Math"/>
                      <w:b/>
                      <w:u w:val="single"/>
                      <w:lang w:eastAsia="zh-CN"/>
                    </w:rPr>
                  </m:ctrlPr>
                </m:e>
              </m:d>
            </m:oMath>
            <w:r>
              <w:rPr>
                <w:b/>
                <w:u w:val="single"/>
                <w:lang w:eastAsia="zh-CN"/>
              </w:rPr>
              <w:t xml:space="preserve"> combinations, </w:t>
            </w:r>
            <w:r>
              <w:rPr>
                <w:b/>
                <w:u w:val="single"/>
              </w:rPr>
              <w:t xml:space="preserve">that is associated with the largest maximum number of </w:t>
            </w:r>
            <m:oMath>
              <m:sSubSup>
                <m:sSubSupPr>
                  <m:ctrlPr>
                    <w:rPr>
                      <w:rFonts w:ascii="Cambria Math" w:hAnsi="Cambria Math"/>
                      <w:b/>
                      <w:i/>
                      <w:u w:val="single"/>
                      <w:lang w:eastAsia="zh-CN"/>
                    </w:rPr>
                  </m:ctrlPr>
                </m:sSubSupPr>
                <m:e>
                  <m:r>
                    <m:rPr>
                      <m:sty m:val="bi"/>
                    </m:rPr>
                    <w:rPr>
                      <w:rFonts w:ascii="Cambria Math" w:hAnsi="Cambria Math"/>
                      <w:u w:val="single"/>
                      <w:lang w:eastAsia="zh-CN"/>
                    </w:rPr>
                    <m:t>M</m:t>
                  </m:r>
                  <m:ctrlPr>
                    <w:rPr>
                      <w:rFonts w:ascii="Cambria Math" w:hAnsi="Cambria Math"/>
                      <w:b/>
                      <w:i/>
                      <w:u w:val="single"/>
                      <w:lang w:eastAsia="zh-CN"/>
                    </w:rPr>
                  </m:ctrlPr>
                </m:e>
                <m:sub>
                  <m:r>
                    <m:rPr>
                      <m:sty m:val="b"/>
                    </m:rPr>
                    <w:rPr>
                      <w:rFonts w:ascii="Cambria Math" w:hAnsi="Cambria Math"/>
                      <w:u w:val="single"/>
                      <w:lang w:eastAsia="zh-CN"/>
                    </w:rPr>
                    <m:t>PDCCH</m:t>
                  </m:r>
                  <m:ctrlPr>
                    <w:rPr>
                      <w:rFonts w:ascii="Cambria Math" w:hAnsi="Cambria Math"/>
                      <w:b/>
                      <w:i/>
                      <w:u w:val="single"/>
                      <w:lang w:eastAsia="zh-CN"/>
                    </w:rPr>
                  </m:ctrlP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ctrlPr>
                        <w:rPr>
                          <w:rFonts w:ascii="Cambria Math" w:hAnsi="Cambria Math"/>
                          <w:b/>
                          <w:i/>
                          <w:u w:val="single"/>
                          <w:lang w:eastAsia="zh-CN"/>
                        </w:rPr>
                      </m:ctrlPr>
                    </m:e>
                  </m:d>
                  <m:r>
                    <m:rPr>
                      <m:sty m:val="bi"/>
                    </m:rPr>
                    <w:rPr>
                      <w:rFonts w:ascii="Cambria Math" w:hAnsi="Cambria Math"/>
                      <w:u w:val="single"/>
                      <w:lang w:eastAsia="zh-CN"/>
                    </w:rPr>
                    <m:t>,μ</m:t>
                  </m:r>
                  <m:ctrlPr>
                    <w:rPr>
                      <w:rFonts w:ascii="Cambria Math" w:hAnsi="Cambria Math"/>
                      <w:b/>
                      <w:i/>
                      <w:u w:val="single"/>
                      <w:lang w:eastAsia="zh-CN"/>
                    </w:rPr>
                  </m:ctrlPr>
                </m:sup>
              </m:sSubSup>
            </m:oMath>
            <w:r>
              <w:rPr>
                <w:b/>
                <w:u w:val="single"/>
                <w:lang w:eastAsia="zh-CN"/>
              </w:rPr>
              <w:t xml:space="preserve"> and </w:t>
            </w:r>
            <m:oMath>
              <m:sSubSup>
                <m:sSubSupPr>
                  <m:ctrlPr>
                    <w:rPr>
                      <w:rFonts w:ascii="Cambria Math" w:hAnsi="Cambria Math"/>
                      <w:b/>
                      <w:i/>
                      <w:u w:val="single"/>
                      <w:lang w:eastAsia="zh-CN"/>
                    </w:rPr>
                  </m:ctrlPr>
                </m:sSubSupPr>
                <m:e>
                  <m:r>
                    <m:rPr>
                      <m:sty m:val="bi"/>
                    </m:rPr>
                    <w:rPr>
                      <w:rFonts w:ascii="Cambria Math" w:hAnsi="Cambria Math"/>
                      <w:u w:val="single"/>
                      <w:lang w:eastAsia="zh-CN"/>
                    </w:rPr>
                    <m:t>C</m:t>
                  </m:r>
                  <m:ctrlPr>
                    <w:rPr>
                      <w:rFonts w:ascii="Cambria Math" w:hAnsi="Cambria Math"/>
                      <w:b/>
                      <w:i/>
                      <w:u w:val="single"/>
                      <w:lang w:eastAsia="zh-CN"/>
                    </w:rPr>
                  </m:ctrlPr>
                </m:e>
                <m:sub>
                  <m:r>
                    <m:rPr>
                      <m:sty m:val="b"/>
                    </m:rPr>
                    <w:rPr>
                      <w:rFonts w:ascii="Cambria Math" w:hAnsi="Cambria Math"/>
                      <w:u w:val="single"/>
                      <w:lang w:eastAsia="zh-CN"/>
                    </w:rPr>
                    <m:t>PDCCH</m:t>
                  </m:r>
                  <m:ctrlPr>
                    <w:rPr>
                      <w:rFonts w:ascii="Cambria Math" w:hAnsi="Cambria Math"/>
                      <w:b/>
                      <w:i/>
                      <w:u w:val="single"/>
                      <w:lang w:eastAsia="zh-CN"/>
                    </w:rPr>
                  </m:ctrlP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ctrlPr>
                        <w:rPr>
                          <w:rFonts w:ascii="Cambria Math" w:hAnsi="Cambria Math"/>
                          <w:b/>
                          <w:i/>
                          <w:u w:val="single"/>
                          <w:lang w:eastAsia="zh-CN"/>
                        </w:rPr>
                      </m:ctrlPr>
                    </m:e>
                  </m:d>
                  <m:r>
                    <m:rPr>
                      <m:sty m:val="bi"/>
                    </m:rPr>
                    <w:rPr>
                      <w:rFonts w:ascii="Cambria Math" w:hAnsi="Cambria Math"/>
                      <w:u w:val="single"/>
                      <w:lang w:eastAsia="zh-CN"/>
                    </w:rPr>
                    <m:t>,μ</m:t>
                  </m:r>
                  <m:ctrlPr>
                    <w:rPr>
                      <w:rFonts w:ascii="Cambria Math" w:hAnsi="Cambria Math"/>
                      <w:b/>
                      <w:i/>
                      <w:u w:val="single"/>
                      <w:lang w:eastAsia="zh-CN"/>
                    </w:rPr>
                  </m:ctrlPr>
                </m:sup>
              </m:sSubSup>
            </m:oMath>
            <w:r>
              <w:rPr>
                <w:b/>
                <w:u w:val="single"/>
                <w:lang w:eastAsia="zh-CN"/>
              </w:rPr>
              <w:t>;</w:t>
            </w:r>
          </w:p>
          <w:p>
            <w:pPr>
              <w:pStyle w:val="82"/>
              <w:widowControl w:val="0"/>
              <w:numPr>
                <w:ilvl w:val="0"/>
                <w:numId w:val="74"/>
              </w:numPr>
              <w:tabs>
                <w:tab w:val="left" w:pos="1300"/>
              </w:tabs>
              <w:snapToGrid/>
              <w:spacing w:line="240" w:lineRule="auto"/>
              <w:jc w:val="both"/>
              <w:rPr>
                <w:b/>
                <w:u w:val="single"/>
              </w:rPr>
            </w:pPr>
            <w:r>
              <w:rPr>
                <w:b/>
                <w:u w:val="single"/>
              </w:rPr>
              <w:t>Adopt TP#2 for TS 38.213.</w:t>
            </w:r>
          </w:p>
          <w:p>
            <w:pPr>
              <w:widowControl w:val="0"/>
              <w:tabs>
                <w:tab w:val="left" w:pos="1300"/>
              </w:tabs>
              <w:snapToGrid/>
              <w:spacing w:line="240" w:lineRule="auto"/>
              <w:jc w:val="both"/>
              <w:rPr>
                <w:bCs/>
              </w:rPr>
            </w:pPr>
          </w:p>
          <w:p>
            <w:pPr>
              <w:widowControl w:val="0"/>
              <w:tabs>
                <w:tab w:val="left" w:pos="1300"/>
              </w:tabs>
              <w:spacing w:after="0"/>
              <w:jc w:val="both"/>
            </w:pPr>
            <w:r>
              <w:t xml:space="preserve">There is a FFS on whether to support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lang w:eastAsia="zh-CN"/>
                    </w:rPr>
                  </m:ctrlPr>
                </m:e>
              </m:d>
              <m:r>
                <w:rPr>
                  <w:rFonts w:ascii="Cambria Math" w:hAnsi="Cambria Math"/>
                  <w:lang w:eastAsia="zh-CN"/>
                </w:rPr>
                <m:t>=(2, 1)</m:t>
              </m:r>
            </m:oMath>
            <w:r>
              <w:rPr>
                <w:lang w:eastAsia="zh-CN"/>
              </w:rPr>
              <w:t xml:space="preserve"> for 480 kHz SCS, as one of the reported UE capability. The intention of supporting a smaller value of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lang w:eastAsia="zh-CN"/>
              </w:rPr>
              <w:t xml:space="preserve">, comparing to the mandatory UE capability with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=4</m:t>
              </m:r>
            </m:oMath>
            <w:r>
              <w:rPr>
                <w:lang w:eastAsia="zh-CN"/>
              </w:rPr>
              <w:t xml:space="preserve"> for 480 kHz SCS, is to allow flexible network configuration on the SS sets. Also, other than adding the corresponding values of </w:t>
            </w:r>
            <m:oMath>
              <m:sSubSup>
                <m:sSubSupPr>
                  <m:ctrlPr>
                    <w:rPr>
                      <w:rFonts w:ascii="Cambria Math" w:hAnsi="Cambria Math"/>
                      <w:i/>
                      <w:lang w:eastAsia="zh-CN"/>
                    </w:rPr>
                  </m:ctrlPr>
                </m:sSubSupPr>
                <m:e>
                  <m:r>
                    <w:rPr>
                      <w:rFonts w:ascii="Cambria Math" w:hAnsi="Cambria Math"/>
                      <w:lang w:eastAsia="zh-CN"/>
                    </w:rPr>
                    <m:t>M</m:t>
                  </m:r>
                  <m:ctrlPr>
                    <w:rPr>
                      <w:rFonts w:ascii="Cambria Math" w:hAnsi="Cambria Math"/>
                      <w:i/>
                      <w:lang w:eastAsia="zh-CN"/>
                    </w:rPr>
                  </m:ctrlPr>
                </m:e>
                <m:sub>
                  <m:r>
                    <m:rPr>
                      <m:sty m:val="p"/>
                    </m:rPr>
                    <w:rPr>
                      <w:rFonts w:ascii="Cambria Math" w:hAnsi="Cambria Math"/>
                      <w:lang w:eastAsia="zh-CN"/>
                    </w:rPr>
                    <m:t>PDCCH</m:t>
                  </m:r>
                  <m:ctrlPr>
                    <w:rPr>
                      <w:rFonts w:ascii="Cambria Math" w:hAnsi="Cambria Math"/>
                      <w:i/>
                      <w:lang w:eastAsia="zh-CN"/>
                    </w:rPr>
                  </m:ctrlP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i/>
                          <w:lang w:eastAsia="zh-CN"/>
                        </w:rPr>
                      </m:ctrlPr>
                    </m:e>
                  </m:d>
                  <m:r>
                    <w:rPr>
                      <w:rFonts w:ascii="Cambria Math" w:hAnsi="Cambria Math"/>
                      <w:lang w:eastAsia="zh-CN"/>
                    </w:rPr>
                    <m:t>,μ</m:t>
                  </m:r>
                  <m:ctrlPr>
                    <w:rPr>
                      <w:rFonts w:ascii="Cambria Math" w:hAnsi="Cambria Math"/>
                      <w:i/>
                      <w:lang w:eastAsia="zh-CN"/>
                    </w:rPr>
                  </m:ctrlPr>
                </m:sup>
              </m:sSubSup>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ctrlPr>
                    <w:rPr>
                      <w:rFonts w:ascii="Cambria Math" w:hAnsi="Cambria Math"/>
                      <w:i/>
                      <w:lang w:eastAsia="zh-CN"/>
                    </w:rPr>
                  </m:ctrlPr>
                </m:e>
                <m:sub>
                  <m:r>
                    <m:rPr>
                      <m:sty m:val="p"/>
                    </m:rPr>
                    <w:rPr>
                      <w:rFonts w:ascii="Cambria Math" w:hAnsi="Cambria Math"/>
                      <w:lang w:eastAsia="zh-CN"/>
                    </w:rPr>
                    <m:t>PDCCH</m:t>
                  </m:r>
                  <m:ctrlPr>
                    <w:rPr>
                      <w:rFonts w:ascii="Cambria Math" w:hAnsi="Cambria Math"/>
                      <w:i/>
                      <w:lang w:eastAsia="zh-CN"/>
                    </w:rPr>
                  </m:ctrlP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i/>
                          <w:lang w:eastAsia="zh-CN"/>
                        </w:rPr>
                      </m:ctrlPr>
                    </m:e>
                  </m:d>
                  <m:r>
                    <w:rPr>
                      <w:rFonts w:ascii="Cambria Math" w:hAnsi="Cambria Math"/>
                      <w:lang w:eastAsia="zh-CN"/>
                    </w:rPr>
                    <m:t>,μ</m:t>
                  </m:r>
                  <m:ctrlPr>
                    <w:rPr>
                      <w:rFonts w:ascii="Cambria Math" w:hAnsi="Cambria Math"/>
                      <w:i/>
                      <w:lang w:eastAsia="zh-CN"/>
                    </w:rPr>
                  </m:ctrlPr>
                </m:sup>
              </m:sSubSup>
            </m:oMath>
            <w:r>
              <w:rPr>
                <w:lang w:eastAsia="zh-CN"/>
              </w:rPr>
              <w:t xml:space="preserve"> in the table, no other spec impact is expected, then it’s beneficial to support extra values of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lang w:eastAsia="zh-CN"/>
              </w:rPr>
              <w:t xml:space="preserve"> for better flexibility. </w:t>
            </w:r>
          </w:p>
          <w:p>
            <w:pPr>
              <w:widowControl w:val="0"/>
              <w:tabs>
                <w:tab w:val="left" w:pos="1300"/>
              </w:tabs>
              <w:spacing w:after="0"/>
              <w:jc w:val="both"/>
              <w:rPr>
                <w:b/>
                <w:u w:val="single"/>
              </w:rPr>
            </w:pPr>
          </w:p>
          <w:p>
            <w:pPr>
              <w:widowControl w:val="0"/>
              <w:tabs>
                <w:tab w:val="left" w:pos="1300"/>
              </w:tabs>
              <w:spacing w:after="0"/>
              <w:jc w:val="both"/>
              <w:rPr>
                <w:b/>
                <w:u w:val="single"/>
                <w:lang w:eastAsia="zh-CN"/>
              </w:rPr>
            </w:pPr>
            <w:r>
              <w:rPr>
                <w:b/>
                <w:u w:val="single"/>
              </w:rPr>
              <w:t xml:space="preserve">Proposal 3: Support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ctrlPr>
                    <w:rPr>
                      <w:rFonts w:ascii="Cambria Math" w:hAnsi="Cambria Math"/>
                      <w:b/>
                      <w:u w:val="single"/>
                      <w:lang w:eastAsia="zh-CN"/>
                    </w:rPr>
                  </m:ctrlPr>
                </m:e>
              </m:d>
              <m:r>
                <m:rPr>
                  <m:sty m:val="bi"/>
                </m:rPr>
                <w:rPr>
                  <w:rFonts w:ascii="Cambria Math" w:hAnsi="Cambria Math"/>
                  <w:u w:val="single"/>
                  <w:lang w:eastAsia="zh-CN"/>
                </w:rPr>
                <m:t>=(2, 1)</m:t>
              </m:r>
            </m:oMath>
            <w:r>
              <w:rPr>
                <w:b/>
                <w:u w:val="single"/>
                <w:lang w:eastAsia="zh-CN"/>
              </w:rPr>
              <w:t xml:space="preserve"> for 480 kHz SCS.</w:t>
            </w:r>
          </w:p>
          <w:p>
            <w:pPr>
              <w:pStyle w:val="82"/>
              <w:widowControl w:val="0"/>
              <w:numPr>
                <w:ilvl w:val="0"/>
                <w:numId w:val="75"/>
              </w:numPr>
              <w:tabs>
                <w:tab w:val="left" w:pos="1300"/>
              </w:tabs>
              <w:snapToGrid/>
              <w:spacing w:line="240" w:lineRule="auto"/>
              <w:jc w:val="both"/>
              <w:rPr>
                <w:b/>
                <w:u w:val="single"/>
              </w:rPr>
            </w:pPr>
            <w:r>
              <w:rPr>
                <w:b/>
                <w:u w:val="single"/>
              </w:rPr>
              <w:t>Adopt TP#3 for TS 38.213.</w:t>
            </w:r>
          </w:p>
          <w:p>
            <w:pPr>
              <w:widowControl w:val="0"/>
              <w:tabs>
                <w:tab w:val="left" w:pos="1300"/>
              </w:tabs>
              <w:snapToGrid/>
              <w:spacing w:line="240" w:lineRule="auto"/>
              <w:jc w:val="both"/>
              <w:rPr>
                <w:bCs/>
              </w:rPr>
            </w:pPr>
          </w:p>
        </w:tc>
      </w:tr>
    </w:tbl>
    <w:p>
      <w:pPr>
        <w:rPr>
          <w:lang w:val="en-GB" w:eastAsia="zh-CN"/>
        </w:rPr>
      </w:pPr>
    </w:p>
    <w:p>
      <w:pPr>
        <w:pStyle w:val="4"/>
      </w:pPr>
      <w:r>
        <w:t>R1-2202190 (Sharp)</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pPr>
            <w:r>
              <w:t xml:space="preserve">In RAN1#107-e meeting, the agreement for BD drop in multi-slot monitoring is achieved and it says “The dropping rule for multi-slot PDCCH monitoring capability is the same as the current specification but evaluated per slot group”. Then, the slot group is just described as “group of </w:t>
            </w:r>
            <w:r>
              <w:rPr>
                <w:i/>
              </w:rPr>
              <w:t>X</w:t>
            </w:r>
            <w:r>
              <w:rPr>
                <w:i/>
                <w:vertAlign w:val="subscript"/>
              </w:rPr>
              <w:t>s</w:t>
            </w:r>
            <w:r>
              <w:t xml:space="preserve"> slots according to combination (</w:t>
            </w:r>
            <w:r>
              <w:rPr>
                <w:i/>
              </w:rPr>
              <w:t>X</w:t>
            </w:r>
            <w:r>
              <w:rPr>
                <w:i/>
                <w:vertAlign w:val="subscript"/>
              </w:rPr>
              <w:t>s</w:t>
            </w:r>
            <w:r>
              <w:rPr>
                <w:i/>
              </w:rPr>
              <w:t>, Y</w:t>
            </w:r>
            <w:r>
              <w:rPr>
                <w:i/>
                <w:vertAlign w:val="subscript"/>
              </w:rPr>
              <w:t>s</w:t>
            </w:r>
            <w:r>
              <w:t xml:space="preserve">)” or “group of </w:t>
            </w:r>
            <w:r>
              <w:rPr>
                <w:i/>
              </w:rPr>
              <w:t>X</w:t>
            </w:r>
            <w:r>
              <w:rPr>
                <w:i/>
                <w:vertAlign w:val="subscript"/>
              </w:rPr>
              <w:t>s</w:t>
            </w:r>
            <w:r>
              <w:t xml:space="preserve"> slots for a corresponding combination (</w:t>
            </w:r>
            <w:r>
              <w:rPr>
                <w:i/>
              </w:rPr>
              <w:t>X</w:t>
            </w:r>
            <w:r>
              <w:rPr>
                <w:i/>
                <w:vertAlign w:val="subscript"/>
              </w:rPr>
              <w:t>s</w:t>
            </w:r>
            <w:r>
              <w:rPr>
                <w:i/>
              </w:rPr>
              <w:t>, Y</w:t>
            </w:r>
            <w:r>
              <w:rPr>
                <w:i/>
                <w:vertAlign w:val="subscript"/>
              </w:rPr>
              <w:t>s</w:t>
            </w:r>
            <w:r>
              <w:t>)” in TS38.213. When a UE report</w:t>
            </w:r>
            <w:r>
              <w:rPr>
                <w:rFonts w:hint="eastAsia"/>
              </w:rPr>
              <w:t>s</w:t>
            </w:r>
            <w:r>
              <w:t xml:space="preserve"> multiple (</w:t>
            </w:r>
            <w:r>
              <w:rPr>
                <w:i/>
              </w:rPr>
              <w:t>X</w:t>
            </w:r>
            <w:r>
              <w:rPr>
                <w:i/>
                <w:vertAlign w:val="subscript"/>
              </w:rPr>
              <w:t>s</w:t>
            </w:r>
            <w:r>
              <w:rPr>
                <w:i/>
              </w:rPr>
              <w:t>, Y</w:t>
            </w:r>
            <w:r>
              <w:rPr>
                <w:i/>
                <w:vertAlign w:val="subscript"/>
              </w:rPr>
              <w:t>s</w:t>
            </w:r>
            <w:r>
              <w:t xml:space="preserve">) combinations, there is no determination rule such that which value of </w:t>
            </w:r>
            <w:r>
              <w:rPr>
                <w:i/>
              </w:rPr>
              <w:t>X</w:t>
            </w:r>
            <w:r>
              <w:rPr>
                <w:i/>
                <w:vertAlign w:val="subscript"/>
              </w:rPr>
              <w:t>s</w:t>
            </w:r>
            <w:r>
              <w:t xml:space="preserve"> is used for BD dropping per group. Therefore, we should make it clear what is meant by the statements in “according” and “corresponding”. </w:t>
            </w:r>
          </w:p>
          <w:p>
            <w:pPr>
              <w:widowControl w:val="0"/>
              <w:rPr>
                <w:b/>
              </w:rPr>
            </w:pPr>
            <w:r>
              <w:rPr>
                <w:b/>
              </w:rPr>
              <w:t>Proposal</w:t>
            </w:r>
            <w:r>
              <w:rPr>
                <w:rFonts w:hint="eastAsia"/>
                <w:b/>
              </w:rPr>
              <w:t xml:space="preserve"> 1: </w:t>
            </w:r>
            <w:r>
              <w:rPr>
                <w:b/>
              </w:rPr>
              <w:t xml:space="preserve">Introduce a new RRC parameter configuring </w:t>
            </w:r>
            <w:r>
              <w:rPr>
                <w:b/>
                <w:i/>
              </w:rPr>
              <w:t>X</w:t>
            </w:r>
            <w:r>
              <w:rPr>
                <w:b/>
                <w:i/>
                <w:vertAlign w:val="subscript"/>
              </w:rPr>
              <w:t>s</w:t>
            </w:r>
            <w:r>
              <w:rPr>
                <w:b/>
              </w:rPr>
              <w:t xml:space="preserve"> for allocation of PDCCH candidates when UE reports multiple (</w:t>
            </w:r>
            <w:r>
              <w:rPr>
                <w:b/>
                <w:i/>
              </w:rPr>
              <w:t>X</w:t>
            </w:r>
            <w:r>
              <w:rPr>
                <w:b/>
                <w:i/>
                <w:vertAlign w:val="subscript"/>
              </w:rPr>
              <w:t>s</w:t>
            </w:r>
            <w:r>
              <w:rPr>
                <w:b/>
              </w:rPr>
              <w:t xml:space="preserve">, </w:t>
            </w:r>
            <w:r>
              <w:rPr>
                <w:b/>
                <w:i/>
              </w:rPr>
              <w:t>Y</w:t>
            </w:r>
            <w:r>
              <w:rPr>
                <w:b/>
                <w:i/>
                <w:vertAlign w:val="subscript"/>
              </w:rPr>
              <w:t>s</w:t>
            </w:r>
            <w:r>
              <w:rPr>
                <w:b/>
              </w:rPr>
              <w:t>) combinations.</w:t>
            </w:r>
          </w:p>
          <w:p>
            <w:pPr>
              <w:widowControl w:val="0"/>
              <w:rPr>
                <w:b/>
                <w:bCs/>
              </w:rPr>
            </w:pPr>
            <w:r>
              <w:rPr>
                <w:rFonts w:hint="eastAsia"/>
                <w:b/>
                <w:bCs/>
              </w:rPr>
              <w:t>P</w:t>
            </w:r>
            <w:r>
              <w:rPr>
                <w:b/>
                <w:bCs/>
              </w:rPr>
              <w:t>roposal 2: Adopt Text proposal #1.</w:t>
            </w:r>
          </w:p>
          <w:p>
            <w:pPr>
              <w:widowControl w:val="0"/>
              <w:rPr>
                <w:b/>
                <w:bCs/>
              </w:rPr>
            </w:pPr>
          </w:p>
          <w:p>
            <w:pPr>
              <w:pStyle w:val="230"/>
              <w:widowControl w:val="0"/>
              <w:snapToGrid w:val="0"/>
              <w:spacing w:line="240" w:lineRule="auto"/>
              <w:ind w:firstLine="0"/>
              <w:contextualSpacing w:val="0"/>
              <w:rPr>
                <w:lang w:val="en-GB"/>
              </w:rPr>
            </w:pPr>
          </w:p>
        </w:tc>
      </w:tr>
    </w:tbl>
    <w:p>
      <w:pPr>
        <w:rPr>
          <w:lang w:eastAsia="zh-CN"/>
        </w:rPr>
      </w:pPr>
    </w:p>
    <w:p>
      <w:pPr>
        <w:pStyle w:val="4"/>
      </w:pPr>
      <w:r>
        <w:t>R1-2202273 (Panasonic)</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1"/>
              <w:widowControl w:val="0"/>
            </w:pPr>
            <w:r>
              <w:t xml:space="preserve">As mentioned in section 1, the current 38.213 describe the following behavior regarding Group (1) SSs monitoring:  </w:t>
            </w:r>
          </w:p>
          <w:p>
            <w:pPr>
              <w:pStyle w:val="31"/>
              <w:widowControl w:val="0"/>
              <w:ind w:left="440" w:leftChars="200"/>
              <w:rPr>
                <w:rFonts w:eastAsia="宋体"/>
                <w:lang w:eastAsia="zh-CN"/>
              </w:rPr>
            </w:pPr>
            <w:r>
              <w:t>“</w:t>
            </w:r>
            <w:r>
              <w:rPr>
                <w:rFonts w:eastAsia="宋体"/>
                <w:lang w:eastAsia="zh-CN"/>
              </w:rPr>
              <w:t xml:space="preserve">If a UE monitors PDCCH on a cell according to combination </w:t>
            </w:r>
            <m:oMath>
              <m:d>
                <m:dPr>
                  <m:ctrlPr>
                    <w:rPr>
                      <w:rFonts w:ascii="Cambria Math" w:hAnsi="Cambria Math" w:eastAsia="宋体"/>
                      <w:lang w:eastAsia="zh-CN"/>
                    </w:rPr>
                  </m:ctrlPr>
                </m:dPr>
                <m:e>
                  <m:sSub>
                    <m:sSubPr>
                      <m:ctrlPr>
                        <w:rPr>
                          <w:rFonts w:ascii="Cambria Math" w:hAnsi="Cambria Math" w:eastAsia="宋体"/>
                          <w:i/>
                          <w:lang w:eastAsia="zh-CN"/>
                        </w:rPr>
                      </m:ctrlPr>
                    </m:sSubPr>
                    <m:e>
                      <m:r>
                        <w:rPr>
                          <w:rFonts w:ascii="Cambria Math" w:hAnsi="Cambria Math" w:eastAsia="宋体"/>
                          <w:lang w:eastAsia="zh-CN"/>
                        </w:rPr>
                        <m:t>X</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r>
                    <w:rPr>
                      <w:rFonts w:ascii="Cambria Math" w:hAnsi="Cambria Math" w:eastAsia="宋体"/>
                      <w:lang w:eastAsia="zh-CN"/>
                    </w:rPr>
                    <m:t>,</m:t>
                  </m:r>
                  <m:sSub>
                    <m:sSubPr>
                      <m:ctrlPr>
                        <w:rPr>
                          <w:rFonts w:ascii="Cambria Math" w:hAnsi="Cambria Math" w:eastAsia="宋体"/>
                          <w:i/>
                          <w:lang w:eastAsia="zh-CN"/>
                        </w:rPr>
                      </m:ctrlPr>
                    </m:sSubPr>
                    <m:e>
                      <m:r>
                        <w:rPr>
                          <w:rFonts w:ascii="Cambria Math" w:hAnsi="Cambria Math" w:eastAsia="宋体"/>
                          <w:lang w:eastAsia="zh-CN"/>
                        </w:rPr>
                        <m:t>Y</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ctrlPr>
                    <w:rPr>
                      <w:rFonts w:ascii="Cambria Math" w:hAnsi="Cambria Math" w:eastAsia="宋体"/>
                      <w:lang w:eastAsia="zh-CN"/>
                    </w:rPr>
                  </m:ctrlPr>
                </m:e>
              </m:d>
            </m:oMath>
            <w:r>
              <w:rPr>
                <w:rFonts w:eastAsia="宋体"/>
                <w:lang w:eastAsia="zh-CN"/>
              </w:rPr>
              <w:t xml:space="preserve">, the UE can monitor PDCCH for Type1-PDCCH CSS set provided by dedicated higher layer signalling, Type3-PDCCH CSS sets, and USS sets in any slot of the </w:t>
            </w:r>
            <m:oMath>
              <m:sSub>
                <m:sSubPr>
                  <m:ctrlPr>
                    <w:rPr>
                      <w:rFonts w:ascii="Cambria Math" w:hAnsi="Cambria Math" w:eastAsia="宋体"/>
                      <w:i/>
                      <w:lang w:eastAsia="zh-CN"/>
                    </w:rPr>
                  </m:ctrlPr>
                </m:sSubPr>
                <m:e>
                  <m:r>
                    <w:rPr>
                      <w:rFonts w:ascii="Cambria Math" w:hAnsi="Cambria Math" w:eastAsia="宋体"/>
                      <w:lang w:eastAsia="zh-CN"/>
                    </w:rPr>
                    <m:t>Y</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oMath>
            <w:r>
              <w:rPr>
                <w:rFonts w:eastAsia="宋体"/>
                <w:lang w:eastAsia="zh-CN"/>
              </w:rPr>
              <w:t xml:space="preserve"> slots, …”</w:t>
            </w:r>
          </w:p>
          <w:p>
            <w:pPr>
              <w:pStyle w:val="31"/>
              <w:widowControl w:val="0"/>
              <w:rPr>
                <w:rFonts w:eastAsia="宋体"/>
                <w:lang w:eastAsia="zh-CN"/>
              </w:rPr>
            </w:pPr>
            <w:r>
              <w:rPr>
                <w:rFonts w:eastAsia="宋体"/>
                <w:lang w:eastAsia="zh-CN"/>
              </w:rPr>
              <w:t xml:space="preserve">Our view is the above description is not sufficient to reflect the earlier agreement that BD attempts for all Group (1) SSs are </w:t>
            </w:r>
            <w:r>
              <w:rPr>
                <w:rFonts w:eastAsia="宋体"/>
                <w:b/>
                <w:bCs/>
                <w:u w:val="single"/>
                <w:lang w:eastAsia="zh-CN"/>
              </w:rPr>
              <w:t>restricted</w:t>
            </w:r>
            <w:r>
              <w:rPr>
                <w:rFonts w:eastAsia="宋体"/>
                <w:lang w:eastAsia="zh-CN"/>
              </w:rPr>
              <w:t xml:space="preserve"> to fall within the same Y consecutive slots. The reason is that the spec only describes that what UE “can” do for </w:t>
            </w:r>
            <m:oMath>
              <m:sSub>
                <m:sSubPr>
                  <m:ctrlPr>
                    <w:rPr>
                      <w:rFonts w:ascii="Cambria Math" w:hAnsi="Cambria Math" w:eastAsia="宋体"/>
                      <w:i/>
                      <w:lang w:eastAsia="zh-CN"/>
                    </w:rPr>
                  </m:ctrlPr>
                </m:sSubPr>
                <m:e>
                  <m:r>
                    <w:rPr>
                      <w:rFonts w:ascii="Cambria Math" w:hAnsi="Cambria Math" w:eastAsia="宋体"/>
                      <w:lang w:eastAsia="zh-CN"/>
                    </w:rPr>
                    <m:t>Y</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oMath>
            <w:r>
              <w:rPr>
                <w:rFonts w:eastAsia="宋体"/>
                <w:lang w:eastAsia="zh-CN"/>
              </w:rPr>
              <w:t xml:space="preserve"> slots, but does not describe any UE behavior for slots outside </w:t>
            </w:r>
            <m:oMath>
              <m:sSub>
                <m:sSubPr>
                  <m:ctrlPr>
                    <w:rPr>
                      <w:rFonts w:ascii="Cambria Math" w:hAnsi="Cambria Math" w:eastAsia="宋体"/>
                      <w:i/>
                      <w:lang w:eastAsia="zh-CN"/>
                    </w:rPr>
                  </m:ctrlPr>
                </m:sSubPr>
                <m:e>
                  <m:r>
                    <w:rPr>
                      <w:rFonts w:ascii="Cambria Math" w:hAnsi="Cambria Math" w:eastAsia="宋体"/>
                      <w:lang w:eastAsia="zh-CN"/>
                    </w:rPr>
                    <m:t>Y</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oMath>
            <w:r>
              <w:rPr>
                <w:rFonts w:eastAsia="宋体"/>
                <w:lang w:eastAsia="zh-CN"/>
              </w:rPr>
              <w:t xml:space="preserve"> slots. Without such restriction, it implies UE still needs to monitor slots outside outside </w:t>
            </w:r>
            <m:oMath>
              <m:sSub>
                <m:sSubPr>
                  <m:ctrlPr>
                    <w:rPr>
                      <w:rFonts w:ascii="Cambria Math" w:hAnsi="Cambria Math" w:eastAsia="宋体"/>
                      <w:i/>
                      <w:lang w:eastAsia="zh-CN"/>
                    </w:rPr>
                  </m:ctrlPr>
                </m:sSubPr>
                <m:e>
                  <m:r>
                    <w:rPr>
                      <w:rFonts w:ascii="Cambria Math" w:hAnsi="Cambria Math" w:eastAsia="宋体"/>
                      <w:lang w:eastAsia="zh-CN"/>
                    </w:rPr>
                    <m:t>Y</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oMath>
            <w:r>
              <w:rPr>
                <w:rFonts w:eastAsia="宋体"/>
                <w:lang w:eastAsia="zh-CN"/>
              </w:rPr>
              <w:t xml:space="preserve"> slots for Group (1) SSs if configured by gNB via search space configuration. Then the whole multi-slot monitoring mechanism of </w:t>
            </w:r>
            <m:oMath>
              <m:d>
                <m:dPr>
                  <m:ctrlPr>
                    <w:rPr>
                      <w:rFonts w:ascii="Cambria Math" w:hAnsi="Cambria Math" w:eastAsia="宋体"/>
                      <w:lang w:eastAsia="zh-CN"/>
                    </w:rPr>
                  </m:ctrlPr>
                </m:dPr>
                <m:e>
                  <m:sSub>
                    <m:sSubPr>
                      <m:ctrlPr>
                        <w:rPr>
                          <w:rFonts w:ascii="Cambria Math" w:hAnsi="Cambria Math" w:eastAsia="宋体"/>
                          <w:i/>
                          <w:lang w:eastAsia="zh-CN"/>
                        </w:rPr>
                      </m:ctrlPr>
                    </m:sSubPr>
                    <m:e>
                      <m:r>
                        <w:rPr>
                          <w:rFonts w:ascii="Cambria Math" w:hAnsi="Cambria Math" w:eastAsia="宋体"/>
                          <w:lang w:eastAsia="zh-CN"/>
                        </w:rPr>
                        <m:t>X</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r>
                    <w:rPr>
                      <w:rFonts w:ascii="Cambria Math" w:hAnsi="Cambria Math" w:eastAsia="宋体"/>
                      <w:lang w:eastAsia="zh-CN"/>
                    </w:rPr>
                    <m:t>,</m:t>
                  </m:r>
                  <m:sSub>
                    <m:sSubPr>
                      <m:ctrlPr>
                        <w:rPr>
                          <w:rFonts w:ascii="Cambria Math" w:hAnsi="Cambria Math" w:eastAsia="宋体"/>
                          <w:i/>
                          <w:lang w:eastAsia="zh-CN"/>
                        </w:rPr>
                      </m:ctrlPr>
                    </m:sSubPr>
                    <m:e>
                      <m:r>
                        <w:rPr>
                          <w:rFonts w:ascii="Cambria Math" w:hAnsi="Cambria Math" w:eastAsia="宋体"/>
                          <w:lang w:eastAsia="zh-CN"/>
                        </w:rPr>
                        <m:t>Y</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ctrlPr>
                    <w:rPr>
                      <w:rFonts w:ascii="Cambria Math" w:hAnsi="Cambria Math" w:eastAsia="宋体"/>
                      <w:lang w:eastAsia="zh-CN"/>
                    </w:rPr>
                  </m:ctrlPr>
                </m:e>
              </m:d>
            </m:oMath>
            <w:r>
              <w:rPr>
                <w:rFonts w:eastAsia="宋体"/>
                <w:lang w:eastAsia="zh-CN"/>
              </w:rPr>
              <w:t xml:space="preserve"> becomes meaningless. Therefore, we propose the following changes to 38.213:</w:t>
            </w:r>
          </w:p>
          <w:p>
            <w:pPr>
              <w:pStyle w:val="31"/>
              <w:widowControl w:val="0"/>
              <w:rPr>
                <w:rFonts w:eastAsia="宋体"/>
                <w:b/>
                <w:bCs/>
                <w:lang w:eastAsia="zh-CN"/>
              </w:rPr>
            </w:pPr>
            <w:r>
              <w:rPr>
                <w:rFonts w:eastAsia="宋体"/>
                <w:b/>
                <w:bCs/>
                <w:lang w:eastAsia="zh-CN"/>
              </w:rPr>
              <w:t>Proposal 1: To capture the earlier agreement that BD attempts for all Group (1) SSs are restricted to fall within the same Y consecutive slots in 38.213, adopt the following TP (with modifications highlighted in yellow).</w:t>
            </w:r>
          </w:p>
          <w:tbl>
            <w:tblPr>
              <w:tblStyle w:val="55"/>
              <w:tblW w:w="962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9" w:type="dxa"/>
                  <w:vAlign w:val="center"/>
                </w:tcPr>
                <w:p>
                  <w:pPr>
                    <w:widowControl w:val="0"/>
                    <w:spacing w:after="180" w:line="240" w:lineRule="auto"/>
                    <w:rPr>
                      <w:rFonts w:eastAsia="宋体"/>
                      <w:b/>
                      <w:bCs/>
                      <w:sz w:val="24"/>
                      <w:szCs w:val="24"/>
                      <w:lang w:eastAsia="zh-CN"/>
                    </w:rPr>
                  </w:pPr>
                  <w:bookmarkStart w:id="57" w:name="_Hlk96282815"/>
                  <w:r>
                    <w:rPr>
                      <w:rFonts w:eastAsia="宋体"/>
                      <w:b/>
                      <w:bCs/>
                      <w:sz w:val="24"/>
                      <w:szCs w:val="24"/>
                      <w:lang w:eastAsia="zh-CN"/>
                    </w:rPr>
                    <w:t>TS 38.213 v17.0.0, Section 10</w:t>
                  </w:r>
                </w:p>
                <w:p>
                  <w:pPr>
                    <w:widowControl w:val="0"/>
                    <w:spacing w:after="180" w:line="240" w:lineRule="auto"/>
                    <w:rPr>
                      <w:rFonts w:eastAsia="宋体"/>
                      <w:sz w:val="20"/>
                      <w:szCs w:val="20"/>
                      <w:lang w:eastAsia="zh-CN"/>
                    </w:rPr>
                  </w:pPr>
                  <w:r>
                    <w:rPr>
                      <w:rFonts w:eastAsia="宋体"/>
                      <w:sz w:val="20"/>
                      <w:szCs w:val="20"/>
                      <w:lang w:eastAsia="zh-CN"/>
                    </w:rPr>
                    <w:t>…</w:t>
                  </w:r>
                </w:p>
                <w:p>
                  <w:pPr>
                    <w:widowControl w:val="0"/>
                    <w:spacing w:after="180" w:line="240" w:lineRule="auto"/>
                    <w:rPr>
                      <w:rFonts w:eastAsia="宋体"/>
                      <w:sz w:val="20"/>
                      <w:szCs w:val="20"/>
                      <w:lang w:eastAsia="zh-CN"/>
                    </w:rPr>
                  </w:pPr>
                  <w:r>
                    <w:rPr>
                      <w:rFonts w:eastAsia="宋体"/>
                      <w:sz w:val="20"/>
                      <w:szCs w:val="20"/>
                      <w:lang w:eastAsia="zh-CN"/>
                    </w:rPr>
                    <w:t xml:space="preserve">For SCS configuration </w:t>
                  </w:r>
                  <m:oMath>
                    <m:r>
                      <w:rPr>
                        <w:rFonts w:ascii="Cambria Math" w:hAnsi="Cambria Math" w:eastAsia="宋体"/>
                        <w:sz w:val="20"/>
                        <w:szCs w:val="20"/>
                        <w:lang w:eastAsia="zh-CN"/>
                      </w:rPr>
                      <m:t>μ=5</m:t>
                    </m:r>
                  </m:oMath>
                  <w:r>
                    <w:rPr>
                      <w:rFonts w:eastAsia="宋体"/>
                      <w:sz w:val="20"/>
                      <w:szCs w:val="20"/>
                      <w:lang w:eastAsia="zh-CN"/>
                    </w:rPr>
                    <w:t xml:space="preserve"> or </w:t>
                  </w:r>
                  <m:oMath>
                    <m:r>
                      <w:rPr>
                        <w:rFonts w:ascii="Cambria Math" w:hAnsi="Cambria Math" w:eastAsia="宋体"/>
                        <w:sz w:val="20"/>
                        <w:szCs w:val="20"/>
                        <w:lang w:eastAsia="zh-CN"/>
                      </w:rPr>
                      <m:t>μ=6</m:t>
                    </m:r>
                  </m:oMath>
                  <w:r>
                    <w:rPr>
                      <w:rFonts w:eastAsia="宋体"/>
                      <w:sz w:val="20"/>
                      <w:szCs w:val="20"/>
                      <w:lang w:eastAsia="zh-CN"/>
                    </w:rPr>
                    <w:t xml:space="preserve">, a UE can indicate a capability to monitor PDCCH according to one or more combinations </w:t>
                  </w:r>
                  <m:oMath>
                    <m:d>
                      <m:dPr>
                        <m:ctrlPr>
                          <w:rPr>
                            <w:rFonts w:ascii="Cambria Math" w:hAnsi="Cambria Math" w:eastAsia="宋体"/>
                            <w:sz w:val="20"/>
                            <w:szCs w:val="20"/>
                            <w:lang w:eastAsia="zh-CN"/>
                          </w:rPr>
                        </m:ctrlPr>
                      </m:dPr>
                      <m:e>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r>
                          <w:rPr>
                            <w:rFonts w:ascii="Cambria Math" w:hAnsi="Cambria Math" w:eastAsia="宋体"/>
                            <w:sz w:val="20"/>
                            <w:szCs w:val="20"/>
                            <w:lang w:eastAsia="zh-CN"/>
                          </w:rPr>
                          <m:t>,</m:t>
                        </m:r>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ctrlPr>
                          <w:rPr>
                            <w:rFonts w:ascii="Cambria Math" w:hAnsi="Cambria Math" w:eastAsia="宋体"/>
                            <w:sz w:val="20"/>
                            <w:szCs w:val="20"/>
                            <w:lang w:eastAsia="zh-CN"/>
                          </w:rPr>
                        </m:ctrlPr>
                      </m:e>
                    </m:d>
                  </m:oMath>
                  <w:r>
                    <w:rPr>
                      <w:rFonts w:eastAsia="宋体"/>
                      <w:sz w:val="20"/>
                      <w:szCs w:val="20"/>
                      <w:lang w:eastAsia="zh-CN"/>
                    </w:rPr>
                    <w:t xml:space="preserve">, where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and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are numbers of consecutive slots, groups of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are consecutive and non-overlapping, and the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are within the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The first group of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starts from the beginning of a subframe. The start of two consecutive groups of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is separated by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w:t>
                  </w:r>
                </w:p>
                <w:p>
                  <w:pPr>
                    <w:widowControl w:val="0"/>
                    <w:spacing w:after="180" w:line="240" w:lineRule="auto"/>
                    <w:rPr>
                      <w:rFonts w:eastAsia="宋体"/>
                      <w:sz w:val="20"/>
                      <w:szCs w:val="20"/>
                      <w:lang w:eastAsia="zh-CN"/>
                    </w:rPr>
                  </w:pPr>
                  <w:r>
                    <w:rPr>
                      <w:rFonts w:eastAsia="宋体"/>
                      <w:sz w:val="20"/>
                      <w:szCs w:val="20"/>
                      <w:lang w:eastAsia="zh-CN"/>
                    </w:rPr>
                    <w:t xml:space="preserve">If a UE monitors PDCCH on a cell according to combination </w:t>
                  </w:r>
                  <m:oMath>
                    <m:d>
                      <m:dPr>
                        <m:ctrlPr>
                          <w:rPr>
                            <w:rFonts w:ascii="Cambria Math" w:hAnsi="Cambria Math" w:eastAsia="宋体"/>
                            <w:sz w:val="20"/>
                            <w:szCs w:val="20"/>
                            <w:lang w:eastAsia="zh-CN"/>
                          </w:rPr>
                        </m:ctrlPr>
                      </m:dPr>
                      <m:e>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r>
                          <w:rPr>
                            <w:rFonts w:ascii="Cambria Math" w:hAnsi="Cambria Math" w:eastAsia="宋体"/>
                            <w:sz w:val="20"/>
                            <w:szCs w:val="20"/>
                            <w:lang w:eastAsia="zh-CN"/>
                          </w:rPr>
                          <m:t>,</m:t>
                        </m:r>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ctrlPr>
                          <w:rPr>
                            <w:rFonts w:ascii="Cambria Math" w:hAnsi="Cambria Math" w:eastAsia="宋体"/>
                            <w:sz w:val="20"/>
                            <w:szCs w:val="20"/>
                            <w:lang w:eastAsia="zh-CN"/>
                          </w:rPr>
                        </m:ctrlPr>
                      </m:e>
                    </m:d>
                  </m:oMath>
                  <w:r>
                    <w:rPr>
                      <w:rFonts w:eastAsia="宋体"/>
                      <w:sz w:val="20"/>
                      <w:szCs w:val="20"/>
                      <w:lang w:eastAsia="zh-CN"/>
                    </w:rPr>
                    <w:t xml:space="preserve">, the UE can monitor PDCCH for Type1-PDCCH CSS set provided by dedicated higher layer signalling, Type3-PDCCH CSS sets, and USS sets in any slot of the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w:t>
                  </w:r>
                  <w:r>
                    <w:rPr>
                      <w:rFonts w:eastAsia="宋体"/>
                      <w:sz w:val="20"/>
                      <w:szCs w:val="20"/>
                      <w:highlight w:val="yellow"/>
                      <w:lang w:eastAsia="zh-CN"/>
                    </w:rPr>
                    <w:t xml:space="preserve">and the UE is not expected to monitor any other slot of the </w:t>
                  </w:r>
                  <m:oMath>
                    <m:sSub>
                      <m:sSubPr>
                        <m:ctrlPr>
                          <w:rPr>
                            <w:rFonts w:ascii="Cambria Math" w:hAnsi="Cambria Math" w:eastAsia="宋体"/>
                            <w:i/>
                            <w:sz w:val="20"/>
                            <w:szCs w:val="20"/>
                            <w:highlight w:val="yellow"/>
                            <w:lang w:eastAsia="zh-CN"/>
                          </w:rPr>
                        </m:ctrlPr>
                      </m:sSubPr>
                      <m:e>
                        <m:r>
                          <w:rPr>
                            <w:rFonts w:ascii="Cambria Math" w:hAnsi="Cambria Math" w:eastAsia="宋体"/>
                            <w:sz w:val="20"/>
                            <w:szCs w:val="20"/>
                            <w:highlight w:val="yellow"/>
                            <w:lang w:eastAsia="zh-CN"/>
                          </w:rPr>
                          <m:t>X</m:t>
                        </m:r>
                        <m:ctrlPr>
                          <w:rPr>
                            <w:rFonts w:ascii="Cambria Math" w:hAnsi="Cambria Math" w:eastAsia="宋体"/>
                            <w:i/>
                            <w:sz w:val="20"/>
                            <w:szCs w:val="20"/>
                            <w:highlight w:val="yellow"/>
                            <w:lang w:eastAsia="zh-CN"/>
                          </w:rPr>
                        </m:ctrlPr>
                      </m:e>
                      <m:sub>
                        <m:r>
                          <w:rPr>
                            <w:rFonts w:ascii="Cambria Math" w:hAnsi="Cambria Math" w:eastAsia="宋体"/>
                            <w:sz w:val="20"/>
                            <w:szCs w:val="20"/>
                            <w:highlight w:val="yellow"/>
                            <w:lang w:eastAsia="zh-CN"/>
                          </w:rPr>
                          <m:t>s</m:t>
                        </m:r>
                        <m:ctrlPr>
                          <w:rPr>
                            <w:rFonts w:ascii="Cambria Math" w:hAnsi="Cambria Math" w:eastAsia="宋体"/>
                            <w:i/>
                            <w:sz w:val="20"/>
                            <w:szCs w:val="20"/>
                            <w:highlight w:val="yellow"/>
                            <w:lang w:eastAsia="zh-CN"/>
                          </w:rPr>
                        </m:ctrlPr>
                      </m:sub>
                    </m:sSub>
                  </m:oMath>
                  <w:r>
                    <w:rPr>
                      <w:rFonts w:eastAsia="宋体"/>
                      <w:sz w:val="20"/>
                      <w:szCs w:val="20"/>
                      <w:highlight w:val="yellow"/>
                      <w:lang w:eastAsia="zh-CN"/>
                    </w:rPr>
                    <w:t xml:space="preserve"> slots than </w:t>
                  </w:r>
                  <m:oMath>
                    <m:sSub>
                      <m:sSubPr>
                        <m:ctrlPr>
                          <w:rPr>
                            <w:rFonts w:ascii="Cambria Math" w:hAnsi="Cambria Math" w:eastAsia="宋体"/>
                            <w:i/>
                            <w:sz w:val="20"/>
                            <w:szCs w:val="20"/>
                            <w:highlight w:val="yellow"/>
                            <w:lang w:eastAsia="zh-CN"/>
                          </w:rPr>
                        </m:ctrlPr>
                      </m:sSubPr>
                      <m:e>
                        <m:r>
                          <w:rPr>
                            <w:rFonts w:ascii="Cambria Math" w:hAnsi="Cambria Math" w:eastAsia="宋体"/>
                            <w:sz w:val="20"/>
                            <w:szCs w:val="20"/>
                            <w:highlight w:val="yellow"/>
                            <w:lang w:eastAsia="zh-CN"/>
                          </w:rPr>
                          <m:t>Y</m:t>
                        </m:r>
                        <m:ctrlPr>
                          <w:rPr>
                            <w:rFonts w:ascii="Cambria Math" w:hAnsi="Cambria Math" w:eastAsia="宋体"/>
                            <w:i/>
                            <w:sz w:val="20"/>
                            <w:szCs w:val="20"/>
                            <w:highlight w:val="yellow"/>
                            <w:lang w:eastAsia="zh-CN"/>
                          </w:rPr>
                        </m:ctrlPr>
                      </m:e>
                      <m:sub>
                        <m:r>
                          <w:rPr>
                            <w:rFonts w:ascii="Cambria Math" w:hAnsi="Cambria Math" w:eastAsia="宋体"/>
                            <w:sz w:val="20"/>
                            <w:szCs w:val="20"/>
                            <w:highlight w:val="yellow"/>
                            <w:lang w:eastAsia="zh-CN"/>
                          </w:rPr>
                          <m:t>s</m:t>
                        </m:r>
                        <m:ctrlPr>
                          <w:rPr>
                            <w:rFonts w:ascii="Cambria Math" w:hAnsi="Cambria Math" w:eastAsia="宋体"/>
                            <w:i/>
                            <w:sz w:val="20"/>
                            <w:szCs w:val="20"/>
                            <w:highlight w:val="yellow"/>
                            <w:lang w:eastAsia="zh-CN"/>
                          </w:rPr>
                        </m:ctrlPr>
                      </m:sub>
                    </m:sSub>
                  </m:oMath>
                  <w:r>
                    <w:rPr>
                      <w:rFonts w:eastAsia="宋体"/>
                      <w:sz w:val="20"/>
                      <w:szCs w:val="20"/>
                      <w:highlight w:val="yellow"/>
                      <w:lang w:eastAsia="zh-CN"/>
                    </w:rPr>
                    <w:t xml:space="preserve"> slots for PDCCH of the above-mentioned types</w:t>
                  </w:r>
                  <w:r>
                    <w:rPr>
                      <w:rFonts w:eastAsia="宋体"/>
                      <w:sz w:val="20"/>
                      <w:szCs w:val="20"/>
                      <w:lang w:eastAsia="zh-CN"/>
                    </w:rPr>
                    <w:t xml:space="preserve">, and the UE can monitor PDCCH for Type0/0A/2-PDCCH CSS set and Type1-PDCCH CSS set provided in </w:t>
                  </w:r>
                  <w:r>
                    <w:rPr>
                      <w:rFonts w:eastAsia="宋体"/>
                      <w:i/>
                      <w:iCs/>
                      <w:sz w:val="20"/>
                      <w:szCs w:val="20"/>
                      <w:lang w:eastAsia="zh-CN"/>
                    </w:rPr>
                    <w:t>SIB1</w:t>
                  </w:r>
                  <w:r>
                    <w:rPr>
                      <w:rFonts w:eastAsia="宋体"/>
                      <w:sz w:val="20"/>
                      <w:szCs w:val="20"/>
                      <w:lang w:eastAsia="zh-CN"/>
                    </w:rPr>
                    <w:t xml:space="preserve"> in any slot of the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The UE determines the number of monitored PDCCH candidates and </w:t>
                  </w:r>
                  <w:r>
                    <w:rPr>
                      <w:rFonts w:eastAsia="宋体"/>
                      <w:sz w:val="20"/>
                      <w:szCs w:val="20"/>
                    </w:rPr>
                    <w:t>the number of non-overlapped CCEs for</w:t>
                  </w:r>
                  <w:r>
                    <w:rPr>
                      <w:rFonts w:eastAsia="宋体"/>
                      <w:sz w:val="20"/>
                      <w:szCs w:val="20"/>
                      <w:lang w:eastAsia="zh-CN"/>
                    </w:rPr>
                    <w:t xml:space="preserve"> combination </w:t>
                  </w:r>
                  <m:oMath>
                    <m:d>
                      <m:dPr>
                        <m:ctrlPr>
                          <w:rPr>
                            <w:rFonts w:ascii="Cambria Math" w:hAnsi="Cambria Math" w:eastAsia="宋体"/>
                            <w:sz w:val="20"/>
                            <w:szCs w:val="20"/>
                            <w:lang w:eastAsia="zh-CN"/>
                          </w:rPr>
                        </m:ctrlPr>
                      </m:dPr>
                      <m:e>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r>
                          <w:rPr>
                            <w:rFonts w:ascii="Cambria Math" w:hAnsi="Cambria Math" w:eastAsia="宋体"/>
                            <w:sz w:val="20"/>
                            <w:szCs w:val="20"/>
                            <w:lang w:eastAsia="zh-CN"/>
                          </w:rPr>
                          <m:t>,</m:t>
                        </m:r>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ctrlPr>
                          <w:rPr>
                            <w:rFonts w:ascii="Cambria Math" w:hAnsi="Cambria Math" w:eastAsia="宋体"/>
                            <w:sz w:val="20"/>
                            <w:szCs w:val="20"/>
                            <w:lang w:eastAsia="zh-CN"/>
                          </w:rPr>
                        </m:ctrlPr>
                      </m:e>
                    </m:d>
                  </m:oMath>
                  <w:r>
                    <w:rPr>
                      <w:rFonts w:eastAsia="宋体"/>
                      <w:sz w:val="20"/>
                      <w:szCs w:val="20"/>
                      <w:lang w:eastAsia="zh-CN"/>
                    </w:rPr>
                    <w:t xml:space="preserve"> based on all search space sets within the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as applicable according to the search space set configurations, and maximum corresponding values are provided in Table 10.1-2B and </w:t>
                  </w:r>
                  <w:r>
                    <w:rPr>
                      <w:rFonts w:eastAsia="宋体"/>
                      <w:sz w:val="20"/>
                      <w:szCs w:val="20"/>
                    </w:rPr>
                    <w:t xml:space="preserve">Table 10.1-3B, respectively. </w:t>
                  </w:r>
                </w:p>
                <w:p>
                  <w:pPr>
                    <w:pStyle w:val="31"/>
                    <w:widowControl w:val="0"/>
                  </w:pPr>
                  <w:r>
                    <w:t>...</w:t>
                  </w:r>
                </w:p>
              </w:tc>
            </w:tr>
            <w:bookmarkEnd w:id="57"/>
          </w:tbl>
          <w:p>
            <w:pPr>
              <w:widowControl w:val="0"/>
              <w:rPr>
                <w:rFonts w:eastAsia="Malgun Gothic"/>
                <w:b/>
                <w:bCs/>
                <w:sz w:val="20"/>
                <w:szCs w:val="20"/>
                <w:lang w:eastAsia="ko-KR"/>
              </w:rPr>
            </w:pPr>
          </w:p>
          <w:p>
            <w:pPr>
              <w:pStyle w:val="31"/>
              <w:widowControl w:val="0"/>
            </w:pPr>
            <w:r>
              <w:t xml:space="preserve">The earlier agreement that “the location of the Y consecutive slots within the slot group of X slots is maintained across different slot groups” cannot be true when new monitoring occasion is configured or indicated to the UE. If this case is not allowed, the system cannot operate correctly.  </w:t>
            </w:r>
          </w:p>
          <w:p>
            <w:pPr>
              <w:pStyle w:val="31"/>
              <w:widowControl w:val="0"/>
            </w:pPr>
            <w:r>
              <w:t xml:space="preserve">Considering the TDMed-beam transmission of CSS (of Group (1)), UE may need to monitor a different slot for CSS when UE’s serving beam is changed. However, for USS, gNB can simply change the serving beam without changing the MO location since USS MO is unicast to the UE. In this case, it can happen that CSS MO becomes far away from the USS MO of the new serving beam such that </w:t>
            </w:r>
            <m:oMath>
              <m:sSub>
                <m:sSubPr>
                  <m:ctrlPr>
                    <w:rPr>
                      <w:rFonts w:ascii="Cambria Math" w:hAnsi="Cambria Math" w:eastAsia="宋体"/>
                      <w:i/>
                      <w:lang w:eastAsia="zh-CN"/>
                    </w:rPr>
                  </m:ctrlPr>
                </m:sSubPr>
                <m:e>
                  <m:r>
                    <w:rPr>
                      <w:rFonts w:ascii="Cambria Math" w:hAnsi="Cambria Math" w:eastAsia="宋体"/>
                      <w:lang w:eastAsia="zh-CN"/>
                    </w:rPr>
                    <m:t>Y</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oMath>
            <w:r>
              <w:t xml:space="preserve"> cannot include both CSS and USS MOs anymore.</w:t>
            </w:r>
          </w:p>
          <w:p>
            <w:pPr>
              <w:pStyle w:val="31"/>
              <w:widowControl w:val="0"/>
              <w:rPr>
                <w:lang w:eastAsia="zh-CN"/>
              </w:rPr>
            </w:pPr>
            <w:r>
              <w:t xml:space="preserve">The following Fig.1 illustrates above case more concretely. As shown, in the first slot group (UE is served by yellow beam), the location of </w:t>
            </w:r>
            <m:oMath>
              <m:sSub>
                <m:sSubPr>
                  <m:ctrlPr>
                    <w:rPr>
                      <w:rFonts w:ascii="Cambria Math" w:hAnsi="Cambria Math" w:eastAsia="宋体"/>
                      <w:i/>
                      <w:lang w:eastAsia="zh-CN"/>
                    </w:rPr>
                  </m:ctrlPr>
                </m:sSubPr>
                <m:e>
                  <m:r>
                    <w:rPr>
                      <w:rFonts w:ascii="Cambria Math" w:hAnsi="Cambria Math" w:eastAsia="宋体"/>
                      <w:lang w:eastAsia="zh-CN"/>
                    </w:rPr>
                    <m:t>Y</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oMath>
            <w:r>
              <w:t xml:space="preserve"> is the first slot, covering USS MO and CSS MO of the yellow beam. When UE moves from the coverage of yellow beam to green beam in the second slot group, the corresponding CSS MO location for the UE has to be changed as well because the previous CSS MO would still be used for other UEs covered by the yellow beam. Consequently, the new CSS MO for the UE becomes outside the </w:t>
            </w:r>
            <m:oMath>
              <m:sSub>
                <m:sSubPr>
                  <m:ctrlPr>
                    <w:rPr>
                      <w:rFonts w:ascii="Cambria Math" w:hAnsi="Cambria Math" w:eastAsia="宋体"/>
                      <w:i/>
                      <w:lang w:eastAsia="zh-CN"/>
                    </w:rPr>
                  </m:ctrlPr>
                </m:sSubPr>
                <m:e>
                  <m:r>
                    <w:rPr>
                      <w:rFonts w:ascii="Cambria Math" w:hAnsi="Cambria Math" w:eastAsia="宋体"/>
                      <w:lang w:eastAsia="zh-CN"/>
                    </w:rPr>
                    <m:t>Y</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oMath>
            <w:r>
              <w:rPr>
                <w:lang w:eastAsia="zh-CN"/>
              </w:rPr>
              <w:t xml:space="preserve">. According to the current spec, the UE may not receive such CSS because the location of </w:t>
            </w:r>
            <m:oMath>
              <m:sSub>
                <m:sSubPr>
                  <m:ctrlPr>
                    <w:rPr>
                      <w:rFonts w:ascii="Cambria Math" w:hAnsi="Cambria Math" w:eastAsia="宋体"/>
                      <w:i/>
                      <w:lang w:eastAsia="zh-CN"/>
                    </w:rPr>
                  </m:ctrlPr>
                </m:sSubPr>
                <m:e>
                  <m:r>
                    <w:rPr>
                      <w:rFonts w:ascii="Cambria Math" w:hAnsi="Cambria Math" w:eastAsia="宋体"/>
                      <w:lang w:eastAsia="zh-CN"/>
                    </w:rPr>
                    <m:t>Y</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oMath>
            <w:r>
              <w:rPr>
                <w:lang w:eastAsia="zh-CN"/>
              </w:rPr>
              <w:t xml:space="preserve"> cannot be changed.</w:t>
            </w:r>
          </w:p>
          <w:p>
            <w:pPr>
              <w:pStyle w:val="31"/>
              <w:widowControl w:val="0"/>
            </w:pPr>
          </w:p>
          <w:p>
            <w:pPr>
              <w:pStyle w:val="31"/>
              <w:widowControl w:val="0"/>
            </w:pPr>
            <w:r>
              <w:object>
                <v:shape id="_x0000_i1042" o:spt="75" type="#_x0000_t75" style="height:188.25pt;width:485.25pt;" o:ole="t" filled="f" o:preferrelative="t" stroked="f" coordsize="21600,21600">
                  <v:path/>
                  <v:fill on="f" focussize="0,0"/>
                  <v:stroke on="f" joinstyle="miter"/>
                  <v:imagedata r:id="rId48" o:title=""/>
                  <o:lock v:ext="edit" aspectratio="t"/>
                  <w10:wrap type="none"/>
                  <w10:anchorlock/>
                </v:shape>
                <o:OLEObject Type="Embed" ProgID="Visio.Drawing.15" ShapeID="_x0000_i1042" DrawAspect="Content" ObjectID="_1468075742" r:id="rId47">
                  <o:LockedField>false</o:LockedField>
                </o:OLEObject>
              </w:object>
            </w:r>
          </w:p>
          <w:p>
            <w:pPr>
              <w:pStyle w:val="31"/>
              <w:widowControl w:val="0"/>
              <w:jc w:val="center"/>
            </w:pPr>
            <w:r>
              <w:rPr>
                <w:b/>
                <w:bCs/>
              </w:rPr>
              <w:t xml:space="preserve">Fig.1 Issue of fixed location of </w:t>
            </w:r>
            <m:oMath>
              <m:sSub>
                <m:sSubPr>
                  <m:ctrlPr>
                    <w:rPr>
                      <w:rFonts w:ascii="Cambria Math" w:hAnsi="Cambria Math" w:eastAsia="宋体"/>
                      <w:b/>
                      <w:bCs/>
                      <w:i/>
                      <w:lang w:eastAsia="zh-CN"/>
                    </w:rPr>
                  </m:ctrlPr>
                </m:sSubPr>
                <m:e>
                  <m:r>
                    <m:rPr>
                      <m:sty m:val="bi"/>
                    </m:rPr>
                    <w:rPr>
                      <w:rFonts w:ascii="Cambria Math" w:hAnsi="Cambria Math" w:eastAsia="宋体"/>
                      <w:lang w:eastAsia="zh-CN"/>
                    </w:rPr>
                    <m:t>Y</m:t>
                  </m:r>
                  <m:ctrlPr>
                    <w:rPr>
                      <w:rFonts w:ascii="Cambria Math" w:hAnsi="Cambria Math" w:eastAsia="宋体"/>
                      <w:b/>
                      <w:bCs/>
                      <w:i/>
                      <w:lang w:eastAsia="zh-CN"/>
                    </w:rPr>
                  </m:ctrlPr>
                </m:e>
                <m:sub>
                  <m:r>
                    <m:rPr>
                      <m:sty m:val="bi"/>
                    </m:rPr>
                    <w:rPr>
                      <w:rFonts w:ascii="Cambria Math" w:hAnsi="Cambria Math" w:eastAsia="宋体"/>
                      <w:lang w:eastAsia="zh-CN"/>
                    </w:rPr>
                    <m:t>s</m:t>
                  </m:r>
                  <m:ctrlPr>
                    <w:rPr>
                      <w:rFonts w:ascii="Cambria Math" w:hAnsi="Cambria Math" w:eastAsia="宋体"/>
                      <w:b/>
                      <w:bCs/>
                      <w:i/>
                      <w:lang w:eastAsia="zh-CN"/>
                    </w:rPr>
                  </m:ctrlPr>
                </m:sub>
              </m:sSub>
            </m:oMath>
            <w:r>
              <w:rPr>
                <w:b/>
                <w:bCs/>
              </w:rPr>
              <w:t xml:space="preserve"> due to beam switching </w:t>
            </w:r>
          </w:p>
          <w:p>
            <w:pPr>
              <w:pStyle w:val="31"/>
              <w:widowControl w:val="0"/>
              <w:rPr>
                <w:lang w:eastAsia="zh-CN"/>
              </w:rPr>
            </w:pPr>
            <w:r>
              <w:t xml:space="preserve">To fix the above issue, the location of </w:t>
            </w:r>
            <m:oMath>
              <m:sSub>
                <m:sSubPr>
                  <m:ctrlPr>
                    <w:rPr>
                      <w:rFonts w:ascii="Cambria Math" w:hAnsi="Cambria Math" w:eastAsia="宋体"/>
                      <w:i/>
                      <w:lang w:eastAsia="zh-CN"/>
                    </w:rPr>
                  </m:ctrlPr>
                </m:sSubPr>
                <m:e>
                  <m:r>
                    <w:rPr>
                      <w:rFonts w:ascii="Cambria Math" w:hAnsi="Cambria Math" w:eastAsia="宋体"/>
                      <w:lang w:eastAsia="zh-CN"/>
                    </w:rPr>
                    <m:t>Y</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oMath>
            <w:r>
              <w:rPr>
                <w:lang w:eastAsia="zh-CN"/>
              </w:rPr>
              <w:t xml:space="preserve"> should be allowed to change if new MO is configured or indicated to the UE. Considering the fact that Group (1) SSs include both CSS and USS, CSS should be prioritized over USS in order not to miss important control information. In other words, location of </w:t>
            </w:r>
            <m:oMath>
              <m:sSub>
                <m:sSubPr>
                  <m:ctrlPr>
                    <w:rPr>
                      <w:rFonts w:ascii="Cambria Math" w:hAnsi="Cambria Math" w:eastAsia="宋体"/>
                      <w:i/>
                      <w:lang w:eastAsia="zh-CN"/>
                    </w:rPr>
                  </m:ctrlPr>
                </m:sSubPr>
                <m:e>
                  <m:r>
                    <w:rPr>
                      <w:rFonts w:ascii="Cambria Math" w:hAnsi="Cambria Math" w:eastAsia="宋体"/>
                      <w:lang w:eastAsia="zh-CN"/>
                    </w:rPr>
                    <m:t>Y</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oMath>
            <w:r>
              <w:rPr>
                <w:lang w:eastAsia="zh-CN"/>
              </w:rPr>
              <w:t xml:space="preserve"> should follow the new configured/indicated MOs of CSS (of Group (1)). Then USS MOs can be further included in </w:t>
            </w:r>
            <m:oMath>
              <m:sSub>
                <m:sSubPr>
                  <m:ctrlPr>
                    <w:rPr>
                      <w:rFonts w:ascii="Cambria Math" w:hAnsi="Cambria Math" w:eastAsia="宋体"/>
                      <w:i/>
                      <w:lang w:eastAsia="zh-CN"/>
                    </w:rPr>
                  </m:ctrlPr>
                </m:sSubPr>
                <m:e>
                  <m:r>
                    <w:rPr>
                      <w:rFonts w:ascii="Cambria Math" w:hAnsi="Cambria Math" w:eastAsia="宋体"/>
                      <w:lang w:eastAsia="zh-CN"/>
                    </w:rPr>
                    <m:t>Y</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oMath>
            <w:r>
              <w:rPr>
                <w:lang w:eastAsia="zh-CN"/>
              </w:rPr>
              <w:t xml:space="preserve"> from USS with lower to higher indices. Certain USS MO would be dropped if it cannot be included in </w:t>
            </w:r>
            <m:oMath>
              <m:sSub>
                <m:sSubPr>
                  <m:ctrlPr>
                    <w:rPr>
                      <w:rFonts w:ascii="Cambria Math" w:hAnsi="Cambria Math" w:eastAsia="宋体"/>
                      <w:i/>
                      <w:lang w:eastAsia="zh-CN"/>
                    </w:rPr>
                  </m:ctrlPr>
                </m:sSubPr>
                <m:e>
                  <m:r>
                    <w:rPr>
                      <w:rFonts w:ascii="Cambria Math" w:hAnsi="Cambria Math" w:eastAsia="宋体"/>
                      <w:lang w:eastAsia="zh-CN"/>
                    </w:rPr>
                    <m:t>Y</m:t>
                  </m:r>
                  <m:ctrlPr>
                    <w:rPr>
                      <w:rFonts w:ascii="Cambria Math" w:hAnsi="Cambria Math" w:eastAsia="宋体"/>
                      <w:i/>
                      <w:lang w:eastAsia="zh-CN"/>
                    </w:rPr>
                  </m:ctrlPr>
                </m:e>
                <m:sub>
                  <m:r>
                    <w:rPr>
                      <w:rFonts w:ascii="Cambria Math" w:hAnsi="Cambria Math" w:eastAsia="宋体"/>
                      <w:lang w:eastAsia="zh-CN"/>
                    </w:rPr>
                    <m:t>s</m:t>
                  </m:r>
                  <m:ctrlPr>
                    <w:rPr>
                      <w:rFonts w:ascii="Cambria Math" w:hAnsi="Cambria Math" w:eastAsia="宋体"/>
                      <w:i/>
                      <w:lang w:eastAsia="zh-CN"/>
                    </w:rPr>
                  </m:ctrlPr>
                </m:sub>
              </m:sSub>
            </m:oMath>
            <w:r>
              <w:rPr>
                <w:lang w:eastAsia="zh-CN"/>
              </w:rPr>
              <w:t xml:space="preserve"> .</w:t>
            </w:r>
          </w:p>
          <w:p>
            <w:pPr>
              <w:pStyle w:val="31"/>
              <w:widowControl w:val="0"/>
              <w:rPr>
                <w:lang w:eastAsia="zh-CN"/>
              </w:rPr>
            </w:pPr>
            <w:r>
              <w:rPr>
                <w:lang w:eastAsia="zh-CN"/>
              </w:rPr>
              <w:t>To reflect the above, the following TP is suggested:</w:t>
            </w:r>
          </w:p>
          <w:p>
            <w:pPr>
              <w:pStyle w:val="31"/>
              <w:widowControl w:val="0"/>
              <w:rPr>
                <w:b/>
                <w:bCs/>
              </w:rPr>
            </w:pPr>
            <w:r>
              <w:rPr>
                <w:b/>
                <w:bCs/>
              </w:rPr>
              <w:t xml:space="preserve">Proposal 2: In case that MO of Group (1) CSS is changed, the location of </w:t>
            </w:r>
            <w:r>
              <w:rPr>
                <w:b/>
                <w:bCs/>
                <w:i/>
                <w:iCs/>
              </w:rPr>
              <w:t>Ys</w:t>
            </w:r>
            <w:r>
              <w:rPr>
                <w:b/>
                <w:bCs/>
              </w:rPr>
              <w:t xml:space="preserve"> within </w:t>
            </w:r>
            <w:r>
              <w:rPr>
                <w:b/>
                <w:bCs/>
                <w:i/>
                <w:iCs/>
              </w:rPr>
              <w:t>Xs</w:t>
            </w:r>
            <w:r>
              <w:rPr>
                <w:b/>
                <w:bCs/>
              </w:rPr>
              <w:t xml:space="preserve"> can be adapted accordingly to include all CSS MOs (of Group(1) SS) that are monitored by UE. </w:t>
            </w:r>
          </w:p>
          <w:p>
            <w:pPr>
              <w:pStyle w:val="31"/>
              <w:widowControl w:val="0"/>
              <w:rPr>
                <w:rFonts w:eastAsia="宋体"/>
                <w:b/>
                <w:bCs/>
                <w:lang w:eastAsia="zh-CN"/>
              </w:rPr>
            </w:pPr>
            <w:r>
              <w:rPr>
                <w:rFonts w:eastAsia="宋体"/>
                <w:b/>
                <w:bCs/>
                <w:lang w:eastAsia="zh-CN"/>
              </w:rPr>
              <w:t>Adopt the following TP to 38.213 (with modifications highlighted in yellow).</w:t>
            </w:r>
          </w:p>
          <w:tbl>
            <w:tblPr>
              <w:tblStyle w:val="55"/>
              <w:tblW w:w="962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9" w:type="dxa"/>
                  <w:vAlign w:val="center"/>
                </w:tcPr>
                <w:p>
                  <w:pPr>
                    <w:widowControl w:val="0"/>
                    <w:spacing w:after="180" w:line="240" w:lineRule="auto"/>
                    <w:rPr>
                      <w:rFonts w:eastAsia="宋体"/>
                      <w:b/>
                      <w:bCs/>
                      <w:sz w:val="24"/>
                      <w:szCs w:val="24"/>
                      <w:lang w:eastAsia="zh-CN"/>
                    </w:rPr>
                  </w:pPr>
                  <w:r>
                    <w:rPr>
                      <w:rFonts w:eastAsia="宋体"/>
                      <w:b/>
                      <w:bCs/>
                      <w:sz w:val="24"/>
                      <w:szCs w:val="24"/>
                      <w:lang w:eastAsia="zh-CN"/>
                    </w:rPr>
                    <w:t>TS 38.213 v17.0.0, Section 10</w:t>
                  </w:r>
                </w:p>
                <w:p>
                  <w:pPr>
                    <w:widowControl w:val="0"/>
                    <w:spacing w:after="180" w:line="240" w:lineRule="auto"/>
                    <w:rPr>
                      <w:rFonts w:eastAsia="宋体"/>
                      <w:sz w:val="20"/>
                      <w:szCs w:val="20"/>
                      <w:lang w:eastAsia="zh-CN"/>
                    </w:rPr>
                  </w:pPr>
                  <w:r>
                    <w:rPr>
                      <w:rFonts w:eastAsia="宋体"/>
                      <w:sz w:val="20"/>
                      <w:szCs w:val="20"/>
                      <w:lang w:eastAsia="zh-CN"/>
                    </w:rPr>
                    <w:t>…</w:t>
                  </w:r>
                </w:p>
                <w:p>
                  <w:pPr>
                    <w:widowControl w:val="0"/>
                    <w:spacing w:after="180" w:line="240" w:lineRule="auto"/>
                    <w:rPr>
                      <w:rFonts w:eastAsia="宋体"/>
                      <w:sz w:val="20"/>
                      <w:szCs w:val="20"/>
                      <w:lang w:eastAsia="zh-CN"/>
                    </w:rPr>
                  </w:pPr>
                  <w:r>
                    <w:rPr>
                      <w:rFonts w:eastAsia="宋体"/>
                      <w:sz w:val="20"/>
                      <w:szCs w:val="20"/>
                      <w:lang w:eastAsia="zh-CN"/>
                    </w:rPr>
                    <w:t xml:space="preserve">For SCS configuration </w:t>
                  </w:r>
                  <m:oMath>
                    <m:r>
                      <w:rPr>
                        <w:rFonts w:ascii="Cambria Math" w:hAnsi="Cambria Math" w:eastAsia="宋体"/>
                        <w:sz w:val="20"/>
                        <w:szCs w:val="20"/>
                        <w:lang w:eastAsia="zh-CN"/>
                      </w:rPr>
                      <m:t>μ=5</m:t>
                    </m:r>
                  </m:oMath>
                  <w:r>
                    <w:rPr>
                      <w:rFonts w:eastAsia="宋体"/>
                      <w:sz w:val="20"/>
                      <w:szCs w:val="20"/>
                      <w:lang w:eastAsia="zh-CN"/>
                    </w:rPr>
                    <w:t xml:space="preserve"> or </w:t>
                  </w:r>
                  <m:oMath>
                    <m:r>
                      <w:rPr>
                        <w:rFonts w:ascii="Cambria Math" w:hAnsi="Cambria Math" w:eastAsia="宋体"/>
                        <w:sz w:val="20"/>
                        <w:szCs w:val="20"/>
                        <w:lang w:eastAsia="zh-CN"/>
                      </w:rPr>
                      <m:t>μ=6</m:t>
                    </m:r>
                  </m:oMath>
                  <w:r>
                    <w:rPr>
                      <w:rFonts w:eastAsia="宋体"/>
                      <w:sz w:val="20"/>
                      <w:szCs w:val="20"/>
                      <w:lang w:eastAsia="zh-CN"/>
                    </w:rPr>
                    <w:t xml:space="preserve">, a UE can indicate a capability to monitor PDCCH according to one or more combinations </w:t>
                  </w:r>
                  <m:oMath>
                    <m:d>
                      <m:dPr>
                        <m:ctrlPr>
                          <w:rPr>
                            <w:rFonts w:ascii="Cambria Math" w:hAnsi="Cambria Math" w:eastAsia="宋体"/>
                            <w:sz w:val="20"/>
                            <w:szCs w:val="20"/>
                            <w:lang w:eastAsia="zh-CN"/>
                          </w:rPr>
                        </m:ctrlPr>
                      </m:dPr>
                      <m:e>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r>
                          <w:rPr>
                            <w:rFonts w:ascii="Cambria Math" w:hAnsi="Cambria Math" w:eastAsia="宋体"/>
                            <w:sz w:val="20"/>
                            <w:szCs w:val="20"/>
                            <w:lang w:eastAsia="zh-CN"/>
                          </w:rPr>
                          <m:t>,</m:t>
                        </m:r>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ctrlPr>
                          <w:rPr>
                            <w:rFonts w:ascii="Cambria Math" w:hAnsi="Cambria Math" w:eastAsia="宋体"/>
                            <w:sz w:val="20"/>
                            <w:szCs w:val="20"/>
                            <w:lang w:eastAsia="zh-CN"/>
                          </w:rPr>
                        </m:ctrlPr>
                      </m:e>
                    </m:d>
                  </m:oMath>
                  <w:r>
                    <w:rPr>
                      <w:rFonts w:eastAsia="宋体"/>
                      <w:sz w:val="20"/>
                      <w:szCs w:val="20"/>
                      <w:lang w:eastAsia="zh-CN"/>
                    </w:rPr>
                    <w:t xml:space="preserve">, where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and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are numbers of consecutive slots, groups of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are consecutive and non-overlapping, and the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are within the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The first group of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starts from the beginning of a subframe. The start of two consecutive groups of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is separated by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w:t>
                  </w:r>
                  <w:r>
                    <w:rPr>
                      <w:rFonts w:eastAsia="宋体"/>
                      <w:sz w:val="20"/>
                      <w:szCs w:val="20"/>
                      <w:highlight w:val="yellow"/>
                      <w:lang w:eastAsia="zh-CN"/>
                    </w:rPr>
                    <w:t>until new monitoring occasion of Type1-PDCCH CSS set provided by dedicated higher layer signalling, or of Type3-PDCCH CSS sets is configured or indicated to the UE</w:t>
                  </w:r>
                  <w:r>
                    <w:rPr>
                      <w:rFonts w:eastAsia="宋体"/>
                      <w:sz w:val="20"/>
                      <w:szCs w:val="20"/>
                      <w:lang w:eastAsia="zh-CN"/>
                    </w:rPr>
                    <w:t xml:space="preserve">. </w:t>
                  </w:r>
                </w:p>
                <w:p>
                  <w:pPr>
                    <w:widowControl w:val="0"/>
                    <w:spacing w:after="180" w:line="240" w:lineRule="auto"/>
                    <w:rPr>
                      <w:sz w:val="20"/>
                      <w:szCs w:val="20"/>
                    </w:rPr>
                  </w:pPr>
                  <w:r>
                    <w:rPr>
                      <w:rFonts w:eastAsia="宋体"/>
                      <w:sz w:val="20"/>
                      <w:szCs w:val="20"/>
                      <w:lang w:eastAsia="zh-CN"/>
                    </w:rPr>
                    <w:t xml:space="preserve">If a UE monitors PDCCH on a cell according to combination </w:t>
                  </w:r>
                  <m:oMath>
                    <m:d>
                      <m:dPr>
                        <m:ctrlPr>
                          <w:rPr>
                            <w:rFonts w:ascii="Cambria Math" w:hAnsi="Cambria Math" w:eastAsia="宋体"/>
                            <w:sz w:val="20"/>
                            <w:szCs w:val="20"/>
                            <w:lang w:eastAsia="zh-CN"/>
                          </w:rPr>
                        </m:ctrlPr>
                      </m:dPr>
                      <m:e>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r>
                          <w:rPr>
                            <w:rFonts w:ascii="Cambria Math" w:hAnsi="Cambria Math" w:eastAsia="宋体"/>
                            <w:sz w:val="20"/>
                            <w:szCs w:val="20"/>
                            <w:lang w:eastAsia="zh-CN"/>
                          </w:rPr>
                          <m:t>,</m:t>
                        </m:r>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ctrlPr>
                          <w:rPr>
                            <w:rFonts w:ascii="Cambria Math" w:hAnsi="Cambria Math" w:eastAsia="宋体"/>
                            <w:sz w:val="20"/>
                            <w:szCs w:val="20"/>
                            <w:lang w:eastAsia="zh-CN"/>
                          </w:rPr>
                        </m:ctrlPr>
                      </m:e>
                    </m:d>
                  </m:oMath>
                  <w:r>
                    <w:rPr>
                      <w:rFonts w:eastAsia="宋体"/>
                      <w:sz w:val="20"/>
                      <w:szCs w:val="20"/>
                      <w:lang w:eastAsia="zh-CN"/>
                    </w:rPr>
                    <w:t xml:space="preserve">, the UE can monitor PDCCH for Type1-PDCCH CSS set provided by dedicated higher layer signalling, Type3-PDCCH CSS sets, and USS sets in any slot of the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and the UE can monitor PDCCH for Type0/0A/2-PDCCH CSS set and Type1-PDCCH CSS set provided in </w:t>
                  </w:r>
                  <w:r>
                    <w:rPr>
                      <w:rFonts w:eastAsia="宋体"/>
                      <w:i/>
                      <w:iCs/>
                      <w:sz w:val="20"/>
                      <w:szCs w:val="20"/>
                      <w:lang w:eastAsia="zh-CN"/>
                    </w:rPr>
                    <w:t>SIB1</w:t>
                  </w:r>
                  <w:r>
                    <w:rPr>
                      <w:rFonts w:eastAsia="宋体"/>
                      <w:sz w:val="20"/>
                      <w:szCs w:val="20"/>
                      <w:lang w:eastAsia="zh-CN"/>
                    </w:rPr>
                    <w:t xml:space="preserve"> in any slot of the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The UE determines the number of monitored PDCCH candidates and </w:t>
                  </w:r>
                  <w:r>
                    <w:rPr>
                      <w:rFonts w:eastAsia="宋体"/>
                      <w:sz w:val="20"/>
                      <w:szCs w:val="20"/>
                    </w:rPr>
                    <w:t>the number of non-overlapped CCEs for</w:t>
                  </w:r>
                  <w:r>
                    <w:rPr>
                      <w:rFonts w:eastAsia="宋体"/>
                      <w:sz w:val="20"/>
                      <w:szCs w:val="20"/>
                      <w:lang w:eastAsia="zh-CN"/>
                    </w:rPr>
                    <w:t xml:space="preserve"> combination </w:t>
                  </w:r>
                  <m:oMath>
                    <m:d>
                      <m:dPr>
                        <m:ctrlPr>
                          <w:rPr>
                            <w:rFonts w:ascii="Cambria Math" w:hAnsi="Cambria Math" w:eastAsia="宋体"/>
                            <w:sz w:val="20"/>
                            <w:szCs w:val="20"/>
                            <w:lang w:eastAsia="zh-CN"/>
                          </w:rPr>
                        </m:ctrlPr>
                      </m:dPr>
                      <m:e>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r>
                          <w:rPr>
                            <w:rFonts w:ascii="Cambria Math" w:hAnsi="Cambria Math" w:eastAsia="宋体"/>
                            <w:sz w:val="20"/>
                            <w:szCs w:val="20"/>
                            <w:lang w:eastAsia="zh-CN"/>
                          </w:rPr>
                          <m:t>,</m:t>
                        </m:r>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Y</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ctrlPr>
                          <w:rPr>
                            <w:rFonts w:ascii="Cambria Math" w:hAnsi="Cambria Math" w:eastAsia="宋体"/>
                            <w:sz w:val="20"/>
                            <w:szCs w:val="20"/>
                            <w:lang w:eastAsia="zh-CN"/>
                          </w:rPr>
                        </m:ctrlPr>
                      </m:e>
                    </m:d>
                  </m:oMath>
                  <w:r>
                    <w:rPr>
                      <w:rFonts w:eastAsia="宋体"/>
                      <w:sz w:val="20"/>
                      <w:szCs w:val="20"/>
                      <w:lang w:eastAsia="zh-CN"/>
                    </w:rPr>
                    <w:t xml:space="preserve"> based on all search space sets within the </w:t>
                  </w:r>
                  <m:oMath>
                    <m:sSub>
                      <m:sSubPr>
                        <m:ctrlPr>
                          <w:rPr>
                            <w:rFonts w:ascii="Cambria Math" w:hAnsi="Cambria Math" w:eastAsia="宋体"/>
                            <w:i/>
                            <w:sz w:val="20"/>
                            <w:szCs w:val="20"/>
                            <w:lang w:eastAsia="zh-CN"/>
                          </w:rPr>
                        </m:ctrlPr>
                      </m:sSubPr>
                      <m:e>
                        <m:r>
                          <w:rPr>
                            <w:rFonts w:ascii="Cambria Math" w:hAnsi="Cambria Math" w:eastAsia="宋体"/>
                            <w:sz w:val="20"/>
                            <w:szCs w:val="20"/>
                            <w:lang w:eastAsia="zh-CN"/>
                          </w:rPr>
                          <m:t>X</m:t>
                        </m:r>
                        <m:ctrlPr>
                          <w:rPr>
                            <w:rFonts w:ascii="Cambria Math" w:hAnsi="Cambria Math" w:eastAsia="宋体"/>
                            <w:i/>
                            <w:sz w:val="20"/>
                            <w:szCs w:val="20"/>
                            <w:lang w:eastAsia="zh-CN"/>
                          </w:rPr>
                        </m:ctrlPr>
                      </m:e>
                      <m:sub>
                        <m:r>
                          <w:rPr>
                            <w:rFonts w:ascii="Cambria Math" w:hAnsi="Cambria Math" w:eastAsia="宋体"/>
                            <w:sz w:val="20"/>
                            <w:szCs w:val="20"/>
                            <w:lang w:eastAsia="zh-CN"/>
                          </w:rPr>
                          <m:t>s</m:t>
                        </m:r>
                        <m:ctrlPr>
                          <w:rPr>
                            <w:rFonts w:ascii="Cambria Math" w:hAnsi="Cambria Math" w:eastAsia="宋体"/>
                            <w:i/>
                            <w:sz w:val="20"/>
                            <w:szCs w:val="20"/>
                            <w:lang w:eastAsia="zh-CN"/>
                          </w:rPr>
                        </m:ctrlPr>
                      </m:sub>
                    </m:sSub>
                  </m:oMath>
                  <w:r>
                    <w:rPr>
                      <w:rFonts w:eastAsia="宋体"/>
                      <w:sz w:val="20"/>
                      <w:szCs w:val="20"/>
                      <w:lang w:eastAsia="zh-CN"/>
                    </w:rPr>
                    <w:t xml:space="preserve"> slots, as applicable according to the search space set configurations, and maximum corresponding values are provided in Table 10.1-2B and </w:t>
                  </w:r>
                  <w:r>
                    <w:rPr>
                      <w:rFonts w:eastAsia="宋体"/>
                      <w:sz w:val="20"/>
                      <w:szCs w:val="20"/>
                    </w:rPr>
                    <w:t xml:space="preserve">Table 10.1-3B, respectively. </w:t>
                  </w:r>
                </w:p>
              </w:tc>
            </w:tr>
          </w:tbl>
          <w:p>
            <w:pPr>
              <w:widowControl w:val="0"/>
              <w:rPr>
                <w:rFonts w:eastAsia="Malgun Gothic"/>
                <w:b/>
                <w:bCs/>
                <w:sz w:val="20"/>
                <w:szCs w:val="20"/>
                <w:lang w:eastAsia="ko-KR"/>
              </w:rPr>
            </w:pPr>
          </w:p>
          <w:p>
            <w:pPr>
              <w:widowControl w:val="0"/>
              <w:rPr>
                <w:rFonts w:eastAsia="Malgun Gothic"/>
                <w:b/>
                <w:bCs/>
                <w:sz w:val="20"/>
                <w:szCs w:val="20"/>
                <w:lang w:eastAsia="ko-KR"/>
              </w:rPr>
            </w:pPr>
          </w:p>
        </w:tc>
      </w:tr>
    </w:tbl>
    <w:p>
      <w:pPr>
        <w:rPr>
          <w:lang w:eastAsia="zh-CN"/>
        </w:rPr>
      </w:pPr>
    </w:p>
    <w:p>
      <w:pPr>
        <w:pStyle w:val="4"/>
      </w:pPr>
      <w:r>
        <w:t>R1-2202336 (LG)</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line="240" w:lineRule="auto"/>
              <w:rPr>
                <w:rFonts w:eastAsia="Batang"/>
                <w:bCs/>
                <w:lang w:eastAsia="ko-KR"/>
              </w:rPr>
            </w:pPr>
            <w:r>
              <w:rPr>
                <w:rFonts w:eastAsia="Batang"/>
                <w:bCs/>
                <w:lang w:eastAsia="ko-KR"/>
              </w:rPr>
              <w:t xml:space="preserve">Among the supported combinations, X=8 for 960 kHz and X=4 for 480 kHz are the mandatorily supported </w:t>
            </w:r>
            <w:r>
              <w:rPr>
                <w:rFonts w:hint="eastAsia" w:eastAsia="Batang"/>
                <w:bCs/>
                <w:lang w:eastAsia="ko-KR"/>
              </w:rPr>
              <w:t>X values</w:t>
            </w:r>
            <w:r>
              <w:rPr>
                <w:rFonts w:eastAsia="Batang"/>
                <w:bCs/>
                <w:lang w:eastAsia="ko-KR"/>
              </w:rPr>
              <w:t xml:space="preserve"> for multi-slot PDCCH monitoring operations. These values can maintain the PDCCH monitoring burden of the UE at a level similar to that of the 120 kHz SCS since the slot-group length and BD/CCE limit for them are the same as for 120 kHz SCS. In addition, for 960 kHz SCS, there is an optionally supported X, i.e., X=4, which can allow more diverse and flexible monitoring operation than what the mandatory X can do. However, for 480 kHz SCS, whether additional X other than X=4 is supported has not been decided yet. For a flexible multi-slot monitoring operation like 960 kHz, support for additional optional X may be required. With X=2 for 480 kHz, a possible combination (X,Y) can be (2,1). At the last meeting, there were some concerns about (X,Y)=(2,1) combination support for 480 kHz SCS. One concern mentioned for example is that monitoring based on X=2</w:t>
            </w:r>
            <w:r>
              <w:t xml:space="preserve"> may </w:t>
            </w:r>
            <w:r>
              <w:rPr>
                <w:rFonts w:eastAsia="Batang"/>
                <w:bCs/>
                <w:lang w:eastAsia="ko-KR"/>
              </w:rPr>
              <w:t xml:space="preserve">greatly increase power consumption and UE implementation complexity compared to X=4. However, (X,Y)=(2,1) for 480 kHz has the similar monitoring behavior as (X,Y)=(4,1) or (4,2) for 960 kHz which RAN1 have already decided to support. Therefore, it is not expected that the complexity or power consumption of the UE additionally increases due to (2,1)-based monitoring. Rather, it may have an advantage of being able to schedule flexible monitoring operation for an aggressive UE for 480 kHz, by supporting (2,1) combination. Another concern is about BD/CCE budget for (X,Y)=(2,1) combination. Assuming that the BD/CCE budget for (X,Y)=(2,1) is half that of (X,Y)=(4,1), the raised issue is that it is not feasible to monitor Type-0 PDCCH twice during 4 slots. However, it is not a valid issue since only one MO for Type-0 CSS, according to the previous agreement, can be configured per 4 slots for 480 kHz SCS. Furthermore, when (X,Y)=(2,1) is supported as an optional combination for SCell, there will be no additional issue due to the BD/CCE budget. In summary, there seems to be no critical issue from technical point of view to support an optional X=2 for 480 kHz SCS. However, monitoring based on the optional </w:t>
            </w:r>
            <w:r>
              <w:rPr>
                <w:rFonts w:hint="eastAsia" w:eastAsia="Batang"/>
                <w:bCs/>
                <w:lang w:eastAsia="ko-KR"/>
              </w:rPr>
              <w:t>X</w:t>
            </w:r>
            <w:r>
              <w:rPr>
                <w:rFonts w:eastAsia="Batang"/>
                <w:bCs/>
                <w:lang w:eastAsia="ko-KR"/>
              </w:rPr>
              <w:t xml:space="preserve"> can allow more diverse/flexible monitoring operation than what the mandatory X can do. It should be noted that X=2 for 480 kHz and X=4 for 960 kHz share the same absolute time and their BD/CCE budget could be the same. These mean that the UE supporting X=4 of 960 kHz can support X=2 for 480 kHz without additional burden. In this regard, we support (X,Y)=(2,1) as an optional combination for 480 kHz SCS.</w:t>
            </w:r>
          </w:p>
          <w:p>
            <w:pPr>
              <w:widowControl w:val="0"/>
              <w:spacing w:before="120" w:line="240" w:lineRule="auto"/>
              <w:ind w:firstLine="220" w:firstLineChars="100"/>
              <w:rPr>
                <w:rFonts w:eastAsia="Batang"/>
                <w:bCs/>
                <w:lang w:eastAsia="ko-KR"/>
              </w:rPr>
            </w:pPr>
            <w:r>
              <w:rPr>
                <w:rFonts w:eastAsia="Batang"/>
                <w:b/>
                <w:lang w:eastAsia="ko-KR"/>
              </w:rPr>
              <w:t>Proposal #1: Support (X,Y)=(2,1) as an optional combination for 480 kHz SCS.</w:t>
            </w:r>
          </w:p>
          <w:p>
            <w:pPr>
              <w:widowControl w:val="0"/>
              <w:spacing w:before="120" w:line="240" w:lineRule="auto"/>
              <w:rPr>
                <w:rFonts w:eastAsia="Batang"/>
                <w:bCs/>
                <w:lang w:eastAsia="ko-KR"/>
              </w:rPr>
            </w:pPr>
          </w:p>
          <w:p>
            <w:pPr>
              <w:widowControl w:val="0"/>
              <w:spacing w:before="120" w:line="240" w:lineRule="auto"/>
              <w:rPr>
                <w:rFonts w:eastAsia="Batang"/>
                <w:bCs/>
                <w:lang w:eastAsia="ko-KR"/>
              </w:rPr>
            </w:pPr>
            <w:r>
              <w:rPr>
                <w:rFonts w:eastAsia="Batang"/>
                <w:bCs/>
                <w:lang w:eastAsia="ko-KR"/>
              </w:rPr>
              <w:t>For multi-slot monitoring operation, the length X of the slot-group becomes the criterion for BD/CCE budget management. For example, for 960 kHz SCS, the UE has the BD budget of 20 per X=8 slots or [10] per X=4 slots. Since the slot-based monitoring is not supported for 480/960 kHz SCS, multi-slot monitoring becomes a mandatory monitoring operation including IDLE mode. Since UE assumption on the (X,Y) can affect BD/CCE budget handling within X slots, the default (X,Y) combination should be specified in the specification. At the previous meeting, RAN1 agreed to have a mandatorily supporting (X,Y) combinations for 480 kHz and 960 kHz SCS, i.e., (4,1) for 480 kHz and (8,1) for 960 kHz. These can be the default (X,Y) combination for each SCS, respectively. We propose to adopt the following text proposal to Clause 10 in TS 38.213 specification.</w:t>
            </w:r>
          </w:p>
          <w:p>
            <w:pPr>
              <w:widowControl w:val="0"/>
              <w:spacing w:before="120" w:line="240" w:lineRule="auto"/>
              <w:ind w:firstLine="220" w:firstLineChars="100"/>
              <w:rPr>
                <w:rFonts w:eastAsia="Batang"/>
                <w:b/>
                <w:lang w:eastAsia="ko-KR"/>
              </w:rPr>
            </w:pPr>
            <w:r>
              <w:rPr>
                <w:rFonts w:eastAsia="Batang"/>
                <w:b/>
                <w:lang w:eastAsia="ko-KR"/>
              </w:rPr>
              <w:t xml:space="preserve">Proposal #3: </w:t>
            </w:r>
            <w:r>
              <w:rPr>
                <w:rFonts w:hint="eastAsia" w:eastAsia="Batang"/>
                <w:b/>
                <w:lang w:eastAsia="ko-KR"/>
              </w:rPr>
              <w:t xml:space="preserve">Adopt the following text proposal in TS 38.213 </w:t>
            </w:r>
            <w:r>
              <w:rPr>
                <w:rFonts w:eastAsia="Batang"/>
                <w:b/>
                <w:lang w:eastAsia="ko-KR"/>
              </w:rPr>
              <w:t>Clause</w:t>
            </w:r>
            <w:r>
              <w:rPr>
                <w:rFonts w:hint="eastAsia" w:eastAsia="Batang"/>
                <w:b/>
                <w:lang w:eastAsia="ko-KR"/>
              </w:rPr>
              <w:t xml:space="preserve"> 10, </w:t>
            </w:r>
            <w:r>
              <w:rPr>
                <w:rFonts w:eastAsia="Batang"/>
                <w:b/>
                <w:lang w:eastAsia="ko-KR"/>
              </w:rPr>
              <w:t xml:space="preserve">to specify the default (X,Y) combination for multi-slot PDCCH monitoring. </w:t>
            </w:r>
          </w:p>
          <w:tbl>
            <w:tblPr>
              <w:tblStyle w:val="55"/>
              <w:tblW w:w="962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8" w:type="dxa"/>
                  <w:vAlign w:val="center"/>
                </w:tcPr>
                <w:p>
                  <w:pPr>
                    <w:widowControl w:val="0"/>
                    <w:spacing w:before="120" w:line="240" w:lineRule="auto"/>
                  </w:pPr>
                  <w:r>
                    <w:t>============ Start of TP for TS 38.213 [1] ==================</w:t>
                  </w:r>
                </w:p>
                <w:p>
                  <w:pPr>
                    <w:widowControl w:val="0"/>
                    <w:spacing w:before="120" w:line="240" w:lineRule="auto"/>
                    <w:rPr>
                      <w:b/>
                    </w:rPr>
                  </w:pPr>
                  <w:r>
                    <w:rPr>
                      <w:b/>
                    </w:rPr>
                    <w:t>10</w:t>
                  </w:r>
                  <w:r>
                    <w:rPr>
                      <w:rFonts w:hint="eastAsia"/>
                      <w:b/>
                    </w:rPr>
                    <w:tab/>
                  </w:r>
                  <w:r>
                    <w:rPr>
                      <w:b/>
                    </w:rPr>
                    <w:t>UE procedure for receiving control information</w:t>
                  </w:r>
                </w:p>
                <w:p>
                  <w:pPr>
                    <w:widowControl w:val="0"/>
                    <w:spacing w:before="120" w:line="240" w:lineRule="auto"/>
                    <w:rPr>
                      <w:color w:val="FF0000"/>
                      <w:lang w:eastAsia="ko-KR"/>
                    </w:rPr>
                  </w:pPr>
                  <w:r>
                    <w:rPr>
                      <w:color w:val="FF0000"/>
                      <w:lang w:eastAsia="ko-KR"/>
                    </w:rPr>
                    <w:t>&lt;&lt; Other parts are omitted &gt;&gt;</w:t>
                  </w:r>
                </w:p>
                <w:p>
                  <w:pPr>
                    <w:widowControl w:val="0"/>
                    <w:spacing w:line="240" w:lineRule="auto"/>
                    <w:rPr>
                      <w:rFonts w:eastAsia="宋体"/>
                    </w:rPr>
                  </w:pPr>
                  <w:r>
                    <w:rPr>
                      <w:rFonts w:eastAsia="宋体"/>
                    </w:rPr>
                    <w:t xml:space="preserve">If a UE is provided </w:t>
                  </w:r>
                  <w:r>
                    <w:rPr>
                      <w:rFonts w:eastAsia="宋体"/>
                      <w:i/>
                    </w:rPr>
                    <w:t>monitoringCapabilityConfig</w:t>
                  </w:r>
                  <w:r>
                    <w:rPr>
                      <w:rFonts w:eastAsia="宋体"/>
                    </w:rPr>
                    <w:t xml:space="preserve"> for a serving cell, the UE obtains an indication to monitor PDCCH on the serving cell for a maximum number of PDCCH candidates and non-overlapping CCEs </w:t>
                  </w:r>
                </w:p>
                <w:p>
                  <w:pPr>
                    <w:widowControl w:val="0"/>
                    <w:spacing w:line="240" w:lineRule="auto"/>
                    <w:ind w:left="568"/>
                    <w:rPr>
                      <w:rFonts w:eastAsia="宋体"/>
                    </w:rPr>
                  </w:pPr>
                  <w:r>
                    <w:rPr>
                      <w:rFonts w:eastAsia="宋体"/>
                    </w:rPr>
                    <w:t>-</w:t>
                  </w:r>
                  <w:r>
                    <w:rPr>
                      <w:rFonts w:eastAsia="宋体"/>
                    </w:rPr>
                    <w:tab/>
                  </w:r>
                  <w:r>
                    <w:rPr>
                      <w:rFonts w:eastAsia="宋体"/>
                    </w:rPr>
                    <w:t xml:space="preserve">per slot, as in Tables 10.1-2 and 10.1-3, if </w:t>
                  </w:r>
                  <w:r>
                    <w:rPr>
                      <w:rFonts w:eastAsia="宋体"/>
                      <w:i/>
                    </w:rPr>
                    <w:t>monitoringCapabilityConfig</w:t>
                  </w:r>
                  <w:r>
                    <w:rPr>
                      <w:rFonts w:eastAsia="宋体"/>
                    </w:rPr>
                    <w:t xml:space="preserve"> = </w:t>
                  </w:r>
                  <w:r>
                    <w:rPr>
                      <w:rFonts w:eastAsia="宋体"/>
                      <w:i/>
                    </w:rPr>
                    <w:t>r15monitoringcapability</w:t>
                  </w:r>
                  <w:r>
                    <w:rPr>
                      <w:rFonts w:eastAsia="宋体"/>
                    </w:rPr>
                    <w:t xml:space="preserve">, or </w:t>
                  </w:r>
                </w:p>
                <w:p>
                  <w:pPr>
                    <w:widowControl w:val="0"/>
                    <w:spacing w:line="240" w:lineRule="auto"/>
                    <w:ind w:left="568"/>
                    <w:rPr>
                      <w:rFonts w:eastAsia="宋体"/>
                    </w:rPr>
                  </w:pPr>
                  <w:r>
                    <w:rPr>
                      <w:rFonts w:eastAsia="宋体"/>
                    </w:rPr>
                    <w:t>-</w:t>
                  </w:r>
                  <w:r>
                    <w:rPr>
                      <w:rFonts w:eastAsia="宋体"/>
                    </w:rPr>
                    <w:tab/>
                  </w:r>
                  <w:r>
                    <w:rPr>
                      <w:rFonts w:eastAsia="宋体"/>
                    </w:rPr>
                    <w:t xml:space="preserve">per span, as in Tables 10.1-2A and 10.1-3A, if </w:t>
                  </w:r>
                  <w:r>
                    <w:rPr>
                      <w:rFonts w:eastAsia="宋体"/>
                      <w:i/>
                    </w:rPr>
                    <w:t>monitoringCapabilityConfig</w:t>
                  </w:r>
                  <w:r>
                    <w:rPr>
                      <w:rFonts w:eastAsia="宋体"/>
                    </w:rPr>
                    <w:t xml:space="preserve"> = </w:t>
                  </w:r>
                  <w:r>
                    <w:rPr>
                      <w:rFonts w:eastAsia="宋体"/>
                      <w:i/>
                    </w:rPr>
                    <w:t>r16monitoringcapability</w:t>
                  </w:r>
                </w:p>
                <w:p>
                  <w:pPr>
                    <w:widowControl w:val="0"/>
                    <w:spacing w:line="240" w:lineRule="auto"/>
                    <w:ind w:left="568"/>
                    <w:rPr>
                      <w:rFonts w:eastAsia="宋体"/>
                    </w:rPr>
                  </w:pPr>
                  <w:r>
                    <w:rPr>
                      <w:rFonts w:eastAsia="宋体"/>
                    </w:rPr>
                    <w:t>-</w:t>
                  </w:r>
                  <w:r>
                    <w:rPr>
                      <w:rFonts w:eastAsia="宋体"/>
                    </w:rPr>
                    <w:tab/>
                  </w:r>
                  <w:r>
                    <w:rPr>
                      <w:rFonts w:eastAsia="宋体"/>
                    </w:rPr>
                    <w:t xml:space="preserve">per group </w:t>
                  </w:r>
                  <w:r>
                    <w:rPr>
                      <w:rFonts w:eastAsia="宋体"/>
                      <w:lang w:eastAsia="zh-CN"/>
                    </w:rPr>
                    <w:t xml:space="preserve">of </w:t>
                  </w:r>
                  <m:oMath>
                    <m:sSub>
                      <m:sSubPr>
                        <m:ctrlPr>
                          <w:rPr>
                            <w:rFonts w:ascii="Cambria Math" w:hAnsi="Cambria Math" w:eastAsia="宋体"/>
                            <w:i/>
                            <w:lang w:val="zh-CN" w:eastAsia="zh-CN"/>
                          </w:rPr>
                        </m:ctrlPr>
                      </m:sSubPr>
                      <m:e>
                        <m:r>
                          <w:rPr>
                            <w:rFonts w:ascii="Cambria Math" w:hAnsi="Cambria Math" w:eastAsia="宋体"/>
                            <w:lang w:val="zh-CN" w:eastAsia="zh-CN"/>
                          </w:rPr>
                          <m:t>X</m:t>
                        </m:r>
                        <m:ctrlPr>
                          <w:rPr>
                            <w:rFonts w:ascii="Cambria Math" w:hAnsi="Cambria Math" w:eastAsia="宋体"/>
                            <w:i/>
                            <w:lang w:val="zh-CN" w:eastAsia="zh-CN"/>
                          </w:rPr>
                        </m:ctrlPr>
                      </m:e>
                      <m:sub>
                        <m:r>
                          <w:rPr>
                            <w:rFonts w:ascii="Cambria Math" w:hAnsi="Cambria Math" w:eastAsia="宋体"/>
                            <w:lang w:val="zh-CN" w:eastAsia="zh-CN"/>
                          </w:rPr>
                          <m:t>s</m:t>
                        </m:r>
                        <m:ctrlPr>
                          <w:rPr>
                            <w:rFonts w:ascii="Cambria Math" w:hAnsi="Cambria Math" w:eastAsia="宋体"/>
                            <w:i/>
                            <w:lang w:val="zh-CN" w:eastAsia="zh-CN"/>
                          </w:rPr>
                        </m:ctrlPr>
                      </m:sub>
                    </m:sSub>
                  </m:oMath>
                  <w:r>
                    <w:rPr>
                      <w:rFonts w:eastAsia="宋体"/>
                      <w:lang w:eastAsia="zh-CN"/>
                    </w:rPr>
                    <w:t xml:space="preserve"> slots</w:t>
                  </w:r>
                  <w:r>
                    <w:rPr>
                      <w:rFonts w:eastAsia="宋体"/>
                    </w:rPr>
                    <w:t xml:space="preserve"> </w:t>
                  </w:r>
                  <w:r>
                    <w:rPr>
                      <w:rFonts w:eastAsia="宋体"/>
                      <w:lang w:eastAsia="zh-CN"/>
                    </w:rPr>
                    <w:t xml:space="preserve">according to combination </w:t>
                  </w:r>
                  <m:oMath>
                    <m:d>
                      <m:dPr>
                        <m:ctrlPr>
                          <w:rPr>
                            <w:rFonts w:ascii="Cambria Math" w:hAnsi="Cambria Math" w:eastAsia="宋体"/>
                            <w:lang w:val="zh-CN" w:eastAsia="zh-CN"/>
                          </w:rPr>
                        </m:ctrlPr>
                      </m:dPr>
                      <m:e>
                        <m:sSub>
                          <m:sSubPr>
                            <m:ctrlPr>
                              <w:rPr>
                                <w:rFonts w:ascii="Cambria Math" w:hAnsi="Cambria Math" w:eastAsia="宋体"/>
                                <w:i/>
                                <w:lang w:val="zh-CN" w:eastAsia="zh-CN"/>
                              </w:rPr>
                            </m:ctrlPr>
                          </m:sSubPr>
                          <m:e>
                            <m:r>
                              <w:rPr>
                                <w:rFonts w:ascii="Cambria Math" w:hAnsi="Cambria Math" w:eastAsia="宋体"/>
                                <w:lang w:val="zh-CN" w:eastAsia="zh-CN"/>
                              </w:rPr>
                              <m:t>X</m:t>
                            </m:r>
                            <m:ctrlPr>
                              <w:rPr>
                                <w:rFonts w:ascii="Cambria Math" w:hAnsi="Cambria Math" w:eastAsia="宋体"/>
                                <w:i/>
                                <w:lang w:val="zh-CN" w:eastAsia="zh-CN"/>
                              </w:rPr>
                            </m:ctrlPr>
                          </m:e>
                          <m:sub>
                            <m:r>
                              <w:rPr>
                                <w:rFonts w:ascii="Cambria Math" w:hAnsi="Cambria Math" w:eastAsia="宋体"/>
                                <w:lang w:val="zh-CN" w:eastAsia="zh-CN"/>
                              </w:rPr>
                              <m:t>s</m:t>
                            </m:r>
                            <m:ctrlPr>
                              <w:rPr>
                                <w:rFonts w:ascii="Cambria Math" w:hAnsi="Cambria Math" w:eastAsia="宋体"/>
                                <w:i/>
                                <w:lang w:val="zh-CN" w:eastAsia="zh-CN"/>
                              </w:rPr>
                            </m:ctrlPr>
                          </m:sub>
                        </m:sSub>
                        <m:r>
                          <w:rPr>
                            <w:rFonts w:ascii="Cambria Math" w:hAnsi="Cambria Math" w:eastAsia="宋体"/>
                            <w:lang w:eastAsia="zh-CN"/>
                          </w:rPr>
                          <m:t>,</m:t>
                        </m:r>
                        <m:sSub>
                          <m:sSubPr>
                            <m:ctrlPr>
                              <w:rPr>
                                <w:rFonts w:ascii="Cambria Math" w:hAnsi="Cambria Math" w:eastAsia="宋体"/>
                                <w:i/>
                                <w:lang w:val="zh-CN" w:eastAsia="zh-CN"/>
                              </w:rPr>
                            </m:ctrlPr>
                          </m:sSubPr>
                          <m:e>
                            <m:r>
                              <w:rPr>
                                <w:rFonts w:ascii="Cambria Math" w:hAnsi="Cambria Math" w:eastAsia="宋体"/>
                                <w:lang w:val="zh-CN" w:eastAsia="zh-CN"/>
                              </w:rPr>
                              <m:t>Y</m:t>
                            </m:r>
                            <m:ctrlPr>
                              <w:rPr>
                                <w:rFonts w:ascii="Cambria Math" w:hAnsi="Cambria Math" w:eastAsia="宋体"/>
                                <w:i/>
                                <w:lang w:val="zh-CN" w:eastAsia="zh-CN"/>
                              </w:rPr>
                            </m:ctrlPr>
                          </m:e>
                          <m:sub>
                            <m:r>
                              <w:rPr>
                                <w:rFonts w:ascii="Cambria Math" w:hAnsi="Cambria Math" w:eastAsia="宋体"/>
                                <w:lang w:val="zh-CN" w:eastAsia="zh-CN"/>
                              </w:rPr>
                              <m:t>s</m:t>
                            </m:r>
                            <m:ctrlPr>
                              <w:rPr>
                                <w:rFonts w:ascii="Cambria Math" w:hAnsi="Cambria Math" w:eastAsia="宋体"/>
                                <w:i/>
                                <w:lang w:val="zh-CN" w:eastAsia="zh-CN"/>
                              </w:rPr>
                            </m:ctrlPr>
                          </m:sub>
                        </m:sSub>
                        <m:ctrlPr>
                          <w:rPr>
                            <w:rFonts w:ascii="Cambria Math" w:hAnsi="Cambria Math" w:eastAsia="宋体"/>
                            <w:lang w:val="zh-CN" w:eastAsia="zh-CN"/>
                          </w:rPr>
                        </m:ctrlPr>
                      </m:e>
                    </m:d>
                  </m:oMath>
                  <w:r>
                    <w:rPr>
                      <w:rFonts w:eastAsia="宋体"/>
                    </w:rPr>
                    <w:t xml:space="preserve">, as in Tables 10.1-2B and 10.1-3B, if </w:t>
                  </w:r>
                  <w:r>
                    <w:rPr>
                      <w:rFonts w:eastAsia="宋体"/>
                      <w:i/>
                    </w:rPr>
                    <w:t>monitoringCapabilityConfig</w:t>
                  </w:r>
                  <w:r>
                    <w:rPr>
                      <w:rFonts w:eastAsia="宋体"/>
                    </w:rPr>
                    <w:t xml:space="preserve"> = </w:t>
                  </w:r>
                  <w:r>
                    <w:rPr>
                      <w:rFonts w:eastAsia="宋体"/>
                      <w:i/>
                    </w:rPr>
                    <w:t>r17monitoringcapability</w:t>
                  </w:r>
                </w:p>
                <w:p>
                  <w:pPr>
                    <w:pStyle w:val="82"/>
                    <w:widowControl w:val="0"/>
                    <w:spacing w:before="120" w:after="120" w:line="240" w:lineRule="auto"/>
                    <w:ind w:left="0"/>
                    <w:rPr>
                      <w:rFonts w:ascii="Times New Roman" w:hAnsi="Times New Roman" w:eastAsia="宋体"/>
                    </w:rPr>
                  </w:pPr>
                  <w:r>
                    <w:rPr>
                      <w:rFonts w:ascii="Times New Roman" w:hAnsi="Times New Roman" w:eastAsia="宋体"/>
                    </w:rPr>
                    <w:t xml:space="preserve">If the UE is not provided </w:t>
                  </w:r>
                  <w:r>
                    <w:rPr>
                      <w:rFonts w:ascii="Times New Roman" w:hAnsi="Times New Roman" w:eastAsia="宋体"/>
                      <w:i/>
                    </w:rPr>
                    <w:t>monitoringCapabilityConfig</w:t>
                  </w:r>
                  <w:r>
                    <w:rPr>
                      <w:rFonts w:ascii="Times New Roman" w:hAnsi="Times New Roman" w:eastAsia="Malgun Gothic"/>
                      <w:lang w:eastAsia="ko-KR"/>
                    </w:rPr>
                    <w:t xml:space="preserve"> </w:t>
                  </w:r>
                  <w:r>
                    <w:rPr>
                      <w:rFonts w:ascii="Times New Roman" w:hAnsi="Times New Roman" w:eastAsia="宋体"/>
                      <w:color w:val="FF0000"/>
                    </w:rPr>
                    <w:t xml:space="preserve">for </w:t>
                  </w:r>
                  <m:oMath>
                    <m:r>
                      <m:rPr>
                        <m:sty m:val="p"/>
                      </m:rPr>
                      <w:rPr>
                        <w:rFonts w:ascii="Cambria Math" w:hAnsi="Cambria Math" w:eastAsia="宋体"/>
                        <w:color w:val="FF0000"/>
                        <w:lang w:val="en-GB"/>
                      </w:rPr>
                      <m:t>μ</m:t>
                    </m:r>
                  </m:oMath>
                  <w:r>
                    <w:rPr>
                      <w:rFonts w:ascii="Times New Roman" w:hAnsi="Times New Roman" w:eastAsia="宋体"/>
                      <w:color w:val="FF0000"/>
                      <w:lang w:val="en-GB"/>
                    </w:rPr>
                    <w:t>=0, 1, 2, or 3</w:t>
                  </w:r>
                  <w:r>
                    <w:rPr>
                      <w:rFonts w:ascii="Times New Roman" w:hAnsi="Times New Roman" w:eastAsia="宋体"/>
                    </w:rPr>
                    <w:t>, the UE monitors PDCCH on the serving cell for a maximum number of PDCCH candidates and non-overlapping CCEs per slot.</w:t>
                  </w:r>
                </w:p>
                <w:p>
                  <w:pPr>
                    <w:pStyle w:val="82"/>
                    <w:widowControl w:val="0"/>
                    <w:spacing w:before="120" w:after="120" w:line="240" w:lineRule="auto"/>
                    <w:ind w:left="0"/>
                    <w:rPr>
                      <w:color w:val="FF0000"/>
                      <w:lang w:eastAsia="ko-KR"/>
                    </w:rPr>
                  </w:pPr>
                  <w:r>
                    <w:rPr>
                      <w:rFonts w:ascii="Times New Roman" w:hAnsi="Times New Roman" w:eastAsia="宋体"/>
                      <w:color w:val="FF0000"/>
                    </w:rPr>
                    <w:t xml:space="preserve">If the UE is not provided </w:t>
                  </w:r>
                  <w:r>
                    <w:rPr>
                      <w:rFonts w:ascii="Times New Roman" w:hAnsi="Times New Roman" w:eastAsia="宋体"/>
                      <w:i/>
                      <w:color w:val="FF0000"/>
                    </w:rPr>
                    <w:t>monitoringCapabilityConfig</w:t>
                  </w:r>
                  <w:r>
                    <w:rPr>
                      <w:rFonts w:ascii="Times New Roman" w:hAnsi="Times New Roman" w:eastAsia="Malgun Gothic"/>
                      <w:color w:val="FF0000"/>
                      <w:lang w:eastAsia="ko-KR"/>
                    </w:rPr>
                    <w:t xml:space="preserve"> </w:t>
                  </w:r>
                  <w:r>
                    <w:rPr>
                      <w:rFonts w:ascii="Times New Roman" w:hAnsi="Times New Roman" w:eastAsia="宋体"/>
                      <w:color w:val="FF0000"/>
                    </w:rPr>
                    <w:t xml:space="preserve">for </w:t>
                  </w:r>
                  <m:oMath>
                    <m:r>
                      <m:rPr>
                        <m:sty m:val="p"/>
                      </m:rPr>
                      <w:rPr>
                        <w:rFonts w:ascii="Cambria Math" w:hAnsi="Cambria Math" w:eastAsia="宋体"/>
                        <w:color w:val="FF0000"/>
                        <w:lang w:val="en-GB"/>
                      </w:rPr>
                      <m:t>μ</m:t>
                    </m:r>
                  </m:oMath>
                  <w:r>
                    <w:rPr>
                      <w:rFonts w:ascii="Times New Roman" w:hAnsi="Times New Roman" w:eastAsia="宋体"/>
                      <w:color w:val="FF0000"/>
                      <w:lang w:val="en-GB"/>
                    </w:rPr>
                    <w:t>=5 or 6</w:t>
                  </w:r>
                  <w:r>
                    <w:rPr>
                      <w:rFonts w:ascii="Times New Roman" w:hAnsi="Times New Roman" w:eastAsia="宋体"/>
                      <w:color w:val="FF0000"/>
                    </w:rPr>
                    <w:t xml:space="preserve">, the UE monitors PDCCH on the serving cell for a maximum number of PDCCH candidates and non-overlapping CCEs per slot group of </w:t>
                  </w:r>
                  <m:oMath>
                    <m:sSub>
                      <m:sSubPr>
                        <m:ctrlPr>
                          <w:rPr>
                            <w:rFonts w:ascii="Cambria Math" w:hAnsi="Cambria Math" w:eastAsia="宋体"/>
                            <w:i/>
                            <w:color w:val="FF0000"/>
                            <w:lang w:eastAsia="zh-CN"/>
                          </w:rPr>
                        </m:ctrlPr>
                      </m:sSubPr>
                      <m:e>
                        <m:r>
                          <w:rPr>
                            <w:rFonts w:ascii="Cambria Math" w:hAnsi="Cambria Math" w:eastAsia="宋体"/>
                            <w:color w:val="FF0000"/>
                            <w:lang w:eastAsia="zh-CN"/>
                          </w:rPr>
                          <m:t>X</m:t>
                        </m:r>
                        <m:ctrlPr>
                          <w:rPr>
                            <w:rFonts w:ascii="Cambria Math" w:hAnsi="Cambria Math" w:eastAsia="宋体"/>
                            <w:i/>
                            <w:color w:val="FF0000"/>
                            <w:lang w:eastAsia="zh-CN"/>
                          </w:rPr>
                        </m:ctrlPr>
                      </m:e>
                      <m:sub>
                        <m:r>
                          <w:rPr>
                            <w:rFonts w:ascii="Cambria Math" w:hAnsi="Cambria Math" w:eastAsia="宋体"/>
                            <w:color w:val="FF0000"/>
                            <w:lang w:eastAsia="zh-CN"/>
                          </w:rPr>
                          <m:t>s</m:t>
                        </m:r>
                        <m:ctrlPr>
                          <w:rPr>
                            <w:rFonts w:ascii="Cambria Math" w:hAnsi="Cambria Math" w:eastAsia="宋体"/>
                            <w:i/>
                            <w:color w:val="FF0000"/>
                            <w:lang w:eastAsia="zh-CN"/>
                          </w:rPr>
                        </m:ctrlPr>
                      </m:sub>
                    </m:sSub>
                  </m:oMath>
                  <w:r>
                    <w:rPr>
                      <w:rFonts w:ascii="Times New Roman" w:hAnsi="Times New Roman" w:eastAsia="宋体"/>
                      <w:color w:val="FF0000"/>
                      <w:lang w:eastAsia="zh-CN"/>
                    </w:rPr>
                    <w:t xml:space="preserve"> slots according to combination </w:t>
                  </w:r>
                  <m:oMath>
                    <m:d>
                      <m:dPr>
                        <m:ctrlPr>
                          <w:rPr>
                            <w:rFonts w:ascii="Cambria Math" w:hAnsi="Cambria Math" w:eastAsia="宋体"/>
                            <w:color w:val="FF0000"/>
                            <w:lang w:val="en-GB" w:eastAsia="zh-CN"/>
                          </w:rPr>
                        </m:ctrlPr>
                      </m:dPr>
                      <m:e>
                        <m:sSub>
                          <m:sSubPr>
                            <m:ctrlPr>
                              <w:rPr>
                                <w:rFonts w:ascii="Cambria Math" w:hAnsi="Cambria Math" w:eastAsia="宋体"/>
                                <w:i/>
                                <w:color w:val="FF0000"/>
                                <w:lang w:val="en-GB" w:eastAsia="zh-CN"/>
                              </w:rPr>
                            </m:ctrlPr>
                          </m:sSubPr>
                          <m:e>
                            <m:r>
                              <w:rPr>
                                <w:rFonts w:ascii="Cambria Math" w:hAnsi="Cambria Math" w:eastAsia="宋体"/>
                                <w:color w:val="FF0000"/>
                                <w:lang w:val="en-GB" w:eastAsia="zh-CN"/>
                              </w:rPr>
                              <m:t>X</m:t>
                            </m:r>
                            <m:ctrlPr>
                              <w:rPr>
                                <w:rFonts w:ascii="Cambria Math" w:hAnsi="Cambria Math" w:eastAsia="宋体"/>
                                <w:i/>
                                <w:color w:val="FF0000"/>
                                <w:lang w:val="en-GB" w:eastAsia="zh-CN"/>
                              </w:rPr>
                            </m:ctrlPr>
                          </m:e>
                          <m:sub>
                            <m:r>
                              <w:rPr>
                                <w:rFonts w:ascii="Cambria Math" w:hAnsi="Cambria Math" w:eastAsia="宋体"/>
                                <w:color w:val="FF0000"/>
                                <w:lang w:val="en-GB" w:eastAsia="zh-CN"/>
                              </w:rPr>
                              <m:t>s</m:t>
                            </m:r>
                            <m:ctrlPr>
                              <w:rPr>
                                <w:rFonts w:ascii="Cambria Math" w:hAnsi="Cambria Math" w:eastAsia="宋体"/>
                                <w:i/>
                                <w:color w:val="FF0000"/>
                                <w:lang w:val="en-GB" w:eastAsia="zh-CN"/>
                              </w:rPr>
                            </m:ctrlPr>
                          </m:sub>
                        </m:sSub>
                        <m:r>
                          <w:rPr>
                            <w:rFonts w:ascii="Cambria Math" w:hAnsi="Cambria Math" w:eastAsia="宋体"/>
                            <w:color w:val="FF0000"/>
                            <w:lang w:val="en-GB" w:eastAsia="zh-CN"/>
                          </w:rPr>
                          <m:t>,</m:t>
                        </m:r>
                        <m:sSub>
                          <m:sSubPr>
                            <m:ctrlPr>
                              <w:rPr>
                                <w:rFonts w:ascii="Cambria Math" w:hAnsi="Cambria Math" w:eastAsia="宋体"/>
                                <w:i/>
                                <w:color w:val="FF0000"/>
                                <w:lang w:val="en-GB" w:eastAsia="zh-CN"/>
                              </w:rPr>
                            </m:ctrlPr>
                          </m:sSubPr>
                          <m:e>
                            <m:r>
                              <w:rPr>
                                <w:rFonts w:ascii="Cambria Math" w:hAnsi="Cambria Math" w:eastAsia="宋体"/>
                                <w:color w:val="FF0000"/>
                                <w:lang w:val="en-GB" w:eastAsia="zh-CN"/>
                              </w:rPr>
                              <m:t>Y</m:t>
                            </m:r>
                            <m:ctrlPr>
                              <w:rPr>
                                <w:rFonts w:ascii="Cambria Math" w:hAnsi="Cambria Math" w:eastAsia="宋体"/>
                                <w:i/>
                                <w:color w:val="FF0000"/>
                                <w:lang w:val="en-GB" w:eastAsia="zh-CN"/>
                              </w:rPr>
                            </m:ctrlPr>
                          </m:e>
                          <m:sub>
                            <m:r>
                              <w:rPr>
                                <w:rFonts w:ascii="Cambria Math" w:hAnsi="Cambria Math" w:eastAsia="宋体"/>
                                <w:color w:val="FF0000"/>
                                <w:lang w:val="en-GB" w:eastAsia="zh-CN"/>
                              </w:rPr>
                              <m:t>s</m:t>
                            </m:r>
                            <m:ctrlPr>
                              <w:rPr>
                                <w:rFonts w:ascii="Cambria Math" w:hAnsi="Cambria Math" w:eastAsia="宋体"/>
                                <w:i/>
                                <w:color w:val="FF0000"/>
                                <w:lang w:val="en-GB" w:eastAsia="zh-CN"/>
                              </w:rPr>
                            </m:ctrlPr>
                          </m:sub>
                        </m:sSub>
                        <m:ctrlPr>
                          <w:rPr>
                            <w:rFonts w:ascii="Cambria Math" w:hAnsi="Cambria Math" w:eastAsia="宋体"/>
                            <w:color w:val="FF0000"/>
                            <w:lang w:val="en-GB" w:eastAsia="zh-CN"/>
                          </w:rPr>
                        </m:ctrlPr>
                      </m:e>
                    </m:d>
                  </m:oMath>
                  <w:r>
                    <w:rPr>
                      <w:rFonts w:ascii="Times New Roman" w:hAnsi="Times New Roman" w:eastAsia="宋体"/>
                      <w:color w:val="FF0000"/>
                      <w:lang w:eastAsia="zh-CN"/>
                    </w:rPr>
                    <w:t xml:space="preserve">=(4,1) for </w:t>
                  </w:r>
                  <m:oMath>
                    <m:r>
                      <w:rPr>
                        <w:rFonts w:ascii="Cambria Math" w:hAnsi="Cambria Math" w:eastAsia="宋体"/>
                        <w:color w:val="FF0000"/>
                        <w:lang w:val="en-GB" w:eastAsia="zh-CN"/>
                      </w:rPr>
                      <m:t>μ</m:t>
                    </m:r>
                  </m:oMath>
                  <w:r>
                    <w:rPr>
                      <w:rFonts w:ascii="Times New Roman" w:hAnsi="Times New Roman" w:eastAsia="宋体"/>
                      <w:color w:val="FF0000"/>
                      <w:lang w:val="en-GB" w:eastAsia="zh-CN"/>
                    </w:rPr>
                    <w:t xml:space="preserve">=5 or </w:t>
                  </w:r>
                  <m:oMath>
                    <m:d>
                      <m:dPr>
                        <m:ctrlPr>
                          <w:rPr>
                            <w:rFonts w:ascii="Cambria Math" w:hAnsi="Cambria Math" w:eastAsia="宋体"/>
                            <w:color w:val="FF0000"/>
                            <w:lang w:val="en-GB" w:eastAsia="zh-CN"/>
                          </w:rPr>
                        </m:ctrlPr>
                      </m:dPr>
                      <m:e>
                        <m:sSub>
                          <m:sSubPr>
                            <m:ctrlPr>
                              <w:rPr>
                                <w:rFonts w:ascii="Cambria Math" w:hAnsi="Cambria Math" w:eastAsia="宋体"/>
                                <w:i/>
                                <w:color w:val="FF0000"/>
                                <w:lang w:val="en-GB" w:eastAsia="zh-CN"/>
                              </w:rPr>
                            </m:ctrlPr>
                          </m:sSubPr>
                          <m:e>
                            <m:r>
                              <w:rPr>
                                <w:rFonts w:ascii="Cambria Math" w:hAnsi="Cambria Math" w:eastAsia="宋体"/>
                                <w:color w:val="FF0000"/>
                                <w:lang w:val="en-GB" w:eastAsia="zh-CN"/>
                              </w:rPr>
                              <m:t>X</m:t>
                            </m:r>
                            <m:ctrlPr>
                              <w:rPr>
                                <w:rFonts w:ascii="Cambria Math" w:hAnsi="Cambria Math" w:eastAsia="宋体"/>
                                <w:i/>
                                <w:color w:val="FF0000"/>
                                <w:lang w:val="en-GB" w:eastAsia="zh-CN"/>
                              </w:rPr>
                            </m:ctrlPr>
                          </m:e>
                          <m:sub>
                            <m:r>
                              <w:rPr>
                                <w:rFonts w:ascii="Cambria Math" w:hAnsi="Cambria Math" w:eastAsia="宋体"/>
                                <w:color w:val="FF0000"/>
                                <w:lang w:val="en-GB" w:eastAsia="zh-CN"/>
                              </w:rPr>
                              <m:t>s</m:t>
                            </m:r>
                            <m:ctrlPr>
                              <w:rPr>
                                <w:rFonts w:ascii="Cambria Math" w:hAnsi="Cambria Math" w:eastAsia="宋体"/>
                                <w:i/>
                                <w:color w:val="FF0000"/>
                                <w:lang w:val="en-GB" w:eastAsia="zh-CN"/>
                              </w:rPr>
                            </m:ctrlPr>
                          </m:sub>
                        </m:sSub>
                        <m:r>
                          <w:rPr>
                            <w:rFonts w:ascii="Cambria Math" w:hAnsi="Cambria Math" w:eastAsia="宋体"/>
                            <w:color w:val="FF0000"/>
                            <w:lang w:val="en-GB" w:eastAsia="zh-CN"/>
                          </w:rPr>
                          <m:t>,</m:t>
                        </m:r>
                        <m:sSub>
                          <m:sSubPr>
                            <m:ctrlPr>
                              <w:rPr>
                                <w:rFonts w:ascii="Cambria Math" w:hAnsi="Cambria Math" w:eastAsia="宋体"/>
                                <w:i/>
                                <w:color w:val="FF0000"/>
                                <w:lang w:val="en-GB" w:eastAsia="zh-CN"/>
                              </w:rPr>
                            </m:ctrlPr>
                          </m:sSubPr>
                          <m:e>
                            <m:r>
                              <w:rPr>
                                <w:rFonts w:ascii="Cambria Math" w:hAnsi="Cambria Math" w:eastAsia="宋体"/>
                                <w:color w:val="FF0000"/>
                                <w:lang w:val="en-GB" w:eastAsia="zh-CN"/>
                              </w:rPr>
                              <m:t>Y</m:t>
                            </m:r>
                            <m:ctrlPr>
                              <w:rPr>
                                <w:rFonts w:ascii="Cambria Math" w:hAnsi="Cambria Math" w:eastAsia="宋体"/>
                                <w:i/>
                                <w:color w:val="FF0000"/>
                                <w:lang w:val="en-GB" w:eastAsia="zh-CN"/>
                              </w:rPr>
                            </m:ctrlPr>
                          </m:e>
                          <m:sub>
                            <m:r>
                              <w:rPr>
                                <w:rFonts w:ascii="Cambria Math" w:hAnsi="Cambria Math" w:eastAsia="宋体"/>
                                <w:color w:val="FF0000"/>
                                <w:lang w:val="en-GB" w:eastAsia="zh-CN"/>
                              </w:rPr>
                              <m:t>s</m:t>
                            </m:r>
                            <m:ctrlPr>
                              <w:rPr>
                                <w:rFonts w:ascii="Cambria Math" w:hAnsi="Cambria Math" w:eastAsia="宋体"/>
                                <w:i/>
                                <w:color w:val="FF0000"/>
                                <w:lang w:val="en-GB" w:eastAsia="zh-CN"/>
                              </w:rPr>
                            </m:ctrlPr>
                          </m:sub>
                        </m:sSub>
                        <m:ctrlPr>
                          <w:rPr>
                            <w:rFonts w:ascii="Cambria Math" w:hAnsi="Cambria Math" w:eastAsia="宋体"/>
                            <w:color w:val="FF0000"/>
                            <w:lang w:val="en-GB" w:eastAsia="zh-CN"/>
                          </w:rPr>
                        </m:ctrlPr>
                      </m:e>
                    </m:d>
                  </m:oMath>
                  <w:r>
                    <w:rPr>
                      <w:rFonts w:ascii="Times New Roman" w:hAnsi="Times New Roman" w:eastAsia="宋体"/>
                      <w:color w:val="FF0000"/>
                      <w:lang w:eastAsia="zh-CN"/>
                    </w:rPr>
                    <w:t xml:space="preserve">=(8,1) for </w:t>
                  </w:r>
                  <m:oMath>
                    <m:r>
                      <w:rPr>
                        <w:rFonts w:ascii="Cambria Math" w:hAnsi="Cambria Math" w:eastAsia="宋体"/>
                        <w:color w:val="FF0000"/>
                        <w:lang w:val="en-GB" w:eastAsia="zh-CN"/>
                      </w:rPr>
                      <m:t>μ</m:t>
                    </m:r>
                  </m:oMath>
                  <w:r>
                    <w:rPr>
                      <w:rFonts w:ascii="Times New Roman" w:hAnsi="Times New Roman" w:eastAsia="宋体"/>
                      <w:color w:val="FF0000"/>
                      <w:lang w:val="en-GB" w:eastAsia="zh-CN"/>
                    </w:rPr>
                    <w:t>=6</w:t>
                  </w:r>
                  <w:r>
                    <w:rPr>
                      <w:rFonts w:ascii="Times New Roman" w:hAnsi="Times New Roman" w:eastAsia="宋体"/>
                      <w:color w:val="FF0000"/>
                    </w:rPr>
                    <w:t>.</w:t>
                  </w:r>
                </w:p>
                <w:p>
                  <w:pPr>
                    <w:widowControl w:val="0"/>
                    <w:spacing w:before="120" w:line="240" w:lineRule="auto"/>
                    <w:rPr>
                      <w:color w:val="FF0000"/>
                      <w:lang w:eastAsia="ko-KR"/>
                    </w:rPr>
                  </w:pPr>
                  <w:r>
                    <w:rPr>
                      <w:color w:val="FF0000"/>
                      <w:lang w:eastAsia="ko-KR"/>
                    </w:rPr>
                    <w:t>&lt;&lt; Other parts are omitted &gt;&gt;</w:t>
                  </w:r>
                </w:p>
                <w:p>
                  <w:pPr>
                    <w:widowControl w:val="0"/>
                    <w:spacing w:before="120" w:line="240" w:lineRule="auto"/>
                  </w:pPr>
                  <w:r>
                    <w:t>============ End of TP for TS 38.213 ==================</w:t>
                  </w:r>
                </w:p>
              </w:tc>
            </w:tr>
          </w:tbl>
          <w:p>
            <w:pPr>
              <w:widowControl w:val="0"/>
              <w:spacing w:before="120" w:line="240" w:lineRule="auto"/>
              <w:rPr>
                <w:rFonts w:eastAsia="Batang"/>
                <w:bCs/>
                <w:lang w:eastAsia="ko-KR"/>
              </w:rPr>
            </w:pPr>
          </w:p>
          <w:p>
            <w:pPr>
              <w:widowControl w:val="0"/>
              <w:spacing w:before="120" w:line="240" w:lineRule="auto"/>
              <w:rPr>
                <w:rFonts w:eastAsia="Batang"/>
                <w:bCs/>
                <w:lang w:eastAsia="ko-KR"/>
              </w:rPr>
            </w:pPr>
            <w:r>
              <w:rPr>
                <w:rFonts w:eastAsia="Batang"/>
                <w:bCs/>
                <w:lang w:eastAsia="ko-KR"/>
              </w:rPr>
              <w:t>When the UE reports multiple (X,Y) combinations for multi-slot monitoring, the UE should determine the (X,Y) combination based on the configured SS set configuration parameters (e.g., periodicity, offset, …). However, it may be ambiguous which (X,Y) the UE should assume to check BD/CCE budget if the configured monitoring occasions are aligned with multiple (X,Y) combinations. For example, when a UE reports (4,1) and (8,1) as capable (X,Y) combinations for 960 kHz and the configured monitoring occasions may be aligned with both (4,1) and (8,1) combinations, the UE should select an active (X,Y) combination to handle the BD/CCE budget. As a similar handling as Rel-16 URLLC, the active (X,Y) can be simply selected as that with the largest BD/CCE budget among the reported combinations which match the configured MOs. In multi-slot monitoring behavior, the largest X have the largest BD/CCE budget, so this rule is equivalent to selecting the combination with the largest X. Among the (X,Y) combinations with the largest X, it may be reasonable to select one with the smallest Y.</w:t>
            </w:r>
          </w:p>
          <w:p>
            <w:pPr>
              <w:widowControl w:val="0"/>
              <w:spacing w:before="120" w:line="240" w:lineRule="auto"/>
              <w:ind w:firstLine="220" w:firstLineChars="100"/>
              <w:rPr>
                <w:rFonts w:eastAsia="Batang"/>
                <w:bCs/>
                <w:lang w:eastAsia="ko-KR"/>
              </w:rPr>
            </w:pPr>
            <w:r>
              <w:rPr>
                <w:rFonts w:eastAsia="Batang"/>
                <w:b/>
                <w:lang w:eastAsia="ko-KR"/>
              </w:rPr>
              <w:t xml:space="preserve">Proposal #4: In the multi-slot monitoring, when the monitoring occasions corresponding to multiple (X,Y) combinations are configured, the UE should monitor PDCCH candidates based on the (X,Y) combination </w:t>
            </w:r>
            <w:r>
              <w:rPr>
                <w:rFonts w:hint="eastAsia" w:eastAsia="Batang"/>
                <w:b/>
                <w:lang w:eastAsia="ko-KR"/>
              </w:rPr>
              <w:t xml:space="preserve">corresponding to </w:t>
            </w:r>
            <w:r>
              <w:rPr>
                <w:rFonts w:eastAsia="Batang"/>
                <w:b/>
                <w:lang w:eastAsia="ko-KR"/>
              </w:rPr>
              <w:t>the largest X (and the smallest Y that can be combined therewith) among the reported combinations that match the monitoring occasions.</w:t>
            </w:r>
          </w:p>
          <w:p>
            <w:pPr>
              <w:widowControl w:val="0"/>
              <w:spacing w:before="120" w:line="240" w:lineRule="auto"/>
              <w:rPr>
                <w:rFonts w:eastAsia="Batang"/>
                <w:bCs/>
                <w:lang w:eastAsia="ko-KR"/>
              </w:rPr>
            </w:pPr>
          </w:p>
          <w:p>
            <w:pPr>
              <w:widowControl w:val="0"/>
              <w:spacing w:before="120" w:line="240" w:lineRule="auto"/>
              <w:rPr>
                <w:rFonts w:eastAsia="Batang"/>
                <w:b/>
                <w:lang w:eastAsia="ko-KR"/>
              </w:rPr>
            </w:pPr>
          </w:p>
        </w:tc>
      </w:tr>
    </w:tbl>
    <w:p>
      <w:pPr>
        <w:rPr>
          <w:lang w:eastAsia="zh-CN"/>
        </w:rPr>
      </w:pPr>
    </w:p>
    <w:p>
      <w:pPr>
        <w:pStyle w:val="3"/>
      </w:pPr>
      <w:r>
        <w:t>Topic A2: Search Space Configuration/Enhancement</w:t>
      </w:r>
    </w:p>
    <w:p>
      <w:pPr>
        <w:pStyle w:val="4"/>
      </w:pPr>
      <w:r>
        <w:t>R1-2200953 (Huawei, HiSilicon)</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beforeLines="50" w:afterLines="50"/>
              <w:rPr>
                <w:b/>
                <w:i/>
                <w:szCs w:val="21"/>
              </w:rPr>
            </w:pPr>
            <w:r>
              <w:rPr>
                <w:b/>
                <w:i/>
                <w:szCs w:val="21"/>
              </w:rPr>
              <w:t xml:space="preserve">Observation 3: For Type0/0A/2-PDCCH CSS in Group (2) SS set, if searchSpaceID is set to 0, the configured periodicity in </w:t>
            </w:r>
            <w:r>
              <w:rPr>
                <w:b/>
                <w:i/>
                <w:iCs/>
                <w:szCs w:val="21"/>
              </w:rPr>
              <w:t xml:space="preserve">monitoringSlotPeriodicityAndOffset-r17 </w:t>
            </w:r>
            <w:r>
              <w:rPr>
                <w:b/>
                <w:i/>
                <w:szCs w:val="21"/>
              </w:rPr>
              <w:t>for the search space is irrelevant as the UE obtains the monitoring occasions based on the associated SSBs.</w:t>
            </w:r>
          </w:p>
          <w:p>
            <w:pPr>
              <w:widowControl w:val="0"/>
              <w:spacing w:before="120" w:beforeLines="50" w:afterLines="50"/>
              <w:rPr>
                <w:b/>
                <w:i/>
                <w:szCs w:val="21"/>
              </w:rPr>
            </w:pPr>
            <w:r>
              <w:rPr>
                <w:rStyle w:val="67"/>
                <w:b/>
                <w:i/>
              </w:rPr>
              <w:t xml:space="preserve">Observation 4: For </w:t>
            </w:r>
            <w:r>
              <w:rPr>
                <w:b/>
                <w:i/>
                <w:szCs w:val="21"/>
              </w:rPr>
              <w:t xml:space="preserve">Type0/0A/2-PDCCH CSS with searchSpaceID not equal to zero and Type1-PDCCH CSS, if </w:t>
            </w:r>
            <w:r>
              <w:rPr>
                <w:b/>
                <w:i/>
                <w:iCs/>
                <w:szCs w:val="21"/>
              </w:rPr>
              <w:t xml:space="preserve">periodicities </w:t>
            </w:r>
            <w:r>
              <w:rPr>
                <w:b/>
                <w:i/>
                <w:szCs w:val="21"/>
              </w:rPr>
              <w:t xml:space="preserve">is restricted to multiple of </w:t>
            </w:r>
            <m:oMath>
              <m:sSub>
                <m:sSubPr>
                  <m:ctrlPr>
                    <w:rPr>
                      <w:rFonts w:ascii="Cambria Math" w:hAnsi="Cambria Math"/>
                      <w:b/>
                      <w:i/>
                      <w:szCs w:val="21"/>
                    </w:rPr>
                  </m:ctrlPr>
                </m:sSubPr>
                <m:e>
                  <m:r>
                    <m:rPr>
                      <m:sty m:val="bi"/>
                    </m:rPr>
                    <w:rPr>
                      <w:rFonts w:ascii="Cambria Math" w:hAnsi="Cambria Math"/>
                      <w:szCs w:val="21"/>
                    </w:rPr>
                    <m:t>X</m:t>
                  </m:r>
                  <m:ctrlPr>
                    <w:rPr>
                      <w:rFonts w:ascii="Cambria Math" w:hAnsi="Cambria Math"/>
                      <w:b/>
                      <w:i/>
                      <w:szCs w:val="21"/>
                    </w:rPr>
                  </m:ctrlPr>
                </m:e>
                <m:sub>
                  <m:r>
                    <m:rPr>
                      <m:sty m:val="bi"/>
                    </m:rPr>
                    <w:rPr>
                      <w:rFonts w:ascii="Cambria Math" w:hAnsi="Cambria Math"/>
                      <w:szCs w:val="21"/>
                    </w:rPr>
                    <m:t>s</m:t>
                  </m:r>
                  <m:ctrlPr>
                    <w:rPr>
                      <w:rFonts w:ascii="Cambria Math" w:hAnsi="Cambria Math"/>
                      <w:b/>
                      <w:i/>
                      <w:szCs w:val="21"/>
                    </w:rPr>
                  </m:ctrlPr>
                </m:sub>
              </m:sSub>
            </m:oMath>
            <w:r>
              <w:rPr>
                <w:b/>
                <w:i/>
                <w:szCs w:val="21"/>
              </w:rPr>
              <w:t xml:space="preserve"> slots, then, only following periodicities cannot be used:</w:t>
            </w:r>
          </w:p>
          <w:p>
            <w:pPr>
              <w:pStyle w:val="82"/>
              <w:widowControl w:val="0"/>
              <w:numPr>
                <w:ilvl w:val="0"/>
                <w:numId w:val="76"/>
              </w:numPr>
              <w:autoSpaceDE w:val="0"/>
              <w:autoSpaceDN w:val="0"/>
              <w:adjustRightInd w:val="0"/>
              <w:spacing w:before="120" w:beforeLines="50" w:after="120" w:afterLines="50" w:line="240" w:lineRule="auto"/>
              <w:jc w:val="both"/>
              <w:rPr>
                <w:rStyle w:val="67"/>
                <w:b/>
                <w:i/>
              </w:rPr>
            </w:pPr>
            <w:r>
              <w:rPr>
                <w:b/>
                <w:i/>
                <w:sz w:val="21"/>
                <w:szCs w:val="21"/>
              </w:rPr>
              <w:t xml:space="preserve">For </w:t>
            </w:r>
            <m:oMath>
              <m:r>
                <m:rPr>
                  <m:sty m:val="bi"/>
                </m:rPr>
                <w:rPr>
                  <w:rStyle w:val="67"/>
                  <w:rFonts w:ascii="Cambria Math" w:hAnsi="Cambria Math"/>
                  <w:sz w:val="21"/>
                </w:rPr>
                <m:t>μ=5</m:t>
              </m:r>
            </m:oMath>
            <w:r>
              <w:rPr>
                <w:rStyle w:val="67"/>
                <w:b/>
                <w:i/>
                <w:sz w:val="21"/>
              </w:rPr>
              <w:t xml:space="preserve">, periodicities of A1 = {1,2,5,10} slots </w:t>
            </w:r>
          </w:p>
          <w:p>
            <w:pPr>
              <w:pStyle w:val="82"/>
              <w:widowControl w:val="0"/>
              <w:numPr>
                <w:ilvl w:val="0"/>
                <w:numId w:val="76"/>
              </w:numPr>
              <w:autoSpaceDE w:val="0"/>
              <w:autoSpaceDN w:val="0"/>
              <w:adjustRightInd w:val="0"/>
              <w:spacing w:before="120" w:beforeLines="50" w:after="120" w:afterLines="50" w:line="240" w:lineRule="auto"/>
              <w:jc w:val="both"/>
              <w:rPr>
                <w:rStyle w:val="67"/>
                <w:b/>
                <w:i/>
                <w:sz w:val="21"/>
              </w:rPr>
            </w:pPr>
            <w:r>
              <w:rPr>
                <w:rStyle w:val="67"/>
                <w:b/>
                <w:i/>
                <w:sz w:val="21"/>
              </w:rPr>
              <w:t xml:space="preserve">For </w:t>
            </w:r>
            <m:oMath>
              <m:r>
                <m:rPr>
                  <m:sty m:val="bi"/>
                </m:rPr>
                <w:rPr>
                  <w:rStyle w:val="67"/>
                  <w:rFonts w:ascii="Cambria Math" w:hAnsi="Cambria Math"/>
                  <w:sz w:val="21"/>
                </w:rPr>
                <m:t>μ=6</m:t>
              </m:r>
            </m:oMath>
            <w:r>
              <w:rPr>
                <w:rStyle w:val="67"/>
                <w:b/>
                <w:i/>
                <w:sz w:val="21"/>
              </w:rPr>
              <w:t xml:space="preserve">, periodicities of A1 = {1,2,5,10} slots if both </w:t>
            </w:r>
            <m:oMath>
              <m:sSub>
                <m:sSubPr>
                  <m:ctrlPr>
                    <w:rPr>
                      <w:rFonts w:ascii="Cambria Math" w:hAnsi="Cambria Math"/>
                      <w:b/>
                      <w:i/>
                      <w:sz w:val="21"/>
                      <w:szCs w:val="21"/>
                    </w:rPr>
                  </m:ctrlPr>
                </m:sSubPr>
                <m:e>
                  <m:r>
                    <m:rPr>
                      <m:sty m:val="bi"/>
                    </m:rPr>
                    <w:rPr>
                      <w:rFonts w:ascii="Cambria Math" w:hAnsi="Cambria Math"/>
                      <w:sz w:val="21"/>
                      <w:szCs w:val="21"/>
                    </w:rPr>
                    <m:t>X</m:t>
                  </m:r>
                  <m:ctrlPr>
                    <w:rPr>
                      <w:rFonts w:ascii="Cambria Math" w:hAnsi="Cambria Math"/>
                      <w:b/>
                      <w:i/>
                      <w:sz w:val="21"/>
                      <w:szCs w:val="21"/>
                    </w:rPr>
                  </m:ctrlPr>
                </m:e>
                <m:sub>
                  <m:r>
                    <m:rPr>
                      <m:sty m:val="bi"/>
                    </m:rPr>
                    <w:rPr>
                      <w:rFonts w:ascii="Cambria Math" w:hAnsi="Cambria Math"/>
                      <w:sz w:val="21"/>
                      <w:szCs w:val="21"/>
                    </w:rPr>
                    <m:t>s</m:t>
                  </m:r>
                  <m:ctrlPr>
                    <w:rPr>
                      <w:rFonts w:ascii="Cambria Math" w:hAnsi="Cambria Math"/>
                      <w:b/>
                      <w:i/>
                      <w:sz w:val="21"/>
                      <w:szCs w:val="21"/>
                    </w:rPr>
                  </m:ctrlPr>
                </m:sub>
              </m:sSub>
              <m:r>
                <m:rPr>
                  <m:sty m:val="bi"/>
                </m:rPr>
                <w:rPr>
                  <w:rFonts w:ascii="Cambria Math" w:hAnsi="Cambria Math"/>
                  <w:sz w:val="21"/>
                  <w:szCs w:val="21"/>
                </w:rPr>
                <m:t>={4,8}</m:t>
              </m:r>
            </m:oMath>
            <w:r>
              <w:rPr>
                <w:rStyle w:val="67"/>
                <w:b/>
                <w:i/>
                <w:sz w:val="21"/>
              </w:rPr>
              <w:t xml:space="preserve"> are supported and periodicities of A2 = {1,2,4,5,10,20} slots if only </w:t>
            </w:r>
            <m:oMath>
              <m:sSub>
                <m:sSubPr>
                  <m:ctrlPr>
                    <w:rPr>
                      <w:rFonts w:ascii="Cambria Math" w:hAnsi="Cambria Math"/>
                      <w:b/>
                      <w:i/>
                      <w:sz w:val="21"/>
                      <w:szCs w:val="21"/>
                    </w:rPr>
                  </m:ctrlPr>
                </m:sSubPr>
                <m:e>
                  <m:r>
                    <m:rPr>
                      <m:sty m:val="bi"/>
                    </m:rPr>
                    <w:rPr>
                      <w:rFonts w:ascii="Cambria Math" w:hAnsi="Cambria Math"/>
                      <w:sz w:val="21"/>
                      <w:szCs w:val="21"/>
                    </w:rPr>
                    <m:t>X</m:t>
                  </m:r>
                  <m:ctrlPr>
                    <w:rPr>
                      <w:rFonts w:ascii="Cambria Math" w:hAnsi="Cambria Math"/>
                      <w:b/>
                      <w:i/>
                      <w:sz w:val="21"/>
                      <w:szCs w:val="21"/>
                    </w:rPr>
                  </m:ctrlPr>
                </m:e>
                <m:sub>
                  <m:r>
                    <m:rPr>
                      <m:sty m:val="bi"/>
                    </m:rPr>
                    <w:rPr>
                      <w:rFonts w:ascii="Cambria Math" w:hAnsi="Cambria Math"/>
                      <w:sz w:val="21"/>
                      <w:szCs w:val="21"/>
                    </w:rPr>
                    <m:t>s</m:t>
                  </m:r>
                  <m:ctrlPr>
                    <w:rPr>
                      <w:rFonts w:ascii="Cambria Math" w:hAnsi="Cambria Math"/>
                      <w:b/>
                      <w:i/>
                      <w:sz w:val="21"/>
                      <w:szCs w:val="21"/>
                    </w:rPr>
                  </m:ctrlPr>
                </m:sub>
              </m:sSub>
              <m:r>
                <m:rPr>
                  <m:sty m:val="bi"/>
                </m:rPr>
                <w:rPr>
                  <w:rFonts w:ascii="Cambria Math" w:hAnsi="Cambria Math"/>
                  <w:sz w:val="21"/>
                  <w:szCs w:val="21"/>
                </w:rPr>
                <m:t>=8</m:t>
              </m:r>
            </m:oMath>
            <w:r>
              <w:rPr>
                <w:rStyle w:val="67"/>
                <w:b/>
                <w:i/>
                <w:sz w:val="21"/>
              </w:rPr>
              <w:t xml:space="preserve"> is supported. </w:t>
            </w:r>
          </w:p>
          <w:p>
            <w:pPr>
              <w:widowControl w:val="0"/>
              <w:spacing w:before="120" w:beforeLines="50" w:afterLines="50"/>
              <w:rPr>
                <w:rStyle w:val="67"/>
                <w:b/>
                <w:i/>
              </w:rPr>
            </w:pPr>
            <w:r>
              <w:rPr>
                <w:rStyle w:val="67"/>
                <w:b/>
                <w:i/>
              </w:rPr>
              <w:t xml:space="preserve">As, in absolute time, A1 = {1,2,5,10} slots </w:t>
            </w:r>
            <w:r>
              <w:rPr>
                <w:b/>
                <w:i/>
                <w:szCs w:val="21"/>
              </w:rPr>
              <w:t xml:space="preserve">for </w:t>
            </w:r>
            <m:oMath>
              <m:r>
                <m:rPr>
                  <m:sty m:val="bi"/>
                </m:rPr>
                <w:rPr>
                  <w:rStyle w:val="67"/>
                  <w:rFonts w:ascii="Cambria Math" w:hAnsi="Cambria Math"/>
                </w:rPr>
                <m:t>μ=5</m:t>
              </m:r>
            </m:oMath>
            <w:r>
              <w:rPr>
                <w:rStyle w:val="67"/>
                <w:b/>
                <w:i/>
              </w:rPr>
              <w:t xml:space="preserve"> is equal to B1 = {0.25, 0.5, 1.25, 2.5} slots for </w:t>
            </w:r>
            <m:oMath>
              <m:r>
                <m:rPr>
                  <m:sty m:val="bi"/>
                </m:rPr>
                <w:rPr>
                  <w:rStyle w:val="67"/>
                  <w:rFonts w:ascii="Cambria Math" w:hAnsi="Cambria Math"/>
                </w:rPr>
                <m:t>μ=3</m:t>
              </m:r>
            </m:oMath>
            <w:r>
              <w:rPr>
                <w:rStyle w:val="67"/>
                <w:b/>
                <w:i/>
              </w:rPr>
              <w:t xml:space="preserve">, and A2 = {1,2,4,5,10,20} slots for </w:t>
            </w:r>
            <m:oMath>
              <m:r>
                <m:rPr>
                  <m:sty m:val="bi"/>
                </m:rPr>
                <w:rPr>
                  <w:rStyle w:val="67"/>
                  <w:rFonts w:ascii="Cambria Math" w:hAnsi="Cambria Math"/>
                </w:rPr>
                <m:t>μ=5</m:t>
              </m:r>
            </m:oMath>
            <w:r>
              <w:rPr>
                <w:rStyle w:val="67"/>
                <w:b/>
                <w:i/>
              </w:rPr>
              <w:t xml:space="preserve"> is equal to  B2 = {0.125, 0.25, 0.5, 0.625, 1.25, 2.5} slots for </w:t>
            </w:r>
            <m:oMath>
              <m:r>
                <m:rPr>
                  <m:sty m:val="bi"/>
                </m:rPr>
                <w:rPr>
                  <w:rStyle w:val="67"/>
                  <w:rFonts w:ascii="Cambria Math" w:hAnsi="Cambria Math"/>
                </w:rPr>
                <m:t>μ=3,</m:t>
              </m:r>
            </m:oMath>
            <w:r>
              <w:rPr>
                <w:rStyle w:val="67"/>
                <w:b/>
                <w:i/>
              </w:rPr>
              <w:t xml:space="preserve"> none of the restricted periodicities in A1 or A2 is a supported value (in an absolute time) for a search space periodicity in Rel-15/16. </w:t>
            </w:r>
          </w:p>
          <w:p>
            <w:pPr>
              <w:widowControl w:val="0"/>
              <w:spacing w:before="120" w:beforeLines="50" w:afterLines="50"/>
              <w:rPr>
                <w:szCs w:val="21"/>
              </w:rPr>
            </w:pPr>
            <w:r>
              <w:rPr>
                <w:szCs w:val="21"/>
              </w:rPr>
              <w:t>In our view, the simplicity of using the same set of supported periodicities for both Group (1) SS and Group (2) SS along with above Observation 3 and Observation 4, strongly justify the following:</w:t>
            </w:r>
          </w:p>
          <w:p>
            <w:pPr>
              <w:widowControl w:val="0"/>
              <w:spacing w:before="120" w:beforeLines="50" w:afterLines="50"/>
              <w:rPr>
                <w:b/>
                <w:i/>
                <w:szCs w:val="21"/>
              </w:rPr>
            </w:pPr>
            <w:r>
              <w:rPr>
                <w:b/>
                <w:i/>
                <w:szCs w:val="21"/>
              </w:rPr>
              <w:t xml:space="preserve">Proposal 4: In addition to the configured periodicity for Group (1) SSs, the configured periodicity for Group (2) SSs is also restricted to be an integer multiple of </w:t>
            </w:r>
            <m:oMath>
              <m:sSub>
                <m:sSubPr>
                  <m:ctrlPr>
                    <w:rPr>
                      <w:rFonts w:ascii="Cambria Math" w:hAnsi="Cambria Math"/>
                      <w:b/>
                      <w:i/>
                      <w:szCs w:val="21"/>
                    </w:rPr>
                  </m:ctrlPr>
                </m:sSubPr>
                <m:e>
                  <m:r>
                    <m:rPr>
                      <m:sty m:val="bi"/>
                    </m:rPr>
                    <w:rPr>
                      <w:rFonts w:ascii="Cambria Math" w:hAnsi="Cambria Math"/>
                      <w:szCs w:val="21"/>
                    </w:rPr>
                    <m:t>X</m:t>
                  </m:r>
                  <m:ctrlPr>
                    <w:rPr>
                      <w:rFonts w:ascii="Cambria Math" w:hAnsi="Cambria Math"/>
                      <w:b/>
                      <w:i/>
                      <w:szCs w:val="21"/>
                    </w:rPr>
                  </m:ctrlPr>
                </m:e>
                <m:sub>
                  <m:r>
                    <m:rPr>
                      <m:sty m:val="bi"/>
                    </m:rPr>
                    <w:rPr>
                      <w:rFonts w:ascii="Cambria Math" w:hAnsi="Cambria Math"/>
                      <w:szCs w:val="21"/>
                    </w:rPr>
                    <m:t>s</m:t>
                  </m:r>
                  <m:ctrlPr>
                    <w:rPr>
                      <w:rFonts w:ascii="Cambria Math" w:hAnsi="Cambria Math"/>
                      <w:b/>
                      <w:i/>
                      <w:szCs w:val="21"/>
                    </w:rPr>
                  </m:ctrlPr>
                </m:sub>
              </m:sSub>
            </m:oMath>
            <w:r>
              <w:rPr>
                <w:b/>
                <w:i/>
                <w:szCs w:val="21"/>
              </w:rPr>
              <w:t xml:space="preserve"> slots.</w:t>
            </w:r>
          </w:p>
          <w:p>
            <w:pPr>
              <w:widowControl w:val="0"/>
              <w:spacing w:line="240" w:lineRule="auto"/>
              <w:contextualSpacing/>
              <w:rPr>
                <w:color w:val="000000"/>
              </w:rPr>
            </w:pPr>
          </w:p>
          <w:p>
            <w:pPr>
              <w:widowControl w:val="0"/>
              <w:spacing w:line="240" w:lineRule="auto"/>
              <w:contextualSpacing/>
              <w:rPr>
                <w:color w:val="000000"/>
              </w:rPr>
            </w:pPr>
          </w:p>
          <w:p>
            <w:pPr>
              <w:widowControl w:val="0"/>
              <w:spacing w:before="120" w:beforeLines="50" w:afterLines="50"/>
              <w:rPr>
                <w:rFonts w:eastAsia="宋体"/>
                <w:szCs w:val="21"/>
              </w:rPr>
            </w:pPr>
            <w:r>
              <w:rPr>
                <w:szCs w:val="21"/>
              </w:rPr>
              <w:t xml:space="preserve">Further, let us take a look at the offset in </w:t>
            </w:r>
            <w:r>
              <w:rPr>
                <w:rFonts w:eastAsia="宋体"/>
                <w:i/>
                <w:szCs w:val="21"/>
              </w:rPr>
              <w:t>monitoringPeriodicityAndOffset-r17</w:t>
            </w:r>
            <w:r>
              <w:rPr>
                <w:rFonts w:eastAsia="宋体"/>
                <w:szCs w:val="21"/>
              </w:rPr>
              <w:t>. T</w:t>
            </w:r>
            <w:r>
              <w:rPr>
                <w:szCs w:val="21"/>
              </w:rPr>
              <w:t xml:space="preserve">he offset in </w:t>
            </w:r>
            <w:r>
              <w:rPr>
                <w:rFonts w:eastAsia="宋体"/>
                <w:i/>
                <w:szCs w:val="21"/>
              </w:rPr>
              <w:t>monitoringPeriodicityAndOffset</w:t>
            </w:r>
            <w:r>
              <w:rPr>
                <w:rFonts w:eastAsia="宋体"/>
                <w:szCs w:val="21"/>
              </w:rPr>
              <w:t xml:space="preserve"> in Rel-15/16 indicates the </w:t>
            </w:r>
            <w:r>
              <w:rPr>
                <w:szCs w:val="21"/>
              </w:rPr>
              <w:t xml:space="preserve">starting slot index of monitoring occasions. However, in Rel-17, the indication of starting slot within a slot group is already provided  by </w:t>
            </w:r>
            <w:r>
              <w:rPr>
                <w:rFonts w:eastAsia="宋体"/>
                <w:i/>
                <w:szCs w:val="21"/>
              </w:rPr>
              <w:t>monitoringSlotsWithinSlotGroup-r17</w:t>
            </w:r>
            <w:r>
              <w:rPr>
                <w:rFonts w:eastAsia="宋体"/>
                <w:szCs w:val="21"/>
              </w:rPr>
              <w:t xml:space="preserve"> and </w:t>
            </w:r>
            <w:r>
              <w:rPr>
                <w:szCs w:val="21"/>
              </w:rPr>
              <w:t xml:space="preserve">the offset in </w:t>
            </w:r>
            <w:r>
              <w:rPr>
                <w:rFonts w:eastAsia="宋体"/>
                <w:i/>
                <w:szCs w:val="21"/>
              </w:rPr>
              <w:t>monitoringPeriodicityAndOffset-r17</w:t>
            </w:r>
            <w:r>
              <w:rPr>
                <w:rFonts w:eastAsia="宋体"/>
                <w:szCs w:val="21"/>
              </w:rPr>
              <w:t xml:space="preserve"> needs only to indicate the starting slot index of the </w:t>
            </w:r>
            <m:oMath>
              <m:sSub>
                <m:sSubPr>
                  <m:ctrlPr>
                    <w:rPr>
                      <w:rStyle w:val="67"/>
                      <w:rFonts w:ascii="Cambria Math" w:hAnsi="Cambria Math"/>
                    </w:rPr>
                  </m:ctrlPr>
                </m:sSubPr>
                <m:e>
                  <m:r>
                    <w:rPr>
                      <w:rStyle w:val="67"/>
                      <w:rFonts w:ascii="Cambria Math" w:hAnsi="Cambria Math"/>
                    </w:rPr>
                    <m:t>X</m:t>
                  </m:r>
                  <m:ctrlPr>
                    <w:rPr>
                      <w:rStyle w:val="67"/>
                      <w:rFonts w:ascii="Cambria Math" w:hAnsi="Cambria Math"/>
                    </w:rPr>
                  </m:ctrlPr>
                </m:e>
                <m:sub>
                  <m:r>
                    <w:rPr>
                      <w:rStyle w:val="67"/>
                      <w:rFonts w:ascii="Cambria Math" w:hAnsi="Cambria Math"/>
                    </w:rPr>
                    <m:t>s</m:t>
                  </m:r>
                  <m:ctrlPr>
                    <w:rPr>
                      <w:rStyle w:val="67"/>
                      <w:rFonts w:ascii="Cambria Math" w:hAnsi="Cambria Math"/>
                    </w:rPr>
                  </m:ctrlPr>
                </m:sub>
              </m:sSub>
            </m:oMath>
            <w:r>
              <w:rPr>
                <w:rStyle w:val="67"/>
                <w:rFonts w:eastAsia="宋体"/>
              </w:rPr>
              <w:t xml:space="preserve"> </w:t>
            </w:r>
            <w:r>
              <w:rPr>
                <w:rFonts w:eastAsia="宋体"/>
                <w:szCs w:val="21"/>
              </w:rPr>
              <w:t xml:space="preserve">slot group containing monitoring occasions. For example, </w:t>
            </w:r>
            <w:r>
              <w:rPr>
                <w:szCs w:val="21"/>
              </w:rPr>
              <w:t xml:space="preserve">suppose that the MOs start in the 5-th slot, </w:t>
            </w:r>
            <w:r>
              <w:rPr>
                <w:color w:val="000000"/>
                <w:szCs w:val="21"/>
              </w:rPr>
              <w:t xml:space="preserve">as shown in </w:t>
            </w:r>
            <w:r>
              <w:rPr>
                <w:color w:val="000000"/>
                <w:szCs w:val="21"/>
              </w:rPr>
              <w:fldChar w:fldCharType="begin"/>
            </w:r>
            <w:r>
              <w:rPr>
                <w:color w:val="000000"/>
                <w:szCs w:val="21"/>
              </w:rPr>
              <w:instrText xml:space="preserve"> REF _Ref92445553 \h  \* MERGEFORMAT </w:instrText>
            </w:r>
            <w:r>
              <w:rPr>
                <w:color w:val="000000"/>
                <w:szCs w:val="21"/>
              </w:rPr>
              <w:fldChar w:fldCharType="separate"/>
            </w:r>
            <w:r>
              <w:rPr>
                <w:color w:val="000000"/>
                <w:szCs w:val="21"/>
              </w:rPr>
              <w:t>Figure 1</w:t>
            </w:r>
            <w:r>
              <w:rPr>
                <w:color w:val="000000"/>
                <w:szCs w:val="21"/>
              </w:rPr>
              <w:fldChar w:fldCharType="end"/>
            </w:r>
            <w:r>
              <w:rPr>
                <w:color w:val="000000"/>
                <w:szCs w:val="21"/>
              </w:rPr>
              <w:t>.</w:t>
            </w:r>
            <w:r>
              <w:rPr>
                <w:szCs w:val="21"/>
              </w:rPr>
              <w:t xml:space="preserve"> In this case, the offset in </w:t>
            </w:r>
            <w:r>
              <w:rPr>
                <w:rFonts w:eastAsia="宋体"/>
                <w:i/>
                <w:szCs w:val="21"/>
              </w:rPr>
              <w:t>monitoringPeriodicityAndOffset-r17</w:t>
            </w:r>
            <w:r>
              <w:rPr>
                <w:rFonts w:eastAsia="宋体"/>
                <w:szCs w:val="21"/>
              </w:rPr>
              <w:t xml:space="preserve"> can be 4 slots while </w:t>
            </w:r>
            <w:r>
              <w:rPr>
                <w:rFonts w:eastAsia="宋体"/>
                <w:i/>
                <w:szCs w:val="21"/>
              </w:rPr>
              <w:t>monitoringSlotsWithinSlotGroup-r17</w:t>
            </w:r>
            <w:r>
              <w:rPr>
                <w:rFonts w:eastAsia="宋体"/>
                <w:szCs w:val="21"/>
              </w:rPr>
              <w:t xml:space="preserve"> = 0110000.</w:t>
            </w:r>
          </w:p>
          <w:p>
            <w:pPr>
              <w:widowControl w:val="0"/>
              <w:spacing w:before="120" w:beforeLines="50" w:afterLines="50"/>
              <w:rPr>
                <w:rFonts w:eastAsia="宋体" w:cstheme="minorHAnsi"/>
                <w:b/>
                <w:bCs/>
                <w:szCs w:val="21"/>
              </w:rPr>
            </w:pPr>
            <w:r>
              <w:rPr>
                <w:rFonts w:eastAsia="宋体" w:cstheme="minorHAnsi"/>
                <w:b/>
                <w:bCs/>
                <w:sz w:val="20"/>
                <w:szCs w:val="20"/>
              </w:rPr>
              <mc:AlternateContent>
                <mc:Choice Requires="wpc">
                  <w:drawing>
                    <wp:inline distT="0" distB="0" distL="0" distR="0">
                      <wp:extent cx="5273675" cy="3040380"/>
                      <wp:effectExtent l="0" t="0" r="22225" b="26670"/>
                      <wp:docPr id="109" name="画布 2"/>
                      <wp:cNvGraphicFramePr/>
                      <a:graphic xmlns:a="http://schemas.openxmlformats.org/drawingml/2006/main">
                        <a:graphicData uri="http://schemas.microsoft.com/office/word/2010/wordprocessingCanvas">
                          <wpc:wpc>
                            <wpc:bg/>
                            <wpc:whole>
                              <a:ln>
                                <a:solidFill>
                                  <a:schemeClr val="bg1">
                                    <a:lumMod val="50000"/>
                                  </a:schemeClr>
                                </a:solidFill>
                              </a:ln>
                            </wpc:whole>
                            <wps:wsp>
                              <wps:cNvPr id="33" name="文本框 4"/>
                              <wps:cNvSpPr txBox="1"/>
                              <wps:spPr>
                                <a:xfrm>
                                  <a:off x="117540" y="34505"/>
                                  <a:ext cx="4360651" cy="2105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pPr>
                                      <w:pStyle w:val="49"/>
                                      <w:spacing w:before="0" w:beforeAutospacing="0" w:after="0" w:afterAutospacing="0"/>
                                      <w:jc w:val="both"/>
                                    </w:pPr>
                                    <w:r>
                                      <w:rPr>
                                        <w:rFonts w:hAnsi="Calibri" w:asciiTheme="minorHAnsi" w:cstheme="minorBidi"/>
                                        <w:color w:val="000000" w:themeColor="text1"/>
                                        <w:kern w:val="24"/>
                                        <w:sz w:val="20"/>
                                        <w:szCs w:val="20"/>
                                        <w14:textFill>
                                          <w14:solidFill>
                                            <w14:schemeClr w14:val="tx1"/>
                                          </w14:solidFill>
                                        </w14:textFill>
                                      </w:rPr>
                                      <w:t xml:space="preserve">e.g., </w:t>
                                    </w:r>
                                    <w:r>
                                      <w:rPr>
                                        <w:rFonts w:hAnsi="Calibri" w:asciiTheme="minorHAnsi" w:cstheme="minorBidi"/>
                                        <w:i/>
                                        <w:iCs/>
                                        <w:color w:val="4F81BD" w:themeColor="accent1"/>
                                        <w:kern w:val="24"/>
                                        <w:sz w:val="20"/>
                                        <w:szCs w:val="20"/>
                                        <w14:textFill>
                                          <w14:solidFill>
                                            <w14:schemeClr w14:val="accent1"/>
                                          </w14:solidFill>
                                        </w14:textFill>
                                      </w:rPr>
                                      <w:t>monitoringPeriodicityAndOffset-r17</w:t>
                                    </w:r>
                                    <w:r>
                                      <w:rPr>
                                        <w:rFonts w:hAnsi="Calibri" w:asciiTheme="minorHAnsi" w:cstheme="minorBidi"/>
                                        <w:i/>
                                        <w:iCs/>
                                        <w:color w:val="000000" w:themeColor="text1"/>
                                        <w:kern w:val="24"/>
                                        <w:sz w:val="20"/>
                                        <w:szCs w:val="20"/>
                                        <w14:textFill>
                                          <w14:solidFill>
                                            <w14:schemeClr w14:val="tx1"/>
                                          </w14:solidFill>
                                        </w14:textFill>
                                      </w:rPr>
                                      <w:t xml:space="preserve"> </w:t>
                                    </w:r>
                                    <w:r>
                                      <w:rPr>
                                        <w:rFonts w:hAnsi="Calibri" w:asciiTheme="minorHAnsi" w:cstheme="minorBidi"/>
                                        <w:color w:val="000000" w:themeColor="text1"/>
                                        <w:kern w:val="24"/>
                                        <w:sz w:val="20"/>
                                        <w:szCs w:val="20"/>
                                        <w14:textFill>
                                          <w14:solidFill>
                                            <w14:schemeClr w14:val="tx1"/>
                                          </w14:solidFill>
                                        </w14:textFill>
                                      </w:rPr>
                                      <w:t xml:space="preserve">= (sl32, 4 slots) and </w:t>
                                    </w:r>
                                    <w:r>
                                      <w:rPr>
                                        <w:rFonts w:hAnsi="Calibri" w:asciiTheme="minorHAnsi" w:cstheme="minorBidi"/>
                                        <w:i/>
                                        <w:iCs/>
                                        <w:color w:val="4F81BD" w:themeColor="accent1"/>
                                        <w:kern w:val="24"/>
                                        <w:sz w:val="20"/>
                                        <w:szCs w:val="20"/>
                                        <w14:textFill>
                                          <w14:solidFill>
                                            <w14:schemeClr w14:val="accent1"/>
                                          </w14:solidFill>
                                        </w14:textFill>
                                      </w:rPr>
                                      <w:t>duration-r17</w:t>
                                    </w:r>
                                    <w:r>
                                      <w:rPr>
                                        <w:rFonts w:hAnsi="Calibri" w:asciiTheme="minorHAnsi" w:cstheme="minorBidi"/>
                                        <w:color w:val="000000" w:themeColor="text1"/>
                                        <w:kern w:val="24"/>
                                        <w:sz w:val="20"/>
                                        <w:szCs w:val="20"/>
                                        <w14:textFill>
                                          <w14:solidFill>
                                            <w14:schemeClr w14:val="tx1"/>
                                          </w14:solidFill>
                                        </w14:textFill>
                                      </w:rPr>
                                      <w:t xml:space="preserve"> = 12 slots</w:t>
                                    </w:r>
                                  </w:p>
                                </w:txbxContent>
                              </wps:txbx>
                              <wps:bodyPr rot="0" spcFirstLastPara="0" vert="horz" wrap="square" lIns="0" tIns="0" rIns="0" bIns="0" numCol="1" spcCol="0" rtlCol="0" fromWordArt="0" anchor="t" anchorCtr="0" forceAA="0" compatLnSpc="1">
                                <a:noAutofit/>
                              </wps:bodyPr>
                            </wps:wsp>
                            <wps:wsp>
                              <wps:cNvPr id="34" name="直接箭头连接符 321"/>
                              <wps:cNvCnPr/>
                              <wps:spPr>
                                <a:xfrm>
                                  <a:off x="117540" y="982800"/>
                                  <a:ext cx="874394"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35" name="直接连接符 322"/>
                              <wps:cNvCnPr/>
                              <wps:spPr>
                                <a:xfrm>
                                  <a:off x="121344" y="813129"/>
                                  <a:ext cx="0" cy="714323"/>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36" name="直接连接符 323"/>
                              <wps:cNvCnPr/>
                              <wps:spPr>
                                <a:xfrm>
                                  <a:off x="996651" y="541900"/>
                                  <a:ext cx="1284" cy="985744"/>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37" name="文本框 4"/>
                              <wps:cNvSpPr txBox="1"/>
                              <wps:spPr>
                                <a:xfrm>
                                  <a:off x="151085" y="829502"/>
                                  <a:ext cx="827145" cy="20415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pStyle w:val="49"/>
                                      <w:spacing w:before="0" w:beforeAutospacing="0" w:after="0" w:afterAutospacing="0"/>
                                      <w:jc w:val="center"/>
                                    </w:pPr>
                                    <w:r>
                                      <w:rPr>
                                        <w:rFonts w:hAnsi="Calibri" w:asciiTheme="minorHAnsi"/>
                                        <w:color w:val="000000" w:themeColor="dark1"/>
                                        <w:kern w:val="24"/>
                                        <w:sz w:val="18"/>
                                        <w:szCs w:val="18"/>
                                        <w14:textFill>
                                          <w14:solidFill>
                                            <w14:schemeClr w14:val="dk1"/>
                                          </w14:solidFill>
                                        </w14:textFill>
                                      </w:rPr>
                                      <w:t>offset = 4 slots</w:t>
                                    </w:r>
                                  </w:p>
                                </w:txbxContent>
                              </wps:txbx>
                              <wps:bodyPr rot="0" spcFirstLastPara="0" vert="horz" wrap="square" lIns="0" tIns="0" rIns="0" bIns="0" numCol="1" spcCol="0" rtlCol="0" fromWordArt="0" anchor="t" anchorCtr="0" forceAA="0" compatLnSpc="1">
                                <a:noAutofit/>
                              </wps:bodyPr>
                            </wps:wsp>
                            <wps:wsp>
                              <wps:cNvPr id="38" name="直接箭头连接符 325"/>
                              <wps:cNvCnPr/>
                              <wps:spPr>
                                <a:xfrm>
                                  <a:off x="976866" y="982800"/>
                                  <a:ext cx="2629443"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39" name="直接连接符 326"/>
                              <wps:cNvCnPr/>
                              <wps:spPr>
                                <a:xfrm>
                                  <a:off x="3621481" y="813239"/>
                                  <a:ext cx="0" cy="714405"/>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54" name="文本框 4"/>
                              <wps:cNvSpPr txBox="1"/>
                              <wps:spPr>
                                <a:xfrm>
                                  <a:off x="1465574" y="813129"/>
                                  <a:ext cx="1801501" cy="16967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pStyle w:val="49"/>
                                      <w:spacing w:before="0" w:beforeAutospacing="0" w:after="0" w:afterAutospacing="0"/>
                                      <w:jc w:val="center"/>
                                    </w:pPr>
                                    <w:r>
                                      <w:rPr>
                                        <w:rFonts w:hAnsi="Calibri" w:asciiTheme="minorHAnsi"/>
                                        <w:color w:val="000000"/>
                                        <w:kern w:val="24"/>
                                        <w:sz w:val="18"/>
                                        <w:szCs w:val="18"/>
                                      </w:rPr>
                                      <w:t>duration = 12 slots = 3 slot groups</w:t>
                                    </w:r>
                                  </w:p>
                                </w:txbxContent>
                              </wps:txbx>
                              <wps:bodyPr rot="0" spcFirstLastPara="0" vert="horz" wrap="square" lIns="0" tIns="0" rIns="0" bIns="0" numCol="1" spcCol="0" rtlCol="0" fromWordArt="0" anchor="t" anchorCtr="0" forceAA="0" compatLnSpc="1">
                                <a:noAutofit/>
                              </wps:bodyPr>
                            </wps:wsp>
                            <wps:wsp>
                              <wps:cNvPr id="56" name="直接连接符 328"/>
                              <wps:cNvCnPr/>
                              <wps:spPr>
                                <a:xfrm>
                                  <a:off x="4054368" y="505215"/>
                                  <a:ext cx="0" cy="1022360"/>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57" name="直接箭头连接符 329"/>
                              <wps:cNvCnPr/>
                              <wps:spPr>
                                <a:xfrm>
                                  <a:off x="976866" y="652957"/>
                                  <a:ext cx="3078732"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58" name="文本框 4"/>
                              <wps:cNvSpPr txBox="1"/>
                              <wps:spPr>
                                <a:xfrm>
                                  <a:off x="2099941" y="482352"/>
                                  <a:ext cx="1174147" cy="19390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pStyle w:val="49"/>
                                      <w:spacing w:before="0" w:beforeAutospacing="0" w:after="0" w:afterAutospacing="0"/>
                                      <w:jc w:val="center"/>
                                    </w:pPr>
                                    <w:r>
                                      <w:rPr>
                                        <w:rFonts w:hAnsi="Calibri" w:eastAsia="Cambria Math" w:cs="Calibri" w:asciiTheme="minorHAnsi"/>
                                        <w:color w:val="000000"/>
                                        <w:kern w:val="24"/>
                                        <w:sz w:val="18"/>
                                        <w:szCs w:val="18"/>
                                      </w:rPr>
                                      <w:t>periodicity = 32 slots</w:t>
                                    </w:r>
                                  </w:p>
                                </w:txbxContent>
                              </wps:txbx>
                              <wps:bodyPr rot="0" spcFirstLastPara="0" vert="horz" wrap="square" lIns="0" tIns="0" rIns="0" bIns="0" numCol="1" spcCol="0" rtlCol="0" fromWordArt="0" anchor="t" anchorCtr="0" forceAA="0" compatLnSpc="1">
                                <a:noAutofit/>
                              </wps:bodyPr>
                            </wps:wsp>
                            <wps:wsp>
                              <wps:cNvPr id="59" name="矩形 332"/>
                              <wps:cNvSpPr/>
                              <wps:spPr>
                                <a:xfrm>
                                  <a:off x="1031523" y="1050843"/>
                                  <a:ext cx="804545" cy="241935"/>
                                </a:xfrm>
                                <a:prstGeom prst="rect">
                                  <a:avLst/>
                                </a:prstGeom>
                              </wps:spPr>
                              <wps:txbx>
                                <w:txbxContent>
                                  <w:p>
                                    <w:pPr>
                                      <w:pStyle w:val="49"/>
                                      <w:spacing w:before="0" w:beforeAutospacing="0" w:after="0" w:afterAutospacing="0"/>
                                      <w:jc w:val="center"/>
                                    </w:pPr>
                                    <m:oMath>
                                      <m:sSub>
                                        <m:sSubPr>
                                          <m:ctrlPr>
                                            <w:rPr>
                                              <w:rFonts w:ascii="Cambria Math" w:hAnsi="Cambria Math" w:cstheme="minorBidi"/>
                                              <w:i/>
                                              <w:iCs/>
                                              <w:color w:val="000000" w:themeColor="text1"/>
                                              <w:kern w:val="24"/>
                                              <w:sz w:val="18"/>
                                              <w:szCs w:val="18"/>
                                              <w14:textFill>
                                                <w14:solidFill>
                                                  <w14:schemeClr w14:val="tx1"/>
                                                </w14:solidFill>
                                              </w14:textFill>
                                            </w:rPr>
                                          </m:ctrlPr>
                                        </m:sSubPr>
                                        <m:e>
                                          <m:r>
                                            <w:rPr>
                                              <w:rFonts w:ascii="Cambria Math" w:hAnsi="Cambria Math" w:cstheme="minorBidi"/>
                                              <w:color w:val="000000" w:themeColor="text1"/>
                                              <w:kern w:val="24"/>
                                              <w:sz w:val="18"/>
                                              <w:szCs w:val="18"/>
                                              <w14:textFill>
                                                <w14:solidFill>
                                                  <w14:schemeClr w14:val="tx1"/>
                                                </w14:solidFill>
                                              </w14:textFill>
                                            </w:rPr>
                                            <m:t>X</m:t>
                                          </m:r>
                                          <m:ctrlPr>
                                            <w:rPr>
                                              <w:rFonts w:ascii="Cambria Math" w:hAnsi="Cambria Math" w:cstheme="minorBidi"/>
                                              <w:i/>
                                              <w:iCs/>
                                              <w:color w:val="000000" w:themeColor="text1"/>
                                              <w:kern w:val="24"/>
                                              <w:sz w:val="18"/>
                                              <w:szCs w:val="18"/>
                                              <w14:textFill>
                                                <w14:solidFill>
                                                  <w14:schemeClr w14:val="tx1"/>
                                                </w14:solidFill>
                                              </w14:textFill>
                                            </w:rPr>
                                          </m:ctrlPr>
                                        </m:e>
                                        <m:sub>
                                          <m:r>
                                            <w:rPr>
                                              <w:rFonts w:ascii="Cambria Math" w:hAnsi="Cambria Math" w:cstheme="minorBidi"/>
                                              <w:color w:val="000000" w:themeColor="text1"/>
                                              <w:kern w:val="24"/>
                                              <w:sz w:val="18"/>
                                              <w:szCs w:val="18"/>
                                              <w14:textFill>
                                                <w14:solidFill>
                                                  <w14:schemeClr w14:val="tx1"/>
                                                </w14:solidFill>
                                              </w14:textFill>
                                            </w:rPr>
                                            <m:t>s</m:t>
                                          </m:r>
                                          <m:ctrlPr>
                                            <w:rPr>
                                              <w:rFonts w:ascii="Cambria Math" w:hAnsi="Cambria Math" w:cstheme="minorBidi"/>
                                              <w:i/>
                                              <w:iCs/>
                                              <w:color w:val="000000" w:themeColor="text1"/>
                                              <w:kern w:val="24"/>
                                              <w:sz w:val="18"/>
                                              <w:szCs w:val="18"/>
                                              <w14:textFill>
                                                <w14:solidFill>
                                                  <w14:schemeClr w14:val="tx1"/>
                                                </w14:solidFill>
                                              </w14:textFill>
                                            </w:rPr>
                                          </m:ctrlPr>
                                        </m:sub>
                                      </m:sSub>
                                      <m:r>
                                        <m:rPr>
                                          <m:sty m:val="p"/>
                                        </m:rPr>
                                        <w:rPr>
                                          <w:rFonts w:ascii="Cambria Math" w:hAnsi="Cambria Math" w:cstheme="minorBidi"/>
                                          <w:color w:val="000000" w:themeColor="text1"/>
                                          <w:kern w:val="24"/>
                                          <w:sz w:val="18"/>
                                          <w:szCs w:val="18"/>
                                          <w14:textFill>
                                            <w14:solidFill>
                                              <w14:schemeClr w14:val="tx1"/>
                                            </w14:solidFill>
                                          </w14:textFill>
                                        </w:rPr>
                                        <m:t>=4</m:t>
                                      </m:r>
                                    </m:oMath>
                                    <w:r>
                                      <w:rPr>
                                        <w:rFonts w:hAnsi="Calibri" w:asciiTheme="minorHAnsi" w:cstheme="minorBidi"/>
                                        <w:color w:val="000000"/>
                                        <w:kern w:val="24"/>
                                        <w:sz w:val="18"/>
                                        <w:szCs w:val="18"/>
                                      </w:rPr>
                                      <w:t xml:space="preserve"> slots</w:t>
                                    </w:r>
                                  </w:p>
                                </w:txbxContent>
                              </wps:txbx>
                              <wps:bodyPr wrap="square">
                                <a:spAutoFit/>
                              </wps:bodyPr>
                            </wps:wsp>
                            <wps:wsp>
                              <wps:cNvPr id="60" name="圆角矩形 333"/>
                              <wps:cNvSpPr/>
                              <wps:spPr>
                                <a:xfrm>
                                  <a:off x="1018297"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1" name="圆角矩形 334"/>
                              <wps:cNvSpPr/>
                              <wps:spPr>
                                <a:xfrm>
                                  <a:off x="1170494"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圆角矩形 335"/>
                              <wps:cNvSpPr/>
                              <wps:spPr>
                                <a:xfrm>
                                  <a:off x="1318247" y="2186138"/>
                                  <a:ext cx="147327" cy="272422"/>
                                </a:xfrm>
                                <a:prstGeom prst="roundRect">
                                  <a:avLst/>
                                </a:prstGeom>
                                <a:pattFill prst="ltUpDiag"/>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圆角矩形 336"/>
                              <wps:cNvSpPr/>
                              <wps:spPr>
                                <a:xfrm>
                                  <a:off x="1470444"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4" name="圆角矩形 337"/>
                              <wps:cNvSpPr/>
                              <wps:spPr>
                                <a:xfrm>
                                  <a:off x="1617771" y="2186138"/>
                                  <a:ext cx="147328"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 name="圆角矩形 338"/>
                              <wps:cNvSpPr/>
                              <wps:spPr>
                                <a:xfrm>
                                  <a:off x="1767458" y="2186138"/>
                                  <a:ext cx="14732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 name="圆角矩形 339"/>
                              <wps:cNvSpPr/>
                              <wps:spPr>
                                <a:xfrm>
                                  <a:off x="1915211"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7" name="圆角矩形 340"/>
                              <wps:cNvSpPr/>
                              <wps:spPr>
                                <a:xfrm>
                                  <a:off x="2067408"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 name="圆角矩形 341"/>
                              <wps:cNvSpPr/>
                              <wps:spPr>
                                <a:xfrm>
                                  <a:off x="2217168"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圆角矩形 342"/>
                              <wps:cNvSpPr/>
                              <wps:spPr>
                                <a:xfrm>
                                  <a:off x="2369365"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0" name="圆角矩形 343"/>
                              <wps:cNvSpPr/>
                              <wps:spPr>
                                <a:xfrm>
                                  <a:off x="2517118"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圆角矩形 344"/>
                              <wps:cNvSpPr/>
                              <wps:spPr>
                                <a:xfrm>
                                  <a:off x="2669315"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圆角矩形 345"/>
                              <wps:cNvSpPr/>
                              <wps:spPr>
                                <a:xfrm>
                                  <a:off x="2819303"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3" name="圆角矩形 346"/>
                              <wps:cNvSpPr/>
                              <wps:spPr>
                                <a:xfrm>
                                  <a:off x="2971500"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 name="矩形 347"/>
                              <wps:cNvSpPr/>
                              <wps:spPr>
                                <a:xfrm>
                                  <a:off x="1329461" y="2574685"/>
                                  <a:ext cx="440055" cy="241935"/>
                                </a:xfrm>
                                <a:prstGeom prst="rect">
                                  <a:avLst/>
                                </a:prstGeom>
                              </wps:spPr>
                              <wps:txbx>
                                <w:txbxContent>
                                  <w:p>
                                    <w:pPr>
                                      <w:pStyle w:val="49"/>
                                      <w:spacing w:before="0" w:beforeAutospacing="0" w:after="0" w:afterAutospacing="0"/>
                                    </w:pPr>
                                    <w:r>
                                      <w:rPr>
                                        <w:rFonts w:hAnsi="Calibri" w:asciiTheme="minorHAnsi" w:cstheme="minorBidi"/>
                                        <w:color w:val="000000"/>
                                        <w:kern w:val="24"/>
                                        <w:sz w:val="18"/>
                                        <w:szCs w:val="18"/>
                                      </w:rPr>
                                      <w:t>3 OSs</w:t>
                                    </w:r>
                                  </w:p>
                                </w:txbxContent>
                              </wps:txbx>
                              <wps:bodyPr wrap="none">
                                <a:spAutoFit/>
                              </wps:bodyPr>
                            </wps:wsp>
                            <wps:wsp>
                              <wps:cNvPr id="75" name="左大括号 348"/>
                              <wps:cNvSpPr/>
                              <wps:spPr>
                                <a:xfrm rot="16200000">
                                  <a:off x="1495127" y="2317302"/>
                                  <a:ext cx="103269" cy="451669"/>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76" name="矩形 349"/>
                              <wps:cNvSpPr/>
                              <wps:spPr>
                                <a:xfrm>
                                  <a:off x="2083934" y="2576812"/>
                                  <a:ext cx="440055" cy="241935"/>
                                </a:xfrm>
                                <a:prstGeom prst="rect">
                                  <a:avLst/>
                                </a:prstGeom>
                              </wps:spPr>
                              <wps:txbx>
                                <w:txbxContent>
                                  <w:p>
                                    <w:pPr>
                                      <w:pStyle w:val="49"/>
                                      <w:spacing w:before="0" w:beforeAutospacing="0" w:after="0" w:afterAutospacing="0"/>
                                    </w:pPr>
                                    <w:r>
                                      <w:rPr>
                                        <w:rFonts w:hAnsi="Calibri" w:asciiTheme="minorHAnsi" w:cstheme="minorBidi"/>
                                        <w:color w:val="000000"/>
                                        <w:kern w:val="24"/>
                                        <w:sz w:val="18"/>
                                        <w:szCs w:val="18"/>
                                      </w:rPr>
                                      <w:t>3 OSs</w:t>
                                    </w:r>
                                  </w:p>
                                </w:txbxContent>
                              </wps:txbx>
                              <wps:bodyPr wrap="none">
                                <a:spAutoFit/>
                              </wps:bodyPr>
                            </wps:wsp>
                            <wps:wsp>
                              <wps:cNvPr id="77" name="左大括号 350"/>
                              <wps:cNvSpPr/>
                              <wps:spPr>
                                <a:xfrm rot="16200000">
                                  <a:off x="2249600" y="2319429"/>
                                  <a:ext cx="103269" cy="451669"/>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78" name="圆角矩形 351"/>
                              <wps:cNvSpPr/>
                              <wps:spPr>
                                <a:xfrm>
                                  <a:off x="999972"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9" name="圆角矩形 352"/>
                              <wps:cNvSpPr/>
                              <wps:spPr>
                                <a:xfrm>
                                  <a:off x="1215747"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 name="圆角矩形 353"/>
                              <wps:cNvSpPr/>
                              <wps:spPr>
                                <a:xfrm>
                                  <a:off x="1435205"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 name="圆角矩形 354"/>
                              <wps:cNvSpPr/>
                              <wps:spPr>
                                <a:xfrm>
                                  <a:off x="1652264"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 name="左大括号 355"/>
                              <wps:cNvSpPr/>
                              <wps:spPr>
                                <a:xfrm rot="16200000" flipH="1">
                                  <a:off x="1371604" y="881635"/>
                                  <a:ext cx="127335" cy="872902"/>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83" name="圆角矩形 356"/>
                              <wps:cNvSpPr/>
                              <wps:spPr>
                                <a:xfrm>
                                  <a:off x="1877326"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 name="圆角矩形 357"/>
                              <wps:cNvSpPr/>
                              <wps:spPr>
                                <a:xfrm>
                                  <a:off x="2093101"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5" name="圆角矩形 358"/>
                              <wps:cNvSpPr/>
                              <wps:spPr>
                                <a:xfrm>
                                  <a:off x="2312559"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 name="圆角矩形 359"/>
                              <wps:cNvSpPr/>
                              <wps:spPr>
                                <a:xfrm>
                                  <a:off x="2529618"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7" name="圆角矩形 360"/>
                              <wps:cNvSpPr/>
                              <wps:spPr>
                                <a:xfrm>
                                  <a:off x="341960"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 name="圆角矩形 361"/>
                              <wps:cNvSpPr/>
                              <wps:spPr>
                                <a:xfrm>
                                  <a:off x="561418"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9" name="圆角矩形 362"/>
                              <wps:cNvSpPr/>
                              <wps:spPr>
                                <a:xfrm>
                                  <a:off x="778477"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0" name="圆角矩形 363"/>
                              <wps:cNvSpPr/>
                              <wps:spPr>
                                <a:xfrm>
                                  <a:off x="2749730"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1" name="圆角矩形 364"/>
                              <wps:cNvSpPr/>
                              <wps:spPr>
                                <a:xfrm>
                                  <a:off x="2965506"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2" name="圆角矩形 365"/>
                              <wps:cNvSpPr/>
                              <wps:spPr>
                                <a:xfrm>
                                  <a:off x="3184964"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3" name="圆角矩形 366"/>
                              <wps:cNvSpPr/>
                              <wps:spPr>
                                <a:xfrm>
                                  <a:off x="3402022" y="1391433"/>
                                  <a:ext cx="219459"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4" name="矩形 367"/>
                              <wps:cNvSpPr/>
                              <wps:spPr>
                                <a:xfrm>
                                  <a:off x="1914670" y="1053948"/>
                                  <a:ext cx="803910" cy="241935"/>
                                </a:xfrm>
                                <a:prstGeom prst="rect">
                                  <a:avLst/>
                                </a:prstGeom>
                              </wps:spPr>
                              <wps:txbx>
                                <w:txbxContent>
                                  <w:p>
                                    <w:pPr>
                                      <w:pStyle w:val="49"/>
                                      <w:spacing w:before="0" w:beforeAutospacing="0" w:after="0" w:afterAutospacing="0"/>
                                      <w:jc w:val="center"/>
                                    </w:pPr>
                                    <m:oMath>
                                      <m:sSub>
                                        <m:sSubPr>
                                          <m:ctrlPr>
                                            <w:rPr>
                                              <w:rFonts w:ascii="Cambria Math" w:hAnsi="Cambria Math" w:cstheme="minorBidi"/>
                                              <w:i/>
                                              <w:iCs/>
                                              <w:color w:val="000000" w:themeColor="text1"/>
                                              <w:kern w:val="24"/>
                                              <w:sz w:val="18"/>
                                              <w:szCs w:val="18"/>
                                              <w14:textFill>
                                                <w14:solidFill>
                                                  <w14:schemeClr w14:val="tx1"/>
                                                </w14:solidFill>
                                              </w14:textFill>
                                            </w:rPr>
                                          </m:ctrlPr>
                                        </m:sSubPr>
                                        <m:e>
                                          <m:r>
                                            <w:rPr>
                                              <w:rFonts w:ascii="Cambria Math" w:hAnsi="Cambria Math" w:cstheme="minorBidi"/>
                                              <w:color w:val="000000" w:themeColor="text1"/>
                                              <w:kern w:val="24"/>
                                              <w:sz w:val="18"/>
                                              <w:szCs w:val="18"/>
                                              <w14:textFill>
                                                <w14:solidFill>
                                                  <w14:schemeClr w14:val="tx1"/>
                                                </w14:solidFill>
                                              </w14:textFill>
                                            </w:rPr>
                                            <m:t>X</m:t>
                                          </m:r>
                                          <m:ctrlPr>
                                            <w:rPr>
                                              <w:rFonts w:ascii="Cambria Math" w:hAnsi="Cambria Math" w:cstheme="minorBidi"/>
                                              <w:i/>
                                              <w:iCs/>
                                              <w:color w:val="000000" w:themeColor="text1"/>
                                              <w:kern w:val="24"/>
                                              <w:sz w:val="18"/>
                                              <w:szCs w:val="18"/>
                                              <w14:textFill>
                                                <w14:solidFill>
                                                  <w14:schemeClr w14:val="tx1"/>
                                                </w14:solidFill>
                                              </w14:textFill>
                                            </w:rPr>
                                          </m:ctrlPr>
                                        </m:e>
                                        <m:sub>
                                          <m:r>
                                            <w:rPr>
                                              <w:rFonts w:ascii="Cambria Math" w:hAnsi="Cambria Math" w:cstheme="minorBidi"/>
                                              <w:color w:val="000000" w:themeColor="text1"/>
                                              <w:kern w:val="24"/>
                                              <w:sz w:val="18"/>
                                              <w:szCs w:val="18"/>
                                              <w14:textFill>
                                                <w14:solidFill>
                                                  <w14:schemeClr w14:val="tx1"/>
                                                </w14:solidFill>
                                              </w14:textFill>
                                            </w:rPr>
                                            <m:t>s</m:t>
                                          </m:r>
                                          <m:ctrlPr>
                                            <w:rPr>
                                              <w:rFonts w:ascii="Cambria Math" w:hAnsi="Cambria Math" w:cstheme="minorBidi"/>
                                              <w:i/>
                                              <w:iCs/>
                                              <w:color w:val="000000" w:themeColor="text1"/>
                                              <w:kern w:val="24"/>
                                              <w:sz w:val="18"/>
                                              <w:szCs w:val="18"/>
                                              <w14:textFill>
                                                <w14:solidFill>
                                                  <w14:schemeClr w14:val="tx1"/>
                                                </w14:solidFill>
                                              </w14:textFill>
                                            </w:rPr>
                                          </m:ctrlPr>
                                        </m:sub>
                                      </m:sSub>
                                      <m:r>
                                        <m:rPr>
                                          <m:sty m:val="p"/>
                                        </m:rPr>
                                        <w:rPr>
                                          <w:rFonts w:ascii="Cambria Math" w:hAnsi="Cambria Math" w:cstheme="minorBidi"/>
                                          <w:color w:val="000000" w:themeColor="text1"/>
                                          <w:kern w:val="24"/>
                                          <w:sz w:val="18"/>
                                          <w:szCs w:val="18"/>
                                          <w14:textFill>
                                            <w14:solidFill>
                                              <w14:schemeClr w14:val="tx1"/>
                                            </w14:solidFill>
                                          </w14:textFill>
                                        </w:rPr>
                                        <m:t>=4</m:t>
                                      </m:r>
                                    </m:oMath>
                                    <w:r>
                                      <w:rPr>
                                        <w:rFonts w:hAnsi="Calibri" w:asciiTheme="minorHAnsi" w:cstheme="minorBidi"/>
                                        <w:color w:val="000000"/>
                                        <w:kern w:val="24"/>
                                        <w:sz w:val="18"/>
                                        <w:szCs w:val="18"/>
                                      </w:rPr>
                                      <w:t xml:space="preserve"> slots</w:t>
                                    </w:r>
                                  </w:p>
                                </w:txbxContent>
                              </wps:txbx>
                              <wps:bodyPr wrap="square">
                                <a:spAutoFit/>
                              </wps:bodyPr>
                            </wps:wsp>
                            <wps:wsp>
                              <wps:cNvPr id="95" name="左大括号 368"/>
                              <wps:cNvSpPr/>
                              <wps:spPr>
                                <a:xfrm rot="16200000" flipH="1">
                                  <a:off x="2251854" y="887635"/>
                                  <a:ext cx="127336" cy="867109"/>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96" name="矩形 369"/>
                              <wps:cNvSpPr/>
                              <wps:spPr>
                                <a:xfrm>
                                  <a:off x="2772872" y="1053948"/>
                                  <a:ext cx="803910" cy="241935"/>
                                </a:xfrm>
                                <a:prstGeom prst="rect">
                                  <a:avLst/>
                                </a:prstGeom>
                              </wps:spPr>
                              <wps:txbx>
                                <w:txbxContent>
                                  <w:p>
                                    <w:pPr>
                                      <w:pStyle w:val="49"/>
                                      <w:spacing w:before="0" w:beforeAutospacing="0" w:after="0" w:afterAutospacing="0"/>
                                      <w:jc w:val="center"/>
                                    </w:pPr>
                                    <m:oMath>
                                      <m:sSub>
                                        <m:sSubPr>
                                          <m:ctrlPr>
                                            <w:rPr>
                                              <w:rFonts w:ascii="Cambria Math" w:hAnsi="Cambria Math" w:cstheme="minorBidi"/>
                                              <w:i/>
                                              <w:iCs/>
                                              <w:color w:val="000000" w:themeColor="text1"/>
                                              <w:kern w:val="24"/>
                                              <w:sz w:val="18"/>
                                              <w:szCs w:val="18"/>
                                              <w14:textFill>
                                                <w14:solidFill>
                                                  <w14:schemeClr w14:val="tx1"/>
                                                </w14:solidFill>
                                              </w14:textFill>
                                            </w:rPr>
                                          </m:ctrlPr>
                                        </m:sSubPr>
                                        <m:e>
                                          <m:r>
                                            <w:rPr>
                                              <w:rFonts w:ascii="Cambria Math" w:hAnsi="Cambria Math" w:cstheme="minorBidi"/>
                                              <w:color w:val="000000" w:themeColor="text1"/>
                                              <w:kern w:val="24"/>
                                              <w:sz w:val="18"/>
                                              <w:szCs w:val="18"/>
                                              <w14:textFill>
                                                <w14:solidFill>
                                                  <w14:schemeClr w14:val="tx1"/>
                                                </w14:solidFill>
                                              </w14:textFill>
                                            </w:rPr>
                                            <m:t>X</m:t>
                                          </m:r>
                                          <m:ctrlPr>
                                            <w:rPr>
                                              <w:rFonts w:ascii="Cambria Math" w:hAnsi="Cambria Math" w:cstheme="minorBidi"/>
                                              <w:i/>
                                              <w:iCs/>
                                              <w:color w:val="000000" w:themeColor="text1"/>
                                              <w:kern w:val="24"/>
                                              <w:sz w:val="18"/>
                                              <w:szCs w:val="18"/>
                                              <w14:textFill>
                                                <w14:solidFill>
                                                  <w14:schemeClr w14:val="tx1"/>
                                                </w14:solidFill>
                                              </w14:textFill>
                                            </w:rPr>
                                          </m:ctrlPr>
                                        </m:e>
                                        <m:sub>
                                          <m:r>
                                            <w:rPr>
                                              <w:rFonts w:ascii="Cambria Math" w:hAnsi="Cambria Math" w:cstheme="minorBidi"/>
                                              <w:color w:val="000000" w:themeColor="text1"/>
                                              <w:kern w:val="24"/>
                                              <w:sz w:val="18"/>
                                              <w:szCs w:val="18"/>
                                              <w14:textFill>
                                                <w14:solidFill>
                                                  <w14:schemeClr w14:val="tx1"/>
                                                </w14:solidFill>
                                              </w14:textFill>
                                            </w:rPr>
                                            <m:t>s</m:t>
                                          </m:r>
                                          <m:ctrlPr>
                                            <w:rPr>
                                              <w:rFonts w:ascii="Cambria Math" w:hAnsi="Cambria Math" w:cstheme="minorBidi"/>
                                              <w:i/>
                                              <w:iCs/>
                                              <w:color w:val="000000" w:themeColor="text1"/>
                                              <w:kern w:val="24"/>
                                              <w:sz w:val="18"/>
                                              <w:szCs w:val="18"/>
                                              <w14:textFill>
                                                <w14:solidFill>
                                                  <w14:schemeClr w14:val="tx1"/>
                                                </w14:solidFill>
                                              </w14:textFill>
                                            </w:rPr>
                                          </m:ctrlPr>
                                        </m:sub>
                                      </m:sSub>
                                      <m:r>
                                        <m:rPr>
                                          <m:sty m:val="p"/>
                                        </m:rPr>
                                        <w:rPr>
                                          <w:rFonts w:ascii="Cambria Math" w:hAnsi="Cambria Math" w:cstheme="minorBidi"/>
                                          <w:color w:val="000000" w:themeColor="text1"/>
                                          <w:kern w:val="24"/>
                                          <w:sz w:val="18"/>
                                          <w:szCs w:val="18"/>
                                          <w14:textFill>
                                            <w14:solidFill>
                                              <w14:schemeClr w14:val="tx1"/>
                                            </w14:solidFill>
                                          </w14:textFill>
                                        </w:rPr>
                                        <m:t>=4</m:t>
                                      </m:r>
                                    </m:oMath>
                                    <w:r>
                                      <w:rPr>
                                        <w:rFonts w:hAnsi="Calibri" w:asciiTheme="minorHAnsi" w:cstheme="minorBidi"/>
                                        <w:color w:val="000000"/>
                                        <w:kern w:val="24"/>
                                        <w:sz w:val="18"/>
                                        <w:szCs w:val="18"/>
                                      </w:rPr>
                                      <w:t xml:space="preserve"> slots</w:t>
                                    </w:r>
                                  </w:p>
                                </w:txbxContent>
                              </wps:txbx>
                              <wps:bodyPr wrap="square">
                                <a:spAutoFit/>
                              </wps:bodyPr>
                            </wps:wsp>
                            <wps:wsp>
                              <wps:cNvPr id="97" name="左大括号 370"/>
                              <wps:cNvSpPr/>
                              <wps:spPr>
                                <a:xfrm rot="16200000" flipH="1">
                                  <a:off x="3100424" y="894421"/>
                                  <a:ext cx="155492" cy="856280"/>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98" name="圆角矩形 371"/>
                              <wps:cNvSpPr/>
                              <wps:spPr>
                                <a:xfrm>
                                  <a:off x="3624690" y="1393099"/>
                                  <a:ext cx="430907" cy="272423"/>
                                </a:xfrm>
                                <a:prstGeom prst="roundRect">
                                  <a:avLst/>
                                </a:prstGeom>
                                <a:noFill/>
                                <a:ln w="19050">
                                  <a:noFill/>
                                </a:ln>
                              </wps:spPr>
                              <wps:style>
                                <a:lnRef idx="2">
                                  <a:schemeClr val="accent1">
                                    <a:shade val="50000"/>
                                  </a:schemeClr>
                                </a:lnRef>
                                <a:fillRef idx="1">
                                  <a:schemeClr val="accent1"/>
                                </a:fillRef>
                                <a:effectRef idx="0">
                                  <a:schemeClr val="accent1"/>
                                </a:effectRef>
                                <a:fontRef idx="minor">
                                  <a:schemeClr val="lt1"/>
                                </a:fontRef>
                              </wps:style>
                              <wps:txbx>
                                <w:txbxContent>
                                  <w:p>
                                    <w:pPr>
                                      <w:pStyle w:val="49"/>
                                      <w:spacing w:before="0" w:beforeAutospacing="0" w:after="0" w:afterAutospacing="0"/>
                                      <w:jc w:val="center"/>
                                    </w:pPr>
                                    <w:r>
                                      <w:rPr>
                                        <w:rFonts w:hAnsi="Calibri" w:asciiTheme="minorHAnsi" w:cstheme="minorBidi"/>
                                        <w:b/>
                                        <w:bCs/>
                                        <w:color w:val="000000" w:themeColor="text1"/>
                                        <w:kern w:val="24"/>
                                        <w:sz w:val="18"/>
                                        <w:szCs w:val="18"/>
                                        <w14:shadow w14:blurRad="38100" w14:dist="19050" w14:dir="2700000" w14:sx="100000" w14:sy="100000" w14:kx="0" w14:ky="0" w14:algn="tl">
                                          <w14:schemeClr w14:val="dk1">
                                            <w14:alpha w14:val="60000"/>
                                          </w14:schemeClr>
                                        </w14:shadow>
                                        <w14:textFill>
                                          <w14:solidFill>
                                            <w14:schemeClr w14:val="tx1"/>
                                          </w14:solidFill>
                                        </w14:textFill>
                                      </w:rPr>
                                      <w:t>…</w:t>
                                    </w:r>
                                  </w:p>
                                </w:txbxContent>
                              </wps:txbx>
                              <wps:bodyPr lIns="0" tIns="0" rIns="0" bIns="0" rtlCol="0" anchor="ctr"/>
                            </wps:wsp>
                            <wps:wsp>
                              <wps:cNvPr id="99" name="矩形 373"/>
                              <wps:cNvSpPr/>
                              <wps:spPr>
                                <a:xfrm>
                                  <a:off x="4080309" y="1045164"/>
                                  <a:ext cx="803910" cy="241935"/>
                                </a:xfrm>
                                <a:prstGeom prst="rect">
                                  <a:avLst/>
                                </a:prstGeom>
                              </wps:spPr>
                              <wps:txbx>
                                <w:txbxContent>
                                  <w:p>
                                    <w:pPr>
                                      <w:pStyle w:val="49"/>
                                      <w:spacing w:before="0" w:beforeAutospacing="0" w:after="0" w:afterAutospacing="0"/>
                                      <w:jc w:val="center"/>
                                    </w:pPr>
                                    <m:oMath>
                                      <m:sSub>
                                        <m:sSubPr>
                                          <m:ctrlPr>
                                            <w:rPr>
                                              <w:rFonts w:ascii="Cambria Math" w:hAnsi="Cambria Math" w:cstheme="minorBidi"/>
                                              <w:i/>
                                              <w:iCs/>
                                              <w:color w:val="000000" w:themeColor="text1"/>
                                              <w:kern w:val="24"/>
                                              <w:sz w:val="18"/>
                                              <w:szCs w:val="18"/>
                                              <w14:textFill>
                                                <w14:solidFill>
                                                  <w14:schemeClr w14:val="tx1"/>
                                                </w14:solidFill>
                                              </w14:textFill>
                                            </w:rPr>
                                          </m:ctrlPr>
                                        </m:sSubPr>
                                        <m:e>
                                          <m:r>
                                            <w:rPr>
                                              <w:rFonts w:ascii="Cambria Math" w:hAnsi="Cambria Math" w:cstheme="minorBidi"/>
                                              <w:color w:val="000000" w:themeColor="text1"/>
                                              <w:kern w:val="24"/>
                                              <w:sz w:val="18"/>
                                              <w:szCs w:val="18"/>
                                              <w14:textFill>
                                                <w14:solidFill>
                                                  <w14:schemeClr w14:val="tx1"/>
                                                </w14:solidFill>
                                              </w14:textFill>
                                            </w:rPr>
                                            <m:t>X</m:t>
                                          </m:r>
                                          <m:ctrlPr>
                                            <w:rPr>
                                              <w:rFonts w:ascii="Cambria Math" w:hAnsi="Cambria Math" w:cstheme="minorBidi"/>
                                              <w:i/>
                                              <w:iCs/>
                                              <w:color w:val="000000" w:themeColor="text1"/>
                                              <w:kern w:val="24"/>
                                              <w:sz w:val="18"/>
                                              <w:szCs w:val="18"/>
                                              <w14:textFill>
                                                <w14:solidFill>
                                                  <w14:schemeClr w14:val="tx1"/>
                                                </w14:solidFill>
                                              </w14:textFill>
                                            </w:rPr>
                                          </m:ctrlPr>
                                        </m:e>
                                        <m:sub>
                                          <m:r>
                                            <w:rPr>
                                              <w:rFonts w:ascii="Cambria Math" w:hAnsi="Cambria Math" w:cstheme="minorBidi"/>
                                              <w:color w:val="000000" w:themeColor="text1"/>
                                              <w:kern w:val="24"/>
                                              <w:sz w:val="18"/>
                                              <w:szCs w:val="18"/>
                                              <w14:textFill>
                                                <w14:solidFill>
                                                  <w14:schemeClr w14:val="tx1"/>
                                                </w14:solidFill>
                                              </w14:textFill>
                                            </w:rPr>
                                            <m:t>s</m:t>
                                          </m:r>
                                          <m:ctrlPr>
                                            <w:rPr>
                                              <w:rFonts w:ascii="Cambria Math" w:hAnsi="Cambria Math" w:cstheme="minorBidi"/>
                                              <w:i/>
                                              <w:iCs/>
                                              <w:color w:val="000000" w:themeColor="text1"/>
                                              <w:kern w:val="24"/>
                                              <w:sz w:val="18"/>
                                              <w:szCs w:val="18"/>
                                              <w14:textFill>
                                                <w14:solidFill>
                                                  <w14:schemeClr w14:val="tx1"/>
                                                </w14:solidFill>
                                              </w14:textFill>
                                            </w:rPr>
                                          </m:ctrlPr>
                                        </m:sub>
                                      </m:sSub>
                                      <m:r>
                                        <m:rPr>
                                          <m:sty m:val="p"/>
                                        </m:rPr>
                                        <w:rPr>
                                          <w:rFonts w:ascii="Cambria Math" w:hAnsi="Cambria Math" w:cstheme="minorBidi"/>
                                          <w:color w:val="000000" w:themeColor="text1"/>
                                          <w:kern w:val="24"/>
                                          <w:sz w:val="18"/>
                                          <w:szCs w:val="18"/>
                                          <w14:textFill>
                                            <w14:solidFill>
                                              <w14:schemeClr w14:val="tx1"/>
                                            </w14:solidFill>
                                          </w14:textFill>
                                        </w:rPr>
                                        <m:t>=4</m:t>
                                      </m:r>
                                    </m:oMath>
                                    <w:r>
                                      <w:rPr>
                                        <w:rFonts w:hAnsi="Calibri" w:asciiTheme="minorHAnsi" w:cstheme="minorBidi"/>
                                        <w:color w:val="000000"/>
                                        <w:kern w:val="24"/>
                                        <w:sz w:val="18"/>
                                        <w:szCs w:val="18"/>
                                      </w:rPr>
                                      <w:t xml:space="preserve"> slots</w:t>
                                    </w:r>
                                  </w:p>
                                </w:txbxContent>
                              </wps:txbx>
                              <wps:bodyPr wrap="square">
                                <a:spAutoFit/>
                              </wps:bodyPr>
                            </wps:wsp>
                            <wps:wsp>
                              <wps:cNvPr id="100" name="圆角矩形 374"/>
                              <wps:cNvSpPr/>
                              <wps:spPr>
                                <a:xfrm>
                                  <a:off x="4054368" y="1391364"/>
                                  <a:ext cx="21945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1" name="圆角矩形 375"/>
                              <wps:cNvSpPr/>
                              <wps:spPr>
                                <a:xfrm>
                                  <a:off x="4270143" y="1391364"/>
                                  <a:ext cx="219458" cy="272422"/>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2" name="圆角矩形 376"/>
                              <wps:cNvSpPr/>
                              <wps:spPr>
                                <a:xfrm>
                                  <a:off x="4489601" y="1391364"/>
                                  <a:ext cx="219458" cy="272422"/>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3" name="圆角矩形 377"/>
                              <wps:cNvSpPr/>
                              <wps:spPr>
                                <a:xfrm>
                                  <a:off x="4706660" y="1391364"/>
                                  <a:ext cx="21945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4" name="左大括号 378"/>
                              <wps:cNvSpPr/>
                              <wps:spPr>
                                <a:xfrm rot="16200000" flipH="1">
                                  <a:off x="4427212" y="875956"/>
                                  <a:ext cx="127337" cy="872902"/>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105" name="圆角矩形 379"/>
                              <wps:cNvSpPr/>
                              <wps:spPr>
                                <a:xfrm>
                                  <a:off x="4923059" y="1392578"/>
                                  <a:ext cx="219458" cy="272422"/>
                                </a:xfrm>
                                <a:prstGeom prst="roundRect">
                                  <a:avLst/>
                                </a:prstGeom>
                                <a:noFill/>
                                <a:ln w="19050">
                                  <a:noFill/>
                                </a:ln>
                              </wps:spPr>
                              <wps:style>
                                <a:lnRef idx="2">
                                  <a:schemeClr val="accent1">
                                    <a:shade val="50000"/>
                                  </a:schemeClr>
                                </a:lnRef>
                                <a:fillRef idx="1">
                                  <a:schemeClr val="accent1"/>
                                </a:fillRef>
                                <a:effectRef idx="0">
                                  <a:schemeClr val="accent1"/>
                                </a:effectRef>
                                <a:fontRef idx="minor">
                                  <a:schemeClr val="lt1"/>
                                </a:fontRef>
                              </wps:style>
                              <wps:txbx>
                                <w:txbxContent>
                                  <w:p>
                                    <w:pPr>
                                      <w:pStyle w:val="49"/>
                                      <w:spacing w:before="0" w:beforeAutospacing="0" w:after="0" w:afterAutospacing="0"/>
                                      <w:jc w:val="center"/>
                                    </w:pPr>
                                    <w:r>
                                      <w:rPr>
                                        <w:rFonts w:hAnsi="Calibri" w:asciiTheme="minorHAnsi" w:cstheme="minorBidi"/>
                                        <w:b/>
                                        <w:bCs/>
                                        <w:color w:val="000000" w:themeColor="text1"/>
                                        <w:kern w:val="24"/>
                                        <w:sz w:val="18"/>
                                        <w:szCs w:val="18"/>
                                        <w14:shadow w14:blurRad="38100" w14:dist="19050" w14:dir="2700000" w14:sx="100000" w14:sy="100000" w14:kx="0" w14:ky="0" w14:algn="tl">
                                          <w14:schemeClr w14:val="dk1">
                                            <w14:alpha w14:val="60000"/>
                                          </w14:schemeClr>
                                        </w14:shadow>
                                        <w14:textFill>
                                          <w14:solidFill>
                                            <w14:schemeClr w14:val="tx1"/>
                                          </w14:solidFill>
                                        </w14:textFill>
                                      </w:rPr>
                                      <w:t>…</w:t>
                                    </w:r>
                                  </w:p>
                                </w:txbxContent>
                              </wps:txbx>
                              <wps:bodyPr lIns="0" tIns="0" rIns="0" bIns="0" rtlCol="0" anchor="ctr"/>
                            </wps:wsp>
                            <wps:wsp>
                              <wps:cNvPr id="106" name="文本框 4"/>
                              <wps:cNvSpPr txBox="1"/>
                              <wps:spPr>
                                <a:xfrm>
                                  <a:off x="736410" y="2821329"/>
                                  <a:ext cx="2727061" cy="20431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pStyle w:val="49"/>
                                      <w:spacing w:before="0" w:beforeAutospacing="0" w:after="0" w:afterAutospacing="0"/>
                                      <w:jc w:val="center"/>
                                    </w:pPr>
                                    <w:r>
                                      <w:rPr>
                                        <w:rFonts w:hAnsi="Calibri" w:asciiTheme="minorHAnsi" w:cstheme="minorBidi"/>
                                        <w:i/>
                                        <w:iCs/>
                                        <w:color w:val="4F81BD" w:themeColor="accent1"/>
                                        <w:kern w:val="24"/>
                                        <w:sz w:val="18"/>
                                        <w:szCs w:val="18"/>
                                        <w14:textFill>
                                          <w14:solidFill>
                                            <w14:schemeClr w14:val="accent1"/>
                                          </w14:solidFill>
                                        </w14:textFill>
                                      </w:rPr>
                                      <w:t xml:space="preserve">monitoringSymbolsWithinSlot </w:t>
                                    </w:r>
                                    <w:r>
                                      <w:rPr>
                                        <w:rFonts w:hAnsi="Calibri" w:asciiTheme="minorHAnsi"/>
                                        <w:color w:val="000000"/>
                                        <w:kern w:val="24"/>
                                        <w:sz w:val="18"/>
                                        <w:szCs w:val="18"/>
                                      </w:rPr>
                                      <w:t>= 00111 00111 0000</w:t>
                                    </w:r>
                                  </w:p>
                                </w:txbxContent>
                              </wps:txbx>
                              <wps:bodyPr rot="0" spcFirstLastPara="0" vert="horz" wrap="square" lIns="0" tIns="0" rIns="0" bIns="0" numCol="1" spcCol="0" rtlCol="0" fromWordArt="0" anchor="t" anchorCtr="0" forceAA="0" compatLnSpc="1">
                                <a:noAutofit/>
                              </wps:bodyPr>
                            </wps:wsp>
                            <wps:wsp>
                              <wps:cNvPr id="107" name="圆角矩形 382"/>
                              <wps:cNvSpPr/>
                              <wps:spPr>
                                <a:xfrm>
                                  <a:off x="121344"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 name="直接箭头连接符 383"/>
                              <wps:cNvCnPr/>
                              <wps:spPr>
                                <a:xfrm>
                                  <a:off x="1326474" y="1663856"/>
                                  <a:ext cx="2987" cy="439264"/>
                                </a:xfrm>
                                <a:prstGeom prst="straightConnector1">
                                  <a:avLst/>
                                </a:prstGeom>
                                <a:ln>
                                  <a:prstDash val="dash"/>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id="画布 2" o:spid="_x0000_s1026" o:spt="203" style="height:239.4pt;width:415.25pt;" coordsize="5273675,3040380" editas="canvas" o:gfxdata="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">
                      <o:lock v:ext="edit" aspectratio="f"/>
                      <v:shape id="画布 2" o:spid="_x0000_s1026" style="position:absolute;left:0;top:0;height:3040380;width:5273675;" filled="f" stroked="t" coordsize="21600,21600" o:gfxdata="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">
                        <v:fill on="f" focussize="0,0"/>
                        <v:stroke color="#7F7F7F [1612]" joinstyle="round"/>
                        <v:imagedata o:title=""/>
                        <o:lock v:ext="edit" aspectratio="f"/>
                      </v:shape>
                      <v:shape id="文本框 4" o:spid="_x0000_s1026" o:spt="202" type="#_x0000_t202" style="position:absolute;left:117540;top:34505;height:210505;width:4360651;" fillcolor="#FFFFFF [3201]" filled="t" stroked="f" coordsize="21600,21600" o:gfxdata="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DBS&#10;J3bUAAAABQEAAA8AAAAAAAAAAQAgAAAAIgAAAGRycy9kb3ducmV2LnhtbFBLAQIUABQAAAAIAIdO&#10;4kDH7VRSJwIAABkEAAAOAAAAAAAAAAEAIAAAACMBAABkcnMvZTJvRG9jLnhtbFBLBQYAAAAABgAG&#10;AFkBAAC8BQAAAAA=&#10;">
                        <v:fill on="t" focussize="0,0"/>
                        <v:stroke on="f" weight="0.5pt"/>
                        <v:imagedata o:title=""/>
                        <o:lock v:ext="edit" aspectratio="f"/>
                        <v:textbox inset="0mm,0mm,0mm,0mm">
                          <w:txbxContent>
                            <w:p>
                              <w:pPr>
                                <w:pStyle w:val="49"/>
                                <w:spacing w:before="0" w:beforeAutospacing="0" w:after="0" w:afterAutospacing="0"/>
                                <w:jc w:val="both"/>
                              </w:pPr>
                              <w:r>
                                <w:rPr>
                                  <w:rFonts w:hAnsi="Calibri" w:asciiTheme="minorHAnsi" w:cstheme="minorBidi"/>
                                  <w:color w:val="000000" w:themeColor="text1"/>
                                  <w:kern w:val="24"/>
                                  <w:sz w:val="20"/>
                                  <w:szCs w:val="20"/>
                                  <w14:textFill>
                                    <w14:solidFill>
                                      <w14:schemeClr w14:val="tx1"/>
                                    </w14:solidFill>
                                  </w14:textFill>
                                </w:rPr>
                                <w:t xml:space="preserve">e.g., </w:t>
                              </w:r>
                              <w:r>
                                <w:rPr>
                                  <w:rFonts w:hAnsi="Calibri" w:asciiTheme="minorHAnsi" w:cstheme="minorBidi"/>
                                  <w:i/>
                                  <w:iCs/>
                                  <w:color w:val="4F81BD" w:themeColor="accent1"/>
                                  <w:kern w:val="24"/>
                                  <w:sz w:val="20"/>
                                  <w:szCs w:val="20"/>
                                  <w14:textFill>
                                    <w14:solidFill>
                                      <w14:schemeClr w14:val="accent1"/>
                                    </w14:solidFill>
                                  </w14:textFill>
                                </w:rPr>
                                <w:t>monitoringPeriodicityAndOffset-r17</w:t>
                              </w:r>
                              <w:r>
                                <w:rPr>
                                  <w:rFonts w:hAnsi="Calibri" w:asciiTheme="minorHAnsi" w:cstheme="minorBidi"/>
                                  <w:i/>
                                  <w:iCs/>
                                  <w:color w:val="000000" w:themeColor="text1"/>
                                  <w:kern w:val="24"/>
                                  <w:sz w:val="20"/>
                                  <w:szCs w:val="20"/>
                                  <w14:textFill>
                                    <w14:solidFill>
                                      <w14:schemeClr w14:val="tx1"/>
                                    </w14:solidFill>
                                  </w14:textFill>
                                </w:rPr>
                                <w:t xml:space="preserve"> </w:t>
                              </w:r>
                              <w:r>
                                <w:rPr>
                                  <w:rFonts w:hAnsi="Calibri" w:asciiTheme="minorHAnsi" w:cstheme="minorBidi"/>
                                  <w:color w:val="000000" w:themeColor="text1"/>
                                  <w:kern w:val="24"/>
                                  <w:sz w:val="20"/>
                                  <w:szCs w:val="20"/>
                                  <w14:textFill>
                                    <w14:solidFill>
                                      <w14:schemeClr w14:val="tx1"/>
                                    </w14:solidFill>
                                  </w14:textFill>
                                </w:rPr>
                                <w:t xml:space="preserve">= (sl32, 4 slots) and </w:t>
                              </w:r>
                              <w:r>
                                <w:rPr>
                                  <w:rFonts w:hAnsi="Calibri" w:asciiTheme="minorHAnsi" w:cstheme="minorBidi"/>
                                  <w:i/>
                                  <w:iCs/>
                                  <w:color w:val="4F81BD" w:themeColor="accent1"/>
                                  <w:kern w:val="24"/>
                                  <w:sz w:val="20"/>
                                  <w:szCs w:val="20"/>
                                  <w14:textFill>
                                    <w14:solidFill>
                                      <w14:schemeClr w14:val="accent1"/>
                                    </w14:solidFill>
                                  </w14:textFill>
                                </w:rPr>
                                <w:t>duration-r17</w:t>
                              </w:r>
                              <w:r>
                                <w:rPr>
                                  <w:rFonts w:hAnsi="Calibri" w:asciiTheme="minorHAnsi" w:cstheme="minorBidi"/>
                                  <w:color w:val="000000" w:themeColor="text1"/>
                                  <w:kern w:val="24"/>
                                  <w:sz w:val="20"/>
                                  <w:szCs w:val="20"/>
                                  <w14:textFill>
                                    <w14:solidFill>
                                      <w14:schemeClr w14:val="tx1"/>
                                    </w14:solidFill>
                                  </w14:textFill>
                                </w:rPr>
                                <w:t xml:space="preserve"> = 12 slots</w:t>
                              </w:r>
                            </w:p>
                          </w:txbxContent>
                        </v:textbox>
                      </v:shape>
                      <v:shape id="直接箭头连接符 321" o:spid="_x0000_s1026" o:spt="32" type="#_x0000_t32" style="position:absolute;left:117540;top:982800;height:0;width:874394;" filled="f" stroked="t" coordsize="21600,21600" o:gfxdata="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o3NkE1AAAAAUBAAAPAAAAAAAAAAEAIAAAACIAAABkcnMvZG93&#10;bnJldi54bWxQSwECFAAUAAAACACHTuJAWQbhrwQCAADEAwAADgAAAAAAAAABACAAAAAjAQAAZHJz&#10;L2Uyb0RvYy54bWxQSwUGAAAAAAYABgBZAQAAmQUAAAAA&#10;">
                        <v:fill on="f" focussize="0,0"/>
                        <v:stroke color="#7F7F7F [1612]" joinstyle="round" startarrow="classic" endarrow="classic"/>
                        <v:imagedata o:title=""/>
                        <o:lock v:ext="edit" aspectratio="f"/>
                      </v:shape>
                      <v:line id="直接连接符 322" o:spid="_x0000_s1026" o:spt="20" style="position:absolute;left:121344;top:813129;height:714323;width:0;" filled="f" stroked="t" coordsize="21600,21600" o:gfxdata="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yF94+NQAAAAFAQAADwAAAAAAAAAB&#10;ACAAAAAiAAAAZHJzL2Rvd25yZXYueG1sUEsBAhQAFAAAAAgAh07iQEpfM0fbAQAAeQMAAA4AAAAA&#10;AAAAAQAgAAAAIwEAAGRycy9lMm9Eb2MueG1sUEsFBgAAAAAGAAYAWQEAAHAFAAAAAA==&#10;">
                        <v:fill on="f" focussize="0,0"/>
                        <v:stroke color="#7F7F7F [1612]" joinstyle="round" dashstyle="dash"/>
                        <v:imagedata o:title=""/>
                        <o:lock v:ext="edit" aspectratio="f"/>
                      </v:line>
                      <v:line id="直接连接符 323" o:spid="_x0000_s1026" o:spt="20" style="position:absolute;left:996651;top:541900;height:985744;width:1284;" filled="f" stroked="t" coordsize="21600,21600" o:gfxdata="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yF94+NQAAAAFAQAADwAAAAAA&#10;AAABACAAAAAiAAAAZHJzL2Rvd25yZXYueG1sUEsBAhQAFAAAAAgAh07iQJJkOMneAQAAfAMAAA4A&#10;AAAAAAAAAQAgAAAAIwEAAGRycy9lMm9Eb2MueG1sUEsFBgAAAAAGAAYAWQEAAHMFAAAAAA==&#10;">
                        <v:fill on="f" focussize="0,0"/>
                        <v:stroke color="#7F7F7F [1612]" joinstyle="round" dashstyle="dash"/>
                        <v:imagedata o:title=""/>
                        <o:lock v:ext="edit" aspectratio="f"/>
                      </v:line>
                      <v:shape id="文本框 4" o:spid="_x0000_s1026" o:spt="202" type="#_x0000_t202" style="position:absolute;left:151085;top:829502;height:204151;width:827145;" filled="f" stroked="f" coordsize="21600,21600" o:gfxdata="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bO8jbVAAAABQEAAA8AAAAAAAAA&#10;AQAgAAAAIgAAAGRycy9kb3ducmV2LnhtbFBLAQIUABQAAAAIAIdO4kCOZ+9IFAIAAPADAAAOAAAA&#10;AAAAAAEAIAAAACQBAABkcnMvZTJvRG9jLnhtbFBLBQYAAAAABgAGAFkBAACqBQAAAAA=&#10;">
                        <v:fill on="f" focussize="0,0"/>
                        <v:stroke on="f" weight="0.5pt"/>
                        <v:imagedata o:title=""/>
                        <o:lock v:ext="edit" aspectratio="f"/>
                        <v:textbox inset="0mm,0mm,0mm,0mm">
                          <w:txbxContent>
                            <w:p>
                              <w:pPr>
                                <w:pStyle w:val="49"/>
                                <w:spacing w:before="0" w:beforeAutospacing="0" w:after="0" w:afterAutospacing="0"/>
                                <w:jc w:val="center"/>
                              </w:pPr>
                              <w:r>
                                <w:rPr>
                                  <w:rFonts w:hAnsi="Calibri" w:asciiTheme="minorHAnsi"/>
                                  <w:color w:val="000000" w:themeColor="dark1"/>
                                  <w:kern w:val="24"/>
                                  <w:sz w:val="18"/>
                                  <w:szCs w:val="18"/>
                                  <w14:textFill>
                                    <w14:solidFill>
                                      <w14:schemeClr w14:val="dk1"/>
                                    </w14:solidFill>
                                  </w14:textFill>
                                </w:rPr>
                                <w:t>offset = 4 slots</w:t>
                              </w:r>
                            </w:p>
                          </w:txbxContent>
                        </v:textbox>
                      </v:shape>
                      <v:shape id="直接箭头连接符 325" o:spid="_x0000_s1026" o:spt="32" type="#_x0000_t32" style="position:absolute;left:976866;top:982800;height:0;width:2629443;" filled="f" stroked="t" coordsize="21600,21600" o:gfxdata="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KNzZBNQAAAAFAQAADwAAAAAAAAABACAAAAAiAAAAZHJzL2Rv&#10;d25yZXYueG1sUEsBAhQAFAAAAAgAh07iQALm23kFAgAAxQMAAA4AAAAAAAAAAQAgAAAAIwEAAGRy&#10;cy9lMm9Eb2MueG1sUEsFBgAAAAAGAAYAWQEAAJoFAAAAAA==&#10;">
                        <v:fill on="f" focussize="0,0"/>
                        <v:stroke color="#7F7F7F [1612]" joinstyle="round" startarrow="classic" endarrow="classic"/>
                        <v:imagedata o:title=""/>
                        <o:lock v:ext="edit" aspectratio="f"/>
                      </v:shape>
                      <v:line id="直接连接符 326" o:spid="_x0000_s1026" o:spt="20" style="position:absolute;left:3621481;top:813239;height:714405;width:0;" filled="f" stroked="t" coordsize="21600,21600" o:gfxdata="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DIX3j41AAAAAUBAAAPAAAAAAAAAAEA&#10;IAAAACIAAABkcnMvZG93bnJldi54bWxQSwECFAAUAAAACACHTuJASMxuktoBAAB6AwAADgAAAAAA&#10;AAABACAAAAAjAQAAZHJzL2Uyb0RvYy54bWxQSwUGAAAAAAYABgBZAQAAbwUAAAAA&#10;">
                        <v:fill on="f" focussize="0,0"/>
                        <v:stroke color="#7F7F7F [1612]" joinstyle="round" dashstyle="dash"/>
                        <v:imagedata o:title=""/>
                        <o:lock v:ext="edit" aspectratio="f"/>
                      </v:line>
                      <v:shape id="文本框 4" o:spid="_x0000_s1026" o:spt="202" type="#_x0000_t202" style="position:absolute;left:1465574;top:813129;height:169672;width:1801501;" filled="f" stroked="f" coordsize="21600,21600" o:gfxdata="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DbO8jbVAAAABQEAAA8AAAAA&#10;AAAAAQAgAAAAIgAAAGRycy9kb3ducmV2LnhtbFBLAQIUABQAAAAIAIdO4kA9EBS9FwIAAPIDAAAO&#10;AAAAAAAAAAEAIAAAACQBAABkcnMvZTJvRG9jLnhtbFBLBQYAAAAABgAGAFkBAACtBQAAAAA=&#10;">
                        <v:fill on="f" focussize="0,0"/>
                        <v:stroke on="f" weight="0.5pt"/>
                        <v:imagedata o:title=""/>
                        <o:lock v:ext="edit" aspectratio="f"/>
                        <v:textbox inset="0mm,0mm,0mm,0mm">
                          <w:txbxContent>
                            <w:p>
                              <w:pPr>
                                <w:pStyle w:val="49"/>
                                <w:spacing w:before="0" w:beforeAutospacing="0" w:after="0" w:afterAutospacing="0"/>
                                <w:jc w:val="center"/>
                              </w:pPr>
                              <w:r>
                                <w:rPr>
                                  <w:rFonts w:hAnsi="Calibri" w:asciiTheme="minorHAnsi"/>
                                  <w:color w:val="000000"/>
                                  <w:kern w:val="24"/>
                                  <w:sz w:val="18"/>
                                  <w:szCs w:val="18"/>
                                </w:rPr>
                                <w:t>duration = 12 slots = 3 slot groups</w:t>
                              </w:r>
                            </w:p>
                          </w:txbxContent>
                        </v:textbox>
                      </v:shape>
                      <v:line id="直接连接符 328" o:spid="_x0000_s1026" o:spt="20" style="position:absolute;left:4054368;top:505215;height:1022360;width:0;" filled="f" stroked="t" coordsize="21600,21600" o:gfxdata="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yF94+NQAAAAFAQAADwAAAAAA&#10;AAABACAAAAAiAAAAZHJzL2Rvd25yZXYueG1sUEsBAhQAFAAAAAgAh07iQHMjq2TeAQAAewMAAA4A&#10;AAAAAAAAAQAgAAAAIwEAAGRycy9lMm9Eb2MueG1sUEsFBgAAAAAGAAYAWQEAAHMFAAAAAA==&#10;">
                        <v:fill on="f" focussize="0,0"/>
                        <v:stroke color="#7F7F7F [1612]" joinstyle="round" dashstyle="dash"/>
                        <v:imagedata o:title=""/>
                        <o:lock v:ext="edit" aspectratio="f"/>
                      </v:line>
                      <v:shape id="直接箭头连接符 329" o:spid="_x0000_s1026" o:spt="32" type="#_x0000_t32" style="position:absolute;left:976866;top:652957;height:0;width:3078732;" filled="f" stroked="t" coordsize="21600,21600" o:gfxdata="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Cjc2QTUAAAABQEAAA8AAAAAAAAAAQAgAAAAIgAAAGRycy9k&#10;b3ducmV2LnhtbFBLAQIUABQAAAAIAIdO4kBw/z74BgIAAMUDAAAOAAAAAAAAAAEAIAAAACMBAABk&#10;cnMvZTJvRG9jLnhtbFBLBQYAAAAABgAGAFkBAACbBQAAAAA=&#10;">
                        <v:fill on="f" focussize="0,0"/>
                        <v:stroke color="#7F7F7F [1612]" joinstyle="round" startarrow="classic" endarrow="classic"/>
                        <v:imagedata o:title=""/>
                        <o:lock v:ext="edit" aspectratio="f"/>
                      </v:shape>
                      <v:shape id="文本框 4" o:spid="_x0000_s1026" o:spt="202" type="#_x0000_t202" style="position:absolute;left:2099941;top:482352;height:193908;width:1174147;" filled="f" stroked="f" coordsize="21600,21600" o:gfxdata="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DbO8jbVAAAABQEAAA8AAAAA&#10;AAAAAQAgAAAAIgAAAGRycy9kb3ducmV2LnhtbFBLAQIUABQAAAAIAIdO4kAWr78jFwIAAPIDAAAO&#10;AAAAAAAAAAEAIAAAACQBAABkcnMvZTJvRG9jLnhtbFBLBQYAAAAABgAGAFkBAACtBQAAAAA=&#10;">
                        <v:fill on="f" focussize="0,0"/>
                        <v:stroke on="f" weight="0.5pt"/>
                        <v:imagedata o:title=""/>
                        <o:lock v:ext="edit" aspectratio="f"/>
                        <v:textbox inset="0mm,0mm,0mm,0mm">
                          <w:txbxContent>
                            <w:p>
                              <w:pPr>
                                <w:pStyle w:val="49"/>
                                <w:spacing w:before="0" w:beforeAutospacing="0" w:after="0" w:afterAutospacing="0"/>
                                <w:jc w:val="center"/>
                              </w:pPr>
                              <w:r>
                                <w:rPr>
                                  <w:rFonts w:hAnsi="Calibri" w:eastAsia="Cambria Math" w:cs="Calibri" w:asciiTheme="minorHAnsi"/>
                                  <w:color w:val="000000"/>
                                  <w:kern w:val="24"/>
                                  <w:sz w:val="18"/>
                                  <w:szCs w:val="18"/>
                                </w:rPr>
                                <w:t>periodicity = 32 slots</w:t>
                              </w:r>
                            </w:p>
                          </w:txbxContent>
                        </v:textbox>
                      </v:shape>
                      <v:rect id="矩形 332" o:spid="_x0000_s1026" o:spt="1" style="position:absolute;left:1031523;top:1050843;height:241935;width:804545;" filled="f" stroked="f" coordsize="21600,21600" o:gfxdata="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">
                        <v:fill on="f" focussize="0,0"/>
                        <v:stroke on="f"/>
                        <v:imagedata o:title=""/>
                        <o:lock v:ext="edit" aspectratio="f"/>
                        <v:textbox style="mso-fit-shape-to-text:t;">
                          <w:txbxContent>
                            <w:p>
                              <w:pPr>
                                <w:pStyle w:val="49"/>
                                <w:spacing w:before="0" w:beforeAutospacing="0" w:after="0" w:afterAutospacing="0"/>
                                <w:jc w:val="center"/>
                              </w:pPr>
                              <m:oMath>
                                <m:sSub>
                                  <m:sSubPr>
                                    <m:ctrlPr>
                                      <w:rPr>
                                        <w:rFonts w:ascii="Cambria Math" w:hAnsi="Cambria Math" w:cstheme="minorBidi"/>
                                        <w:i/>
                                        <w:iCs/>
                                        <w:color w:val="000000" w:themeColor="text1"/>
                                        <w:kern w:val="24"/>
                                        <w:sz w:val="18"/>
                                        <w:szCs w:val="18"/>
                                        <w14:textFill>
                                          <w14:solidFill>
                                            <w14:schemeClr w14:val="tx1"/>
                                          </w14:solidFill>
                                        </w14:textFill>
                                      </w:rPr>
                                    </m:ctrlPr>
                                  </m:sSubPr>
                                  <m:e>
                                    <m:r>
                                      <w:rPr>
                                        <w:rFonts w:ascii="Cambria Math" w:hAnsi="Cambria Math" w:cstheme="minorBidi"/>
                                        <w:color w:val="000000" w:themeColor="text1"/>
                                        <w:kern w:val="24"/>
                                        <w:sz w:val="18"/>
                                        <w:szCs w:val="18"/>
                                        <w14:textFill>
                                          <w14:solidFill>
                                            <w14:schemeClr w14:val="tx1"/>
                                          </w14:solidFill>
                                        </w14:textFill>
                                      </w:rPr>
                                      <m:t>X</m:t>
                                    </m:r>
                                    <m:ctrlPr>
                                      <w:rPr>
                                        <w:rFonts w:ascii="Cambria Math" w:hAnsi="Cambria Math" w:cstheme="minorBidi"/>
                                        <w:i/>
                                        <w:iCs/>
                                        <w:color w:val="000000" w:themeColor="text1"/>
                                        <w:kern w:val="24"/>
                                        <w:sz w:val="18"/>
                                        <w:szCs w:val="18"/>
                                        <w14:textFill>
                                          <w14:solidFill>
                                            <w14:schemeClr w14:val="tx1"/>
                                          </w14:solidFill>
                                        </w14:textFill>
                                      </w:rPr>
                                    </m:ctrlPr>
                                  </m:e>
                                  <m:sub>
                                    <m:r>
                                      <w:rPr>
                                        <w:rFonts w:ascii="Cambria Math" w:hAnsi="Cambria Math" w:cstheme="minorBidi"/>
                                        <w:color w:val="000000" w:themeColor="text1"/>
                                        <w:kern w:val="24"/>
                                        <w:sz w:val="18"/>
                                        <w:szCs w:val="18"/>
                                        <w14:textFill>
                                          <w14:solidFill>
                                            <w14:schemeClr w14:val="tx1"/>
                                          </w14:solidFill>
                                        </w14:textFill>
                                      </w:rPr>
                                      <m:t>s</m:t>
                                    </m:r>
                                    <m:ctrlPr>
                                      <w:rPr>
                                        <w:rFonts w:ascii="Cambria Math" w:hAnsi="Cambria Math" w:cstheme="minorBidi"/>
                                        <w:i/>
                                        <w:iCs/>
                                        <w:color w:val="000000" w:themeColor="text1"/>
                                        <w:kern w:val="24"/>
                                        <w:sz w:val="18"/>
                                        <w:szCs w:val="18"/>
                                        <w14:textFill>
                                          <w14:solidFill>
                                            <w14:schemeClr w14:val="tx1"/>
                                          </w14:solidFill>
                                        </w14:textFill>
                                      </w:rPr>
                                    </m:ctrlPr>
                                  </m:sub>
                                </m:sSub>
                                <m:r>
                                  <m:rPr>
                                    <m:sty m:val="p"/>
                                  </m:rPr>
                                  <w:rPr>
                                    <w:rFonts w:ascii="Cambria Math" w:hAnsi="Cambria Math" w:cstheme="minorBidi"/>
                                    <w:color w:val="000000" w:themeColor="text1"/>
                                    <w:kern w:val="24"/>
                                    <w:sz w:val="18"/>
                                    <w:szCs w:val="18"/>
                                    <w14:textFill>
                                      <w14:solidFill>
                                        <w14:schemeClr w14:val="tx1"/>
                                      </w14:solidFill>
                                    </w14:textFill>
                                  </w:rPr>
                                  <m:t>=4</m:t>
                                </m:r>
                              </m:oMath>
                              <w:r>
                                <w:rPr>
                                  <w:rFonts w:hAnsi="Calibri" w:asciiTheme="minorHAnsi" w:cstheme="minorBidi"/>
                                  <w:color w:val="000000"/>
                                  <w:kern w:val="24"/>
                                  <w:sz w:val="18"/>
                                  <w:szCs w:val="18"/>
                                </w:rPr>
                                <w:t xml:space="preserve"> slots</w:t>
                              </w:r>
                            </w:p>
                          </w:txbxContent>
                        </v:textbox>
                      </v:rect>
                      <v:roundrect id="圆角矩形 333" o:spid="_x0000_s1026" o:spt="2" style="position:absolute;left:1018297;top:2186138;height:272422;width:147327;v-text-anchor:middle;" filled="f" stroked="t" coordsize="21600,21600" arcsize="0.166666666666667" o:gfxdata="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HtEHNXXAAAABQEAAA8AAAAAAAAAAQAgAAAAIgAAAGRycy9kb3ducmV2LnhtbFBLAQIUABQA&#10;AAAIAIdO4kD6kKoA8QEAAJsDAAAOAAAAAAAAAAEAIAAAACYBAABkcnMvZTJvRG9jLnhtbFBLBQYA&#10;AAAABgAGAFkBAACJBQAAAAA=&#10;">
                        <v:fill on="f" focussize="0,0"/>
                        <v:stroke weight="1.5pt" color="#385D8A [3204]" joinstyle="round"/>
                        <v:imagedata o:title=""/>
                        <o:lock v:ext="edit" aspectratio="f"/>
                      </v:roundrect>
                      <v:roundrect id="圆角矩形 334" o:spid="_x0000_s1026" o:spt="2" style="position:absolute;left:1170494;top:2186138;height:272422;width:147327;v-text-anchor:middle;" filled="f" stroked="t" coordsize="21600,21600" arcsize="0.166666666666667" o:gfxdata="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B7RBzV1wAAAAUBAAAPAAAAAAAAAAEAIAAAACIAAABkcnMvZG93bnJldi54bWxQSwECFAAU&#10;AAAACACHTuJA/t0nRfIBAACbAwAADgAAAAAAAAABACAAAAAmAQAAZHJzL2Uyb0RvYy54bWxQSwUG&#10;AAAAAAYABgBZAQAAigUAAAAA&#10;">
                        <v:fill on="f" focussize="0,0"/>
                        <v:stroke weight="1.5pt" color="#385D8A [3204]" joinstyle="round"/>
                        <v:imagedata o:title=""/>
                        <o:lock v:ext="edit" aspectratio="f"/>
                      </v:roundrect>
                      <v:roundrect id="圆角矩形 335" o:spid="_x0000_s1026" o:spt="2" style="position:absolute;left:1318247;top:2186138;height:272422;width:147327;v-text-anchor:middle;" filled="t" stroked="t" coordsize="21600,21600" arcsize="0.166666666666667" o:gfxdata="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mQlLidUAAAAFAQAADwAAAAAAAAABACAAAAAiAAAAZHJzL2Rvd25yZXYueG1s&#10;UEsBAhQAFAAAAAgAh07iQPE3tsj7AQAArQMAAA4AAAAAAAAAAQAgAAAAJAEAAGRycy9lMm9Eb2Mu&#10;eG1sUEsFBgAAAAAGAAYAWQEAAJEFAAAAAA==&#10;">
                        <v:fill type="pattern" on="t" focussize="0,0" r:id="rId49"/>
                        <v:stroke weight="1.5pt" color="#385D8A [3204]" joinstyle="round"/>
                        <v:imagedata o:title=""/>
                        <o:lock v:ext="edit" aspectratio="f"/>
                      </v:roundrect>
                      <v:roundrect id="圆角矩形 336" o:spid="_x0000_s1026" o:spt="2" style="position:absolute;left:1470444;top:2186138;height:272422;width:147327;v-text-anchor:middle;" fillcolor="#000000 [3213]" filled="t" stroked="t" coordsize="21600,21600" arcsize="0.166666666666667" o:gfxdata="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AYuZQDWAAAABQEAAA8AAAAA&#10;AAAAAQAgAAAAIgAAAGRycy9kb3ducmV2LnhtbFBLAQIUABQAAAAIAIdO4kDAQQf6FgIAABEEAAAO&#10;AAAAAAAAAAEAIAAAACUBAABkcnMvZTJvRG9jLnhtbFBLBQYAAAAABgAGAFkBAACtBQAAAAA=&#10;">
                        <v:fill type="pattern" on="t" color2="#FFFFFF [3212]" focussize="0,0" r:id="rId49"/>
                        <v:stroke weight="1.5pt" color="#385D8A [3204]" joinstyle="round"/>
                        <v:imagedata o:title=""/>
                        <o:lock v:ext="edit" aspectratio="f"/>
                      </v:roundrect>
                      <v:roundrect id="圆角矩形 337" o:spid="_x0000_s1026" o:spt="2" style="position:absolute;left:1617771;top:2186138;height:272422;width:147328;v-text-anchor:middle;" fillcolor="#000000 [3213]" filled="t" stroked="t" coordsize="21600,21600" arcsize="0.166666666666667" o:gfxdata="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AGLmUA1gAAAAUBAAAPAAAA&#10;AAAAAAEAIAAAACIAAABkcnMvZG93bnJldi54bWxQSwECFAAUAAAACACHTuJAmMjeRBcCAAARBAAA&#10;DgAAAAAAAAABACAAAAAlAQAAZHJzL2Uyb0RvYy54bWxQSwUGAAAAAAYABgBZAQAArgUAAAAA&#10;">
                        <v:fill type="pattern" on="t" color2="#FFFFFF [3212]" focussize="0,0" r:id="rId49"/>
                        <v:stroke weight="1.5pt" color="#385D8A [3204]" joinstyle="round"/>
                        <v:imagedata o:title=""/>
                        <o:lock v:ext="edit" aspectratio="f"/>
                      </v:roundrect>
                      <v:roundrect id="圆角矩形 338" o:spid="_x0000_s1026" o:spt="2" style="position:absolute;left:1767458;top:2186138;height:272422;width:147328;v-text-anchor:middle;" filled="f" stroked="t" coordsize="21600,21600" arcsize="0.166666666666667" o:gfxdata="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HtEHNXXAAAABQEAAA8AAAAAAAAAAQAgAAAAIgAAAGRycy9kb3ducmV2LnhtbFBLAQIUABQA&#10;AAAIAIdO4kAm/o3W8QEAAJsDAAAOAAAAAAAAAAEAIAAAACYBAABkcnMvZTJvRG9jLnhtbFBLBQYA&#10;AAAABgAGAFkBAACJBQAAAAA=&#10;">
                        <v:fill on="f" focussize="0,0"/>
                        <v:stroke weight="1.5pt" color="#385D8A [3204]" joinstyle="round"/>
                        <v:imagedata o:title=""/>
                        <o:lock v:ext="edit" aspectratio="f"/>
                      </v:roundrect>
                      <v:roundrect id="圆角矩形 339" o:spid="_x0000_s1026" o:spt="2" style="position:absolute;left:1915211;top:2186138;height:272422;width:147327;v-text-anchor:middle;" filled="f" stroked="t" coordsize="21600,21600" arcsize="0.166666666666667" o:gfxdata="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B7RBzV1wAAAAUBAAAPAAAAAAAAAAEAIAAAACIAAABkcnMvZG93bnJldi54bWxQSwECFAAU&#10;AAAACACHTuJAY/e3nvIBAACbAwAADgAAAAAAAAABACAAAAAmAQAAZHJzL2Uyb0RvYy54bWxQSwUG&#10;AAAAAAYABgBZAQAAigUAAAAA&#10;">
                        <v:fill on="f" focussize="0,0"/>
                        <v:stroke weight="1.5pt" color="#385D8A [3204]" joinstyle="round"/>
                        <v:imagedata o:title=""/>
                        <o:lock v:ext="edit" aspectratio="f"/>
                      </v:roundrect>
                      <v:roundrect id="圆角矩形 340" o:spid="_x0000_s1026" o:spt="2" style="position:absolute;left:2067408;top:2186138;height:272422;width:147327;v-text-anchor:middle;" fillcolor="#000000 [3213]" filled="t" stroked="t" coordsize="21600,21600" arcsize="0.166666666666667" o:gfxdata="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Bi5lANYAAAAFAQAADwAAAAAA&#10;AAABACAAAAAiAAAAZHJzL2Rvd25yZXYueG1sUEsBAhQAFAAAAAgAh07iQJvpTjgVAgAAEQQAAA4A&#10;AAAAAAAAAQAgAAAAJQEAAGRycy9lMm9Eb2MueG1sUEsFBgAAAAAGAAYAWQEAAKwFAAAAAA==&#10;">
                        <v:fill type="pattern" on="t" color2="#FFFFFF [3212]" focussize="0,0" r:id="rId49"/>
                        <v:stroke weight="1.5pt" color="#385D8A [3204]" joinstyle="round"/>
                        <v:imagedata o:title=""/>
                        <o:lock v:ext="edit" aspectratio="f"/>
                      </v:roundrect>
                      <v:roundrect id="圆角矩形 341" o:spid="_x0000_s1026" o:spt="2" style="position:absolute;left:2217168;top:2186138;height:272422;width:147327;v-text-anchor:middle;" fillcolor="#000000 [3213]" filled="t" stroked="t" coordsize="21600,21600" arcsize="0.166666666666667" o:gfxdata="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AYuZQDWAAAABQEAAA8AAAAAAAAA&#10;AQAgAAAAIgAAAGRycy9kb3ducmV2LnhtbFBLAQIUABQAAAAIAIdO4kCGsJ58EwIAABEEAAAOAAAA&#10;AAAAAAEAIAAAACUBAABkcnMvZTJvRG9jLnhtbFBLBQYAAAAABgAGAFkBAACqBQAAAAA=&#10;">
                        <v:fill type="pattern" on="t" color2="#FFFFFF [3212]" focussize="0,0" r:id="rId49"/>
                        <v:stroke weight="1.5pt" color="#385D8A [3204]" joinstyle="round"/>
                        <v:imagedata o:title=""/>
                        <o:lock v:ext="edit" aspectratio="f"/>
                      </v:roundrect>
                      <v:roundrect id="圆角矩形 342" o:spid="_x0000_s1026" o:spt="2" style="position:absolute;left:2369365;top:2186138;height:272422;width:147327;v-text-anchor:middle;" fillcolor="#000000 [3213]" filled="t" stroked="t" coordsize="21600,21600" arcsize="0.166666666666667" o:gfxdata="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Bi5lANYAAAAFAQAADwAA&#10;AAAAAAABACAAAAAiAAAAZHJzL2Rvd25yZXYueG1sUEsBAhQAFAAAAAgAh07iQF7JjU4YAgAAEQQA&#10;AA4AAAAAAAAAAQAgAAAAJQEAAGRycy9lMm9Eb2MueG1sUEsFBgAAAAAGAAYAWQEAAK8FAAAAAA==&#10;">
                        <v:fill type="pattern" on="t" color2="#FFFFFF [3212]" focussize="0,0" r:id="rId49"/>
                        <v:stroke weight="1.5pt" color="#385D8A [3204]" joinstyle="round"/>
                        <v:imagedata o:title=""/>
                        <o:lock v:ext="edit" aspectratio="f"/>
                      </v:roundrect>
                      <v:roundrect id="圆角矩形 343" o:spid="_x0000_s1026" o:spt="2" style="position:absolute;left:2517118;top:2186138;height:272422;width:147327;v-text-anchor:middle;" filled="f" stroked="t" coordsize="21600,21600" arcsize="0.166666666666667" o:gfxdata="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B7RBzV1wAAAAUBAAAPAAAAAAAAAAEAIAAAACIAAABkcnMvZG93bnJldi54bWxQSwECFAAU&#10;AAAACACHTuJAXcbPS/IBAACbAwAADgAAAAAAAAABACAAAAAmAQAAZHJzL2Uyb0RvYy54bWxQSwUG&#10;AAAAAAYABgBZAQAAigUAAAAA&#10;">
                        <v:fill on="f" focussize="0,0"/>
                        <v:stroke weight="1.5pt" color="#385D8A [3204]" joinstyle="round"/>
                        <v:imagedata o:title=""/>
                        <o:lock v:ext="edit" aspectratio="f"/>
                      </v:roundrect>
                      <v:roundrect id="圆角矩形 344" o:spid="_x0000_s1026" o:spt="2" style="position:absolute;left:2669315;top:2186138;height:272422;width:147327;v-text-anchor:middle;" filled="f" stroked="t" coordsize="21600,21600" arcsize="0.166666666666667" o:gfxdata="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e0Qc1dcAAAAFAQAADwAAAAAAAAABACAAAAAiAAAAZHJzL2Rvd25yZXYueG1sUEsBAhQA&#10;FAAAAAgAh07iQO2VbP/zAQAAmwMAAA4AAAAAAAAAAQAgAAAAJgEAAGRycy9lMm9Eb2MueG1sUEsF&#10;BgAAAAAGAAYAWQEAAIsFAAAAAA==&#10;">
                        <v:fill on="f" focussize="0,0"/>
                        <v:stroke weight="1.5pt" color="#385D8A [3204]" joinstyle="round"/>
                        <v:imagedata o:title=""/>
                        <o:lock v:ext="edit" aspectratio="f"/>
                      </v:roundrect>
                      <v:roundrect id="圆角矩形 345" o:spid="_x0000_s1026" o:spt="2" style="position:absolute;left:2819303;top:2186138;height:272422;width:147327;v-text-anchor:middle;" filled="f" stroked="t" coordsize="21600,21600" arcsize="0.166666666666667" o:gfxdata="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e0Qc1dcAAAAFAQAADwAAAAAAAAABACAAAAAiAAAAZHJzL2Rvd25yZXYueG1sUEsBAhQA&#10;FAAAAAgAh07iQOW0m5rzAQAAmwMAAA4AAAAAAAAAAQAgAAAAJgEAAGRycy9lMm9Eb2MueG1sUEsF&#10;BgAAAAAGAAYAWQEAAIsFAAAAAA==&#10;">
                        <v:fill on="f" focussize="0,0"/>
                        <v:stroke weight="1.5pt" color="#385D8A [3204]" joinstyle="round"/>
                        <v:imagedata o:title=""/>
                        <o:lock v:ext="edit" aspectratio="f"/>
                      </v:roundrect>
                      <v:roundrect id="圆角矩形 346" o:spid="_x0000_s1026" o:spt="2" style="position:absolute;left:2971500;top:2186138;height:272422;width:147327;v-text-anchor:middle;" filled="f" stroked="t" coordsize="21600,21600" arcsize="0.166666666666667" o:gfxdata="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e0Qc1dcAAAAFAQAADwAAAAAAAAABACAAAAAiAAAAZHJzL2Rvd25yZXYueG1sUEsBAhQA&#10;FAAAAAgAh07iQPa89nTzAQAAmwMAAA4AAAAAAAAAAQAgAAAAJgEAAGRycy9lMm9Eb2MueG1sUEsF&#10;BgAAAAAGAAYAWQEAAIsFAAAAAA==&#10;">
                        <v:fill on="f" focussize="0,0"/>
                        <v:stroke weight="1.5pt" color="#385D8A [3204]" joinstyle="round"/>
                        <v:imagedata o:title=""/>
                        <o:lock v:ext="edit" aspectratio="f"/>
                      </v:roundrect>
                      <v:rect id="矩形 347" o:spid="_x0000_s1026" o:spt="1" style="position:absolute;left:1329461;top:2574685;height:241935;width:440055;mso-wrap-style:none;" filled="f" stroked="f" coordsize="21600,21600" o:gfxdata="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">
                        <v:fill on="f" focussize="0,0"/>
                        <v:stroke on="f"/>
                        <v:imagedata o:title=""/>
                        <o:lock v:ext="edit" aspectratio="f"/>
                        <v:textbox style="mso-fit-shape-to-text:t;">
                          <w:txbxContent>
                            <w:p>
                              <w:pPr>
                                <w:pStyle w:val="49"/>
                                <w:spacing w:before="0" w:beforeAutospacing="0" w:after="0" w:afterAutospacing="0"/>
                              </w:pPr>
                              <w:r>
                                <w:rPr>
                                  <w:rFonts w:hAnsi="Calibri" w:asciiTheme="minorHAnsi" w:cstheme="minorBidi"/>
                                  <w:color w:val="000000"/>
                                  <w:kern w:val="24"/>
                                  <w:sz w:val="18"/>
                                  <w:szCs w:val="18"/>
                                </w:rPr>
                                <w:t>3 OSs</w:t>
                              </w:r>
                            </w:p>
                          </w:txbxContent>
                        </v:textbox>
                      </v:rect>
                      <v:shape id="左大括号 348" o:spid="_x0000_s1026" o:spt="87" type="#_x0000_t87" style="position:absolute;left:1495127;top:2317302;height:451669;width:103269;rotation:-5898240f;v-text-anchor:middle;" filled="f" stroked="t" coordsize="21600,21600" o:gfxdata="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DmHQ73&#10;2QAAAAUBAAAPAAAAAAAAAAEAIAAAACIAAABkcnMvZG93bnJldi54bWxQSwECFAAUAAAACACHTuJA&#10;uJ+U7+cBAACIAwAADgAAAAAAAAABACAAAAAoAQAAZHJzL2Uyb0RvYy54bWxQSwUGAAAAAAYABgBZ&#10;AQAAgQUAAAAA&#10;" adj="411,10800">
                        <v:fill on="f" focussize="0,0"/>
                        <v:stroke color="#000000 [3213]" joinstyle="round"/>
                        <v:imagedata o:title=""/>
                        <o:lock v:ext="edit" aspectratio="f"/>
                      </v:shape>
                      <v:rect id="矩形 349" o:spid="_x0000_s1026" o:spt="1" style="position:absolute;left:2083934;top:2576812;height:241935;width:440055;mso-wrap-style:none;" filled="f" stroked="f" coordsize="21600,21600" o:gfxdata="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">
                        <v:fill on="f" focussize="0,0"/>
                        <v:stroke on="f"/>
                        <v:imagedata o:title=""/>
                        <o:lock v:ext="edit" aspectratio="f"/>
                        <v:textbox style="mso-fit-shape-to-text:t;">
                          <w:txbxContent>
                            <w:p>
                              <w:pPr>
                                <w:pStyle w:val="49"/>
                                <w:spacing w:before="0" w:beforeAutospacing="0" w:after="0" w:afterAutospacing="0"/>
                              </w:pPr>
                              <w:r>
                                <w:rPr>
                                  <w:rFonts w:hAnsi="Calibri" w:asciiTheme="minorHAnsi" w:cstheme="minorBidi"/>
                                  <w:color w:val="000000"/>
                                  <w:kern w:val="24"/>
                                  <w:sz w:val="18"/>
                                  <w:szCs w:val="18"/>
                                </w:rPr>
                                <w:t>3 OSs</w:t>
                              </w:r>
                            </w:p>
                          </w:txbxContent>
                        </v:textbox>
                      </v:rect>
                      <v:shape id="左大括号 350" o:spid="_x0000_s1026" o:spt="87" type="#_x0000_t87" style="position:absolute;left:2249600;top:2319429;height:451669;width:103269;rotation:-5898240f;v-text-anchor:middle;" filled="f" stroked="t" coordsize="21600,21600" o:gfxdata="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OYdDvfZ&#10;AAAABQEAAA8AAAAAAAAAAQAgAAAAIgAAAGRycy9kb3ducmV2LnhtbFBLAQIUABQAAAAIAIdO4kC4&#10;gQ1C5gEAAIgDAAAOAAAAAAAAAAEAIAAAACgBAABkcnMvZTJvRG9jLnhtbFBLBQYAAAAABgAGAFkB&#10;AACABQAAAAA=&#10;" adj="411,10800">
                        <v:fill on="f" focussize="0,0"/>
                        <v:stroke color="#000000 [3213]" joinstyle="round"/>
                        <v:imagedata o:title=""/>
                        <o:lock v:ext="edit" aspectratio="f"/>
                      </v:shape>
                      <v:roundrect id="圆角矩形 351" o:spid="_x0000_s1026" o:spt="2" style="position:absolute;left:999972;top:1391433;height:272423;width:219458;v-text-anchor:middle;" filled="f" stroked="t" coordsize="21600,21600" arcsize="0.166666666666667" o:gfxdata="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HtEHNXXAAAABQEAAA8AAAAAAAAAAQAgAAAAIgAAAGRycy9kb3ducmV2LnhtbFBLAQIUABQA&#10;AAAIAIdO4kBBrUdb8QEAAJoDAAAOAAAAAAAAAAEAIAAAACYBAABkcnMvZTJvRG9jLnhtbFBLBQYA&#10;AAAABgAGAFkBAACJBQAAAAA=&#10;">
                        <v:fill on="f" focussize="0,0"/>
                        <v:stroke weight="1.5pt" color="#385D8A [3204]" joinstyle="round"/>
                        <v:imagedata o:title=""/>
                        <o:lock v:ext="edit" aspectratio="f"/>
                      </v:roundrect>
                      <v:roundrect id="圆角矩形 352" o:spid="_x0000_s1026" o:spt="2" style="position:absolute;left:1215747;top:1391433;height:272423;width:219458;v-text-anchor:middle;" fillcolor="#4F81BD [3204]" filled="t" stroked="t" coordsize="21600,21600" arcsize="0.166666666666667" o:gfxdata="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riZRI1AAAAAUBAAAP&#10;AAAAAAAAAAEAIAAAACIAAABkcnMvZG93bnJldi54bWxQSwECFAAUAAAACACHTuJA1OOt2hwCAAAR&#10;BAAADgAAAAAAAAABACAAAAAjAQAAZHJzL2Uyb0RvYy54bWxQSwUGAAAAAAYABgBZAQAAsQUAAAAA&#10;">
                        <v:fill type="pattern" on="t" color2="#FFFFFF [3212]" focussize="0,0" r:id="rId49"/>
                        <v:stroke weight="1.5pt" color="#385D8A [3204]" joinstyle="round"/>
                        <v:imagedata o:title=""/>
                        <o:lock v:ext="edit" aspectratio="f"/>
                      </v:roundrect>
                      <v:roundrect id="圆角矩形 353" o:spid="_x0000_s1026" o:spt="2" style="position:absolute;left:1435205;top:1391433;height:272423;width:219458;v-text-anchor:middle;" fillcolor="#4F81BD [3204]" filled="t" stroked="t" coordsize="21600,21600" arcsize="0.166666666666667" o:gfxdata="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GuJlEjUAAAABQEAAA8A&#10;AAAAAAAAAQAgAAAAIgAAAGRycy9kb3ducmV2LnhtbFBLAQIUABQAAAAIAIdO4kBU79QdGwIAABEE&#10;AAAOAAAAAAAAAAEAIAAAACMBAABkcnMvZTJvRG9jLnhtbFBLBQYAAAAABgAGAFkBAACwBQAAAAA=&#10;">
                        <v:fill type="pattern" on="t" color2="#FFFFFF [3212]" focussize="0,0" r:id="rId49"/>
                        <v:stroke weight="1.5pt" color="#385D8A [3204]" joinstyle="round"/>
                        <v:imagedata o:title=""/>
                        <o:lock v:ext="edit" aspectratio="f"/>
                      </v:roundrect>
                      <v:roundrect id="圆角矩形 354" o:spid="_x0000_s1026" o:spt="2" style="position:absolute;left:1652264;top:1391433;height:272423;width:219458;v-text-anchor:middle;" filled="f" stroked="t" coordsize="21600,21600" arcsize="0.166666666666667" o:gfxdata="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HtEHNXXAAAABQEAAA8AAAAAAAAAAQAgAAAAIgAAAGRycy9kb3ducmV2LnhtbFBLAQIU&#10;ABQAAAAIAIdO4kC38oJv9AEAAJsDAAAOAAAAAAAAAAEAIAAAACYBAABkcnMvZTJvRG9jLnhtbFBL&#10;BQYAAAAABgAGAFkBAACMBQAAAAA=&#10;">
                        <v:fill on="f" focussize="0,0"/>
                        <v:stroke weight="1.5pt" color="#385D8A [3204]" joinstyle="round"/>
                        <v:imagedata o:title=""/>
                        <o:lock v:ext="edit" aspectratio="f"/>
                      </v:roundrect>
                      <v:shape id="左大括号 355" o:spid="_x0000_s1026" o:spt="87" type="#_x0000_t87" style="position:absolute;left:1371604;top:881635;flip:x;height:872902;width:127335;rotation:5898240f;v-text-anchor:middle;" filled="f" stroked="t" coordsize="21600,21600" o:gfxdata="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IpEWzDVAAAABQEAAA8AAAAAAAAAAQAgAAAAIgAAAGRycy9kb3ducmV2Lnht&#10;bFBLAQIUABQAAAAIAIdO4kCqob/q/AEAALMDAAAOAAAAAAAAAAEAIAAAACQBAABkcnMvZTJvRG9j&#10;LnhtbFBLBQYAAAAABgAGAFkBAACSBQAAAAA=&#10;" adj="262,10800">
                        <v:fill on="f" focussize="0,0"/>
                        <v:stroke color="#7F7F7F [1612]" joinstyle="round"/>
                        <v:imagedata o:title=""/>
                        <o:lock v:ext="edit" aspectratio="f"/>
                      </v:shape>
                      <v:roundrect id="圆角矩形 356" o:spid="_x0000_s1026" o:spt="2" style="position:absolute;left:1877326;top:1391433;height:272423;width:219458;v-text-anchor:middle;" filled="f" stroked="t" coordsize="21600,21600" arcsize="0.166666666666667" o:gfxdata="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B7RBzV1wAAAAUBAAAPAAAAAAAAAAEAIAAAACIAAABkcnMvZG93bnJldi54bWxQSwEC&#10;FAAUAAAACACHTuJABcpnMvUBAACbAwAADgAAAAAAAAABACAAAAAmAQAAZHJzL2Uyb0RvYy54bWxQ&#10;SwUGAAAAAAYABgBZAQAAjQUAAAAA&#10;">
                        <v:fill on="f" focussize="0,0"/>
                        <v:stroke weight="1.5pt" color="#385D8A [3204]" joinstyle="round"/>
                        <v:imagedata o:title=""/>
                        <o:lock v:ext="edit" aspectratio="f"/>
                      </v:roundrect>
                      <v:roundrect id="圆角矩形 357" o:spid="_x0000_s1026" o:spt="2" style="position:absolute;left:2093101;top:1391433;height:272423;width:219458;v-text-anchor:middle;" fillcolor="#4F81BD [3204]" filled="t" stroked="t" coordsize="21600,21600" arcsize="0.166666666666667" o:gfxdata="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riZRI1AAAAAUBAAAP&#10;AAAAAAAAAAEAIAAAACIAAABkcnMvZG93bnJldi54bWxQSwECFAAUAAAACACHTuJAdTQXuRwCAAAR&#10;BAAADgAAAAAAAAABACAAAAAjAQAAZHJzL2Uyb0RvYy54bWxQSwUGAAAAAAYABgBZAQAAsQUAAAAA&#10;">
                        <v:fill type="pattern" on="t" color2="#FFFFFF [3212]" focussize="0,0" r:id="rId49"/>
                        <v:stroke weight="1.5pt" color="#385D8A [3204]" joinstyle="round"/>
                        <v:imagedata o:title=""/>
                        <o:lock v:ext="edit" aspectratio="f"/>
                      </v:roundrect>
                      <v:roundrect id="圆角矩形 358" o:spid="_x0000_s1026" o:spt="2" style="position:absolute;left:2312559;top:1391433;height:272423;width:219458;v-text-anchor:middle;" fillcolor="#4F81BD [3204]" filled="t" stroked="t" coordsize="21600,21600" arcsize="0.166666666666667" o:gfxdata="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GuJlEjUAAAABQEAAA8A&#10;AAAAAAAAAQAgAAAAIgAAAGRycy9kb3ducmV2LnhtbFBLAQIUABQAAAAIAIdO4kDaJVXLGwIAABEE&#10;AAAOAAAAAAAAAAEAIAAAACMBAABkcnMvZTJvRG9jLnhtbFBLBQYAAAAABgAGAFkBAACwBQAAAAA=&#10;">
                        <v:fill type="pattern" on="t" color2="#FFFFFF [3212]" focussize="0,0" r:id="rId49"/>
                        <v:stroke weight="1.5pt" color="#385D8A [3204]" joinstyle="round"/>
                        <v:imagedata o:title=""/>
                        <o:lock v:ext="edit" aspectratio="f"/>
                      </v:roundrect>
                      <v:roundrect id="圆角矩形 359" o:spid="_x0000_s1026" o:spt="2" style="position:absolute;left:2529618;top:1391433;height:272423;width:219458;v-text-anchor:middle;" filled="f" stroked="t" coordsize="21600,21600" arcsize="0.166666666666667" o:gfxdata="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HtEHNXXAAAABQEAAA8AAAAAAAAAAQAgAAAAIgAAAGRycy9kb3ducmV2LnhtbFBLAQIU&#10;ABQAAAAIAIdO4kAPgloJ9AEAAJsDAAAOAAAAAAAAAAEAIAAAACYBAABkcnMvZTJvRG9jLnhtbFBL&#10;BQYAAAAABgAGAFkBAACMBQAAAAA=&#10;">
                        <v:fill on="f" focussize="0,0"/>
                        <v:stroke weight="1.5pt" color="#385D8A [3204]" joinstyle="round"/>
                        <v:imagedata o:title=""/>
                        <o:lock v:ext="edit" aspectratio="f"/>
                      </v:roundrect>
                      <v:roundrect id="圆角矩形 360" o:spid="_x0000_s1026" o:spt="2" style="position:absolute;left:341960;top:1391433;height:272423;width:219458;v-text-anchor:middle;" filled="f" stroked="t" coordsize="21600,21600" arcsize="0.166666666666667" o:gfxdata="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e0Qc1dcAAAAFAQAADwAAAAAAAAABACAAAAAiAAAAZHJzL2Rvd25yZXYueG1sUEsBAhQA&#10;FAAAAAgAh07iQCkPN3HzAQAAmgMAAA4AAAAAAAAAAQAgAAAAJgEAAGRycy9lMm9Eb2MueG1sUEsF&#10;BgAAAAAGAAYAWQEAAIsFAAAAAA==&#10;">
                        <v:fill on="f" focussize="0,0"/>
                        <v:stroke weight="1.5pt" color="#385D8A [3204]" joinstyle="round"/>
                        <v:imagedata o:title=""/>
                        <o:lock v:ext="edit" aspectratio="f"/>
                      </v:roundrect>
                      <v:roundrect id="圆角矩形 361" o:spid="_x0000_s1026" o:spt="2" style="position:absolute;left:561418;top:1391433;height:272423;width:219458;v-text-anchor:middle;" filled="f" stroked="t" coordsize="21600,21600" arcsize="0.166666666666667" o:gfxdata="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B7RBzV1wAAAAUBAAAPAAAAAAAAAAEAIAAAACIAAABkcnMvZG93bnJldi54bWxQSwECFAAU&#10;AAAACACHTuJAcMWLnPIBAACaAwAADgAAAAAAAAABACAAAAAmAQAAZHJzL2Uyb0RvYy54bWxQSwUG&#10;AAAAAAYABgBZAQAAigUAAAAA&#10;">
                        <v:fill on="f" focussize="0,0"/>
                        <v:stroke weight="1.5pt" color="#385D8A [3204]" joinstyle="round"/>
                        <v:imagedata o:title=""/>
                        <o:lock v:ext="edit" aspectratio="f"/>
                      </v:roundrect>
                      <v:roundrect id="圆角矩形 362" o:spid="_x0000_s1026" o:spt="2" style="position:absolute;left:778477;top:1391433;height:272423;width:219458;v-text-anchor:middle;" filled="f" stroked="t" coordsize="21600,21600" arcsize="0.166666666666667" o:gfxdata="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e0Qc1dcAAAAFAQAADwAAAAAAAAABACAAAAAiAAAAZHJzL2Rvd25yZXYueG1sUEsB&#10;AhQAFAAAAAgAh07iQAK+gub2AQAAmgMAAA4AAAAAAAAAAQAgAAAAJgEAAGRycy9lMm9Eb2MueG1s&#10;UEsFBgAAAAAGAAYAWQEAAI4FAAAAAA==&#10;">
                        <v:fill on="f" focussize="0,0"/>
                        <v:stroke weight="1.5pt" color="#385D8A [3204]" joinstyle="round"/>
                        <v:imagedata o:title=""/>
                        <o:lock v:ext="edit" aspectratio="f"/>
                      </v:roundrect>
                      <v:roundrect id="圆角矩形 363" o:spid="_x0000_s1026" o:spt="2" style="position:absolute;left:2749730;top:1391433;height:272423;width:219458;v-text-anchor:middle;" filled="f" stroked="t" coordsize="21600,21600" arcsize="0.166666666666667" o:gfxdata="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B7RBzV1wAAAAUBAAAPAAAAAAAAAAEAIAAAACIAAABkcnMvZG93bnJldi54bWxQSwEC&#10;FAAUAAAACACHTuJAPC1RVfUBAACbAwAADgAAAAAAAAABACAAAAAmAQAAZHJzL2Uyb0RvYy54bWxQ&#10;SwUGAAAAAAYABgBZAQAAjQUAAAAA&#10;">
                        <v:fill on="f" focussize="0,0"/>
                        <v:stroke weight="1.5pt" color="#385D8A [3204]" joinstyle="round"/>
                        <v:imagedata o:title=""/>
                        <o:lock v:ext="edit" aspectratio="f"/>
                      </v:roundrect>
                      <v:roundrect id="圆角矩形 364" o:spid="_x0000_s1026" o:spt="2" style="position:absolute;left:2965506;top:1391433;height:272423;width:219458;v-text-anchor:middle;" fillcolor="#4F81BD [3204]" filled="t" stroked="t" coordsize="21600,21600" arcsize="0.166666666666667" o:gfxdata="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riZRI1AAAAAUBAAAP&#10;AAAAAAAAAAEAIAAAACIAAABkcnMvZG93bnJldi54bWxQSwECFAAUAAAACACHTuJAPOPI9BwCAAAR&#10;BAAADgAAAAAAAAABACAAAAAjAQAAZHJzL2Uyb0RvYy54bWxQSwUGAAAAAAYABgBZAQAAsQUAAAAA&#10;">
                        <v:fill type="pattern" on="t" color2="#FFFFFF [3212]" focussize="0,0" r:id="rId49"/>
                        <v:stroke weight="1.5pt" color="#385D8A [3204]" joinstyle="round"/>
                        <v:imagedata o:title=""/>
                        <o:lock v:ext="edit" aspectratio="f"/>
                      </v:roundrect>
                      <v:roundrect id="圆角矩形 365" o:spid="_x0000_s1026" o:spt="2" style="position:absolute;left:3184964;top:1391433;height:272423;width:219458;v-text-anchor:middle;" fillcolor="#4F81BD [3204]" filled="t" stroked="t" coordsize="21600,21600" arcsize="0.166666666666667" o:gfxdata="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riZRI1AAAAAUBAAAP&#10;AAAAAAAAAAEAIAAAACIAAABkcnMvZG93bnJldi54bWxQSwECFAAUAAAACACHTuJA7hUX4hwCAAAR&#10;BAAADgAAAAAAAAABACAAAAAjAQAAZHJzL2Uyb0RvYy54bWxQSwUGAAAAAAYABgBZAQAAsQUAAAAA&#10;">
                        <v:fill type="pattern" on="t" color2="#FFFFFF [3212]" focussize="0,0" r:id="rId49"/>
                        <v:stroke weight="1.5pt" color="#385D8A [3204]" joinstyle="round"/>
                        <v:imagedata o:title=""/>
                        <o:lock v:ext="edit" aspectratio="f"/>
                      </v:roundrect>
                      <v:roundrect id="圆角矩形 366" o:spid="_x0000_s1026" o:spt="2" style="position:absolute;left:3402022;top:1391433;height:272423;width:219459;v-text-anchor:middle;" filled="f" stroked="t" coordsize="21600,21600" arcsize="0.166666666666667" o:gfxdata="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B7RBzV1wAAAAUBAAAPAAAAAAAAAAEAIAAAACIAAABkcnMvZG93bnJldi54bWxQSwEC&#10;FAAUAAAACACHTuJAsnrFcPUBAACbAwAADgAAAAAAAAABACAAAAAmAQAAZHJzL2Uyb0RvYy54bWxQ&#10;SwUGAAAAAAYABgBZAQAAjQUAAAAA&#10;">
                        <v:fill on="f" focussize="0,0"/>
                        <v:stroke weight="1.5pt" color="#385D8A [3204]" joinstyle="round"/>
                        <v:imagedata o:title=""/>
                        <o:lock v:ext="edit" aspectratio="f"/>
                      </v:roundrect>
                      <v:rect id="矩形 367" o:spid="_x0000_s1026" o:spt="1" style="position:absolute;left:1914670;top:1053948;height:241935;width:803910;" filled="f" stroked="f" coordsize="21600,21600" o:gfxdata="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">
                        <v:fill on="f" focussize="0,0"/>
                        <v:stroke on="f"/>
                        <v:imagedata o:title=""/>
                        <o:lock v:ext="edit" aspectratio="f"/>
                        <v:textbox style="mso-fit-shape-to-text:t;">
                          <w:txbxContent>
                            <w:p>
                              <w:pPr>
                                <w:pStyle w:val="49"/>
                                <w:spacing w:before="0" w:beforeAutospacing="0" w:after="0" w:afterAutospacing="0"/>
                                <w:jc w:val="center"/>
                              </w:pPr>
                              <m:oMath>
                                <m:sSub>
                                  <m:sSubPr>
                                    <m:ctrlPr>
                                      <w:rPr>
                                        <w:rFonts w:ascii="Cambria Math" w:hAnsi="Cambria Math" w:cstheme="minorBidi"/>
                                        <w:i/>
                                        <w:iCs/>
                                        <w:color w:val="000000" w:themeColor="text1"/>
                                        <w:kern w:val="24"/>
                                        <w:sz w:val="18"/>
                                        <w:szCs w:val="18"/>
                                        <w14:textFill>
                                          <w14:solidFill>
                                            <w14:schemeClr w14:val="tx1"/>
                                          </w14:solidFill>
                                        </w14:textFill>
                                      </w:rPr>
                                    </m:ctrlPr>
                                  </m:sSubPr>
                                  <m:e>
                                    <m:r>
                                      <w:rPr>
                                        <w:rFonts w:ascii="Cambria Math" w:hAnsi="Cambria Math" w:cstheme="minorBidi"/>
                                        <w:color w:val="000000" w:themeColor="text1"/>
                                        <w:kern w:val="24"/>
                                        <w:sz w:val="18"/>
                                        <w:szCs w:val="18"/>
                                        <w14:textFill>
                                          <w14:solidFill>
                                            <w14:schemeClr w14:val="tx1"/>
                                          </w14:solidFill>
                                        </w14:textFill>
                                      </w:rPr>
                                      <m:t>X</m:t>
                                    </m:r>
                                    <m:ctrlPr>
                                      <w:rPr>
                                        <w:rFonts w:ascii="Cambria Math" w:hAnsi="Cambria Math" w:cstheme="minorBidi"/>
                                        <w:i/>
                                        <w:iCs/>
                                        <w:color w:val="000000" w:themeColor="text1"/>
                                        <w:kern w:val="24"/>
                                        <w:sz w:val="18"/>
                                        <w:szCs w:val="18"/>
                                        <w14:textFill>
                                          <w14:solidFill>
                                            <w14:schemeClr w14:val="tx1"/>
                                          </w14:solidFill>
                                        </w14:textFill>
                                      </w:rPr>
                                    </m:ctrlPr>
                                  </m:e>
                                  <m:sub>
                                    <m:r>
                                      <w:rPr>
                                        <w:rFonts w:ascii="Cambria Math" w:hAnsi="Cambria Math" w:cstheme="minorBidi"/>
                                        <w:color w:val="000000" w:themeColor="text1"/>
                                        <w:kern w:val="24"/>
                                        <w:sz w:val="18"/>
                                        <w:szCs w:val="18"/>
                                        <w14:textFill>
                                          <w14:solidFill>
                                            <w14:schemeClr w14:val="tx1"/>
                                          </w14:solidFill>
                                        </w14:textFill>
                                      </w:rPr>
                                      <m:t>s</m:t>
                                    </m:r>
                                    <m:ctrlPr>
                                      <w:rPr>
                                        <w:rFonts w:ascii="Cambria Math" w:hAnsi="Cambria Math" w:cstheme="minorBidi"/>
                                        <w:i/>
                                        <w:iCs/>
                                        <w:color w:val="000000" w:themeColor="text1"/>
                                        <w:kern w:val="24"/>
                                        <w:sz w:val="18"/>
                                        <w:szCs w:val="18"/>
                                        <w14:textFill>
                                          <w14:solidFill>
                                            <w14:schemeClr w14:val="tx1"/>
                                          </w14:solidFill>
                                        </w14:textFill>
                                      </w:rPr>
                                    </m:ctrlPr>
                                  </m:sub>
                                </m:sSub>
                                <m:r>
                                  <m:rPr>
                                    <m:sty m:val="p"/>
                                  </m:rPr>
                                  <w:rPr>
                                    <w:rFonts w:ascii="Cambria Math" w:hAnsi="Cambria Math" w:cstheme="minorBidi"/>
                                    <w:color w:val="000000" w:themeColor="text1"/>
                                    <w:kern w:val="24"/>
                                    <w:sz w:val="18"/>
                                    <w:szCs w:val="18"/>
                                    <w14:textFill>
                                      <w14:solidFill>
                                        <w14:schemeClr w14:val="tx1"/>
                                      </w14:solidFill>
                                    </w14:textFill>
                                  </w:rPr>
                                  <m:t>=4</m:t>
                                </m:r>
                              </m:oMath>
                              <w:r>
                                <w:rPr>
                                  <w:rFonts w:hAnsi="Calibri" w:asciiTheme="minorHAnsi" w:cstheme="minorBidi"/>
                                  <w:color w:val="000000"/>
                                  <w:kern w:val="24"/>
                                  <w:sz w:val="18"/>
                                  <w:szCs w:val="18"/>
                                </w:rPr>
                                <w:t xml:space="preserve"> slots</w:t>
                              </w:r>
                            </w:p>
                          </w:txbxContent>
                        </v:textbox>
                      </v:rect>
                      <v:shape id="左大括号 368" o:spid="_x0000_s1026" o:spt="87" type="#_x0000_t87" style="position:absolute;left:2251854;top:887635;flip:x;height:867109;width:127336;rotation:5898240f;v-text-anchor:middle;" filled="f" stroked="t" coordsize="21600,21600" o:gfxdata="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PTcXtfYAAAABQEAAA8AAAAAAAAAAQAgAAAAIgAAAGRycy9kb3du&#10;cmV2LnhtbFBLAQIUABQAAAAIAIdO4kD+v0mo/wEAALMDAAAOAAAAAAAAAAEAIAAAACcBAABkcnMv&#10;ZTJvRG9jLnhtbFBLBQYAAAAABgAGAFkBAACYBQAAAAA=&#10;" adj="264,10800">
                        <v:fill on="f" focussize="0,0"/>
                        <v:stroke color="#7F7F7F [1612]" joinstyle="round"/>
                        <v:imagedata o:title=""/>
                        <o:lock v:ext="edit" aspectratio="f"/>
                      </v:shape>
                      <v:rect id="矩形 369" o:spid="_x0000_s1026" o:spt="1" style="position:absolute;left:2772872;top:1053948;height:241935;width:803910;" filled="f" stroked="f" coordsize="21600,21600" o:gfxdata="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">
                        <v:fill on="f" focussize="0,0"/>
                        <v:stroke on="f"/>
                        <v:imagedata o:title=""/>
                        <o:lock v:ext="edit" aspectratio="f"/>
                        <v:textbox style="mso-fit-shape-to-text:t;">
                          <w:txbxContent>
                            <w:p>
                              <w:pPr>
                                <w:pStyle w:val="49"/>
                                <w:spacing w:before="0" w:beforeAutospacing="0" w:after="0" w:afterAutospacing="0"/>
                                <w:jc w:val="center"/>
                              </w:pPr>
                              <m:oMath>
                                <m:sSub>
                                  <m:sSubPr>
                                    <m:ctrlPr>
                                      <w:rPr>
                                        <w:rFonts w:ascii="Cambria Math" w:hAnsi="Cambria Math" w:cstheme="minorBidi"/>
                                        <w:i/>
                                        <w:iCs/>
                                        <w:color w:val="000000" w:themeColor="text1"/>
                                        <w:kern w:val="24"/>
                                        <w:sz w:val="18"/>
                                        <w:szCs w:val="18"/>
                                        <w14:textFill>
                                          <w14:solidFill>
                                            <w14:schemeClr w14:val="tx1"/>
                                          </w14:solidFill>
                                        </w14:textFill>
                                      </w:rPr>
                                    </m:ctrlPr>
                                  </m:sSubPr>
                                  <m:e>
                                    <m:r>
                                      <w:rPr>
                                        <w:rFonts w:ascii="Cambria Math" w:hAnsi="Cambria Math" w:cstheme="minorBidi"/>
                                        <w:color w:val="000000" w:themeColor="text1"/>
                                        <w:kern w:val="24"/>
                                        <w:sz w:val="18"/>
                                        <w:szCs w:val="18"/>
                                        <w14:textFill>
                                          <w14:solidFill>
                                            <w14:schemeClr w14:val="tx1"/>
                                          </w14:solidFill>
                                        </w14:textFill>
                                      </w:rPr>
                                      <m:t>X</m:t>
                                    </m:r>
                                    <m:ctrlPr>
                                      <w:rPr>
                                        <w:rFonts w:ascii="Cambria Math" w:hAnsi="Cambria Math" w:cstheme="minorBidi"/>
                                        <w:i/>
                                        <w:iCs/>
                                        <w:color w:val="000000" w:themeColor="text1"/>
                                        <w:kern w:val="24"/>
                                        <w:sz w:val="18"/>
                                        <w:szCs w:val="18"/>
                                        <w14:textFill>
                                          <w14:solidFill>
                                            <w14:schemeClr w14:val="tx1"/>
                                          </w14:solidFill>
                                        </w14:textFill>
                                      </w:rPr>
                                    </m:ctrlPr>
                                  </m:e>
                                  <m:sub>
                                    <m:r>
                                      <w:rPr>
                                        <w:rFonts w:ascii="Cambria Math" w:hAnsi="Cambria Math" w:cstheme="minorBidi"/>
                                        <w:color w:val="000000" w:themeColor="text1"/>
                                        <w:kern w:val="24"/>
                                        <w:sz w:val="18"/>
                                        <w:szCs w:val="18"/>
                                        <w14:textFill>
                                          <w14:solidFill>
                                            <w14:schemeClr w14:val="tx1"/>
                                          </w14:solidFill>
                                        </w14:textFill>
                                      </w:rPr>
                                      <m:t>s</m:t>
                                    </m:r>
                                    <m:ctrlPr>
                                      <w:rPr>
                                        <w:rFonts w:ascii="Cambria Math" w:hAnsi="Cambria Math" w:cstheme="minorBidi"/>
                                        <w:i/>
                                        <w:iCs/>
                                        <w:color w:val="000000" w:themeColor="text1"/>
                                        <w:kern w:val="24"/>
                                        <w:sz w:val="18"/>
                                        <w:szCs w:val="18"/>
                                        <w14:textFill>
                                          <w14:solidFill>
                                            <w14:schemeClr w14:val="tx1"/>
                                          </w14:solidFill>
                                        </w14:textFill>
                                      </w:rPr>
                                    </m:ctrlPr>
                                  </m:sub>
                                </m:sSub>
                                <m:r>
                                  <m:rPr>
                                    <m:sty m:val="p"/>
                                  </m:rPr>
                                  <w:rPr>
                                    <w:rFonts w:ascii="Cambria Math" w:hAnsi="Cambria Math" w:cstheme="minorBidi"/>
                                    <w:color w:val="000000" w:themeColor="text1"/>
                                    <w:kern w:val="24"/>
                                    <w:sz w:val="18"/>
                                    <w:szCs w:val="18"/>
                                    <w14:textFill>
                                      <w14:solidFill>
                                        <w14:schemeClr w14:val="tx1"/>
                                      </w14:solidFill>
                                    </w14:textFill>
                                  </w:rPr>
                                  <m:t>=4</m:t>
                                </m:r>
                              </m:oMath>
                              <w:r>
                                <w:rPr>
                                  <w:rFonts w:hAnsi="Calibri" w:asciiTheme="minorHAnsi" w:cstheme="minorBidi"/>
                                  <w:color w:val="000000"/>
                                  <w:kern w:val="24"/>
                                  <w:sz w:val="18"/>
                                  <w:szCs w:val="18"/>
                                </w:rPr>
                                <w:t xml:space="preserve"> slots</w:t>
                              </w:r>
                            </w:p>
                          </w:txbxContent>
                        </v:textbox>
                      </v:rect>
                      <v:shape id="左大括号 370" o:spid="_x0000_s1026" o:spt="87" type="#_x0000_t87" style="position:absolute;left:3100424;top:894421;flip:x;height:856280;width:155492;rotation:5898240f;v-text-anchor:middle;" filled="f" stroked="t" coordsize="21600,21600" o:gfxdata="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erP/KNgAAAAFAQAADwAAAAAAAAABACAAAAAiAAAAZHJzL2Rv&#10;d25yZXYueG1sUEsBAhQAFAAAAAgAh07iQK4bw0MBAgAAswMAAA4AAAAAAAAAAQAgAAAAJwEAAGRy&#10;cy9lMm9Eb2MueG1sUEsFBgAAAAAGAAYAWQEAAJoFAAAAAA==&#10;" adj="326,10800">
                        <v:fill on="f" focussize="0,0"/>
                        <v:stroke color="#7F7F7F [1612]" joinstyle="round"/>
                        <v:imagedata o:title=""/>
                        <o:lock v:ext="edit" aspectratio="f"/>
                      </v:shape>
                      <v:roundrect id="圆角矩形 371" o:spid="_x0000_s1026" o:spt="2" style="position:absolute;left:3624690;top:1393099;height:272423;width:430907;v-text-anchor:middle;" filled="f" stroked="f" coordsize="21600,21600" arcsize="0.166666666666667" o:gfxdata="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HSy4erVAAAABQEA&#10;AA8AAAAAAAAAAQAgAAAAIgAAAGRycy9kb3ducmV2LnhtbFBLAQIUABQAAAAIAIdO4kAcDgFL5AEA&#10;AIADAAAOAAAAAAAAAAEAIAAAACQBAABkcnMvZTJvRG9jLnhtbFBLBQYAAAAABgAGAFkBAAB6BQAA&#10;AAA=&#10;">
                        <v:fill on="f" focussize="0,0"/>
                        <v:stroke on="f" weight="1.5pt"/>
                        <v:imagedata o:title=""/>
                        <o:lock v:ext="edit" aspectratio="f"/>
                        <v:textbox inset="0mm,0mm,0mm,0mm">
                          <w:txbxContent>
                            <w:p>
                              <w:pPr>
                                <w:pStyle w:val="49"/>
                                <w:spacing w:before="0" w:beforeAutospacing="0" w:after="0" w:afterAutospacing="0"/>
                                <w:jc w:val="center"/>
                              </w:pPr>
                              <w:r>
                                <w:rPr>
                                  <w:rFonts w:hAnsi="Calibri" w:asciiTheme="minorHAnsi" w:cstheme="minorBidi"/>
                                  <w:b/>
                                  <w:bCs/>
                                  <w:color w:val="000000" w:themeColor="text1"/>
                                  <w:kern w:val="24"/>
                                  <w:sz w:val="18"/>
                                  <w:szCs w:val="18"/>
                                  <w14:shadow w14:blurRad="38100" w14:dist="19050" w14:dir="2700000" w14:sx="100000" w14:sy="100000" w14:kx="0" w14:ky="0" w14:algn="tl">
                                    <w14:schemeClr w14:val="dk1">
                                      <w14:alpha w14:val="60000"/>
                                    </w14:schemeClr>
                                  </w14:shadow>
                                  <w14:textFill>
                                    <w14:solidFill>
                                      <w14:schemeClr w14:val="tx1"/>
                                    </w14:solidFill>
                                  </w14:textFill>
                                </w:rPr>
                                <w:t>…</w:t>
                              </w:r>
                            </w:p>
                          </w:txbxContent>
                        </v:textbox>
                      </v:roundrect>
                      <v:rect id="矩形 373" o:spid="_x0000_s1026" o:spt="1" style="position:absolute;left:4080309;top:1045164;height:241935;width:803910;" filled="f" stroked="f" coordsize="21600,21600" o:gfxdata="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">
                        <v:fill on="f" focussize="0,0"/>
                        <v:stroke on="f"/>
                        <v:imagedata o:title=""/>
                        <o:lock v:ext="edit" aspectratio="f"/>
                        <v:textbox style="mso-fit-shape-to-text:t;">
                          <w:txbxContent>
                            <w:p>
                              <w:pPr>
                                <w:pStyle w:val="49"/>
                                <w:spacing w:before="0" w:beforeAutospacing="0" w:after="0" w:afterAutospacing="0"/>
                                <w:jc w:val="center"/>
                              </w:pPr>
                              <m:oMath>
                                <m:sSub>
                                  <m:sSubPr>
                                    <m:ctrlPr>
                                      <w:rPr>
                                        <w:rFonts w:ascii="Cambria Math" w:hAnsi="Cambria Math" w:cstheme="minorBidi"/>
                                        <w:i/>
                                        <w:iCs/>
                                        <w:color w:val="000000" w:themeColor="text1"/>
                                        <w:kern w:val="24"/>
                                        <w:sz w:val="18"/>
                                        <w:szCs w:val="18"/>
                                        <w14:textFill>
                                          <w14:solidFill>
                                            <w14:schemeClr w14:val="tx1"/>
                                          </w14:solidFill>
                                        </w14:textFill>
                                      </w:rPr>
                                    </m:ctrlPr>
                                  </m:sSubPr>
                                  <m:e>
                                    <m:r>
                                      <w:rPr>
                                        <w:rFonts w:ascii="Cambria Math" w:hAnsi="Cambria Math" w:cstheme="minorBidi"/>
                                        <w:color w:val="000000" w:themeColor="text1"/>
                                        <w:kern w:val="24"/>
                                        <w:sz w:val="18"/>
                                        <w:szCs w:val="18"/>
                                        <w14:textFill>
                                          <w14:solidFill>
                                            <w14:schemeClr w14:val="tx1"/>
                                          </w14:solidFill>
                                        </w14:textFill>
                                      </w:rPr>
                                      <m:t>X</m:t>
                                    </m:r>
                                    <m:ctrlPr>
                                      <w:rPr>
                                        <w:rFonts w:ascii="Cambria Math" w:hAnsi="Cambria Math" w:cstheme="minorBidi"/>
                                        <w:i/>
                                        <w:iCs/>
                                        <w:color w:val="000000" w:themeColor="text1"/>
                                        <w:kern w:val="24"/>
                                        <w:sz w:val="18"/>
                                        <w:szCs w:val="18"/>
                                        <w14:textFill>
                                          <w14:solidFill>
                                            <w14:schemeClr w14:val="tx1"/>
                                          </w14:solidFill>
                                        </w14:textFill>
                                      </w:rPr>
                                    </m:ctrlPr>
                                  </m:e>
                                  <m:sub>
                                    <m:r>
                                      <w:rPr>
                                        <w:rFonts w:ascii="Cambria Math" w:hAnsi="Cambria Math" w:cstheme="minorBidi"/>
                                        <w:color w:val="000000" w:themeColor="text1"/>
                                        <w:kern w:val="24"/>
                                        <w:sz w:val="18"/>
                                        <w:szCs w:val="18"/>
                                        <w14:textFill>
                                          <w14:solidFill>
                                            <w14:schemeClr w14:val="tx1"/>
                                          </w14:solidFill>
                                        </w14:textFill>
                                      </w:rPr>
                                      <m:t>s</m:t>
                                    </m:r>
                                    <m:ctrlPr>
                                      <w:rPr>
                                        <w:rFonts w:ascii="Cambria Math" w:hAnsi="Cambria Math" w:cstheme="minorBidi"/>
                                        <w:i/>
                                        <w:iCs/>
                                        <w:color w:val="000000" w:themeColor="text1"/>
                                        <w:kern w:val="24"/>
                                        <w:sz w:val="18"/>
                                        <w:szCs w:val="18"/>
                                        <w14:textFill>
                                          <w14:solidFill>
                                            <w14:schemeClr w14:val="tx1"/>
                                          </w14:solidFill>
                                        </w14:textFill>
                                      </w:rPr>
                                    </m:ctrlPr>
                                  </m:sub>
                                </m:sSub>
                                <m:r>
                                  <m:rPr>
                                    <m:sty m:val="p"/>
                                  </m:rPr>
                                  <w:rPr>
                                    <w:rFonts w:ascii="Cambria Math" w:hAnsi="Cambria Math" w:cstheme="minorBidi"/>
                                    <w:color w:val="000000" w:themeColor="text1"/>
                                    <w:kern w:val="24"/>
                                    <w:sz w:val="18"/>
                                    <w:szCs w:val="18"/>
                                    <w14:textFill>
                                      <w14:solidFill>
                                        <w14:schemeClr w14:val="tx1"/>
                                      </w14:solidFill>
                                    </w14:textFill>
                                  </w:rPr>
                                  <m:t>=4</m:t>
                                </m:r>
                              </m:oMath>
                              <w:r>
                                <w:rPr>
                                  <w:rFonts w:hAnsi="Calibri" w:asciiTheme="minorHAnsi" w:cstheme="minorBidi"/>
                                  <w:color w:val="000000"/>
                                  <w:kern w:val="24"/>
                                  <w:sz w:val="18"/>
                                  <w:szCs w:val="18"/>
                                </w:rPr>
                                <w:t xml:space="preserve"> slots</w:t>
                              </w:r>
                            </w:p>
                          </w:txbxContent>
                        </v:textbox>
                      </v:rect>
                      <v:roundrect id="圆角矩形 374" o:spid="_x0000_s1026" o:spt="2" style="position:absolute;left:4054368;top:1391364;height:272422;width:219458;v-text-anchor:middle;" filled="f" stroked="t" coordsize="21600,21600" arcsize="0.166666666666667" o:gfxdata="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HtEHNXXAAAABQEAAA8AAAAAAAAAAQAgAAAAIgAAAGRycy9kb3ducmV2LnhtbFBLAQIU&#10;ABQAAAAIAIdO4kAc9rBM9AEAAJwDAAAOAAAAAAAAAAEAIAAAACYBAABkcnMvZTJvRG9jLnhtbFBL&#10;BQYAAAAABgAGAFkBAACMBQAAAAA=&#10;">
                        <v:fill on="f" focussize="0,0"/>
                        <v:stroke weight="1.5pt" color="#385D8A [3204]" joinstyle="round"/>
                        <v:imagedata o:title=""/>
                        <o:lock v:ext="edit" aspectratio="f"/>
                      </v:roundrect>
                      <v:roundrect id="圆角矩形 375" o:spid="_x0000_s1026" o:spt="2" style="position:absolute;left:4270143;top:1391364;height:272422;width:219458;v-text-anchor:middle;" fillcolor="#4F81BD [3204]" filled="t" stroked="t" coordsize="21600,21600" arcsize="0.166666666666667" o:gfxdata="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a4mUSNQAAAAFAQAA&#10;DwAAAAAAAAABACAAAAAiAAAAZHJzL2Rvd25yZXYueG1sUEsBAhQAFAAAAAgAh07iQHCc5EMdAgAA&#10;EgQAAA4AAAAAAAAAAQAgAAAAIwEAAGRycy9lMm9Eb2MueG1sUEsFBgAAAAAGAAYAWQEAALIFAAAA&#10;AA==&#10;">
                        <v:fill type="pattern" on="t" color2="#FFFFFF [3212]" focussize="0,0" r:id="rId49"/>
                        <v:stroke weight="1.5pt" color="#385D8A [3204]" joinstyle="round"/>
                        <v:imagedata o:title=""/>
                        <o:lock v:ext="edit" aspectratio="f"/>
                      </v:roundrect>
                      <v:roundrect id="圆角矩形 376" o:spid="_x0000_s1026" o:spt="2" style="position:absolute;left:4489601;top:1391364;height:272422;width:219458;v-text-anchor:middle;" fillcolor="#4F81BD [3204]" filled="t" stroked="t" coordsize="21600,21600" arcsize="0.166666666666667" o:gfxdata="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a4mUSNQAAAAFAQAA&#10;DwAAAAAAAAABACAAAAAiAAAAZHJzL2Rvd25yZXYueG1sUEsBAhQAFAAAAAgAh07iQG/YWU4dAgAA&#10;EgQAAA4AAAAAAAAAAQAgAAAAIwEAAGRycy9lMm9Eb2MueG1sUEsFBgAAAAAGAAYAWQEAALIFAAAA&#10;AA==&#10;">
                        <v:fill type="pattern" on="t" color2="#FFFFFF [3212]" focussize="0,0" r:id="rId49"/>
                        <v:stroke weight="1.5pt" color="#385D8A [3204]" joinstyle="round"/>
                        <v:imagedata o:title=""/>
                        <o:lock v:ext="edit" aspectratio="f"/>
                      </v:roundrect>
                      <v:roundrect id="圆角矩形 377" o:spid="_x0000_s1026" o:spt="2" style="position:absolute;left:4706660;top:1391364;height:272422;width:219458;v-text-anchor:middle;" filled="f" stroked="t" coordsize="21600,21600" arcsize="0.166666666666667" o:gfxdata="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HtEHNXXAAAABQEAAA8AAAAAAAAAAQAgAAAAIgAAAGRycy9kb3ducmV2LnhtbFBLAQIU&#10;ABQAAAAIAIdO4kADzqDg9AEAAJwDAAAOAAAAAAAAAAEAIAAAACYBAABkcnMvZTJvRG9jLnhtbFBL&#10;BQYAAAAABgAGAFkBAACMBQAAAAA=&#10;">
                        <v:fill on="f" focussize="0,0"/>
                        <v:stroke weight="1.5pt" color="#385D8A [3204]" joinstyle="round"/>
                        <v:imagedata o:title=""/>
                        <o:lock v:ext="edit" aspectratio="f"/>
                      </v:roundrect>
                      <v:shape id="左大括号 378" o:spid="_x0000_s1026" o:spt="87" type="#_x0000_t87" style="position:absolute;left:4427212;top:875956;flip:x;height:872902;width:127337;rotation:5898240f;v-text-anchor:middle;" filled="f" stroked="t" coordsize="21600,21600" o:gfxdata="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KRFsw1QAAAAUBAAAPAAAAAAAAAAEAIAAAACIAAABkcnMvZG93bnJl&#10;di54bWxQSwECFAAUAAAACACHTuJA6potngACAAC0AwAADgAAAAAAAAABACAAAAAkAQAAZHJzL2Uy&#10;b0RvYy54bWxQSwUGAAAAAAYABgBZAQAAlgUAAAAA&#10;" adj="262,10800">
                        <v:fill on="f" focussize="0,0"/>
                        <v:stroke color="#7F7F7F [1612]" joinstyle="round"/>
                        <v:imagedata o:title=""/>
                        <o:lock v:ext="edit" aspectratio="f"/>
                      </v:shape>
                      <v:roundrect id="圆角矩形 379" o:spid="_x0000_s1026" o:spt="2" style="position:absolute;left:4923059;top:1392578;height:272422;width:219458;v-text-anchor:middle;" filled="f" stroked="f" coordsize="21600,21600" arcsize="0.166666666666667" o:gfxdata="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dLLh6tUAAAAF&#10;AQAADwAAAAAAAAABACAAAAAiAAAAZHJzL2Rvd25yZXYueG1sUEsBAhQAFAAAAAgAh07iQNQxj0Pm&#10;AQAAgQMAAA4AAAAAAAAAAQAgAAAAJAEAAGRycy9lMm9Eb2MueG1sUEsFBgAAAAAGAAYAWQEAAHwF&#10;AAAAAA==&#10;">
                        <v:fill on="f" focussize="0,0"/>
                        <v:stroke on="f" weight="1.5pt"/>
                        <v:imagedata o:title=""/>
                        <o:lock v:ext="edit" aspectratio="f"/>
                        <v:textbox inset="0mm,0mm,0mm,0mm">
                          <w:txbxContent>
                            <w:p>
                              <w:pPr>
                                <w:pStyle w:val="49"/>
                                <w:spacing w:before="0" w:beforeAutospacing="0" w:after="0" w:afterAutospacing="0"/>
                                <w:jc w:val="center"/>
                              </w:pPr>
                              <w:r>
                                <w:rPr>
                                  <w:rFonts w:hAnsi="Calibri" w:asciiTheme="minorHAnsi" w:cstheme="minorBidi"/>
                                  <w:b/>
                                  <w:bCs/>
                                  <w:color w:val="000000" w:themeColor="text1"/>
                                  <w:kern w:val="24"/>
                                  <w:sz w:val="18"/>
                                  <w:szCs w:val="18"/>
                                  <w14:shadow w14:blurRad="38100" w14:dist="19050" w14:dir="2700000" w14:sx="100000" w14:sy="100000" w14:kx="0" w14:ky="0" w14:algn="tl">
                                    <w14:schemeClr w14:val="dk1">
                                      <w14:alpha w14:val="60000"/>
                                    </w14:schemeClr>
                                  </w14:shadow>
                                  <w14:textFill>
                                    <w14:solidFill>
                                      <w14:schemeClr w14:val="tx1"/>
                                    </w14:solidFill>
                                  </w14:textFill>
                                </w:rPr>
                                <w:t>…</w:t>
                              </w:r>
                            </w:p>
                          </w:txbxContent>
                        </v:textbox>
                      </v:roundrect>
                      <v:shape id="文本框 4" o:spid="_x0000_s1026" o:spt="202" type="#_x0000_t202" style="position:absolute;left:736410;top:2821329;height:204317;width:2727061;" filled="f" stroked="f" coordsize="21600,21600" o:gfxdata="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2zvI21QAAAAUBAAAPAAAAAAAA&#10;AAEAIAAAACIAAABkcnMvZG93bnJldi54bWxQSwECFAAUAAAACACHTuJA28T7EhUCAADzAwAADgAA&#10;AAAAAAABACAAAAAkAQAAZHJzL2Uyb0RvYy54bWxQSwUGAAAAAAYABgBZAQAAqwUAAAAA&#10;">
                        <v:fill on="f" focussize="0,0"/>
                        <v:stroke on="f" weight="0.5pt"/>
                        <v:imagedata o:title=""/>
                        <o:lock v:ext="edit" aspectratio="f"/>
                        <v:textbox inset="0mm,0mm,0mm,0mm">
                          <w:txbxContent>
                            <w:p>
                              <w:pPr>
                                <w:pStyle w:val="49"/>
                                <w:spacing w:before="0" w:beforeAutospacing="0" w:after="0" w:afterAutospacing="0"/>
                                <w:jc w:val="center"/>
                              </w:pPr>
                              <w:r>
                                <w:rPr>
                                  <w:rFonts w:hAnsi="Calibri" w:asciiTheme="minorHAnsi" w:cstheme="minorBidi"/>
                                  <w:i/>
                                  <w:iCs/>
                                  <w:color w:val="4F81BD" w:themeColor="accent1"/>
                                  <w:kern w:val="24"/>
                                  <w:sz w:val="18"/>
                                  <w:szCs w:val="18"/>
                                  <w14:textFill>
                                    <w14:solidFill>
                                      <w14:schemeClr w14:val="accent1"/>
                                    </w14:solidFill>
                                  </w14:textFill>
                                </w:rPr>
                                <w:t xml:space="preserve">monitoringSymbolsWithinSlot </w:t>
                              </w:r>
                              <w:r>
                                <w:rPr>
                                  <w:rFonts w:hAnsi="Calibri" w:asciiTheme="minorHAnsi"/>
                                  <w:color w:val="000000"/>
                                  <w:kern w:val="24"/>
                                  <w:sz w:val="18"/>
                                  <w:szCs w:val="18"/>
                                </w:rPr>
                                <w:t>= 00111 00111 0000</w:t>
                              </w:r>
                            </w:p>
                          </w:txbxContent>
                        </v:textbox>
                      </v:shape>
                      <v:roundrect id="圆角矩形 382" o:spid="_x0000_s1026" o:spt="2" style="position:absolute;left:121344;top:1391433;height:272423;width:219458;v-text-anchor:middle;" filled="f" stroked="t" coordsize="21600,21600" arcsize="0.166666666666667" o:gfxdata="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e0Qc1dcAAAAFAQAADwAAAAAAAAABACAAAAAiAAAAZHJzL2Rvd25yZXYueG1sUEsBAhQA&#10;FAAAAAgAh07iQLXSkzzzAQAAmwMAAA4AAAAAAAAAAQAgAAAAJgEAAGRycy9lMm9Eb2MueG1sUEsF&#10;BgAAAAAGAAYAWQEAAIsFAAAAAA==&#10;">
                        <v:fill on="f" focussize="0,0"/>
                        <v:stroke weight="1.5pt" color="#385D8A [3204]" joinstyle="round"/>
                        <v:imagedata o:title=""/>
                        <o:lock v:ext="edit" aspectratio="f"/>
                      </v:roundrect>
                      <v:shape id="直接箭头连接符 383" o:spid="_x0000_s1026" o:spt="32" type="#_x0000_t32" style="position:absolute;left:1326474;top:1663856;height:439264;width:2987;" filled="f" stroked="t" coordsize="21600,21600" o:gfxdata="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Zpuko1gAAAAUBAAAPAAAAAAAAAAEAIAAA&#10;ACIAAABkcnMvZG93bnJldi54bWxQSwECFAAUAAAACACHTuJARQIjuQ4CAADGAwAADgAAAAAAAAAB&#10;ACAAAAAlAQAAZHJzL2Uyb0RvYy54bWxQSwUGAAAAAAYABgBZAQAApQUAAAAA&#10;">
                        <v:fill on="f" focussize="0,0"/>
                        <v:stroke color="#4A7EBB [3204]" joinstyle="round" dashstyle="dash" endarrow="block"/>
                        <v:imagedata o:title=""/>
                        <o:lock v:ext="edit" aspectratio="f"/>
                      </v:shape>
                      <w10:wrap type="none"/>
                      <w10:anchorlock/>
                    </v:group>
                  </w:pict>
                </mc:Fallback>
              </mc:AlternateContent>
            </w:r>
          </w:p>
          <w:p>
            <w:pPr>
              <w:pStyle w:val="27"/>
              <w:widowControl w:val="0"/>
            </w:pPr>
            <w:bookmarkStart w:id="58" w:name="_Ref92445553"/>
            <w:r>
              <w:t xml:space="preserve">Figure </w:t>
            </w:r>
            <w:r>
              <w:fldChar w:fldCharType="begin"/>
            </w:r>
            <w:r>
              <w:instrText xml:space="preserve"> SEQ Figure \* ARABIC </w:instrText>
            </w:r>
            <w:r>
              <w:fldChar w:fldCharType="separate"/>
            </w:r>
            <w:r>
              <w:t>1</w:t>
            </w:r>
            <w:r>
              <w:fldChar w:fldCharType="end"/>
            </w:r>
            <w:bookmarkEnd w:id="58"/>
            <w:r>
              <w:t xml:space="preserve"> An example of search space configuration for a UE that supports multi-slot monitoring for 480 kHz SCS with </w:t>
            </w:r>
            <m:oMath>
              <m:d>
                <m:dPr>
                  <m:ctrlPr>
                    <w:rPr>
                      <w:rStyle w:val="67"/>
                      <w:rFonts w:ascii="Cambria Math" w:hAnsi="Cambria Math"/>
                      <w:szCs w:val="20"/>
                      <w:lang w:eastAsia="zh-CN"/>
                    </w:rPr>
                  </m:ctrlPr>
                </m:dPr>
                <m:e>
                  <m:sSub>
                    <m:sSubPr>
                      <m:ctrlPr>
                        <w:rPr>
                          <w:rStyle w:val="67"/>
                          <w:rFonts w:ascii="Cambria Math" w:hAnsi="Cambria Math"/>
                          <w:i/>
                          <w:szCs w:val="20"/>
                          <w:lang w:eastAsia="zh-CN"/>
                        </w:rPr>
                      </m:ctrlPr>
                    </m:sSubPr>
                    <m:e>
                      <m:r>
                        <m:rPr>
                          <m:sty m:val="bi"/>
                        </m:rPr>
                        <w:rPr>
                          <w:rStyle w:val="67"/>
                          <w:rFonts w:ascii="Cambria Math" w:hAnsi="Cambria Math"/>
                        </w:rPr>
                        <m:t>X</m:t>
                      </m:r>
                      <m:ctrlPr>
                        <w:rPr>
                          <w:rStyle w:val="67"/>
                          <w:rFonts w:ascii="Cambria Math" w:hAnsi="Cambria Math"/>
                          <w:i/>
                          <w:szCs w:val="20"/>
                          <w:lang w:eastAsia="zh-CN"/>
                        </w:rPr>
                      </m:ctrlPr>
                    </m:e>
                    <m:sub>
                      <m:r>
                        <m:rPr>
                          <m:sty m:val="bi"/>
                        </m:rPr>
                        <w:rPr>
                          <w:rStyle w:val="67"/>
                          <w:rFonts w:ascii="Cambria Math" w:hAnsi="Cambria Math"/>
                        </w:rPr>
                        <m:t>s</m:t>
                      </m:r>
                      <m:ctrlPr>
                        <w:rPr>
                          <w:rStyle w:val="67"/>
                          <w:rFonts w:ascii="Cambria Math" w:hAnsi="Cambria Math"/>
                          <w:i/>
                          <w:szCs w:val="20"/>
                          <w:lang w:eastAsia="zh-CN"/>
                        </w:rPr>
                      </m:ctrlPr>
                    </m:sub>
                  </m:sSub>
                  <m:r>
                    <m:rPr>
                      <m:sty m:val="bi"/>
                    </m:rPr>
                    <w:rPr>
                      <w:rStyle w:val="67"/>
                      <w:rFonts w:ascii="Cambria Math" w:hAnsi="Cambria Math"/>
                    </w:rPr>
                    <m:t>,</m:t>
                  </m:r>
                  <m:sSub>
                    <m:sSubPr>
                      <m:ctrlPr>
                        <w:rPr>
                          <w:rStyle w:val="67"/>
                          <w:rFonts w:ascii="Cambria Math" w:hAnsi="Cambria Math"/>
                          <w:i/>
                          <w:szCs w:val="20"/>
                          <w:lang w:eastAsia="zh-CN"/>
                        </w:rPr>
                      </m:ctrlPr>
                    </m:sSubPr>
                    <m:e>
                      <m:r>
                        <m:rPr>
                          <m:sty m:val="bi"/>
                        </m:rPr>
                        <w:rPr>
                          <w:rStyle w:val="67"/>
                          <w:rFonts w:ascii="Cambria Math" w:hAnsi="Cambria Math"/>
                        </w:rPr>
                        <m:t>Y</m:t>
                      </m:r>
                      <m:ctrlPr>
                        <w:rPr>
                          <w:rStyle w:val="67"/>
                          <w:rFonts w:ascii="Cambria Math" w:hAnsi="Cambria Math"/>
                          <w:i/>
                          <w:szCs w:val="20"/>
                          <w:lang w:eastAsia="zh-CN"/>
                        </w:rPr>
                      </m:ctrlPr>
                    </m:e>
                    <m:sub>
                      <m:r>
                        <m:rPr>
                          <m:sty m:val="bi"/>
                        </m:rPr>
                        <w:rPr>
                          <w:rStyle w:val="67"/>
                          <w:rFonts w:ascii="Cambria Math" w:hAnsi="Cambria Math"/>
                        </w:rPr>
                        <m:t>s</m:t>
                      </m:r>
                      <m:ctrlPr>
                        <w:rPr>
                          <w:rStyle w:val="67"/>
                          <w:rFonts w:ascii="Cambria Math" w:hAnsi="Cambria Math"/>
                          <w:i/>
                          <w:szCs w:val="20"/>
                          <w:lang w:eastAsia="zh-CN"/>
                        </w:rPr>
                      </m:ctrlPr>
                    </m:sub>
                  </m:sSub>
                  <m:ctrlPr>
                    <w:rPr>
                      <w:rStyle w:val="67"/>
                      <w:rFonts w:ascii="Cambria Math" w:hAnsi="Cambria Math"/>
                      <w:szCs w:val="20"/>
                      <w:lang w:eastAsia="zh-CN"/>
                    </w:rPr>
                  </m:ctrlPr>
                </m:e>
              </m:d>
              <m:r>
                <m:rPr>
                  <m:sty m:val="bi"/>
                </m:rPr>
                <w:rPr>
                  <w:rStyle w:val="67"/>
                  <w:rFonts w:ascii="Cambria Math" w:hAnsi="Cambria Math"/>
                </w:rPr>
                <m:t>=(4,</m:t>
              </m:r>
              <m:r>
                <m:rPr>
                  <m:sty m:val="b"/>
                </m:rPr>
                <w:rPr>
                  <w:rStyle w:val="67"/>
                  <w:rFonts w:ascii="Cambria Math" w:hAnsi="Cambria Math"/>
                </w:rPr>
                <m:t>2</m:t>
              </m:r>
              <m:r>
                <m:rPr>
                  <m:sty m:val="bi"/>
                </m:rPr>
                <w:rPr>
                  <w:rStyle w:val="67"/>
                  <w:rFonts w:ascii="Cambria Math" w:hAnsi="Cambria Math"/>
                </w:rPr>
                <m:t>)</m:t>
              </m:r>
            </m:oMath>
            <w:r>
              <w:t xml:space="preserve"> with </w:t>
            </w:r>
            <w:r>
              <w:rPr>
                <w:i/>
                <w:szCs w:val="21"/>
              </w:rPr>
              <w:t>monitoringSlotsWithinSlotGroup-r17</w:t>
            </w:r>
            <w:r>
              <w:rPr>
                <w:szCs w:val="21"/>
              </w:rPr>
              <w:t xml:space="preserve"> = 0110000</w:t>
            </w:r>
          </w:p>
          <w:p>
            <w:pPr>
              <w:pStyle w:val="82"/>
              <w:widowControl w:val="0"/>
              <w:snapToGrid/>
              <w:spacing w:before="120" w:beforeLines="50" w:after="120" w:afterLines="50"/>
              <w:ind w:left="0"/>
              <w:rPr>
                <w:b/>
                <w:i/>
                <w:color w:val="000000"/>
                <w:sz w:val="21"/>
                <w:szCs w:val="21"/>
                <w:lang w:eastAsia="zh-CN"/>
              </w:rPr>
            </w:pPr>
          </w:p>
          <w:p>
            <w:pPr>
              <w:pStyle w:val="82"/>
              <w:widowControl w:val="0"/>
              <w:snapToGrid/>
              <w:spacing w:before="120" w:beforeLines="50" w:after="120" w:afterLines="50"/>
              <w:ind w:left="0"/>
              <w:rPr>
                <w:b/>
                <w:i/>
                <w:color w:val="000000"/>
                <w:sz w:val="21"/>
                <w:szCs w:val="21"/>
                <w:lang w:eastAsia="zh-CN"/>
              </w:rPr>
            </w:pPr>
            <w:r>
              <w:rPr>
                <w:b/>
                <w:i/>
                <w:color w:val="000000"/>
                <w:sz w:val="21"/>
                <w:szCs w:val="21"/>
                <w:lang w:eastAsia="zh-CN"/>
              </w:rPr>
              <w:t xml:space="preserve">Proposal 7: The configured offset in </w:t>
            </w:r>
            <w:r>
              <w:rPr>
                <w:b/>
                <w:i/>
                <w:sz w:val="21"/>
                <w:szCs w:val="21"/>
              </w:rPr>
              <w:t>monitoringPeriodicityAndOffset-r17</w:t>
            </w:r>
            <w:r>
              <w:rPr>
                <w:b/>
                <w:i/>
                <w:color w:val="000000"/>
                <w:sz w:val="21"/>
                <w:szCs w:val="21"/>
                <w:lang w:eastAsia="zh-CN"/>
              </w:rPr>
              <w:t xml:space="preserve"> is restricted to be an integer multiple of </w:t>
            </w:r>
            <m:oMath>
              <m:sSub>
                <m:sSubPr>
                  <m:ctrlPr>
                    <w:rPr>
                      <w:rStyle w:val="67"/>
                      <w:rFonts w:ascii="Cambria Math" w:hAnsi="Cambria Math"/>
                      <w:b/>
                      <w:i/>
                      <w:sz w:val="21"/>
                      <w:lang w:eastAsia="zh-CN"/>
                    </w:rPr>
                  </m:ctrlPr>
                </m:sSubPr>
                <m:e>
                  <m:r>
                    <m:rPr>
                      <m:sty m:val="bi"/>
                    </m:rPr>
                    <w:rPr>
                      <w:rStyle w:val="67"/>
                      <w:rFonts w:ascii="Cambria Math" w:hAnsi="Cambria Math"/>
                      <w:sz w:val="21"/>
                    </w:rPr>
                    <m:t>X</m:t>
                  </m:r>
                  <m:ctrlPr>
                    <w:rPr>
                      <w:rStyle w:val="67"/>
                      <w:rFonts w:ascii="Cambria Math" w:hAnsi="Cambria Math"/>
                      <w:b/>
                      <w:i/>
                      <w:sz w:val="21"/>
                      <w:lang w:eastAsia="zh-CN"/>
                    </w:rPr>
                  </m:ctrlPr>
                </m:e>
                <m:sub>
                  <m:r>
                    <m:rPr>
                      <m:sty m:val="bi"/>
                    </m:rPr>
                    <w:rPr>
                      <w:rStyle w:val="67"/>
                      <w:rFonts w:ascii="Cambria Math" w:hAnsi="Cambria Math"/>
                      <w:sz w:val="21"/>
                    </w:rPr>
                    <m:t>s</m:t>
                  </m:r>
                  <m:ctrlPr>
                    <w:rPr>
                      <w:rStyle w:val="67"/>
                      <w:rFonts w:ascii="Cambria Math" w:hAnsi="Cambria Math"/>
                      <w:b/>
                      <w:i/>
                      <w:sz w:val="21"/>
                      <w:lang w:eastAsia="zh-CN"/>
                    </w:rPr>
                  </m:ctrlPr>
                </m:sub>
              </m:sSub>
            </m:oMath>
            <w:r>
              <w:rPr>
                <w:b/>
                <w:i/>
                <w:color w:val="000000"/>
                <w:sz w:val="21"/>
                <w:szCs w:val="21"/>
                <w:lang w:eastAsia="zh-CN"/>
              </w:rPr>
              <w:t xml:space="preserve"> slots and the invalid entries can be removed.</w:t>
            </w:r>
          </w:p>
          <w:p>
            <w:pPr>
              <w:widowControl w:val="0"/>
              <w:spacing w:line="240" w:lineRule="auto"/>
              <w:contextualSpacing/>
              <w:rPr>
                <w:color w:val="000000"/>
              </w:rPr>
            </w:pPr>
          </w:p>
          <w:p>
            <w:pPr>
              <w:widowControl w:val="0"/>
              <w:spacing w:line="240" w:lineRule="auto"/>
              <w:contextualSpacing/>
              <w:rPr>
                <w:color w:val="000000"/>
              </w:rPr>
            </w:pPr>
          </w:p>
          <w:p>
            <w:pPr>
              <w:widowControl w:val="0"/>
              <w:spacing w:line="240" w:lineRule="auto"/>
              <w:contextualSpacing/>
              <w:rPr>
                <w:color w:val="000000"/>
              </w:rPr>
            </w:pPr>
          </w:p>
          <w:p>
            <w:pPr>
              <w:widowControl/>
              <w:spacing w:afterLines="50"/>
              <w:rPr>
                <w:rFonts w:eastAsia="宋体"/>
                <w:szCs w:val="21"/>
              </w:rPr>
            </w:pPr>
            <w:r>
              <w:rPr>
                <w:rFonts w:eastAsia="宋体"/>
                <w:szCs w:val="21"/>
              </w:rPr>
              <w:t xml:space="preserve">As for the definition of </w:t>
            </w:r>
            <w:r>
              <w:rPr>
                <w:rFonts w:eastAsia="宋体"/>
                <w:i/>
                <w:szCs w:val="21"/>
              </w:rPr>
              <w:t>duration-r17</w:t>
            </w:r>
            <w:r>
              <w:rPr>
                <w:rFonts w:eastAsia="宋体"/>
                <w:szCs w:val="21"/>
              </w:rPr>
              <w:t xml:space="preserve">, it is worth noticing that, unlike Rel-15/16, the search space is not necessarily consist of a consecutive number of slots in a period (occasion) because the group (1) SS in only located within </w:t>
            </w:r>
            <m:oMath>
              <m:sSub>
                <m:sSubPr>
                  <m:ctrlPr>
                    <w:rPr>
                      <w:rFonts w:ascii="Cambria Math" w:hAnsi="Cambria Math"/>
                      <w:i/>
                      <w:szCs w:val="21"/>
                    </w:rPr>
                  </m:ctrlPr>
                </m:sSubPr>
                <m:e>
                  <m:r>
                    <w:rPr>
                      <w:rFonts w:ascii="Cambria Math" w:hAnsi="Cambria Math"/>
                      <w:szCs w:val="21"/>
                    </w:rPr>
                    <m:t>Y</m:t>
                  </m:r>
                  <m:ctrlPr>
                    <w:rPr>
                      <w:rFonts w:ascii="Cambria Math" w:hAnsi="Cambria Math"/>
                      <w:i/>
                      <w:szCs w:val="21"/>
                    </w:rPr>
                  </m:ctrlPr>
                </m:e>
                <m:sub>
                  <m:r>
                    <w:rPr>
                      <w:rFonts w:ascii="Cambria Math" w:hAnsi="Cambria Math"/>
                      <w:szCs w:val="21"/>
                    </w:rPr>
                    <m:t>s</m:t>
                  </m:r>
                  <m:ctrlPr>
                    <w:rPr>
                      <w:rFonts w:ascii="Cambria Math" w:hAnsi="Cambria Math"/>
                      <w:i/>
                      <w:szCs w:val="21"/>
                    </w:rPr>
                  </m:ctrlPr>
                </m:sub>
              </m:sSub>
            </m:oMath>
            <w:r>
              <w:rPr>
                <w:rFonts w:eastAsia="宋体"/>
                <w:szCs w:val="21"/>
              </w:rPr>
              <w:t xml:space="preserve"> consecutive slots of the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ctrlPr>
                    <w:rPr>
                      <w:rFonts w:ascii="Cambria Math" w:hAnsi="Cambria Math"/>
                      <w:szCs w:val="21"/>
                    </w:rPr>
                  </m:ctrlPr>
                </m:sub>
              </m:sSub>
            </m:oMath>
            <w:r>
              <w:rPr>
                <w:rFonts w:eastAsia="宋体"/>
                <w:szCs w:val="21"/>
              </w:rPr>
              <w:t xml:space="preserve"> slot group. Therefore, a valid definition of </w:t>
            </w:r>
            <w:r>
              <w:rPr>
                <w:rFonts w:eastAsia="宋体"/>
                <w:i/>
                <w:szCs w:val="21"/>
              </w:rPr>
              <w:t>duration-r17</w:t>
            </w:r>
            <w:r>
              <w:rPr>
                <w:rFonts w:eastAsia="宋体"/>
                <w:szCs w:val="21"/>
              </w:rPr>
              <w:t xml:space="preserve"> is the total number slots in consecutive groups of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ctrlPr>
                    <w:rPr>
                      <w:rFonts w:ascii="Cambria Math" w:hAnsi="Cambria Math"/>
                      <w:szCs w:val="21"/>
                    </w:rPr>
                  </m:ctrlPr>
                </m:sub>
              </m:sSub>
            </m:oMath>
            <w:r>
              <w:rPr>
                <w:rFonts w:eastAsia="宋体"/>
                <w:szCs w:val="21"/>
              </w:rPr>
              <w:t xml:space="preserve"> slots that a search space lasts in each period. </w:t>
            </w:r>
          </w:p>
          <w:p>
            <w:pPr>
              <w:pStyle w:val="82"/>
              <w:widowControl w:val="0"/>
              <w:ind w:left="0"/>
              <w:rPr>
                <w:b/>
                <w:i/>
                <w:sz w:val="21"/>
                <w:szCs w:val="21"/>
              </w:rPr>
            </w:pPr>
            <w:r>
              <w:rPr>
                <w:b/>
                <w:i/>
                <w:szCs w:val="21"/>
              </w:rPr>
              <w:t xml:space="preserve">Proposal 5: </w:t>
            </w:r>
            <w:r>
              <w:rPr>
                <w:b/>
                <w:i/>
                <w:sz w:val="21"/>
                <w:szCs w:val="21"/>
              </w:rPr>
              <w:t xml:space="preserve">Support the following definition for duration-r17: </w:t>
            </w:r>
          </w:p>
          <w:p>
            <w:pPr>
              <w:pStyle w:val="82"/>
              <w:widowControl w:val="0"/>
              <w:numPr>
                <w:ilvl w:val="0"/>
                <w:numId w:val="66"/>
              </w:numPr>
              <w:autoSpaceDE w:val="0"/>
              <w:autoSpaceDN w:val="0"/>
              <w:adjustRightInd w:val="0"/>
              <w:spacing w:after="120" w:line="240" w:lineRule="auto"/>
              <w:contextualSpacing/>
              <w:jc w:val="both"/>
              <w:rPr>
                <w:b/>
                <w:i/>
                <w:sz w:val="21"/>
                <w:szCs w:val="21"/>
              </w:rPr>
            </w:pPr>
            <w:r>
              <w:rPr>
                <w:b/>
                <w:i/>
                <w:sz w:val="21"/>
                <w:szCs w:val="21"/>
              </w:rPr>
              <w:t xml:space="preserve">Duration-r17 is the total number of slots in consecutive groups of </w:t>
            </w:r>
            <m:oMath>
              <m:sSub>
                <m:sSubPr>
                  <m:ctrlPr>
                    <w:rPr>
                      <w:rFonts w:ascii="Cambria Math" w:hAnsi="Cambria Math"/>
                      <w:b/>
                      <w:i/>
                      <w:sz w:val="21"/>
                      <w:szCs w:val="21"/>
                    </w:rPr>
                  </m:ctrlPr>
                </m:sSubPr>
                <m:e>
                  <m:r>
                    <m:rPr>
                      <m:sty m:val="bi"/>
                    </m:rPr>
                    <w:rPr>
                      <w:rFonts w:ascii="Cambria Math" w:hAnsi="Cambria Math"/>
                      <w:sz w:val="21"/>
                      <w:szCs w:val="21"/>
                    </w:rPr>
                    <m:t>X</m:t>
                  </m:r>
                  <m:ctrlPr>
                    <w:rPr>
                      <w:rFonts w:ascii="Cambria Math" w:hAnsi="Cambria Math"/>
                      <w:b/>
                      <w:i/>
                      <w:sz w:val="21"/>
                      <w:szCs w:val="21"/>
                    </w:rPr>
                  </m:ctrlPr>
                </m:e>
                <m:sub>
                  <m:r>
                    <m:rPr>
                      <m:sty m:val="bi"/>
                    </m:rPr>
                    <w:rPr>
                      <w:rFonts w:ascii="Cambria Math" w:hAnsi="Cambria Math"/>
                      <w:sz w:val="21"/>
                      <w:szCs w:val="21"/>
                    </w:rPr>
                    <m:t>s</m:t>
                  </m:r>
                  <m:ctrlPr>
                    <w:rPr>
                      <w:rFonts w:ascii="Cambria Math" w:hAnsi="Cambria Math"/>
                      <w:b/>
                      <w:i/>
                      <w:sz w:val="21"/>
                      <w:szCs w:val="21"/>
                    </w:rPr>
                  </m:ctrlPr>
                </m:sub>
              </m:sSub>
            </m:oMath>
            <w:r>
              <w:rPr>
                <w:b/>
                <w:i/>
                <w:sz w:val="21"/>
                <w:szCs w:val="21"/>
              </w:rPr>
              <w:t xml:space="preserve"> slots that a SearchSpace lasts in every occasion, i.e., upon every period as given in the monitoringPeriodicityAndOffset-r17, for </w:t>
            </w:r>
            <m:oMath>
              <m:r>
                <m:rPr>
                  <m:sty m:val="bi"/>
                </m:rPr>
                <w:rPr>
                  <w:rStyle w:val="67"/>
                  <w:rFonts w:ascii="Cambria Math" w:hAnsi="Cambria Math"/>
                </w:rPr>
                <m:t>μ</m:t>
              </m:r>
              <m:r>
                <m:rPr>
                  <m:sty m:val="bi"/>
                </m:rPr>
                <w:rPr>
                  <w:rFonts w:ascii="Cambria Math" w:hAnsi="Cambria Math"/>
                  <w:sz w:val="21"/>
                  <w:szCs w:val="21"/>
                </w:rPr>
                <m:t>∈{5,6}</m:t>
              </m:r>
            </m:oMath>
            <w:r>
              <w:rPr>
                <w:b/>
                <w:i/>
                <w:sz w:val="21"/>
                <w:szCs w:val="21"/>
              </w:rPr>
              <w:t>.</w:t>
            </w:r>
          </w:p>
          <w:p>
            <w:pPr>
              <w:pStyle w:val="82"/>
              <w:widowControl w:val="0"/>
              <w:numPr>
                <w:ilvl w:val="1"/>
                <w:numId w:val="66"/>
              </w:numPr>
              <w:autoSpaceDE w:val="0"/>
              <w:autoSpaceDN w:val="0"/>
              <w:adjustRightInd w:val="0"/>
              <w:spacing w:after="120" w:line="240" w:lineRule="auto"/>
              <w:contextualSpacing/>
              <w:jc w:val="both"/>
              <w:rPr>
                <w:b/>
                <w:i/>
                <w:sz w:val="21"/>
                <w:szCs w:val="21"/>
              </w:rPr>
            </w:pPr>
            <w:r>
              <w:rPr>
                <w:b/>
                <w:i/>
                <w:sz w:val="21"/>
                <w:szCs w:val="21"/>
              </w:rPr>
              <w:t>Use the above definition of duration-r17 in RRC parameter list</w:t>
            </w:r>
          </w:p>
          <w:p>
            <w:pPr>
              <w:pStyle w:val="82"/>
              <w:widowControl w:val="0"/>
              <w:numPr>
                <w:ilvl w:val="1"/>
                <w:numId w:val="66"/>
              </w:numPr>
              <w:autoSpaceDE w:val="0"/>
              <w:autoSpaceDN w:val="0"/>
              <w:adjustRightInd w:val="0"/>
              <w:spacing w:after="120" w:line="240" w:lineRule="auto"/>
              <w:contextualSpacing/>
              <w:jc w:val="both"/>
              <w:rPr>
                <w:b/>
                <w:i/>
                <w:sz w:val="21"/>
                <w:szCs w:val="21"/>
              </w:rPr>
            </w:pPr>
            <w:r>
              <w:rPr>
                <w:rFonts w:eastAsia="Yu Mincho"/>
                <w:b/>
                <w:i/>
                <w:sz w:val="21"/>
                <w:szCs w:val="21"/>
              </w:rPr>
              <w:t>Adopt TP3 for 38.213</w:t>
            </w:r>
          </w:p>
          <w:p>
            <w:pPr>
              <w:widowControl w:val="0"/>
              <w:spacing w:line="240" w:lineRule="auto"/>
              <w:contextualSpacing/>
              <w:rPr>
                <w:color w:val="000000"/>
              </w:rPr>
            </w:pPr>
          </w:p>
          <w:p>
            <w:pPr>
              <w:widowControl w:val="0"/>
              <w:spacing w:line="240" w:lineRule="auto"/>
              <w:contextualSpacing/>
              <w:rPr>
                <w:color w:val="000000"/>
              </w:rPr>
            </w:pPr>
          </w:p>
          <w:p>
            <w:pPr>
              <w:widowControl w:val="0"/>
              <w:spacing w:before="120" w:beforeLines="50" w:afterLines="50"/>
              <w:rPr>
                <w:szCs w:val="21"/>
              </w:rPr>
            </w:pPr>
            <w:r>
              <w:rPr>
                <w:szCs w:val="21"/>
              </w:rPr>
              <w:t xml:space="preserve">We support the WA with a slight modification: Since the size of </w:t>
            </w:r>
            <w:r>
              <w:rPr>
                <w:rFonts w:eastAsia="宋体"/>
                <w:i/>
                <w:szCs w:val="21"/>
              </w:rPr>
              <w:t xml:space="preserve">monitoringSlotsWithinSlotGroup-r17 </w:t>
            </w:r>
            <w:r>
              <w:rPr>
                <w:rFonts w:eastAsia="宋体"/>
                <w:szCs w:val="21"/>
              </w:rPr>
              <w:t xml:space="preserve">is set to 8 while the size of slot group </w:t>
            </w:r>
            <w:r>
              <w:t xml:space="preserve">is either 4 or 8, only the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ctrlPr>
                    <w:rPr>
                      <w:rFonts w:ascii="Cambria Math" w:hAnsi="Cambria Math"/>
                      <w:szCs w:val="21"/>
                    </w:rPr>
                  </m:ctrlPr>
                </m:sub>
              </m:sSub>
            </m:oMath>
            <w:r>
              <w:t xml:space="preserve"> leftmost bits of </w:t>
            </w:r>
            <w:r>
              <w:rPr>
                <w:rFonts w:eastAsia="宋体"/>
                <w:i/>
                <w:szCs w:val="21"/>
              </w:rPr>
              <w:t>monitoringSlotsWithinSlotGroup-r17</w:t>
            </w:r>
            <w:r>
              <w:rPr>
                <w:rFonts w:eastAsia="宋体"/>
                <w:szCs w:val="21"/>
              </w:rPr>
              <w:t xml:space="preserve"> represent a slot in a slot group.</w:t>
            </w:r>
          </w:p>
          <w:p>
            <w:pPr>
              <w:pStyle w:val="82"/>
              <w:widowControl w:val="0"/>
              <w:spacing w:before="120" w:beforeLines="50" w:after="120" w:afterLines="50"/>
              <w:ind w:left="0"/>
              <w:rPr>
                <w:b/>
                <w:i/>
                <w:sz w:val="21"/>
                <w:szCs w:val="18"/>
              </w:rPr>
            </w:pPr>
            <w:r>
              <w:rPr>
                <w:b/>
                <w:i/>
                <w:sz w:val="21"/>
                <w:szCs w:val="18"/>
              </w:rPr>
              <w:t xml:space="preserve">Proposal 6: Confirm the working assumption on monitoringSlotsWithinSlotGroup-r17 with the following modification in the second sub-bullet: </w:t>
            </w:r>
          </w:p>
          <w:p>
            <w:pPr>
              <w:pStyle w:val="82"/>
              <w:widowControl w:val="0"/>
              <w:numPr>
                <w:ilvl w:val="0"/>
                <w:numId w:val="66"/>
              </w:numPr>
              <w:autoSpaceDE w:val="0"/>
              <w:autoSpaceDN w:val="0"/>
              <w:adjustRightInd w:val="0"/>
              <w:spacing w:before="120" w:beforeLines="50" w:after="120" w:afterLines="50" w:line="240" w:lineRule="auto"/>
              <w:contextualSpacing/>
              <w:jc w:val="both"/>
              <w:rPr>
                <w:b/>
                <w:i/>
                <w:sz w:val="21"/>
                <w:szCs w:val="18"/>
              </w:rPr>
            </w:pPr>
            <w:r>
              <w:rPr>
                <w:b/>
                <w:i/>
                <w:color w:val="000000"/>
              </w:rPr>
              <w:t xml:space="preserve">Each </w:t>
            </w:r>
            <w:r>
              <w:rPr>
                <w:b/>
                <w:i/>
                <w:color w:val="FF0000"/>
              </w:rPr>
              <w:t xml:space="preserve">of the </w:t>
            </w:r>
            <m:oMath>
              <m:sSub>
                <m:sSubPr>
                  <m:ctrlPr>
                    <w:rPr>
                      <w:rFonts w:ascii="Cambria Math" w:hAnsi="Cambria Math"/>
                      <w:b/>
                      <w:sz w:val="21"/>
                      <w:szCs w:val="21"/>
                    </w:rPr>
                  </m:ctrlPr>
                </m:sSubPr>
                <m:e>
                  <m:r>
                    <m:rPr>
                      <m:sty m:val="bi"/>
                    </m:rPr>
                    <w:rPr>
                      <w:rFonts w:ascii="Cambria Math" w:hAnsi="Cambria Math"/>
                      <w:sz w:val="21"/>
                      <w:szCs w:val="21"/>
                    </w:rPr>
                    <m:t>X</m:t>
                  </m:r>
                  <m:ctrlPr>
                    <w:rPr>
                      <w:rFonts w:ascii="Cambria Math" w:hAnsi="Cambria Math"/>
                      <w:b/>
                      <w:i/>
                      <w:sz w:val="21"/>
                      <w:szCs w:val="21"/>
                    </w:rPr>
                  </m:ctrlPr>
                </m:e>
                <m:sub>
                  <m:r>
                    <m:rPr>
                      <m:sty m:val="b"/>
                    </m:rPr>
                    <w:rPr>
                      <w:rFonts w:ascii="Cambria Math" w:hAnsi="Cambria Math"/>
                      <w:sz w:val="21"/>
                      <w:szCs w:val="21"/>
                    </w:rPr>
                    <m:t>s</m:t>
                  </m:r>
                  <m:ctrlPr>
                    <w:rPr>
                      <w:rFonts w:ascii="Cambria Math" w:hAnsi="Cambria Math"/>
                      <w:b/>
                      <w:sz w:val="21"/>
                      <w:szCs w:val="21"/>
                    </w:rPr>
                  </m:ctrlPr>
                </m:sub>
              </m:sSub>
            </m:oMath>
            <w:r>
              <w:rPr>
                <w:b/>
                <w:i/>
                <w:color w:val="FF0000"/>
              </w:rPr>
              <w:t xml:space="preserve"> leftmost </w:t>
            </w:r>
            <w:r>
              <w:rPr>
                <w:b/>
                <w:i/>
                <w:color w:val="000000"/>
              </w:rPr>
              <w:t>bit</w:t>
            </w:r>
            <w:r>
              <w:rPr>
                <w:b/>
                <w:i/>
                <w:color w:val="FF0000"/>
              </w:rPr>
              <w:t>s</w:t>
            </w:r>
            <w:r>
              <w:rPr>
                <w:b/>
                <w:i/>
                <w:color w:val="000000"/>
              </w:rPr>
              <w:t xml:space="preserve"> in </w:t>
            </w:r>
            <w:r>
              <w:rPr>
                <w:b/>
                <w:i/>
                <w:iCs/>
                <w:color w:val="000000"/>
              </w:rPr>
              <w:t>monitoringSlotsWithinSlotGroup-r17</w:t>
            </w:r>
            <w:r>
              <w:rPr>
                <w:b/>
                <w:i/>
                <w:color w:val="000000"/>
              </w:rPr>
              <w:t xml:space="preserve"> represents a slot in a slot group.</w:t>
            </w:r>
          </w:p>
          <w:p>
            <w:pPr>
              <w:pStyle w:val="82"/>
              <w:widowControl w:val="0"/>
              <w:spacing w:before="120" w:beforeLines="50" w:after="120" w:afterLines="50"/>
              <w:ind w:left="0"/>
              <w:rPr>
                <w:b/>
                <w:i/>
                <w:sz w:val="21"/>
                <w:szCs w:val="18"/>
              </w:rPr>
            </w:pPr>
            <w:r>
              <w:rPr>
                <w:b/>
                <w:i/>
                <w:sz w:val="21"/>
                <w:szCs w:val="18"/>
              </w:rPr>
              <w:t>Adopt TP4</w:t>
            </w:r>
            <w:r>
              <w:rPr>
                <w:b/>
                <w:i/>
                <w:szCs w:val="18"/>
              </w:rPr>
              <w:fldChar w:fldCharType="begin"/>
            </w:r>
            <w:r>
              <w:rPr>
                <w:b/>
                <w:i/>
                <w:sz w:val="21"/>
                <w:szCs w:val="18"/>
              </w:rPr>
              <w:instrText xml:space="preserve"> REF _Ref95381543 \h  \* MERGEFORMAT </w:instrText>
            </w:r>
            <w:r>
              <w:rPr>
                <w:b/>
                <w:i/>
                <w:szCs w:val="18"/>
              </w:rPr>
              <w:fldChar w:fldCharType="end"/>
            </w:r>
            <w:r>
              <w:rPr>
                <w:b/>
                <w:i/>
                <w:sz w:val="21"/>
                <w:szCs w:val="18"/>
              </w:rPr>
              <w:t xml:space="preserve"> for 38.213.</w:t>
            </w:r>
          </w:p>
          <w:p>
            <w:pPr>
              <w:widowControl w:val="0"/>
              <w:spacing w:line="240" w:lineRule="auto"/>
              <w:contextualSpacing/>
              <w:rPr>
                <w:color w:val="000000"/>
              </w:rPr>
            </w:pPr>
          </w:p>
          <w:p>
            <w:pPr>
              <w:widowControl w:val="0"/>
              <w:spacing w:line="240" w:lineRule="auto"/>
              <w:contextualSpacing/>
              <w:rPr>
                <w:color w:val="000000"/>
              </w:rPr>
            </w:pPr>
          </w:p>
          <w:p>
            <w:pPr>
              <w:widowControl w:val="0"/>
              <w:autoSpaceDE/>
              <w:autoSpaceDN/>
              <w:adjustRightInd/>
              <w:snapToGrid/>
              <w:spacing w:before="120" w:beforeLines="50" w:afterLines="50" w:line="240" w:lineRule="auto"/>
              <w:jc w:val="both"/>
              <w:rPr>
                <w:rFonts w:eastAsia="宋体"/>
                <w:kern w:val="2"/>
                <w:sz w:val="21"/>
                <w:lang w:eastAsia="zh-CN"/>
              </w:rPr>
            </w:pPr>
            <w:r>
              <w:rPr>
                <w:rFonts w:eastAsia="宋体"/>
                <w:kern w:val="2"/>
                <w:sz w:val="21"/>
                <w:lang w:eastAsia="zh-CN"/>
              </w:rPr>
              <w:t xml:space="preserve">Given our earlier proposals (brought also above for the ease of reading) regarding the periodicity and offset values in </w:t>
            </w:r>
            <w:r>
              <w:rPr>
                <w:rFonts w:eastAsia="宋体"/>
                <w:i/>
                <w:kern w:val="2"/>
                <w:sz w:val="21"/>
                <w:lang w:eastAsia="zh-CN"/>
              </w:rPr>
              <w:t>monitoringPeriodicityAndOffset-r17</w:t>
            </w:r>
            <w:r>
              <w:rPr>
                <w:rFonts w:eastAsia="宋体"/>
                <w:kern w:val="2"/>
                <w:sz w:val="21"/>
                <w:lang w:eastAsia="zh-CN"/>
              </w:rPr>
              <w:t xml:space="preserve"> and the fact that </w:t>
            </w:r>
            <m:oMath>
              <m:sSub>
                <m:sSubPr>
                  <m:ctrlPr>
                    <w:rPr>
                      <w:rFonts w:ascii="Cambria Math" w:hAnsi="Cambria Math" w:eastAsia="宋体"/>
                      <w:kern w:val="2"/>
                      <w:sz w:val="21"/>
                      <w:lang w:eastAsia="zh-CN"/>
                    </w:rPr>
                  </m:ctrlPr>
                </m:sSubPr>
                <m:e>
                  <m:r>
                    <w:rPr>
                      <w:rFonts w:ascii="Cambria Math" w:hAnsi="Cambria Math" w:eastAsia="宋体"/>
                      <w:kern w:val="2"/>
                      <w:sz w:val="21"/>
                      <w:lang w:eastAsia="zh-CN"/>
                    </w:rPr>
                    <m:t>X</m:t>
                  </m:r>
                  <m:ctrlPr>
                    <w:rPr>
                      <w:rFonts w:ascii="Cambria Math" w:hAnsi="Cambria Math" w:eastAsia="宋体"/>
                      <w:kern w:val="2"/>
                      <w:sz w:val="21"/>
                      <w:lang w:eastAsia="zh-CN"/>
                    </w:rPr>
                  </m:ctrlPr>
                </m:e>
                <m:sub>
                  <m:r>
                    <w:rPr>
                      <w:rFonts w:ascii="Cambria Math" w:hAnsi="Cambria Math" w:eastAsia="宋体"/>
                      <w:kern w:val="2"/>
                      <w:sz w:val="21"/>
                      <w:lang w:eastAsia="zh-CN"/>
                    </w:rPr>
                    <m:t>s</m:t>
                  </m:r>
                  <m:ctrlPr>
                    <w:rPr>
                      <w:rFonts w:ascii="Cambria Math" w:hAnsi="Cambria Math" w:eastAsia="宋体"/>
                      <w:kern w:val="2"/>
                      <w:sz w:val="21"/>
                      <w:lang w:eastAsia="zh-CN"/>
                    </w:rPr>
                  </m:ctrlPr>
                </m:sub>
              </m:sSub>
            </m:oMath>
            <w:r>
              <w:rPr>
                <w:rFonts w:eastAsia="宋体"/>
                <w:kern w:val="2"/>
                <w:sz w:val="21"/>
                <w:lang w:eastAsia="zh-CN"/>
              </w:rPr>
              <w:t xml:space="preserve"> is only limited to 4 and 8 slots, every supported periodicity is an integer multiple of 4 slots. Further, for any periodicity of 4N slots, the permissible value range of offset is given by (0,3,…,4N-1). We propose to clarify this to RAN2 in the RRC parameter list as follows:</w:t>
            </w:r>
          </w:p>
          <w:p>
            <w:pPr>
              <w:widowControl w:val="0"/>
              <w:autoSpaceDE/>
              <w:autoSpaceDN/>
              <w:adjustRightInd/>
              <w:snapToGrid/>
              <w:spacing w:before="120" w:beforeLines="50" w:afterLines="50" w:line="240" w:lineRule="auto"/>
              <w:jc w:val="both"/>
              <w:rPr>
                <w:rFonts w:eastAsia="宋体"/>
                <w:b/>
                <w:i/>
                <w:kern w:val="2"/>
                <w:sz w:val="21"/>
                <w:lang w:eastAsia="zh-CN"/>
              </w:rPr>
            </w:pPr>
            <w:r>
              <w:rPr>
                <w:rFonts w:eastAsia="宋体"/>
                <w:b/>
                <w:i/>
                <w:kern w:val="2"/>
                <w:sz w:val="21"/>
                <w:lang w:eastAsia="zh-CN"/>
              </w:rPr>
              <w:t xml:space="preserve">Proposal 8: Supported value range for periodicity and offset in monitoringPeriodicityAndOffset-r17 is provided below and is included in RRC parameter list to RAN2:  </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320" w:firstLineChars="200"/>
              <w:textAlignment w:val="baseline"/>
              <w:rPr>
                <w:rFonts w:ascii="Courier New" w:hAnsi="Courier New" w:eastAsia="Times New Roman" w:cs="Courier New"/>
                <w:sz w:val="16"/>
                <w:szCs w:val="20"/>
                <w:lang w:val="sv-SE" w:eastAsia="en-GB"/>
              </w:rPr>
            </w:pPr>
            <w:r>
              <w:rPr>
                <w:rFonts w:ascii="Courier New" w:hAnsi="Courier New" w:eastAsia="Times New Roman" w:cs="Courier New"/>
                <w:sz w:val="16"/>
                <w:szCs w:val="20"/>
                <w:lang w:val="sv-SE" w:eastAsia="en-GB"/>
              </w:rPr>
              <w:t xml:space="preserve">monitoringSlotPeriodicityAndOffset-r17 </w:t>
            </w:r>
            <w:r>
              <w:rPr>
                <w:rFonts w:ascii="Courier New" w:hAnsi="Courier New" w:eastAsia="Times New Roman" w:cs="Courier New"/>
                <w:color w:val="9A3366"/>
                <w:sz w:val="16"/>
                <w:szCs w:val="20"/>
                <w:lang w:val="sv-SE" w:eastAsia="en-GB"/>
              </w:rPr>
              <w:t xml:space="preserve">CHOICE </w:t>
            </w:r>
            <w:r>
              <w:rPr>
                <w:rFonts w:ascii="Courier New" w:hAnsi="Courier New" w:eastAsia="Times New Roman" w:cs="Courier New"/>
                <w:sz w:val="16"/>
                <w:szCs w:val="20"/>
                <w:lang w:val="sv-SE" w:eastAsia="en-GB"/>
              </w:rPr>
              <w:t>{</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640" w:firstLineChars="400"/>
              <w:textAlignment w:val="baseline"/>
              <w:rPr>
                <w:rFonts w:ascii="Courier New" w:hAnsi="Courier New" w:eastAsia="Times New Roman" w:cs="Courier New"/>
                <w:sz w:val="16"/>
                <w:szCs w:val="20"/>
                <w:lang w:val="sv-SE" w:eastAsia="en-GB"/>
              </w:rPr>
            </w:pPr>
            <w:r>
              <w:rPr>
                <w:rFonts w:ascii="Courier New" w:hAnsi="Courier New" w:eastAsia="Times New Roman" w:cs="Courier New"/>
                <w:sz w:val="16"/>
                <w:szCs w:val="20"/>
                <w:lang w:val="sv-SE" w:eastAsia="en-GB"/>
              </w:rPr>
              <w:t xml:space="preserve">sl4 </w:t>
            </w:r>
            <w:r>
              <w:rPr>
                <w:rFonts w:ascii="Courier New" w:hAnsi="Courier New" w:eastAsia="Times New Roman" w:cs="Courier New"/>
                <w:color w:val="9A3366"/>
                <w:sz w:val="16"/>
                <w:szCs w:val="20"/>
                <w:lang w:val="sv-SE" w:eastAsia="en-GB"/>
              </w:rPr>
              <w:t xml:space="preserve">INTEGER </w:t>
            </w:r>
            <w:r>
              <w:rPr>
                <w:rFonts w:ascii="Courier New" w:hAnsi="Courier New" w:eastAsia="Times New Roman" w:cs="Courier New"/>
                <w:sz w:val="16"/>
                <w:szCs w:val="20"/>
                <w:lang w:val="sv-SE" w:eastAsia="en-GB"/>
              </w:rPr>
              <w:t>(0),</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640" w:firstLineChars="400"/>
              <w:textAlignment w:val="baseline"/>
              <w:rPr>
                <w:rFonts w:ascii="Courier New" w:hAnsi="Courier New" w:eastAsia="Times New Roman" w:cs="Courier New"/>
                <w:sz w:val="16"/>
                <w:szCs w:val="20"/>
                <w:lang w:val="sv-SE" w:eastAsia="en-GB"/>
              </w:rPr>
            </w:pPr>
            <w:r>
              <w:rPr>
                <w:rFonts w:ascii="Courier New" w:hAnsi="Courier New" w:eastAsia="Times New Roman" w:cs="Courier New"/>
                <w:sz w:val="16"/>
                <w:szCs w:val="20"/>
                <w:lang w:val="sv-SE" w:eastAsia="en-GB"/>
              </w:rPr>
              <w:t xml:space="preserve">sl8 </w:t>
            </w:r>
            <w:r>
              <w:rPr>
                <w:rFonts w:ascii="Courier New" w:hAnsi="Courier New" w:eastAsia="Times New Roman" w:cs="Courier New"/>
                <w:color w:val="9A3366"/>
                <w:sz w:val="16"/>
                <w:szCs w:val="20"/>
                <w:lang w:val="sv-SE" w:eastAsia="en-GB"/>
              </w:rPr>
              <w:t xml:space="preserve">INTEGER </w:t>
            </w:r>
            <w:r>
              <w:rPr>
                <w:rFonts w:ascii="Courier New" w:hAnsi="Courier New" w:eastAsia="Times New Roman" w:cs="Courier New"/>
                <w:sz w:val="16"/>
                <w:szCs w:val="20"/>
                <w:lang w:val="sv-SE" w:eastAsia="en-GB"/>
              </w:rPr>
              <w:t>(0,3),</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640" w:firstLineChars="400"/>
              <w:textAlignment w:val="baseline"/>
              <w:rPr>
                <w:rFonts w:ascii="Courier New" w:hAnsi="Courier New" w:eastAsia="Times New Roman" w:cs="Courier New"/>
                <w:sz w:val="16"/>
                <w:szCs w:val="20"/>
                <w:lang w:val="nl-NL" w:eastAsia="en-GB"/>
              </w:rPr>
            </w:pPr>
            <w:r>
              <w:rPr>
                <w:rFonts w:ascii="Courier New" w:hAnsi="Courier New" w:eastAsia="Times New Roman" w:cs="Courier New"/>
                <w:sz w:val="16"/>
                <w:szCs w:val="20"/>
                <w:lang w:val="nl-NL" w:eastAsia="en-GB"/>
              </w:rPr>
              <w:t xml:space="preserve">sl16 </w:t>
            </w:r>
            <w:r>
              <w:rPr>
                <w:rFonts w:ascii="Courier New" w:hAnsi="Courier New" w:eastAsia="Times New Roman" w:cs="Courier New"/>
                <w:color w:val="9A3366"/>
                <w:sz w:val="16"/>
                <w:szCs w:val="20"/>
                <w:lang w:val="nl-NL" w:eastAsia="en-GB"/>
              </w:rPr>
              <w:t xml:space="preserve">INTEGER </w:t>
            </w:r>
            <w:r>
              <w:rPr>
                <w:rFonts w:ascii="Courier New" w:hAnsi="Courier New" w:eastAsia="Times New Roman" w:cs="Courier New"/>
                <w:sz w:val="16"/>
                <w:szCs w:val="20"/>
                <w:lang w:val="nl-NL" w:eastAsia="en-GB"/>
              </w:rPr>
              <w:t>(0,3..15),</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640" w:firstLineChars="400"/>
              <w:textAlignment w:val="baseline"/>
              <w:rPr>
                <w:rFonts w:ascii="Courier New" w:hAnsi="Courier New" w:eastAsia="Times New Roman" w:cs="Courier New"/>
                <w:sz w:val="16"/>
                <w:szCs w:val="20"/>
                <w:lang w:val="nl-NL" w:eastAsia="en-GB"/>
              </w:rPr>
            </w:pPr>
            <w:r>
              <w:rPr>
                <w:rFonts w:ascii="Courier New" w:hAnsi="Courier New" w:eastAsia="Times New Roman" w:cs="Courier New"/>
                <w:sz w:val="16"/>
                <w:szCs w:val="20"/>
                <w:lang w:val="nl-NL" w:eastAsia="en-GB"/>
              </w:rPr>
              <w:t xml:space="preserve">sl20 </w:t>
            </w:r>
            <w:r>
              <w:rPr>
                <w:rFonts w:ascii="Courier New" w:hAnsi="Courier New" w:eastAsia="Times New Roman" w:cs="Courier New"/>
                <w:color w:val="9A3366"/>
                <w:sz w:val="16"/>
                <w:szCs w:val="20"/>
                <w:lang w:val="nl-NL" w:eastAsia="en-GB"/>
              </w:rPr>
              <w:t xml:space="preserve">INTEGER </w:t>
            </w:r>
            <w:r>
              <w:rPr>
                <w:rFonts w:ascii="Courier New" w:hAnsi="Courier New" w:eastAsia="Times New Roman" w:cs="Courier New"/>
                <w:sz w:val="16"/>
                <w:szCs w:val="20"/>
                <w:lang w:val="nl-NL" w:eastAsia="en-GB"/>
              </w:rPr>
              <w:t>(0,3..19),</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640" w:firstLineChars="400"/>
              <w:textAlignment w:val="baseline"/>
              <w:rPr>
                <w:rFonts w:ascii="Courier New" w:hAnsi="Courier New" w:eastAsia="Times New Roman" w:cs="Courier New"/>
                <w:sz w:val="16"/>
                <w:szCs w:val="20"/>
                <w:lang w:val="nl-NL" w:eastAsia="en-GB"/>
              </w:rPr>
            </w:pPr>
            <w:r>
              <w:rPr>
                <w:rFonts w:ascii="Courier New" w:hAnsi="Courier New" w:eastAsia="Times New Roman" w:cs="Courier New"/>
                <w:sz w:val="16"/>
                <w:szCs w:val="20"/>
                <w:lang w:val="nl-NL" w:eastAsia="en-GB"/>
              </w:rPr>
              <w:t xml:space="preserve">sl32 </w:t>
            </w:r>
            <w:r>
              <w:rPr>
                <w:rFonts w:ascii="Courier New" w:hAnsi="Courier New" w:eastAsia="Times New Roman" w:cs="Courier New"/>
                <w:color w:val="9A3366"/>
                <w:sz w:val="16"/>
                <w:szCs w:val="20"/>
                <w:lang w:val="nl-NL" w:eastAsia="en-GB"/>
              </w:rPr>
              <w:t xml:space="preserve">INTEGER </w:t>
            </w:r>
            <w:r>
              <w:rPr>
                <w:rFonts w:ascii="Courier New" w:hAnsi="Courier New" w:eastAsia="Times New Roman" w:cs="Courier New"/>
                <w:sz w:val="16"/>
                <w:szCs w:val="20"/>
                <w:lang w:val="nl-NL" w:eastAsia="en-GB"/>
              </w:rPr>
              <w:t>(0,3..31),</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640" w:firstLineChars="400"/>
              <w:textAlignment w:val="baseline"/>
              <w:rPr>
                <w:rFonts w:ascii="Courier New" w:hAnsi="Courier New" w:eastAsia="Times New Roman" w:cs="Courier New"/>
                <w:sz w:val="16"/>
                <w:szCs w:val="20"/>
                <w:lang w:val="nl-NL" w:eastAsia="en-GB"/>
              </w:rPr>
            </w:pPr>
            <w:r>
              <w:rPr>
                <w:rFonts w:ascii="Courier New" w:hAnsi="Courier New" w:eastAsia="Times New Roman" w:cs="Courier New"/>
                <w:sz w:val="16"/>
                <w:szCs w:val="20"/>
                <w:lang w:val="nl-NL" w:eastAsia="en-GB"/>
              </w:rPr>
              <w:t xml:space="preserve">sl40 </w:t>
            </w:r>
            <w:r>
              <w:rPr>
                <w:rFonts w:ascii="Courier New" w:hAnsi="Courier New" w:eastAsia="Times New Roman" w:cs="Courier New"/>
                <w:color w:val="9A3366"/>
                <w:sz w:val="16"/>
                <w:szCs w:val="20"/>
                <w:lang w:val="nl-NL" w:eastAsia="en-GB"/>
              </w:rPr>
              <w:t xml:space="preserve">INTEGER </w:t>
            </w:r>
            <w:r>
              <w:rPr>
                <w:rFonts w:ascii="Courier New" w:hAnsi="Courier New" w:eastAsia="Times New Roman" w:cs="Courier New"/>
                <w:sz w:val="16"/>
                <w:szCs w:val="20"/>
                <w:lang w:val="nl-NL" w:eastAsia="en-GB"/>
              </w:rPr>
              <w:t>(0,3..39),</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640" w:firstLineChars="400"/>
              <w:textAlignment w:val="baseline"/>
              <w:rPr>
                <w:rFonts w:ascii="Courier New" w:hAnsi="Courier New" w:eastAsia="Times New Roman" w:cs="Courier New"/>
                <w:sz w:val="16"/>
                <w:szCs w:val="20"/>
                <w:lang w:val="nl-NL" w:eastAsia="en-GB"/>
              </w:rPr>
            </w:pPr>
            <w:r>
              <w:rPr>
                <w:rFonts w:ascii="Courier New" w:hAnsi="Courier New" w:eastAsia="Times New Roman" w:cs="Courier New"/>
                <w:sz w:val="16"/>
                <w:szCs w:val="20"/>
                <w:lang w:val="nl-NL" w:eastAsia="en-GB"/>
              </w:rPr>
              <w:t xml:space="preserve">sl64 </w:t>
            </w:r>
            <w:r>
              <w:rPr>
                <w:rFonts w:ascii="Courier New" w:hAnsi="Courier New" w:eastAsia="Times New Roman" w:cs="Courier New"/>
                <w:color w:val="9A3366"/>
                <w:sz w:val="16"/>
                <w:szCs w:val="20"/>
                <w:lang w:val="nl-NL" w:eastAsia="en-GB"/>
              </w:rPr>
              <w:t xml:space="preserve">INTEGER </w:t>
            </w:r>
            <w:r>
              <w:rPr>
                <w:rFonts w:ascii="Courier New" w:hAnsi="Courier New" w:eastAsia="Times New Roman" w:cs="Courier New"/>
                <w:sz w:val="16"/>
                <w:szCs w:val="20"/>
                <w:lang w:val="nl-NL" w:eastAsia="en-GB"/>
              </w:rPr>
              <w:t>(0,3..63),</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640" w:firstLineChars="400"/>
              <w:textAlignment w:val="baseline"/>
              <w:rPr>
                <w:rFonts w:ascii="Courier New" w:hAnsi="Courier New" w:eastAsia="Times New Roman" w:cs="Courier New"/>
                <w:sz w:val="16"/>
                <w:szCs w:val="20"/>
                <w:lang w:val="nl-NL" w:eastAsia="en-GB"/>
              </w:rPr>
            </w:pPr>
            <w:r>
              <w:rPr>
                <w:rFonts w:ascii="Courier New" w:hAnsi="Courier New" w:eastAsia="Times New Roman" w:cs="Courier New"/>
                <w:sz w:val="16"/>
                <w:szCs w:val="20"/>
                <w:lang w:val="nl-NL" w:eastAsia="en-GB"/>
              </w:rPr>
              <w:t xml:space="preserve">sl80 </w:t>
            </w:r>
            <w:r>
              <w:rPr>
                <w:rFonts w:ascii="Courier New" w:hAnsi="Courier New" w:eastAsia="Times New Roman" w:cs="Courier New"/>
                <w:color w:val="9A3366"/>
                <w:sz w:val="16"/>
                <w:szCs w:val="20"/>
                <w:lang w:val="nl-NL" w:eastAsia="en-GB"/>
              </w:rPr>
              <w:t xml:space="preserve">INTEGER </w:t>
            </w:r>
            <w:r>
              <w:rPr>
                <w:rFonts w:ascii="Courier New" w:hAnsi="Courier New" w:eastAsia="Times New Roman" w:cs="Courier New"/>
                <w:sz w:val="16"/>
                <w:szCs w:val="20"/>
                <w:lang w:val="nl-NL" w:eastAsia="en-GB"/>
              </w:rPr>
              <w:t>(0,3..79),</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640" w:firstLineChars="400"/>
              <w:textAlignment w:val="baseline"/>
              <w:rPr>
                <w:rFonts w:ascii="Courier New" w:hAnsi="Courier New" w:eastAsia="Times New Roman" w:cs="Courier New"/>
                <w:sz w:val="16"/>
                <w:szCs w:val="20"/>
                <w:lang w:val="nl-NL" w:eastAsia="en-GB"/>
              </w:rPr>
            </w:pPr>
            <w:r>
              <w:rPr>
                <w:rFonts w:ascii="Courier New" w:hAnsi="Courier New" w:eastAsia="Times New Roman" w:cs="Courier New"/>
                <w:sz w:val="16"/>
                <w:szCs w:val="20"/>
                <w:lang w:val="nl-NL" w:eastAsia="en-GB"/>
              </w:rPr>
              <w:t xml:space="preserve">sl128 </w:t>
            </w:r>
            <w:r>
              <w:rPr>
                <w:rFonts w:ascii="Courier New" w:hAnsi="Courier New" w:eastAsia="Times New Roman" w:cs="Courier New"/>
                <w:color w:val="9A3366"/>
                <w:sz w:val="16"/>
                <w:szCs w:val="20"/>
                <w:lang w:val="nl-NL" w:eastAsia="en-GB"/>
              </w:rPr>
              <w:t xml:space="preserve">INTEGER </w:t>
            </w:r>
            <w:r>
              <w:rPr>
                <w:rFonts w:ascii="Courier New" w:hAnsi="Courier New" w:eastAsia="Times New Roman" w:cs="Courier New"/>
                <w:sz w:val="16"/>
                <w:szCs w:val="20"/>
                <w:lang w:val="nl-NL" w:eastAsia="en-GB"/>
              </w:rPr>
              <w:t>(0,3..127),</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640" w:firstLineChars="400"/>
              <w:textAlignment w:val="baseline"/>
              <w:rPr>
                <w:rFonts w:ascii="Courier New" w:hAnsi="Courier New" w:eastAsia="Times New Roman" w:cs="Courier New"/>
                <w:sz w:val="16"/>
                <w:szCs w:val="20"/>
                <w:lang w:val="nl-NL" w:eastAsia="en-GB"/>
              </w:rPr>
            </w:pPr>
            <w:r>
              <w:rPr>
                <w:rFonts w:ascii="Courier New" w:hAnsi="Courier New" w:eastAsia="Times New Roman" w:cs="Courier New"/>
                <w:sz w:val="16"/>
                <w:szCs w:val="20"/>
                <w:lang w:val="nl-NL" w:eastAsia="en-GB"/>
              </w:rPr>
              <w:t xml:space="preserve">sl160 </w:t>
            </w:r>
            <w:r>
              <w:rPr>
                <w:rFonts w:ascii="Courier New" w:hAnsi="Courier New" w:eastAsia="Times New Roman" w:cs="Courier New"/>
                <w:color w:val="9A3366"/>
                <w:sz w:val="16"/>
                <w:szCs w:val="20"/>
                <w:lang w:val="nl-NL" w:eastAsia="en-GB"/>
              </w:rPr>
              <w:t xml:space="preserve">INTEGER </w:t>
            </w:r>
            <w:r>
              <w:rPr>
                <w:rFonts w:ascii="Courier New" w:hAnsi="Courier New" w:eastAsia="Times New Roman" w:cs="Courier New"/>
                <w:sz w:val="16"/>
                <w:szCs w:val="20"/>
                <w:lang w:val="nl-NL" w:eastAsia="en-GB"/>
              </w:rPr>
              <w:t>(0,3..159),</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640" w:firstLineChars="400"/>
              <w:textAlignment w:val="baseline"/>
              <w:rPr>
                <w:rFonts w:ascii="Courier New" w:hAnsi="Courier New" w:eastAsia="Times New Roman" w:cs="Courier New"/>
                <w:sz w:val="16"/>
                <w:szCs w:val="20"/>
                <w:lang w:val="nl-NL" w:eastAsia="en-GB"/>
              </w:rPr>
            </w:pPr>
            <w:r>
              <w:rPr>
                <w:rFonts w:ascii="Courier New" w:hAnsi="Courier New" w:eastAsia="Times New Roman" w:cs="Courier New"/>
                <w:sz w:val="16"/>
                <w:szCs w:val="20"/>
                <w:lang w:val="nl-NL" w:eastAsia="en-GB"/>
              </w:rPr>
              <w:t xml:space="preserve">sl320 </w:t>
            </w:r>
            <w:r>
              <w:rPr>
                <w:rFonts w:ascii="Courier New" w:hAnsi="Courier New" w:eastAsia="Times New Roman" w:cs="Courier New"/>
                <w:color w:val="9A3366"/>
                <w:sz w:val="16"/>
                <w:szCs w:val="20"/>
                <w:lang w:val="nl-NL" w:eastAsia="en-GB"/>
              </w:rPr>
              <w:t xml:space="preserve">INTEGER </w:t>
            </w:r>
            <w:r>
              <w:rPr>
                <w:rFonts w:ascii="Courier New" w:hAnsi="Courier New" w:eastAsia="Times New Roman" w:cs="Courier New"/>
                <w:sz w:val="16"/>
                <w:szCs w:val="20"/>
                <w:lang w:val="nl-NL" w:eastAsia="en-GB"/>
              </w:rPr>
              <w:t>(0,3..319),</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640" w:firstLineChars="400"/>
              <w:textAlignment w:val="baseline"/>
              <w:rPr>
                <w:rFonts w:ascii="Courier New" w:hAnsi="Courier New" w:eastAsia="Times New Roman" w:cs="Courier New"/>
                <w:sz w:val="16"/>
                <w:szCs w:val="20"/>
                <w:lang w:val="nl-NL" w:eastAsia="en-GB"/>
              </w:rPr>
            </w:pPr>
            <w:r>
              <w:rPr>
                <w:rFonts w:ascii="Courier New" w:hAnsi="Courier New" w:eastAsia="Times New Roman" w:cs="Courier New"/>
                <w:sz w:val="16"/>
                <w:szCs w:val="20"/>
                <w:lang w:val="nl-NL" w:eastAsia="en-GB"/>
              </w:rPr>
              <w:t xml:space="preserve">sl640 </w:t>
            </w:r>
            <w:r>
              <w:rPr>
                <w:rFonts w:ascii="Courier New" w:hAnsi="Courier New" w:eastAsia="Times New Roman" w:cs="Courier New"/>
                <w:color w:val="9A3366"/>
                <w:sz w:val="16"/>
                <w:szCs w:val="20"/>
                <w:lang w:val="nl-NL" w:eastAsia="en-GB"/>
              </w:rPr>
              <w:t xml:space="preserve">INTEGER </w:t>
            </w:r>
            <w:r>
              <w:rPr>
                <w:rFonts w:ascii="Courier New" w:hAnsi="Courier New" w:eastAsia="Times New Roman" w:cs="Courier New"/>
                <w:sz w:val="16"/>
                <w:szCs w:val="20"/>
                <w:lang w:val="nl-NL" w:eastAsia="en-GB"/>
              </w:rPr>
              <w:t>(0,3..639),</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640" w:firstLineChars="400"/>
              <w:textAlignment w:val="baseline"/>
              <w:rPr>
                <w:rFonts w:ascii="Courier New" w:hAnsi="Courier New" w:eastAsia="Times New Roman" w:cs="Courier New"/>
                <w:sz w:val="16"/>
                <w:szCs w:val="20"/>
                <w:lang w:val="nl-NL" w:eastAsia="en-GB"/>
              </w:rPr>
            </w:pPr>
            <w:r>
              <w:rPr>
                <w:rFonts w:ascii="Courier New" w:hAnsi="Courier New" w:eastAsia="Times New Roman" w:cs="Courier New"/>
                <w:sz w:val="16"/>
                <w:szCs w:val="20"/>
                <w:lang w:val="nl-NL" w:eastAsia="en-GB"/>
              </w:rPr>
              <w:t xml:space="preserve">sl1280 </w:t>
            </w:r>
            <w:r>
              <w:rPr>
                <w:rFonts w:ascii="Courier New" w:hAnsi="Courier New" w:eastAsia="Times New Roman" w:cs="Courier New"/>
                <w:color w:val="9A3366"/>
                <w:sz w:val="16"/>
                <w:szCs w:val="20"/>
                <w:lang w:val="nl-NL" w:eastAsia="en-GB"/>
              </w:rPr>
              <w:t xml:space="preserve">INTEGER </w:t>
            </w:r>
            <w:r>
              <w:rPr>
                <w:rFonts w:ascii="Courier New" w:hAnsi="Courier New" w:eastAsia="Times New Roman" w:cs="Courier New"/>
                <w:sz w:val="16"/>
                <w:szCs w:val="20"/>
                <w:lang w:val="nl-NL" w:eastAsia="en-GB"/>
              </w:rPr>
              <w:t>(0,3..1279),</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640" w:firstLineChars="400"/>
              <w:textAlignment w:val="baseline"/>
              <w:rPr>
                <w:rFonts w:ascii="Courier New" w:hAnsi="Courier New" w:eastAsia="Times New Roman" w:cs="Courier New"/>
                <w:sz w:val="16"/>
                <w:szCs w:val="20"/>
                <w:lang w:val="nl-NL" w:eastAsia="en-GB"/>
              </w:rPr>
            </w:pPr>
            <w:r>
              <w:rPr>
                <w:rFonts w:ascii="Courier New" w:hAnsi="Courier New" w:eastAsia="Times New Roman" w:cs="Courier New"/>
                <w:sz w:val="16"/>
                <w:szCs w:val="20"/>
                <w:lang w:val="nl-NL" w:eastAsia="en-GB"/>
              </w:rPr>
              <w:t xml:space="preserve">sl2560 </w:t>
            </w:r>
            <w:r>
              <w:rPr>
                <w:rFonts w:ascii="Courier New" w:hAnsi="Courier New" w:eastAsia="Times New Roman" w:cs="Courier New"/>
                <w:color w:val="9A3366"/>
                <w:sz w:val="16"/>
                <w:szCs w:val="20"/>
                <w:lang w:val="nl-NL" w:eastAsia="en-GB"/>
              </w:rPr>
              <w:t xml:space="preserve">INTEGER </w:t>
            </w:r>
            <w:r>
              <w:rPr>
                <w:rFonts w:ascii="Courier New" w:hAnsi="Courier New" w:eastAsia="Times New Roman" w:cs="Courier New"/>
                <w:sz w:val="16"/>
                <w:szCs w:val="20"/>
                <w:lang w:val="nl-NL" w:eastAsia="en-GB"/>
              </w:rPr>
              <w:t>(0,3..2559),</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640" w:firstLineChars="400"/>
              <w:textAlignment w:val="baseline"/>
              <w:rPr>
                <w:rFonts w:ascii="Courier New" w:hAnsi="Courier New" w:eastAsia="Times New Roman" w:cs="Courier New"/>
                <w:sz w:val="16"/>
                <w:szCs w:val="20"/>
                <w:lang w:val="nl-NL" w:eastAsia="en-GB"/>
              </w:rPr>
            </w:pPr>
            <w:r>
              <w:rPr>
                <w:rFonts w:ascii="Courier New" w:hAnsi="Courier New" w:eastAsia="Times New Roman" w:cs="Courier New"/>
                <w:sz w:val="16"/>
                <w:szCs w:val="20"/>
                <w:lang w:val="nl-NL" w:eastAsia="en-GB"/>
              </w:rPr>
              <w:t xml:space="preserve">sl5120 </w:t>
            </w:r>
            <w:r>
              <w:rPr>
                <w:rFonts w:ascii="Courier New" w:hAnsi="Courier New" w:eastAsia="Times New Roman" w:cs="Courier New"/>
                <w:color w:val="9A3366"/>
                <w:sz w:val="16"/>
                <w:szCs w:val="20"/>
                <w:lang w:val="nl-NL" w:eastAsia="en-GB"/>
              </w:rPr>
              <w:t xml:space="preserve">INTEGER </w:t>
            </w:r>
            <w:r>
              <w:rPr>
                <w:rFonts w:ascii="Courier New" w:hAnsi="Courier New" w:eastAsia="Times New Roman" w:cs="Courier New"/>
                <w:sz w:val="16"/>
                <w:szCs w:val="20"/>
                <w:lang w:val="nl-NL" w:eastAsia="en-GB"/>
              </w:rPr>
              <w:t>(0,3..5119),</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640" w:firstLineChars="400"/>
              <w:textAlignment w:val="baseline"/>
              <w:rPr>
                <w:rFonts w:ascii="Courier New" w:hAnsi="Courier New" w:eastAsia="Times New Roman" w:cs="Courier New"/>
                <w:sz w:val="16"/>
                <w:szCs w:val="20"/>
                <w:lang w:val="nl-NL" w:eastAsia="en-GB"/>
              </w:rPr>
            </w:pPr>
            <w:r>
              <w:rPr>
                <w:rFonts w:ascii="Courier New" w:hAnsi="Courier New" w:eastAsia="Times New Roman" w:cs="Courier New"/>
                <w:sz w:val="16"/>
                <w:szCs w:val="20"/>
                <w:lang w:val="nl-NL" w:eastAsia="en-GB"/>
              </w:rPr>
              <w:t xml:space="preserve">sl10240 </w:t>
            </w:r>
            <w:r>
              <w:rPr>
                <w:rFonts w:ascii="Courier New" w:hAnsi="Courier New" w:eastAsia="Times New Roman" w:cs="Courier New"/>
                <w:color w:val="9A3366"/>
                <w:sz w:val="16"/>
                <w:szCs w:val="20"/>
                <w:lang w:val="nl-NL" w:eastAsia="en-GB"/>
              </w:rPr>
              <w:t xml:space="preserve">INTEGER </w:t>
            </w:r>
            <w:r>
              <w:rPr>
                <w:rFonts w:ascii="Courier New" w:hAnsi="Courier New" w:eastAsia="Times New Roman" w:cs="Courier New"/>
                <w:sz w:val="16"/>
                <w:szCs w:val="20"/>
                <w:lang w:val="nl-NL" w:eastAsia="en-GB"/>
              </w:rPr>
              <w:t>(0,3..10239),</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640" w:firstLineChars="400"/>
              <w:textAlignment w:val="baseline"/>
              <w:rPr>
                <w:rFonts w:ascii="Courier New" w:hAnsi="Courier New" w:eastAsia="Times New Roman" w:cs="Courier New"/>
                <w:sz w:val="16"/>
                <w:szCs w:val="20"/>
                <w:lang w:val="nl-NL" w:eastAsia="en-GB"/>
              </w:rPr>
            </w:pPr>
            <w:r>
              <w:rPr>
                <w:rFonts w:ascii="Courier New" w:hAnsi="Courier New" w:eastAsia="Times New Roman" w:cs="Courier New"/>
                <w:sz w:val="16"/>
                <w:szCs w:val="20"/>
                <w:lang w:val="nl-NL" w:eastAsia="en-GB"/>
              </w:rPr>
              <w:t xml:space="preserve">sl20480 </w:t>
            </w:r>
            <w:r>
              <w:rPr>
                <w:rFonts w:ascii="Courier New" w:hAnsi="Courier New" w:eastAsia="Times New Roman" w:cs="Courier New"/>
                <w:color w:val="9A3366"/>
                <w:sz w:val="16"/>
                <w:szCs w:val="20"/>
                <w:lang w:val="nl-NL" w:eastAsia="en-GB"/>
              </w:rPr>
              <w:t xml:space="preserve">INTEGER </w:t>
            </w:r>
            <w:r>
              <w:rPr>
                <w:rFonts w:ascii="Courier New" w:hAnsi="Courier New" w:eastAsia="Times New Roman" w:cs="Courier New"/>
                <w:sz w:val="16"/>
                <w:szCs w:val="20"/>
                <w:lang w:val="nl-NL" w:eastAsia="en-GB"/>
              </w:rPr>
              <w:t>(0,3..20479)</w:t>
            </w:r>
          </w:p>
          <w:p>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320" w:firstLineChars="200"/>
              <w:textAlignment w:val="baseline"/>
              <w:rPr>
                <w:rFonts w:ascii="Courier New" w:hAnsi="Courier New" w:eastAsia="Times New Roman" w:cs="Courier New"/>
                <w:sz w:val="16"/>
                <w:szCs w:val="20"/>
                <w:lang w:val="en-GB" w:eastAsia="en-GB"/>
              </w:rPr>
            </w:pPr>
            <w:r>
              <w:rPr>
                <w:rFonts w:ascii="Courier New" w:hAnsi="Courier New" w:eastAsia="Times New Roman" w:cs="Courier New"/>
                <w:sz w:val="16"/>
                <w:szCs w:val="20"/>
                <w:lang w:val="en-GB" w:eastAsia="en-GB"/>
              </w:rPr>
              <w:t>}</w:t>
            </w:r>
          </w:p>
          <w:p>
            <w:pPr>
              <w:widowControl w:val="0"/>
              <w:spacing w:line="240" w:lineRule="auto"/>
              <w:contextualSpacing/>
              <w:rPr>
                <w:color w:val="000000"/>
              </w:rPr>
            </w:pPr>
          </w:p>
          <w:p>
            <w:pPr>
              <w:widowControl w:val="0"/>
              <w:spacing w:line="240" w:lineRule="auto"/>
              <w:contextualSpacing/>
              <w:rPr>
                <w:color w:val="000000"/>
              </w:rPr>
            </w:pPr>
          </w:p>
          <w:p>
            <w:pPr>
              <w:pStyle w:val="82"/>
              <w:widowControl w:val="0"/>
              <w:spacing w:before="120" w:beforeLines="50" w:after="240"/>
              <w:ind w:left="0"/>
              <w:rPr>
                <w:b/>
                <w:i/>
                <w:color w:val="000000"/>
                <w:sz w:val="21"/>
                <w:szCs w:val="21"/>
              </w:rPr>
            </w:pPr>
            <w:r>
              <w:rPr>
                <w:b/>
                <w:i/>
                <w:color w:val="000000"/>
                <w:szCs w:val="21"/>
              </w:rPr>
              <w:t xml:space="preserve">Proposal 9: </w:t>
            </w:r>
            <w:r>
              <w:rPr>
                <w:b/>
                <w:i/>
                <w:color w:val="000000"/>
                <w:sz w:val="21"/>
                <w:szCs w:val="21"/>
              </w:rPr>
              <w:t xml:space="preserve">Confirm the WA in RAN1 107-e, that is, support only search space set group switching processing capability 1 with minimum </w:t>
            </w:r>
            <m:oMath>
              <m:sSub>
                <m:sSubPr>
                  <m:ctrlPr>
                    <w:rPr>
                      <w:rFonts w:ascii="Cambria Math" w:hAnsi="Cambria Math"/>
                      <w:b/>
                      <w:i/>
                      <w:sz w:val="21"/>
                      <w:szCs w:val="21"/>
                    </w:rPr>
                  </m:ctrlPr>
                </m:sSubPr>
                <m:e>
                  <m:r>
                    <m:rPr>
                      <m:sty m:val="bi"/>
                    </m:rPr>
                    <w:rPr>
                      <w:rFonts w:ascii="Cambria Math" w:hAnsi="Cambria Math"/>
                      <w:sz w:val="21"/>
                      <w:szCs w:val="21"/>
                    </w:rPr>
                    <m:t>P</m:t>
                  </m:r>
                  <m:ctrlPr>
                    <w:rPr>
                      <w:rFonts w:ascii="Cambria Math" w:hAnsi="Cambria Math"/>
                      <w:b/>
                      <w:i/>
                      <w:sz w:val="21"/>
                      <w:szCs w:val="21"/>
                    </w:rPr>
                  </m:ctrlPr>
                </m:e>
                <m:sub>
                  <m:r>
                    <m:rPr>
                      <m:nor/>
                      <m:sty m:val="bi"/>
                    </m:rPr>
                    <w:rPr>
                      <w:b/>
                      <w:i/>
                      <w:sz w:val="21"/>
                      <w:szCs w:val="21"/>
                    </w:rPr>
                    <m:t>switch</m:t>
                  </m:r>
                  <m:ctrlPr>
                    <w:rPr>
                      <w:rFonts w:ascii="Cambria Math" w:hAnsi="Cambria Math"/>
                      <w:b/>
                      <w:i/>
                      <w:sz w:val="21"/>
                      <w:szCs w:val="21"/>
                    </w:rPr>
                  </m:ctrlPr>
                </m:sub>
              </m:sSub>
            </m:oMath>
            <w:r>
              <w:rPr>
                <w:b/>
                <w:i/>
                <w:sz w:val="21"/>
                <w:szCs w:val="21"/>
                <w:lang w:eastAsia="zh-CN"/>
              </w:rPr>
              <w:t xml:space="preserve"> </w:t>
            </w:r>
            <w:r>
              <w:rPr>
                <w:b/>
                <w:i/>
                <w:color w:val="000000"/>
                <w:sz w:val="21"/>
                <w:szCs w:val="21"/>
              </w:rPr>
              <w:t xml:space="preserve">values 40/160/320 symbols for 120/480/960 kHz SCS. </w:t>
            </w:r>
          </w:p>
          <w:p>
            <w:pPr>
              <w:widowControl w:val="0"/>
              <w:spacing w:line="240" w:lineRule="auto"/>
              <w:contextualSpacing/>
              <w:rPr>
                <w:color w:val="000000"/>
              </w:rPr>
            </w:pPr>
          </w:p>
          <w:p>
            <w:pPr>
              <w:widowControl w:val="0"/>
              <w:spacing w:before="120" w:beforeLines="50" w:afterLines="50"/>
              <w:rPr>
                <w:szCs w:val="21"/>
              </w:rPr>
            </w:pPr>
            <w:r>
              <w:rPr>
                <w:szCs w:val="21"/>
              </w:rPr>
              <w:t>Since the BD/CCE budget of multi-slot PDCCH monitoring is defined per slot-group, it would be easier for a UE to monitor according to the BD/CCE budget if SSSG switching occurs at a slot-group boundary rather than in the middle of a slot-group. Therefore, it is beneficial to align the SSSG switching boundary with the boundary of a slot-group.</w:t>
            </w:r>
          </w:p>
          <w:p>
            <w:pPr>
              <w:widowControl w:val="0"/>
              <w:spacing w:before="120" w:beforeLines="50" w:afterLines="50"/>
              <w:rPr>
                <w:b/>
                <w:i/>
              </w:rPr>
            </w:pPr>
            <w:r>
              <w:rPr>
                <w:b/>
                <w:i/>
              </w:rPr>
              <w:t xml:space="preserve">Proposal 10: For multi-slot PDCCH monitoring for 480/960 kHz SCSs, a boundary of SSSG switching is always aligned with a boundary of a slot group. </w:t>
            </w:r>
          </w:p>
          <w:p>
            <w:pPr>
              <w:pStyle w:val="82"/>
              <w:widowControl w:val="0"/>
              <w:numPr>
                <w:ilvl w:val="0"/>
                <w:numId w:val="66"/>
              </w:numPr>
              <w:autoSpaceDE w:val="0"/>
              <w:autoSpaceDN w:val="0"/>
              <w:adjustRightInd w:val="0"/>
              <w:spacing w:before="120" w:beforeLines="50" w:after="120" w:afterLines="50" w:line="240" w:lineRule="auto"/>
              <w:contextualSpacing/>
              <w:jc w:val="both"/>
              <w:rPr>
                <w:rFonts w:eastAsia="Yu Mincho"/>
                <w:b/>
                <w:i/>
                <w:sz w:val="21"/>
                <w:szCs w:val="21"/>
              </w:rPr>
            </w:pPr>
            <w:r>
              <w:rPr>
                <w:rFonts w:eastAsia="Yu Mincho"/>
                <w:b/>
                <w:i/>
                <w:sz w:val="21"/>
                <w:szCs w:val="21"/>
              </w:rPr>
              <w:t xml:space="preserve">Adopt </w:t>
            </w:r>
            <w:r>
              <w:rPr>
                <w:rFonts w:eastAsia="Yu Mincho"/>
                <w:b/>
                <w:i/>
                <w:sz w:val="21"/>
                <w:szCs w:val="21"/>
              </w:rPr>
              <w:fldChar w:fldCharType="begin"/>
            </w:r>
            <w:r>
              <w:rPr>
                <w:rFonts w:eastAsia="Yu Mincho"/>
                <w:b/>
                <w:i/>
                <w:sz w:val="21"/>
                <w:szCs w:val="21"/>
              </w:rPr>
              <w:instrText xml:space="preserve"> REF _Ref95394542 \h  \* MERGEFORMAT </w:instrText>
            </w:r>
            <w:r>
              <w:rPr>
                <w:rFonts w:eastAsia="Yu Mincho"/>
                <w:b/>
                <w:i/>
                <w:sz w:val="21"/>
                <w:szCs w:val="21"/>
              </w:rPr>
              <w:fldChar w:fldCharType="separate"/>
            </w:r>
            <w:r>
              <w:rPr>
                <w:b/>
                <w:i/>
              </w:rPr>
              <w:t>TP 3</w:t>
            </w:r>
            <w:r>
              <w:rPr>
                <w:rFonts w:eastAsia="Yu Mincho"/>
                <w:b/>
                <w:i/>
                <w:sz w:val="21"/>
                <w:szCs w:val="21"/>
              </w:rPr>
              <w:fldChar w:fldCharType="end"/>
            </w:r>
            <w:r>
              <w:rPr>
                <w:rFonts w:eastAsia="Yu Mincho"/>
                <w:b/>
                <w:i/>
                <w:sz w:val="21"/>
                <w:szCs w:val="21"/>
              </w:rPr>
              <w:t xml:space="preserve"> for 38.213.</w:t>
            </w:r>
          </w:p>
          <w:p>
            <w:pPr>
              <w:widowControl w:val="0"/>
              <w:spacing w:line="240" w:lineRule="auto"/>
              <w:contextualSpacing/>
              <w:rPr>
                <w:color w:val="000000"/>
              </w:rPr>
            </w:pPr>
          </w:p>
          <w:p>
            <w:pPr>
              <w:widowControl w:val="0"/>
              <w:spacing w:line="240" w:lineRule="auto"/>
              <w:contextualSpacing/>
              <w:rPr>
                <w:color w:val="000000"/>
              </w:rPr>
            </w:pPr>
          </w:p>
          <w:p>
            <w:pPr>
              <w:widowControl w:val="0"/>
              <w:spacing w:before="120" w:beforeLines="50" w:afterLines="50"/>
              <w:rPr>
                <w:szCs w:val="21"/>
              </w:rPr>
            </w:pPr>
            <w:r>
              <w:rPr>
                <w:szCs w:val="21"/>
              </w:rPr>
              <w:t xml:space="preserve">It has been discussed in RAN1 107b-e whether SSSG switching is only supported between SSSGs with the same </w:t>
            </w:r>
            <m:oMath>
              <m:d>
                <m:dPr>
                  <m:ctrlPr>
                    <w:rPr>
                      <w:rFonts w:ascii="Cambria Math" w:hAnsi="Cambria Math"/>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szCs w:val="21"/>
                        </w:rPr>
                      </m:ctrlPr>
                    </m:e>
                    <m:sub>
                      <m:r>
                        <m:rPr>
                          <m:sty m:val="p"/>
                        </m:rPr>
                        <w:rPr>
                          <w:rFonts w:ascii="Cambria Math" w:hAnsi="Cambria Math"/>
                          <w:szCs w:val="21"/>
                        </w:rPr>
                        <m:t>s</m:t>
                      </m:r>
                      <m:ctrlPr>
                        <w:rPr>
                          <w:rFonts w:ascii="Cambria Math" w:hAnsi="Cambria Math"/>
                          <w:szCs w:val="21"/>
                        </w:rPr>
                      </m:ctrlPr>
                    </m:sub>
                  </m:sSub>
                  <m:r>
                    <m:rPr>
                      <m:sty m:val="p"/>
                    </m:rPr>
                    <w:rPr>
                      <w:rFonts w:ascii="Cambria Math" w:hAnsi="Cambria Math"/>
                      <w:szCs w:val="21"/>
                    </w:rPr>
                    <m:t>,</m:t>
                  </m:r>
                  <m:sSub>
                    <m:sSubPr>
                      <m:ctrlPr>
                        <w:rPr>
                          <w:rFonts w:ascii="Cambria Math" w:hAnsi="Cambria Math"/>
                          <w:szCs w:val="21"/>
                        </w:rPr>
                      </m:ctrlPr>
                    </m:sSubPr>
                    <m:e>
                      <m:r>
                        <w:rPr>
                          <w:rFonts w:ascii="Cambria Math" w:hAnsi="Cambria Math"/>
                          <w:szCs w:val="21"/>
                        </w:rPr>
                        <m:t>Y</m:t>
                      </m:r>
                      <m:ctrlPr>
                        <w:rPr>
                          <w:rFonts w:ascii="Cambria Math" w:hAnsi="Cambria Math"/>
                          <w:szCs w:val="21"/>
                        </w:rPr>
                      </m:ctrlPr>
                    </m:e>
                    <m:sub>
                      <m:r>
                        <w:rPr>
                          <w:rFonts w:ascii="Cambria Math" w:hAnsi="Cambria Math"/>
                          <w:szCs w:val="21"/>
                        </w:rPr>
                        <m:t>s</m:t>
                      </m:r>
                      <m:ctrlPr>
                        <w:rPr>
                          <w:rFonts w:ascii="Cambria Math" w:hAnsi="Cambria Math"/>
                          <w:szCs w:val="21"/>
                        </w:rPr>
                      </m:ctrlPr>
                    </m:sub>
                  </m:sSub>
                  <m:ctrlPr>
                    <w:rPr>
                      <w:rFonts w:ascii="Cambria Math" w:hAnsi="Cambria Math"/>
                      <w:szCs w:val="21"/>
                    </w:rPr>
                  </m:ctrlPr>
                </m:e>
              </m:d>
            </m:oMath>
            <w:r>
              <w:rPr>
                <w:szCs w:val="21"/>
              </w:rPr>
              <w:t xml:space="preserve"> PDCCH monitoring combination. We do not see why the two different SSSGs have to support the same </w:t>
            </w:r>
            <m:oMath>
              <m:d>
                <m:dPr>
                  <m:ctrlPr>
                    <w:rPr>
                      <w:rFonts w:ascii="Cambria Math" w:hAnsi="Cambria Math"/>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szCs w:val="21"/>
                        </w:rPr>
                      </m:ctrlPr>
                    </m:e>
                    <m:sub>
                      <m:r>
                        <m:rPr>
                          <m:sty m:val="p"/>
                        </m:rPr>
                        <w:rPr>
                          <w:rFonts w:ascii="Cambria Math" w:hAnsi="Cambria Math"/>
                          <w:szCs w:val="21"/>
                        </w:rPr>
                        <m:t>s</m:t>
                      </m:r>
                      <m:ctrlPr>
                        <w:rPr>
                          <w:rFonts w:ascii="Cambria Math" w:hAnsi="Cambria Math"/>
                          <w:szCs w:val="21"/>
                        </w:rPr>
                      </m:ctrlPr>
                    </m:sub>
                  </m:sSub>
                  <m:r>
                    <m:rPr>
                      <m:sty m:val="p"/>
                    </m:rPr>
                    <w:rPr>
                      <w:rFonts w:ascii="Cambria Math" w:hAnsi="Cambria Math"/>
                      <w:szCs w:val="21"/>
                    </w:rPr>
                    <m:t>,</m:t>
                  </m:r>
                  <m:sSub>
                    <m:sSubPr>
                      <m:ctrlPr>
                        <w:rPr>
                          <w:rFonts w:ascii="Cambria Math" w:hAnsi="Cambria Math"/>
                          <w:szCs w:val="21"/>
                        </w:rPr>
                      </m:ctrlPr>
                    </m:sSubPr>
                    <m:e>
                      <m:r>
                        <w:rPr>
                          <w:rFonts w:ascii="Cambria Math" w:hAnsi="Cambria Math"/>
                          <w:szCs w:val="21"/>
                        </w:rPr>
                        <m:t>Y</m:t>
                      </m:r>
                      <m:ctrlPr>
                        <w:rPr>
                          <w:rFonts w:ascii="Cambria Math" w:hAnsi="Cambria Math"/>
                          <w:szCs w:val="21"/>
                        </w:rPr>
                      </m:ctrlPr>
                    </m:e>
                    <m:sub>
                      <m:r>
                        <w:rPr>
                          <w:rFonts w:ascii="Cambria Math" w:hAnsi="Cambria Math"/>
                          <w:szCs w:val="21"/>
                        </w:rPr>
                        <m:t>s</m:t>
                      </m:r>
                      <m:ctrlPr>
                        <w:rPr>
                          <w:rFonts w:ascii="Cambria Math" w:hAnsi="Cambria Math"/>
                          <w:szCs w:val="21"/>
                        </w:rPr>
                      </m:ctrlPr>
                    </m:sub>
                  </m:sSub>
                  <m:ctrlPr>
                    <w:rPr>
                      <w:rFonts w:ascii="Cambria Math" w:hAnsi="Cambria Math"/>
                      <w:szCs w:val="21"/>
                    </w:rPr>
                  </m:ctrlPr>
                </m:e>
              </m:d>
            </m:oMath>
            <w:r>
              <w:rPr>
                <w:szCs w:val="21"/>
              </w:rPr>
              <w:t xml:space="preserve"> combination. In our view, this is an unnecessarily conservative approach to guarantee that the distance between two consecutive </w:t>
            </w:r>
            <m:oMath>
              <m:sSub>
                <m:sSubPr>
                  <m:ctrlPr>
                    <w:rPr>
                      <w:rFonts w:ascii="Cambria Math" w:hAnsi="Cambria Math"/>
                      <w:szCs w:val="21"/>
                    </w:rPr>
                  </m:ctrlPr>
                </m:sSubPr>
                <m:e>
                  <m:r>
                    <w:rPr>
                      <w:rFonts w:ascii="Cambria Math" w:hAnsi="Cambria Math"/>
                      <w:szCs w:val="21"/>
                    </w:rPr>
                    <m:t>Y</m:t>
                  </m:r>
                  <m:ctrlPr>
                    <w:rPr>
                      <w:rFonts w:ascii="Cambria Math" w:hAnsi="Cambria Math"/>
                      <w:szCs w:val="21"/>
                    </w:rPr>
                  </m:ctrlPr>
                </m:e>
                <m:sub>
                  <m:r>
                    <w:rPr>
                      <w:rFonts w:ascii="Cambria Math" w:hAnsi="Cambria Math"/>
                      <w:szCs w:val="21"/>
                    </w:rPr>
                    <m:t>s</m:t>
                  </m:r>
                  <m:ctrlPr>
                    <w:rPr>
                      <w:rFonts w:ascii="Cambria Math" w:hAnsi="Cambria Math"/>
                      <w:szCs w:val="21"/>
                    </w:rPr>
                  </m:ctrlPr>
                </m:sub>
              </m:sSub>
            </m:oMath>
            <w:r>
              <w:rPr>
                <w:szCs w:val="21"/>
              </w:rPr>
              <w:t xml:space="preserve"> SS slots on either side of the switching boundary is not less than </w:t>
            </w:r>
            <m:oMath>
              <m:sSub>
                <m:sSubPr>
                  <m:ctrlPr>
                    <w:rPr>
                      <w:rFonts w:ascii="Cambria Math" w:hAnsi="Cambria Math"/>
                      <w:szCs w:val="21"/>
                    </w:rPr>
                  </m:ctrlPr>
                </m:sSubPr>
                <m:e>
                  <m:r>
                    <w:rPr>
                      <w:rFonts w:ascii="Cambria Math" w:hAnsi="Cambria Math"/>
                      <w:szCs w:val="21"/>
                    </w:rPr>
                    <m:t>X</m:t>
                  </m:r>
                  <m:ctrlPr>
                    <w:rPr>
                      <w:rFonts w:ascii="Cambria Math" w:hAnsi="Cambria Math"/>
                      <w:szCs w:val="21"/>
                    </w:rPr>
                  </m:ctrlPr>
                </m:e>
                <m:sub>
                  <m:r>
                    <m:rPr>
                      <m:sty m:val="p"/>
                    </m:rPr>
                    <w:rPr>
                      <w:rFonts w:ascii="Cambria Math" w:hAnsi="Cambria Math"/>
                      <w:szCs w:val="21"/>
                    </w:rPr>
                    <m:t>s</m:t>
                  </m:r>
                  <m:ctrlPr>
                    <w:rPr>
                      <w:rFonts w:ascii="Cambria Math" w:hAnsi="Cambria Math"/>
                      <w:szCs w:val="21"/>
                    </w:rPr>
                  </m:ctrlPr>
                </m:sub>
              </m:sSub>
            </m:oMath>
            <w:r>
              <w:rPr>
                <w:szCs w:val="21"/>
              </w:rPr>
              <w:t xml:space="preserve">. For instance (4,1) can switch to (8,1) as long as the distance between the last monitoring slot in (4,1) to the first monitoring slot in (8,1) is not less than 4. This can be easily supported by gNB implementation. Alternatively, UE can just drop monitoring the first SS in the “switched to” SSSG if the distance between two consecutive </w:t>
            </w:r>
            <m:oMath>
              <m:sSub>
                <m:sSubPr>
                  <m:ctrlPr>
                    <w:rPr>
                      <w:rFonts w:ascii="Cambria Math" w:hAnsi="Cambria Math"/>
                      <w:szCs w:val="21"/>
                    </w:rPr>
                  </m:ctrlPr>
                </m:sSubPr>
                <m:e>
                  <m:r>
                    <w:rPr>
                      <w:rFonts w:ascii="Cambria Math" w:hAnsi="Cambria Math"/>
                      <w:szCs w:val="21"/>
                    </w:rPr>
                    <m:t>Y</m:t>
                  </m:r>
                  <m:ctrlPr>
                    <w:rPr>
                      <w:rFonts w:ascii="Cambria Math" w:hAnsi="Cambria Math"/>
                      <w:szCs w:val="21"/>
                    </w:rPr>
                  </m:ctrlPr>
                </m:e>
                <m:sub>
                  <m:r>
                    <w:rPr>
                      <w:rFonts w:ascii="Cambria Math" w:hAnsi="Cambria Math"/>
                      <w:szCs w:val="21"/>
                    </w:rPr>
                    <m:t>s</m:t>
                  </m:r>
                  <m:ctrlPr>
                    <w:rPr>
                      <w:rFonts w:ascii="Cambria Math" w:hAnsi="Cambria Math"/>
                      <w:szCs w:val="21"/>
                    </w:rPr>
                  </m:ctrlPr>
                </m:sub>
              </m:sSub>
            </m:oMath>
            <w:r>
              <w:rPr>
                <w:szCs w:val="21"/>
              </w:rPr>
              <w:t xml:space="preserve"> SS slots on either side of the switching boundary is not less than </w:t>
            </w:r>
            <m:oMath>
              <m:sSub>
                <m:sSubPr>
                  <m:ctrlPr>
                    <w:rPr>
                      <w:rFonts w:ascii="Cambria Math" w:hAnsi="Cambria Math"/>
                      <w:szCs w:val="21"/>
                    </w:rPr>
                  </m:ctrlPr>
                </m:sSubPr>
                <m:e>
                  <m:r>
                    <w:rPr>
                      <w:rFonts w:ascii="Cambria Math" w:hAnsi="Cambria Math"/>
                      <w:szCs w:val="21"/>
                    </w:rPr>
                    <m:t>X</m:t>
                  </m:r>
                  <m:ctrlPr>
                    <w:rPr>
                      <w:rFonts w:ascii="Cambria Math" w:hAnsi="Cambria Math"/>
                      <w:szCs w:val="21"/>
                    </w:rPr>
                  </m:ctrlPr>
                </m:e>
                <m:sub>
                  <m:r>
                    <m:rPr>
                      <m:sty m:val="p"/>
                    </m:rPr>
                    <w:rPr>
                      <w:rFonts w:ascii="Cambria Math" w:hAnsi="Cambria Math"/>
                      <w:szCs w:val="21"/>
                    </w:rPr>
                    <m:t>s</m:t>
                  </m:r>
                  <m:ctrlPr>
                    <w:rPr>
                      <w:rFonts w:ascii="Cambria Math" w:hAnsi="Cambria Math"/>
                      <w:szCs w:val="21"/>
                    </w:rPr>
                  </m:ctrlPr>
                </m:sub>
              </m:sSub>
            </m:oMath>
            <w:r>
              <w:rPr>
                <w:szCs w:val="21"/>
              </w:rPr>
              <w:t>.</w:t>
            </w:r>
          </w:p>
          <w:p>
            <w:pPr>
              <w:pStyle w:val="82"/>
              <w:widowControl w:val="0"/>
              <w:spacing w:before="120" w:beforeLines="50" w:after="120" w:afterLines="50"/>
              <w:ind w:left="0"/>
              <w:rPr>
                <w:b/>
                <w:i/>
                <w:sz w:val="21"/>
                <w:szCs w:val="21"/>
              </w:rPr>
            </w:pPr>
            <w:r>
              <w:rPr>
                <w:b/>
                <w:i/>
                <w:color w:val="000000"/>
                <w:sz w:val="21"/>
                <w:szCs w:val="21"/>
              </w:rPr>
              <w:t xml:space="preserve">Proposal 13: SSSG switching is supported between SSSGs that correspond to the same or different </w:t>
            </w:r>
            <m:oMath>
              <m:d>
                <m:dPr>
                  <m:ctrlPr>
                    <w:rPr>
                      <w:rFonts w:ascii="Cambria Math" w:hAnsi="Cambria Math"/>
                      <w:b/>
                      <w:i/>
                      <w:sz w:val="21"/>
                      <w:szCs w:val="21"/>
                      <w:lang w:eastAsia="zh-CN"/>
                    </w:rPr>
                  </m:ctrlPr>
                </m:dPr>
                <m:e>
                  <m:sSub>
                    <m:sSubPr>
                      <m:ctrlPr>
                        <w:rPr>
                          <w:rFonts w:ascii="Cambria Math" w:hAnsi="Cambria Math"/>
                          <w:b/>
                          <w:i/>
                          <w:sz w:val="21"/>
                          <w:szCs w:val="21"/>
                        </w:rPr>
                      </m:ctrlPr>
                    </m:sSubPr>
                    <m:e>
                      <m:r>
                        <m:rPr>
                          <m:sty m:val="bi"/>
                        </m:rPr>
                        <w:rPr>
                          <w:rFonts w:ascii="Cambria Math" w:hAnsi="Cambria Math"/>
                          <w:sz w:val="21"/>
                          <w:szCs w:val="21"/>
                        </w:rPr>
                        <m:t>X</m:t>
                      </m:r>
                      <m:ctrlPr>
                        <w:rPr>
                          <w:rFonts w:ascii="Cambria Math" w:hAnsi="Cambria Math"/>
                          <w:b/>
                          <w:i/>
                          <w:sz w:val="21"/>
                          <w:szCs w:val="21"/>
                        </w:rPr>
                      </m:ctrlPr>
                    </m:e>
                    <m:sub>
                      <m:r>
                        <m:rPr>
                          <m:sty m:val="bi"/>
                        </m:rPr>
                        <w:rPr>
                          <w:rFonts w:ascii="Cambria Math" w:hAnsi="Cambria Math"/>
                          <w:sz w:val="21"/>
                          <w:szCs w:val="21"/>
                        </w:rPr>
                        <m:t>s</m:t>
                      </m:r>
                      <m:ctrlPr>
                        <w:rPr>
                          <w:rFonts w:ascii="Cambria Math" w:hAnsi="Cambria Math"/>
                          <w:b/>
                          <w:i/>
                          <w:sz w:val="21"/>
                          <w:szCs w:val="21"/>
                        </w:rPr>
                      </m:ctrlPr>
                    </m:sub>
                  </m:sSub>
                  <m:r>
                    <m:rPr>
                      <m:sty m:val="bi"/>
                    </m:rPr>
                    <w:rPr>
                      <w:rFonts w:ascii="Cambria Math" w:hAnsi="Cambria Math"/>
                      <w:sz w:val="21"/>
                      <w:szCs w:val="21"/>
                    </w:rPr>
                    <m:t>,</m:t>
                  </m:r>
                  <m:sSub>
                    <m:sSubPr>
                      <m:ctrlPr>
                        <w:rPr>
                          <w:rFonts w:ascii="Cambria Math" w:hAnsi="Cambria Math"/>
                          <w:b/>
                          <w:i/>
                          <w:sz w:val="21"/>
                          <w:szCs w:val="21"/>
                        </w:rPr>
                      </m:ctrlPr>
                    </m:sSubPr>
                    <m:e>
                      <m:r>
                        <m:rPr>
                          <m:sty m:val="bi"/>
                        </m:rPr>
                        <w:rPr>
                          <w:rFonts w:ascii="Cambria Math" w:hAnsi="Cambria Math"/>
                          <w:sz w:val="21"/>
                          <w:szCs w:val="21"/>
                        </w:rPr>
                        <m:t>Y</m:t>
                      </m:r>
                      <m:ctrlPr>
                        <w:rPr>
                          <w:rFonts w:ascii="Cambria Math" w:hAnsi="Cambria Math"/>
                          <w:b/>
                          <w:i/>
                          <w:sz w:val="21"/>
                          <w:szCs w:val="21"/>
                        </w:rPr>
                      </m:ctrlPr>
                    </m:e>
                    <m:sub>
                      <m:r>
                        <m:rPr>
                          <m:sty m:val="bi"/>
                        </m:rPr>
                        <w:rPr>
                          <w:rFonts w:ascii="Cambria Math" w:hAnsi="Cambria Math"/>
                          <w:sz w:val="21"/>
                          <w:szCs w:val="21"/>
                        </w:rPr>
                        <m:t>s</m:t>
                      </m:r>
                      <m:ctrlPr>
                        <w:rPr>
                          <w:rFonts w:ascii="Cambria Math" w:hAnsi="Cambria Math"/>
                          <w:b/>
                          <w:i/>
                          <w:sz w:val="21"/>
                          <w:szCs w:val="21"/>
                        </w:rPr>
                      </m:ctrlPr>
                    </m:sub>
                  </m:sSub>
                  <m:ctrlPr>
                    <w:rPr>
                      <w:rFonts w:ascii="Cambria Math" w:hAnsi="Cambria Math"/>
                      <w:b/>
                      <w:i/>
                      <w:sz w:val="21"/>
                      <w:szCs w:val="21"/>
                    </w:rPr>
                  </m:ctrlPr>
                </m:e>
              </m:d>
            </m:oMath>
            <w:r>
              <w:rPr>
                <w:b/>
                <w:i/>
                <w:sz w:val="21"/>
                <w:szCs w:val="21"/>
                <w:lang w:eastAsia="zh-CN"/>
              </w:rPr>
              <w:t xml:space="preserve"> </w:t>
            </w:r>
            <w:r>
              <w:rPr>
                <w:b/>
                <w:i/>
                <w:color w:val="000000"/>
                <w:sz w:val="21"/>
                <w:szCs w:val="21"/>
              </w:rPr>
              <w:t>PDCCH monitoring combinations.</w:t>
            </w:r>
          </w:p>
          <w:p>
            <w:pPr>
              <w:pStyle w:val="82"/>
              <w:widowControl w:val="0"/>
              <w:spacing w:before="120" w:beforeLines="50" w:after="120" w:afterLines="50"/>
              <w:ind w:left="0"/>
              <w:rPr>
                <w:color w:val="000000"/>
              </w:rPr>
            </w:pPr>
          </w:p>
          <w:p>
            <w:pPr>
              <w:widowControl w:val="0"/>
              <w:spacing w:before="120" w:beforeLines="50" w:afterLines="50"/>
              <w:rPr>
                <w:szCs w:val="21"/>
              </w:rPr>
            </w:pPr>
            <w:r>
              <w:rPr>
                <w:szCs w:val="21"/>
              </w:rPr>
              <w:t xml:space="preserve">In power saving enhancements WI, the value range for both SSSG switching timer </w:t>
            </w:r>
            <w:r>
              <w:rPr>
                <w:i/>
                <w:szCs w:val="21"/>
              </w:rPr>
              <w:t>searchSpaceSwitchTimer-r17</w:t>
            </w:r>
            <w:r>
              <w:rPr>
                <w:szCs w:val="21"/>
              </w:rPr>
              <w:t xml:space="preserve"> and PDCCH skipping duration </w:t>
            </w:r>
            <w:r>
              <w:rPr>
                <w:i/>
                <w:szCs w:val="21"/>
              </w:rPr>
              <w:t>PDCCHSkippingDuration</w:t>
            </w:r>
            <w:r>
              <w:rPr>
                <w:szCs w:val="21"/>
              </w:rPr>
              <w:t xml:space="preserve"> was agreed to be {1, 2, 3, …,160, 240, 320,400, 480, 640, 800} slots for120 kHz. Following other timeline related issues, it makes sense to scale the supported values of </w:t>
            </w:r>
            <w:r>
              <w:rPr>
                <w:i/>
                <w:szCs w:val="21"/>
              </w:rPr>
              <w:t xml:space="preserve">searchSpaceSwitchTimer-r17 </w:t>
            </w:r>
            <w:r>
              <w:rPr>
                <w:szCs w:val="21"/>
              </w:rPr>
              <w:t>and</w:t>
            </w:r>
            <w:r>
              <w:rPr>
                <w:i/>
                <w:szCs w:val="21"/>
              </w:rPr>
              <w:t xml:space="preserve"> PDCCHSkippingDuration</w:t>
            </w:r>
            <w:r>
              <w:rPr>
                <w:szCs w:val="21"/>
              </w:rPr>
              <w:t xml:space="preserve"> for 120 kHz by 4 and 8 to obtain the supported values respectively for 480 kHz and 960 kHz.</w:t>
            </w:r>
          </w:p>
          <w:p>
            <w:pPr>
              <w:widowControl w:val="0"/>
              <w:spacing w:before="120" w:beforeLines="50" w:afterLines="50"/>
              <w:rPr>
                <w:b/>
                <w:i/>
                <w:color w:val="000000"/>
                <w:szCs w:val="21"/>
              </w:rPr>
            </w:pPr>
            <w:r>
              <w:rPr>
                <w:b/>
                <w:i/>
                <w:color w:val="000000"/>
                <w:szCs w:val="21"/>
              </w:rPr>
              <w:t xml:space="preserve">Proposal 11: In unit of slots, </w:t>
            </w:r>
            <w:r>
              <w:rPr>
                <w:b/>
                <w:i/>
                <w:szCs w:val="21"/>
              </w:rPr>
              <w:t>the supported values for searchSpaceSwitchTimer-r17 and PDCCHSkippingDuration for 480 kHz and 960 kHz are respectively 4x and 8x of their supported values for 120 kHz.</w:t>
            </w:r>
          </w:p>
          <w:p>
            <w:pPr>
              <w:widowControl w:val="0"/>
              <w:spacing w:before="120" w:beforeLines="50" w:afterLines="50"/>
              <w:rPr>
                <w:szCs w:val="21"/>
              </w:rPr>
            </w:pPr>
            <w:r>
              <w:rPr>
                <w:szCs w:val="21"/>
              </w:rPr>
              <w:t xml:space="preserve">Moreover, in addition to Rel-16 SSSG switching parameters, SSSG switching parameters </w:t>
            </w:r>
            <w:r>
              <w:rPr>
                <w:i/>
                <w:color w:val="000000"/>
                <w:szCs w:val="21"/>
              </w:rPr>
              <w:t>searchSpaceSwitchTimer-r17</w:t>
            </w:r>
            <w:r>
              <w:rPr>
                <w:color w:val="000000"/>
                <w:szCs w:val="21"/>
              </w:rPr>
              <w:t xml:space="preserve"> and </w:t>
            </w:r>
            <w:r>
              <w:rPr>
                <w:i/>
                <w:color w:val="000000"/>
                <w:szCs w:val="21"/>
              </w:rPr>
              <w:t xml:space="preserve">searchSpaceGroupIdList-r17 </w:t>
            </w:r>
            <w:r>
              <w:rPr>
                <w:szCs w:val="21"/>
              </w:rPr>
              <w:t>were introduced in power saving enhancements WI</w:t>
            </w:r>
            <w:r>
              <w:rPr>
                <w:color w:val="000000"/>
                <w:szCs w:val="21"/>
              </w:rPr>
              <w:t xml:space="preserve">. It is clear that when </w:t>
            </w:r>
            <w:r>
              <w:rPr>
                <w:szCs w:val="21"/>
              </w:rPr>
              <w:t>Rel-16 SSSG switching parameters are configured, a UE will perform the Rel-16 SSSG switching mechanism. Similarly, w</w:t>
            </w:r>
            <w:r>
              <w:rPr>
                <w:color w:val="000000"/>
                <w:szCs w:val="21"/>
              </w:rPr>
              <w:t xml:space="preserve">hen </w:t>
            </w:r>
            <w:r>
              <w:rPr>
                <w:szCs w:val="21"/>
              </w:rPr>
              <w:t>Rel-17 SSSG switching parameters are configured, a UE will perform the Rel-17 SSSG switching mechanism. From our view, it does not make too much sense to allow a UE to perform both SSSG switching mechanisms simultaneously</w:t>
            </w:r>
            <w:r>
              <w:rPr>
                <w:color w:val="000000"/>
                <w:szCs w:val="21"/>
              </w:rPr>
              <w:t>.</w:t>
            </w:r>
            <w:r>
              <w:rPr>
                <w:szCs w:val="21"/>
              </w:rPr>
              <w:t xml:space="preserve"> Therefore, the gNB should not configure both Rel-16 and Rel-17 SSSG switching parameters at the same time.</w:t>
            </w:r>
          </w:p>
          <w:p>
            <w:pPr>
              <w:pStyle w:val="82"/>
              <w:widowControl w:val="0"/>
              <w:spacing w:before="120" w:beforeLines="50" w:after="120" w:afterLines="50"/>
              <w:ind w:left="0"/>
              <w:rPr>
                <w:szCs w:val="21"/>
              </w:rPr>
            </w:pPr>
            <w:r>
              <w:rPr>
                <w:b/>
                <w:i/>
                <w:color w:val="000000"/>
                <w:sz w:val="21"/>
                <w:szCs w:val="21"/>
              </w:rPr>
              <w:t>Proposal 12: A UE does not expect to be configured with Rel-16 SSSG switching parameters (such as searchSpaceSwitchTimer and SearchSpaceSwitchTrigger) and Rel-17 SSSG switching parameters (such as searchSpaceSwitchTimer-r17 and searchSpaceGroupIdList-r17) per cell simultaneously.</w:t>
            </w:r>
          </w:p>
          <w:p>
            <w:pPr>
              <w:pStyle w:val="82"/>
              <w:widowControl w:val="0"/>
              <w:spacing w:before="120" w:beforeLines="50" w:after="120" w:afterLines="50"/>
              <w:ind w:left="0"/>
              <w:rPr>
                <w:color w:val="000000"/>
              </w:rPr>
            </w:pPr>
          </w:p>
        </w:tc>
      </w:tr>
    </w:tbl>
    <w:p>
      <w:pPr>
        <w:rPr>
          <w:lang w:eastAsia="zh-CN"/>
        </w:rPr>
      </w:pPr>
    </w:p>
    <w:p>
      <w:pPr>
        <w:pStyle w:val="4"/>
      </w:pPr>
      <w:r>
        <w:t>R1-2200988 (Futurewei)</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line="240" w:lineRule="auto"/>
              <w:contextualSpacing/>
              <w:rPr>
                <w:color w:val="000000"/>
              </w:rPr>
            </w:pPr>
          </w:p>
          <w:p>
            <w:pPr>
              <w:widowControl w:val="0"/>
            </w:pPr>
            <w:r>
              <w:t>One remaining issue to be clarified in the above agreement is the “offset”. More precisely what is the offset basis? Following the existing specs we propose to maintain the same definition of the offset as presented in the TS 38.213.</w:t>
            </w:r>
          </w:p>
          <w:p>
            <w:pPr>
              <w:widowControl w:val="0"/>
              <w:rPr>
                <w:b/>
                <w:bCs/>
              </w:rPr>
            </w:pPr>
            <w:r>
              <w:rPr>
                <w:b/>
                <w:bCs/>
              </w:rPr>
              <w:t>Proposal 2: In TS 38.213, Clause 10.1 add the following text (the proposed addition is underlined):</w:t>
            </w:r>
          </w:p>
          <w:p>
            <w:pPr>
              <w:widowControl w:val="0"/>
              <w:rPr>
                <w:b/>
                <w:bCs/>
                <w:color w:val="000000" w:themeColor="text1"/>
                <w:sz w:val="21"/>
                <w:szCs w:val="21"/>
                <w14:textFill>
                  <w14:solidFill>
                    <w14:schemeClr w14:val="tx1"/>
                  </w14:solidFill>
                </w14:textFill>
              </w:rPr>
            </w:pPr>
            <w:r>
              <w:rPr>
                <w:b/>
                <w:bCs/>
                <w:color w:val="000000" w:themeColor="text1"/>
                <w:sz w:val="21"/>
                <w:szCs w:val="21"/>
                <w14:textFill>
                  <w14:solidFill>
                    <w14:schemeClr w14:val="tx1"/>
                  </w14:solidFill>
                </w14:textFill>
              </w:rPr>
              <w:t xml:space="preserve">“A UE determines a PDCCH monitoring occasion on an active DL BWP from the PDCCH monitoring periodicity, the PDCCH monitoring offset, and the PDCCH monitoring pattern within a slot. </w:t>
            </w:r>
            <w:r>
              <w:rPr>
                <w:rFonts w:eastAsia="Yu Mincho"/>
                <w:b/>
                <w:bCs/>
                <w:color w:val="000000" w:themeColor="text1"/>
                <w:sz w:val="21"/>
                <w:szCs w:val="21"/>
                <w14:textFill>
                  <w14:solidFill>
                    <w14:schemeClr w14:val="tx1"/>
                  </w14:solidFill>
                </w14:textFill>
              </w:rPr>
              <w:t xml:space="preserve">For search space set </w:t>
            </w:r>
            <m:oMath>
              <m:r>
                <m:rPr>
                  <m:sty m:val="bi"/>
                </m:rPr>
                <w:rPr>
                  <w:rFonts w:ascii="Cambria Math" w:hAnsi="Cambria Math"/>
                  <w:color w:val="000000" w:themeColor="text1"/>
                  <w:sz w:val="21"/>
                  <w:szCs w:val="21"/>
                  <w14:textFill>
                    <w14:solidFill>
                      <w14:schemeClr w14:val="tx1"/>
                    </w14:solidFill>
                  </w14:textFill>
                </w:rPr>
                <m:t>s</m:t>
              </m:r>
            </m:oMath>
            <w:r>
              <w:rPr>
                <w:rFonts w:eastAsia="Yu Mincho"/>
                <w:b/>
                <w:bCs/>
                <w:color w:val="000000" w:themeColor="text1"/>
                <w:sz w:val="21"/>
                <w:szCs w:val="21"/>
                <w14:textFill>
                  <w14:solidFill>
                    <w14:schemeClr w14:val="tx1"/>
                  </w14:solidFill>
                </w14:textFill>
              </w:rPr>
              <w:t xml:space="preserve">, the UE determines that a PDCCH monitoring occasion(s) exists in a slot with number </w:t>
            </w:r>
            <m:oMath>
              <m:sSubSup>
                <m:sSubSupPr>
                  <m:ctrlPr>
                    <w:rPr>
                      <w:rFonts w:ascii="Cambria Math" w:hAnsi="Cambria Math"/>
                      <w:b/>
                      <w:bCs/>
                      <w:i/>
                      <w:color w:val="000000" w:themeColor="text1"/>
                      <w:sz w:val="21"/>
                      <w:szCs w:val="21"/>
                      <w14:textFill>
                        <w14:solidFill>
                          <w14:schemeClr w14:val="tx1"/>
                        </w14:solidFill>
                      </w14:textFill>
                    </w:rPr>
                  </m:ctrlPr>
                </m:sSubSupPr>
                <m:e>
                  <m:r>
                    <m:rPr>
                      <m:sty m:val="bi"/>
                    </m:rPr>
                    <w:rPr>
                      <w:rFonts w:ascii="Cambria Math" w:hAnsi="Cambria Math"/>
                      <w:color w:val="000000" w:themeColor="text1"/>
                      <w:sz w:val="21"/>
                      <w:szCs w:val="21"/>
                      <w14:textFill>
                        <w14:solidFill>
                          <w14:schemeClr w14:val="tx1"/>
                        </w14:solidFill>
                      </w14:textFill>
                    </w:rPr>
                    <m:t>n</m:t>
                  </m:r>
                  <m:ctrlPr>
                    <w:rPr>
                      <w:rFonts w:ascii="Cambria Math" w:hAnsi="Cambria Math"/>
                      <w:b/>
                      <w:bCs/>
                      <w:i/>
                      <w:color w:val="000000" w:themeColor="text1"/>
                      <w:sz w:val="21"/>
                      <w:szCs w:val="21"/>
                      <w14:textFill>
                        <w14:solidFill>
                          <w14:schemeClr w14:val="tx1"/>
                        </w14:solidFill>
                      </w14:textFill>
                    </w:rPr>
                  </m:ctrlPr>
                </m:e>
                <m:sub>
                  <m:r>
                    <m:rPr>
                      <m:sty m:val="bi"/>
                    </m:rPr>
                    <w:rPr>
                      <w:rFonts w:ascii="Cambria Math" w:hAnsi="Cambria Math"/>
                      <w:color w:val="000000" w:themeColor="text1"/>
                      <w:sz w:val="21"/>
                      <w:szCs w:val="21"/>
                      <w14:textFill>
                        <w14:solidFill>
                          <w14:schemeClr w14:val="tx1"/>
                        </w14:solidFill>
                      </w14:textFill>
                    </w:rPr>
                    <m:t>s,f</m:t>
                  </m:r>
                  <m:ctrlPr>
                    <w:rPr>
                      <w:rFonts w:ascii="Cambria Math" w:hAnsi="Cambria Math"/>
                      <w:b/>
                      <w:bCs/>
                      <w:i/>
                      <w:color w:val="000000" w:themeColor="text1"/>
                      <w:sz w:val="21"/>
                      <w:szCs w:val="21"/>
                      <w14:textFill>
                        <w14:solidFill>
                          <w14:schemeClr w14:val="tx1"/>
                        </w14:solidFill>
                      </w14:textFill>
                    </w:rPr>
                  </m:ctrlPr>
                </m:sub>
                <m:sup>
                  <m:r>
                    <m:rPr>
                      <m:sty m:val="bi"/>
                    </m:rPr>
                    <w:rPr>
                      <w:rFonts w:ascii="Cambria Math" w:hAnsi="Cambria Math"/>
                      <w:color w:val="000000" w:themeColor="text1"/>
                      <w:sz w:val="21"/>
                      <w:szCs w:val="21"/>
                      <w14:textFill>
                        <w14:solidFill>
                          <w14:schemeClr w14:val="tx1"/>
                        </w14:solidFill>
                      </w14:textFill>
                    </w:rPr>
                    <m:t>μ</m:t>
                  </m:r>
                  <m:ctrlPr>
                    <w:rPr>
                      <w:rFonts w:ascii="Cambria Math" w:hAnsi="Cambria Math"/>
                      <w:b/>
                      <w:bCs/>
                      <w:i/>
                      <w:color w:val="000000" w:themeColor="text1"/>
                      <w:sz w:val="21"/>
                      <w:szCs w:val="21"/>
                      <w14:textFill>
                        <w14:solidFill>
                          <w14:schemeClr w14:val="tx1"/>
                        </w14:solidFill>
                      </w14:textFill>
                    </w:rPr>
                  </m:ctrlPr>
                </m:sup>
              </m:sSubSup>
            </m:oMath>
            <w:r>
              <w:rPr>
                <w:b/>
                <w:bCs/>
                <w:color w:val="000000" w:themeColor="text1"/>
                <w:sz w:val="21"/>
                <w:szCs w:val="21"/>
                <w14:textFill>
                  <w14:solidFill>
                    <w14:schemeClr w14:val="tx1"/>
                  </w14:solidFill>
                </w14:textFill>
              </w:rPr>
              <w:t xml:space="preserve"> [4, TS 38.211] in a frame with number </w:t>
            </w:r>
            <m:oMath>
              <m:sSub>
                <m:sSubPr>
                  <m:ctrlPr>
                    <w:rPr>
                      <w:rFonts w:ascii="Cambria Math" w:hAnsi="Cambria Math"/>
                      <w:b/>
                      <w:bCs/>
                      <w:i/>
                      <w:color w:val="000000" w:themeColor="text1"/>
                      <w:sz w:val="21"/>
                      <w:szCs w:val="21"/>
                      <w14:textFill>
                        <w14:solidFill>
                          <w14:schemeClr w14:val="tx1"/>
                        </w14:solidFill>
                      </w14:textFill>
                    </w:rPr>
                  </m:ctrlPr>
                </m:sSubPr>
                <m:e>
                  <m:r>
                    <m:rPr>
                      <m:sty m:val="bi"/>
                    </m:rPr>
                    <w:rPr>
                      <w:rFonts w:ascii="Cambria Math" w:hAnsi="Cambria Math"/>
                      <w:color w:val="000000" w:themeColor="text1"/>
                      <w:sz w:val="21"/>
                      <w:szCs w:val="21"/>
                      <w14:textFill>
                        <w14:solidFill>
                          <w14:schemeClr w14:val="tx1"/>
                        </w14:solidFill>
                      </w14:textFill>
                    </w:rPr>
                    <m:t>n</m:t>
                  </m:r>
                  <m:ctrlPr>
                    <w:rPr>
                      <w:rFonts w:ascii="Cambria Math" w:hAnsi="Cambria Math"/>
                      <w:b/>
                      <w:bCs/>
                      <w:i/>
                      <w:color w:val="000000" w:themeColor="text1"/>
                      <w:sz w:val="21"/>
                      <w:szCs w:val="21"/>
                      <w14:textFill>
                        <w14:solidFill>
                          <w14:schemeClr w14:val="tx1"/>
                        </w14:solidFill>
                      </w14:textFill>
                    </w:rPr>
                  </m:ctrlPr>
                </m:e>
                <m:sub>
                  <m:r>
                    <m:rPr>
                      <m:sty m:val="bi"/>
                    </m:rPr>
                    <w:rPr>
                      <w:rFonts w:ascii="Cambria Math" w:hAnsi="Cambria Math"/>
                      <w:color w:val="000000" w:themeColor="text1"/>
                      <w:sz w:val="21"/>
                      <w:szCs w:val="21"/>
                      <w14:textFill>
                        <w14:solidFill>
                          <w14:schemeClr w14:val="tx1"/>
                        </w14:solidFill>
                      </w14:textFill>
                    </w:rPr>
                    <m:t>f</m:t>
                  </m:r>
                  <m:ctrlPr>
                    <w:rPr>
                      <w:rFonts w:ascii="Cambria Math" w:hAnsi="Cambria Math"/>
                      <w:b/>
                      <w:bCs/>
                      <w:i/>
                      <w:color w:val="000000" w:themeColor="text1"/>
                      <w:sz w:val="21"/>
                      <w:szCs w:val="21"/>
                      <w14:textFill>
                        <w14:solidFill>
                          <w14:schemeClr w14:val="tx1"/>
                        </w14:solidFill>
                      </w14:textFill>
                    </w:rPr>
                  </m:ctrlPr>
                </m:sub>
              </m:sSub>
            </m:oMath>
            <w:r>
              <w:rPr>
                <w:b/>
                <w:bCs/>
                <w:color w:val="000000" w:themeColor="text1"/>
                <w:sz w:val="21"/>
                <w:szCs w:val="21"/>
                <w14:textFill>
                  <w14:solidFill>
                    <w14:schemeClr w14:val="tx1"/>
                  </w14:solidFill>
                </w14:textFill>
              </w:rPr>
              <w:t xml:space="preserve"> if (</w:t>
            </w:r>
            <m:oMath>
              <m:sSub>
                <m:sSubPr>
                  <m:ctrlPr>
                    <w:rPr>
                      <w:rFonts w:ascii="Cambria Math" w:hAnsi="Cambria Math"/>
                      <w:b/>
                      <w:bCs/>
                      <w:i/>
                      <w:color w:val="000000" w:themeColor="text1"/>
                      <w:sz w:val="21"/>
                      <w:szCs w:val="21"/>
                      <w14:textFill>
                        <w14:solidFill>
                          <w14:schemeClr w14:val="tx1"/>
                        </w14:solidFill>
                      </w14:textFill>
                    </w:rPr>
                  </m:ctrlPr>
                </m:sSubPr>
                <m:e>
                  <m:r>
                    <m:rPr>
                      <m:sty m:val="bi"/>
                    </m:rPr>
                    <w:rPr>
                      <w:rFonts w:ascii="Cambria Math" w:hAnsi="Cambria Math"/>
                      <w:color w:val="000000" w:themeColor="text1"/>
                      <w:sz w:val="21"/>
                      <w:szCs w:val="21"/>
                      <w14:textFill>
                        <w14:solidFill>
                          <w14:schemeClr w14:val="tx1"/>
                        </w14:solidFill>
                      </w14:textFill>
                    </w:rPr>
                    <m:t>n</m:t>
                  </m:r>
                  <m:ctrlPr>
                    <w:rPr>
                      <w:rFonts w:ascii="Cambria Math" w:hAnsi="Cambria Math"/>
                      <w:b/>
                      <w:bCs/>
                      <w:i/>
                      <w:color w:val="000000" w:themeColor="text1"/>
                      <w:sz w:val="21"/>
                      <w:szCs w:val="21"/>
                      <w14:textFill>
                        <w14:solidFill>
                          <w14:schemeClr w14:val="tx1"/>
                        </w14:solidFill>
                      </w14:textFill>
                    </w:rPr>
                  </m:ctrlPr>
                </m:e>
                <m:sub>
                  <m:r>
                    <m:rPr>
                      <m:sty m:val="bi"/>
                    </m:rPr>
                    <w:rPr>
                      <w:rFonts w:ascii="Cambria Math" w:hAnsi="Cambria Math"/>
                      <w:color w:val="000000" w:themeColor="text1"/>
                      <w:sz w:val="21"/>
                      <w:szCs w:val="21"/>
                      <w14:textFill>
                        <w14:solidFill>
                          <w14:schemeClr w14:val="tx1"/>
                        </w14:solidFill>
                      </w14:textFill>
                    </w:rPr>
                    <m:t>f</m:t>
                  </m:r>
                  <m:ctrlPr>
                    <w:rPr>
                      <w:rFonts w:ascii="Cambria Math" w:hAnsi="Cambria Math"/>
                      <w:b/>
                      <w:bCs/>
                      <w:i/>
                      <w:color w:val="000000" w:themeColor="text1"/>
                      <w:sz w:val="21"/>
                      <w:szCs w:val="21"/>
                      <w14:textFill>
                        <w14:solidFill>
                          <w14:schemeClr w14:val="tx1"/>
                        </w14:solidFill>
                      </w14:textFill>
                    </w:rPr>
                  </m:ctrlPr>
                </m:sub>
              </m:sSub>
            </m:oMath>
            <w:r>
              <w:rPr>
                <w:b/>
                <w:bCs/>
                <w:color w:val="000000" w:themeColor="text1"/>
                <w:sz w:val="21"/>
                <w:szCs w:val="21"/>
                <w14:textFill>
                  <w14:solidFill>
                    <w14:schemeClr w14:val="tx1"/>
                  </w14:solidFill>
                </w14:textFill>
              </w:rPr>
              <w:t xml:space="preserve">. </w:t>
            </w:r>
            <m:oMath>
              <m:sSubSup>
                <m:sSubSupPr>
                  <m:ctrlPr>
                    <w:rPr>
                      <w:rFonts w:ascii="Cambria Math" w:hAnsi="Cambria Math"/>
                      <w:b/>
                      <w:bCs/>
                      <w:i/>
                      <w:color w:val="000000" w:themeColor="text1"/>
                      <w:sz w:val="21"/>
                      <w:szCs w:val="21"/>
                      <w14:textFill>
                        <w14:solidFill>
                          <w14:schemeClr w14:val="tx1"/>
                        </w14:solidFill>
                      </w14:textFill>
                    </w:rPr>
                  </m:ctrlPr>
                </m:sSubSupPr>
                <m:e>
                  <m:r>
                    <m:rPr>
                      <m:sty m:val="bi"/>
                    </m:rPr>
                    <w:rPr>
                      <w:rFonts w:ascii="Cambria Math" w:hAnsi="Cambria Math"/>
                      <w:color w:val="000000" w:themeColor="text1"/>
                      <w:sz w:val="21"/>
                      <w:szCs w:val="21"/>
                      <w14:textFill>
                        <w14:solidFill>
                          <w14:schemeClr w14:val="tx1"/>
                        </w14:solidFill>
                      </w14:textFill>
                    </w:rPr>
                    <m:t>N</m:t>
                  </m:r>
                  <m:ctrlPr>
                    <w:rPr>
                      <w:rFonts w:ascii="Cambria Math" w:hAnsi="Cambria Math"/>
                      <w:b/>
                      <w:bCs/>
                      <w:i/>
                      <w:color w:val="000000" w:themeColor="text1"/>
                      <w:sz w:val="21"/>
                      <w:szCs w:val="21"/>
                      <w14:textFill>
                        <w14:solidFill>
                          <w14:schemeClr w14:val="tx1"/>
                        </w14:solidFill>
                      </w14:textFill>
                    </w:rPr>
                  </m:ctrlPr>
                </m:e>
                <m:sub>
                  <m:r>
                    <m:rPr>
                      <m:sty m:val="bi"/>
                    </m:rPr>
                    <w:rPr>
                      <w:rFonts w:ascii="Cambria Math" w:hAnsi="Cambria Math"/>
                      <w:color w:val="000000" w:themeColor="text1"/>
                      <w:sz w:val="21"/>
                      <w:szCs w:val="21"/>
                      <w14:textFill>
                        <w14:solidFill>
                          <w14:schemeClr w14:val="tx1"/>
                        </w14:solidFill>
                      </w14:textFill>
                    </w:rPr>
                    <m:t xml:space="preserve">slot </m:t>
                  </m:r>
                  <m:ctrlPr>
                    <w:rPr>
                      <w:rFonts w:ascii="Cambria Math" w:hAnsi="Cambria Math"/>
                      <w:b/>
                      <w:bCs/>
                      <w:i/>
                      <w:color w:val="000000" w:themeColor="text1"/>
                      <w:sz w:val="21"/>
                      <w:szCs w:val="21"/>
                      <w14:textFill>
                        <w14:solidFill>
                          <w14:schemeClr w14:val="tx1"/>
                        </w14:solidFill>
                      </w14:textFill>
                    </w:rPr>
                  </m:ctrlPr>
                </m:sub>
                <m:sup>
                  <m:r>
                    <m:rPr>
                      <m:sty m:val="bi"/>
                    </m:rPr>
                    <w:rPr>
                      <w:rFonts w:ascii="Cambria Math" w:hAnsi="Cambria Math"/>
                      <w:color w:val="000000" w:themeColor="text1"/>
                      <w:sz w:val="21"/>
                      <w:szCs w:val="21"/>
                      <w14:textFill>
                        <w14:solidFill>
                          <w14:schemeClr w14:val="tx1"/>
                        </w14:solidFill>
                      </w14:textFill>
                    </w:rPr>
                    <m:t>frame, μ</m:t>
                  </m:r>
                  <m:ctrlPr>
                    <w:rPr>
                      <w:rFonts w:ascii="Cambria Math" w:hAnsi="Cambria Math"/>
                      <w:b/>
                      <w:bCs/>
                      <w:i/>
                      <w:color w:val="000000" w:themeColor="text1"/>
                      <w:sz w:val="21"/>
                      <w:szCs w:val="21"/>
                      <w14:textFill>
                        <w14:solidFill>
                          <w14:schemeClr w14:val="tx1"/>
                        </w14:solidFill>
                      </w14:textFill>
                    </w:rPr>
                  </m:ctrlPr>
                </m:sup>
              </m:sSubSup>
            </m:oMath>
            <w:r>
              <w:rPr>
                <w:b/>
                <w:bCs/>
                <w:color w:val="000000" w:themeColor="text1"/>
                <w:sz w:val="21"/>
                <w:szCs w:val="21"/>
                <w14:textFill>
                  <w14:solidFill>
                    <w14:schemeClr w14:val="tx1"/>
                  </w14:solidFill>
                </w14:textFill>
              </w:rPr>
              <w:t>+</w:t>
            </w:r>
            <m:oMath>
              <m:r>
                <m:rPr>
                  <m:sty m:val="bi"/>
                </m:rPr>
                <w:rPr>
                  <w:rFonts w:ascii="Cambria Math" w:hAnsi="Cambria Math"/>
                  <w:color w:val="000000" w:themeColor="text1"/>
                  <w:sz w:val="21"/>
                  <w:szCs w:val="21"/>
                  <w14:textFill>
                    <w14:solidFill>
                      <w14:schemeClr w14:val="tx1"/>
                    </w14:solidFill>
                  </w14:textFill>
                </w:rPr>
                <m:t xml:space="preserve"> </m:t>
              </m:r>
              <m:sSubSup>
                <m:sSubSupPr>
                  <m:ctrlPr>
                    <w:rPr>
                      <w:rFonts w:ascii="Cambria Math" w:hAnsi="Cambria Math"/>
                      <w:b/>
                      <w:bCs/>
                      <w:i/>
                      <w:color w:val="000000" w:themeColor="text1"/>
                      <w:sz w:val="21"/>
                      <w:szCs w:val="21"/>
                      <w14:textFill>
                        <w14:solidFill>
                          <w14:schemeClr w14:val="tx1"/>
                        </w14:solidFill>
                      </w14:textFill>
                    </w:rPr>
                  </m:ctrlPr>
                </m:sSubSupPr>
                <m:e>
                  <m:r>
                    <m:rPr>
                      <m:sty m:val="bi"/>
                    </m:rPr>
                    <w:rPr>
                      <w:rFonts w:ascii="Cambria Math" w:hAnsi="Cambria Math"/>
                      <w:color w:val="000000" w:themeColor="text1"/>
                      <w:sz w:val="21"/>
                      <w:szCs w:val="21"/>
                      <w14:textFill>
                        <w14:solidFill>
                          <w14:schemeClr w14:val="tx1"/>
                        </w14:solidFill>
                      </w14:textFill>
                    </w:rPr>
                    <m:t>n</m:t>
                  </m:r>
                  <m:ctrlPr>
                    <w:rPr>
                      <w:rFonts w:ascii="Cambria Math" w:hAnsi="Cambria Math"/>
                      <w:b/>
                      <w:bCs/>
                      <w:i/>
                      <w:color w:val="000000" w:themeColor="text1"/>
                      <w:sz w:val="21"/>
                      <w:szCs w:val="21"/>
                      <w14:textFill>
                        <w14:solidFill>
                          <w14:schemeClr w14:val="tx1"/>
                        </w14:solidFill>
                      </w14:textFill>
                    </w:rPr>
                  </m:ctrlPr>
                </m:e>
                <m:sub>
                  <m:r>
                    <m:rPr>
                      <m:sty m:val="bi"/>
                    </m:rPr>
                    <w:rPr>
                      <w:rFonts w:ascii="Cambria Math" w:hAnsi="Cambria Math"/>
                      <w:color w:val="000000" w:themeColor="text1"/>
                      <w:sz w:val="21"/>
                      <w:szCs w:val="21"/>
                      <w14:textFill>
                        <w14:solidFill>
                          <w14:schemeClr w14:val="tx1"/>
                        </w14:solidFill>
                      </w14:textFill>
                    </w:rPr>
                    <m:t xml:space="preserve">s,f </m:t>
                  </m:r>
                  <m:ctrlPr>
                    <w:rPr>
                      <w:rFonts w:ascii="Cambria Math" w:hAnsi="Cambria Math"/>
                      <w:b/>
                      <w:bCs/>
                      <w:i/>
                      <w:color w:val="000000" w:themeColor="text1"/>
                      <w:sz w:val="21"/>
                      <w:szCs w:val="21"/>
                      <w14:textFill>
                        <w14:solidFill>
                          <w14:schemeClr w14:val="tx1"/>
                        </w14:solidFill>
                      </w14:textFill>
                    </w:rPr>
                  </m:ctrlPr>
                </m:sub>
                <m:sup>
                  <m:r>
                    <m:rPr>
                      <m:sty m:val="bi"/>
                    </m:rPr>
                    <w:rPr>
                      <w:rFonts w:ascii="Cambria Math" w:hAnsi="Cambria Math"/>
                      <w:color w:val="000000" w:themeColor="text1"/>
                      <w:sz w:val="21"/>
                      <w:szCs w:val="21"/>
                      <w14:textFill>
                        <w14:solidFill>
                          <w14:schemeClr w14:val="tx1"/>
                        </w14:solidFill>
                      </w14:textFill>
                    </w:rPr>
                    <m:t>μ</m:t>
                  </m:r>
                  <m:ctrlPr>
                    <w:rPr>
                      <w:rFonts w:ascii="Cambria Math" w:hAnsi="Cambria Math"/>
                      <w:b/>
                      <w:bCs/>
                      <w:i/>
                      <w:color w:val="000000" w:themeColor="text1"/>
                      <w:sz w:val="21"/>
                      <w:szCs w:val="21"/>
                      <w14:textFill>
                        <w14:solidFill>
                          <w14:schemeClr w14:val="tx1"/>
                        </w14:solidFill>
                      </w14:textFill>
                    </w:rPr>
                  </m:ctrlPr>
                </m:sup>
              </m:sSubSup>
            </m:oMath>
            <w:r>
              <w:rPr>
                <w:b/>
                <w:bCs/>
                <w:color w:val="000000" w:themeColor="text1"/>
                <w:sz w:val="21"/>
                <w:szCs w:val="21"/>
                <w14:textFill>
                  <w14:solidFill>
                    <w14:schemeClr w14:val="tx1"/>
                  </w14:solidFill>
                </w14:textFill>
              </w:rPr>
              <w:t>-</w:t>
            </w:r>
            <m:oMath>
              <m:r>
                <m:rPr>
                  <m:sty m:val="bi"/>
                </m:rPr>
                <w:rPr>
                  <w:rFonts w:ascii="Cambria Math" w:hAnsi="Cambria Math"/>
                  <w:color w:val="000000" w:themeColor="text1"/>
                  <w:sz w:val="21"/>
                  <w:szCs w:val="21"/>
                  <w14:textFill>
                    <w14:solidFill>
                      <w14:schemeClr w14:val="tx1"/>
                    </w14:solidFill>
                  </w14:textFill>
                </w:rPr>
                <m:t xml:space="preserve"> </m:t>
              </m:r>
              <m:sSub>
                <m:sSubPr>
                  <m:ctrlPr>
                    <w:rPr>
                      <w:rFonts w:ascii="Cambria Math" w:hAnsi="Cambria Math"/>
                      <w:b/>
                      <w:bCs/>
                      <w:i/>
                      <w:color w:val="000000" w:themeColor="text1"/>
                      <w:sz w:val="21"/>
                      <w:szCs w:val="21"/>
                      <w14:textFill>
                        <w14:solidFill>
                          <w14:schemeClr w14:val="tx1"/>
                        </w14:solidFill>
                      </w14:textFill>
                    </w:rPr>
                  </m:ctrlPr>
                </m:sSubPr>
                <m:e>
                  <m:r>
                    <m:rPr>
                      <m:sty m:val="bi"/>
                    </m:rPr>
                    <w:rPr>
                      <w:rFonts w:ascii="Cambria Math" w:hAnsi="Cambria Math"/>
                      <w:color w:val="000000" w:themeColor="text1"/>
                      <w:sz w:val="21"/>
                      <w:szCs w:val="21"/>
                      <w14:textFill>
                        <w14:solidFill>
                          <w14:schemeClr w14:val="tx1"/>
                        </w14:solidFill>
                      </w14:textFill>
                    </w:rPr>
                    <m:t>o</m:t>
                  </m:r>
                  <m:ctrlPr>
                    <w:rPr>
                      <w:rFonts w:ascii="Cambria Math" w:hAnsi="Cambria Math"/>
                      <w:b/>
                      <w:bCs/>
                      <w:i/>
                      <w:color w:val="000000" w:themeColor="text1"/>
                      <w:sz w:val="21"/>
                      <w:szCs w:val="21"/>
                      <w14:textFill>
                        <w14:solidFill>
                          <w14:schemeClr w14:val="tx1"/>
                        </w14:solidFill>
                      </w14:textFill>
                    </w:rPr>
                  </m:ctrlPr>
                </m:e>
                <m:sub>
                  <m:r>
                    <m:rPr>
                      <m:sty m:val="bi"/>
                    </m:rPr>
                    <w:rPr>
                      <w:rFonts w:ascii="Cambria Math" w:hAnsi="Cambria Math"/>
                      <w:color w:val="000000" w:themeColor="text1"/>
                      <w:sz w:val="21"/>
                      <w:szCs w:val="21"/>
                      <w14:textFill>
                        <w14:solidFill>
                          <w14:schemeClr w14:val="tx1"/>
                        </w14:solidFill>
                      </w14:textFill>
                    </w:rPr>
                    <m:t>s</m:t>
                  </m:r>
                  <m:ctrlPr>
                    <w:rPr>
                      <w:rFonts w:ascii="Cambria Math" w:hAnsi="Cambria Math"/>
                      <w:b/>
                      <w:bCs/>
                      <w:i/>
                      <w:color w:val="000000" w:themeColor="text1"/>
                      <w:sz w:val="21"/>
                      <w:szCs w:val="21"/>
                      <w14:textFill>
                        <w14:solidFill>
                          <w14:schemeClr w14:val="tx1"/>
                        </w14:solidFill>
                      </w14:textFill>
                    </w:rPr>
                  </m:ctrlPr>
                </m:sub>
              </m:sSub>
            </m:oMath>
            <w:r>
              <w:rPr>
                <w:b/>
                <w:bCs/>
                <w:color w:val="000000" w:themeColor="text1"/>
                <w:sz w:val="21"/>
                <w:szCs w:val="21"/>
                <w14:textFill>
                  <w14:solidFill>
                    <w14:schemeClr w14:val="tx1"/>
                  </w14:solidFill>
                </w14:textFill>
              </w:rPr>
              <w:t>)</w:t>
            </w:r>
            <m:oMath>
              <m:r>
                <m:rPr>
                  <m:sty m:val="bi"/>
                </m:rPr>
                <w:rPr>
                  <w:rFonts w:ascii="Cambria Math" w:hAnsi="Cambria Math"/>
                  <w:color w:val="000000" w:themeColor="text1"/>
                  <w:sz w:val="21"/>
                  <w:szCs w:val="21"/>
                  <w14:textFill>
                    <w14:solidFill>
                      <w14:schemeClr w14:val="tx1"/>
                    </w14:solidFill>
                  </w14:textFill>
                </w:rPr>
                <m:t xml:space="preserve"> </m:t>
              </m:r>
              <m:r>
                <m:rPr>
                  <m:sty m:val="b"/>
                </m:rPr>
                <w:rPr>
                  <w:rFonts w:ascii="Cambria Math" w:hAnsi="Cambria Math"/>
                  <w:color w:val="000000" w:themeColor="text1"/>
                  <w:sz w:val="21"/>
                  <w:szCs w:val="21"/>
                  <w14:textFill>
                    <w14:solidFill>
                      <w14:schemeClr w14:val="tx1"/>
                    </w14:solidFill>
                  </w14:textFill>
                </w:rPr>
                <m:t>mod</m:t>
              </m:r>
              <m:sSub>
                <m:sSubPr>
                  <m:ctrlPr>
                    <w:rPr>
                      <w:rFonts w:ascii="Cambria Math" w:hAnsi="Cambria Math"/>
                      <w:b/>
                      <w:bCs/>
                      <w:i/>
                      <w:color w:val="000000" w:themeColor="text1"/>
                      <w:sz w:val="21"/>
                      <w:szCs w:val="21"/>
                      <w14:textFill>
                        <w14:solidFill>
                          <w14:schemeClr w14:val="tx1"/>
                        </w14:solidFill>
                      </w14:textFill>
                    </w:rPr>
                  </m:ctrlPr>
                </m:sSubPr>
                <m:e>
                  <m:r>
                    <m:rPr>
                      <m:sty m:val="bi"/>
                    </m:rPr>
                    <w:rPr>
                      <w:rFonts w:ascii="Cambria Math" w:hAnsi="Cambria Math"/>
                      <w:color w:val="000000" w:themeColor="text1"/>
                      <w:sz w:val="21"/>
                      <w:szCs w:val="21"/>
                      <w14:textFill>
                        <w14:solidFill>
                          <w14:schemeClr w14:val="tx1"/>
                        </w14:solidFill>
                      </w14:textFill>
                    </w:rPr>
                    <m:t>k</m:t>
                  </m:r>
                  <m:ctrlPr>
                    <w:rPr>
                      <w:rFonts w:ascii="Cambria Math" w:hAnsi="Cambria Math"/>
                      <w:b/>
                      <w:bCs/>
                      <w:i/>
                      <w:color w:val="000000" w:themeColor="text1"/>
                      <w:sz w:val="21"/>
                      <w:szCs w:val="21"/>
                      <w14:textFill>
                        <w14:solidFill>
                          <w14:schemeClr w14:val="tx1"/>
                        </w14:solidFill>
                      </w14:textFill>
                    </w:rPr>
                  </m:ctrlPr>
                </m:e>
                <m:sub>
                  <m:r>
                    <m:rPr>
                      <m:sty m:val="bi"/>
                    </m:rPr>
                    <w:rPr>
                      <w:rFonts w:ascii="Cambria Math" w:hAnsi="Cambria Math"/>
                      <w:color w:val="000000" w:themeColor="text1"/>
                      <w:sz w:val="21"/>
                      <w:szCs w:val="21"/>
                      <w14:textFill>
                        <w14:solidFill>
                          <w14:schemeClr w14:val="tx1"/>
                        </w14:solidFill>
                      </w14:textFill>
                    </w:rPr>
                    <m:t>s</m:t>
                  </m:r>
                  <m:ctrlPr>
                    <w:rPr>
                      <w:rFonts w:ascii="Cambria Math" w:hAnsi="Cambria Math"/>
                      <w:b/>
                      <w:bCs/>
                      <w:i/>
                      <w:color w:val="000000" w:themeColor="text1"/>
                      <w:sz w:val="21"/>
                      <w:szCs w:val="21"/>
                      <w14:textFill>
                        <w14:solidFill>
                          <w14:schemeClr w14:val="tx1"/>
                        </w14:solidFill>
                      </w14:textFill>
                    </w:rPr>
                  </m:ctrlPr>
                </m:sub>
              </m:sSub>
              <m:r>
                <m:rPr>
                  <m:sty m:val="bi"/>
                </m:rPr>
                <w:rPr>
                  <w:rFonts w:ascii="Cambria Math" w:hAnsi="Cambria Math"/>
                  <w:color w:val="000000" w:themeColor="text1"/>
                  <w:sz w:val="21"/>
                  <w:szCs w:val="21"/>
                  <w14:textFill>
                    <w14:solidFill>
                      <w14:schemeClr w14:val="tx1"/>
                    </w14:solidFill>
                  </w14:textFill>
                </w:rPr>
                <m:t>=0</m:t>
              </m:r>
            </m:oMath>
            <w:r>
              <w:rPr>
                <w:rFonts w:eastAsia="Yu Mincho"/>
                <w:b/>
                <w:bCs/>
                <w:color w:val="000000" w:themeColor="text1"/>
                <w:sz w:val="21"/>
                <w:szCs w:val="21"/>
                <w:lang w:eastAsia="ja-JP"/>
                <w14:textFill>
                  <w14:solidFill>
                    <w14:schemeClr w14:val="tx1"/>
                  </w14:solidFill>
                </w14:textFill>
              </w:rPr>
              <w:fldChar w:fldCharType="begin"/>
            </w:r>
            <w:r>
              <w:rPr>
                <w:rFonts w:eastAsia="Yu Mincho"/>
                <w:b/>
                <w:bCs/>
                <w:color w:val="000000" w:themeColor="text1"/>
                <w:sz w:val="21"/>
                <w:szCs w:val="21"/>
                <w:lang w:eastAsia="ja-JP"/>
                <w14:textFill>
                  <w14:solidFill>
                    <w14:schemeClr w14:val="tx1"/>
                  </w14:solidFill>
                </w14:textFill>
              </w:rPr>
              <w:instrText xml:space="preserve"> QUOTE </w:instrText>
            </w:r>
            <m:oMath>
              <m:d>
                <m:dPr>
                  <m:ctrlPr>
                    <w:rPr>
                      <w:rFonts w:ascii="Cambria Math" w:hAnsi="Cambria Math" w:eastAsia="Yu Mincho"/>
                      <w:b/>
                      <w:bCs/>
                      <w:color w:val="000000" w:themeColor="text1"/>
                      <w:sz w:val="21"/>
                      <w:szCs w:val="21"/>
                      <w14:textFill>
                        <w14:solidFill>
                          <w14:schemeClr w14:val="tx1"/>
                        </w14:solidFill>
                      </w14:textFill>
                    </w:rPr>
                  </m:ctrlPr>
                </m:dPr>
                <m:e>
                  <m:sSub>
                    <m:sSubPr>
                      <m:ctrlPr>
                        <w:rPr>
                          <w:rFonts w:ascii="Cambria Math" w:hAnsi="Cambria Math" w:eastAsia="Yu Mincho"/>
                          <w:b/>
                          <w:bCs/>
                          <w:color w:val="000000" w:themeColor="text1"/>
                          <w:sz w:val="21"/>
                          <w:szCs w:val="21"/>
                          <w14:textFill>
                            <w14:solidFill>
                              <w14:schemeClr w14:val="tx1"/>
                            </w14:solidFill>
                          </w14:textFill>
                        </w:rPr>
                      </m:ctrlPr>
                    </m:sSubPr>
                    <m:e>
                      <m:r>
                        <m:rPr>
                          <m:sty m:val="p"/>
                        </m:rPr>
                        <w:rPr>
                          <w:rFonts w:ascii="Cambria Math" w:hAnsi="Cambria Math" w:eastAsia="Yu Mincho"/>
                          <w:color w:val="000000" w:themeColor="text1"/>
                          <w:sz w:val="21"/>
                          <w:szCs w:val="21"/>
                          <w14:textFill>
                            <w14:solidFill>
                              <w14:schemeClr w14:val="tx1"/>
                            </w14:solidFill>
                          </w14:textFill>
                        </w:rPr>
                        <m:t xml:space="preserve">n</m:t>
                      </m:r>
                      <m:ctrlPr>
                        <w:rPr>
                          <w:rFonts w:ascii="Cambria Math" w:hAnsi="Cambria Math" w:eastAsia="Yu Mincho"/>
                          <w:b/>
                          <w:bCs/>
                          <w:color w:val="000000" w:themeColor="text1"/>
                          <w:sz w:val="21"/>
                          <w:szCs w:val="21"/>
                          <w14:textFill>
                            <w14:solidFill>
                              <w14:schemeClr w14:val="tx1"/>
                            </w14:solidFill>
                          </w14:textFill>
                        </w:rPr>
                      </m:ctrlPr>
                    </m:e>
                    <m:sub>
                      <m:r>
                        <m:rPr>
                          <m:sty m:val="p"/>
                        </m:rPr>
                        <w:rPr>
                          <w:rFonts w:ascii="Cambria Math" w:hAnsi="Cambria Math" w:eastAsia="Yu Mincho"/>
                          <w:color w:val="000000" w:themeColor="text1"/>
                          <w:sz w:val="21"/>
                          <w:szCs w:val="21"/>
                          <w14:textFill>
                            <w14:solidFill>
                              <w14:schemeClr w14:val="tx1"/>
                            </w14:solidFill>
                          </w14:textFill>
                        </w:rPr>
                        <m:t xml:space="preserve">f</m:t>
                      </m:r>
                      <m:ctrlPr>
                        <w:rPr>
                          <w:rFonts w:ascii="Cambria Math" w:hAnsi="Cambria Math" w:eastAsia="Yu Mincho"/>
                          <w:b/>
                          <w:bCs/>
                          <w:color w:val="000000" w:themeColor="text1"/>
                          <w:sz w:val="21"/>
                          <w:szCs w:val="21"/>
                          <w14:textFill>
                            <w14:solidFill>
                              <w14:schemeClr w14:val="tx1"/>
                            </w14:solidFill>
                          </w14:textFill>
                        </w:rPr>
                      </m:ctrlPr>
                    </m:sub>
                  </m:sSub>
                  <m:sSubSup>
                    <m:sSubSupPr>
                      <m:ctrlPr>
                        <w:rPr>
                          <w:rFonts w:ascii="Cambria Math" w:hAnsi="Cambria Math" w:eastAsia="Yu Mincho"/>
                          <w:b/>
                          <w:bCs/>
                          <w:color w:val="000000" w:themeColor="text1"/>
                          <w:sz w:val="21"/>
                          <w:szCs w:val="21"/>
                          <w14:textFill>
                            <w14:solidFill>
                              <w14:schemeClr w14:val="tx1"/>
                            </w14:solidFill>
                          </w14:textFill>
                        </w:rPr>
                      </m:ctrlPr>
                    </m:sSubSupPr>
                    <m:e>
                      <m:r>
                        <m:rPr>
                          <m:sty m:val="p"/>
                        </m:rPr>
                        <w:rPr>
                          <w:rFonts w:ascii="Cambria Math" w:hAnsi="Cambria Math" w:eastAsia="Yu Mincho"/>
                          <w:color w:val="000000" w:themeColor="text1"/>
                          <w:sz w:val="21"/>
                          <w:szCs w:val="21"/>
                          <w14:textFill>
                            <w14:solidFill>
                              <w14:schemeClr w14:val="tx1"/>
                            </w14:solidFill>
                          </w14:textFill>
                        </w:rPr>
                        <m:t xml:space="preserve">N</m:t>
                      </m:r>
                      <m:ctrlPr>
                        <w:rPr>
                          <w:rFonts w:ascii="Cambria Math" w:hAnsi="Cambria Math" w:eastAsia="Yu Mincho"/>
                          <w:b/>
                          <w:bCs/>
                          <w:color w:val="000000" w:themeColor="text1"/>
                          <w:sz w:val="21"/>
                          <w:szCs w:val="21"/>
                          <w14:textFill>
                            <w14:solidFill>
                              <w14:schemeClr w14:val="tx1"/>
                            </w14:solidFill>
                          </w14:textFill>
                        </w:rPr>
                      </m:ctrlPr>
                    </m:e>
                    <m:sub>
                      <m:r>
                        <m:rPr>
                          <m:sty m:val="p"/>
                        </m:rPr>
                        <w:rPr>
                          <w:rFonts w:ascii="Cambria Math" w:hAnsi="Cambria Math" w:eastAsia="Yu Mincho"/>
                          <w:color w:val="000000" w:themeColor="text1"/>
                          <w:sz w:val="21"/>
                          <w:szCs w:val="21"/>
                          <w14:textFill>
                            <w14:solidFill>
                              <w14:schemeClr w14:val="tx1"/>
                            </w14:solidFill>
                          </w14:textFill>
                        </w:rPr>
                        <m:t xml:space="preserve">slot</m:t>
                      </m:r>
                      <m:ctrlPr>
                        <w:rPr>
                          <w:rFonts w:ascii="Cambria Math" w:hAnsi="Cambria Math" w:eastAsia="Yu Mincho"/>
                          <w:b/>
                          <w:bCs/>
                          <w:color w:val="000000" w:themeColor="text1"/>
                          <w:sz w:val="21"/>
                          <w:szCs w:val="21"/>
                          <w14:textFill>
                            <w14:solidFill>
                              <w14:schemeClr w14:val="tx1"/>
                            </w14:solidFill>
                          </w14:textFill>
                        </w:rPr>
                      </m:ctrlPr>
                    </m:sub>
                    <m:sup>
                      <m:r>
                        <m:rPr>
                          <m:sty m:val="p"/>
                        </m:rPr>
                        <w:rPr>
                          <w:rFonts w:ascii="Cambria Math" w:hAnsi="Cambria Math" w:eastAsia="Yu Mincho"/>
                          <w:color w:val="000000" w:themeColor="text1"/>
                          <w:sz w:val="21"/>
                          <w:szCs w:val="21"/>
                          <w14:textFill>
                            <w14:solidFill>
                              <w14:schemeClr w14:val="tx1"/>
                            </w14:solidFill>
                          </w14:textFill>
                        </w:rPr>
                        <m:t xml:space="preserve">frame,μ</m:t>
                      </m:r>
                      <m:ctrlPr>
                        <w:rPr>
                          <w:rFonts w:ascii="Cambria Math" w:hAnsi="Cambria Math" w:eastAsia="Yu Mincho"/>
                          <w:b/>
                          <w:bCs/>
                          <w:color w:val="000000" w:themeColor="text1"/>
                          <w:sz w:val="21"/>
                          <w:szCs w:val="21"/>
                          <w14:textFill>
                            <w14:solidFill>
                              <w14:schemeClr w14:val="tx1"/>
                            </w14:solidFill>
                          </w14:textFill>
                        </w:rPr>
                      </m:ctrlPr>
                    </m:sup>
                  </m:sSubSup>
                  <m:r>
                    <m:rPr>
                      <m:sty m:val="p"/>
                    </m:rPr>
                    <w:rPr>
                      <w:rFonts w:ascii="Cambria Math" w:hAnsi="Cambria Math" w:eastAsia="Yu Mincho"/>
                      <w:color w:val="000000" w:themeColor="text1"/>
                      <w:sz w:val="21"/>
                      <w:szCs w:val="21"/>
                      <w14:textFill>
                        <w14:solidFill>
                          <w14:schemeClr w14:val="tx1"/>
                        </w14:solidFill>
                      </w14:textFill>
                    </w:rPr>
                    <m:t xml:space="preserve">+</m:t>
                  </m:r>
                  <m:sSubSup>
                    <m:sSubSupPr>
                      <m:ctrlPr>
                        <w:rPr>
                          <w:rFonts w:ascii="Cambria Math" w:hAnsi="Cambria Math" w:eastAsia="Yu Mincho"/>
                          <w:b/>
                          <w:bCs/>
                          <w:color w:val="000000" w:themeColor="text1"/>
                          <w:sz w:val="21"/>
                          <w:szCs w:val="21"/>
                          <w14:textFill>
                            <w14:solidFill>
                              <w14:schemeClr w14:val="tx1"/>
                            </w14:solidFill>
                          </w14:textFill>
                        </w:rPr>
                      </m:ctrlPr>
                    </m:sSubSupPr>
                    <m:e>
                      <m:r>
                        <m:rPr>
                          <m:sty m:val="p"/>
                        </m:rPr>
                        <w:rPr>
                          <w:rFonts w:ascii="Cambria Math" w:hAnsi="Cambria Math" w:eastAsia="Yu Mincho"/>
                          <w:color w:val="000000" w:themeColor="text1"/>
                          <w:sz w:val="21"/>
                          <w:szCs w:val="21"/>
                          <w14:textFill>
                            <w14:solidFill>
                              <w14:schemeClr w14:val="tx1"/>
                            </w14:solidFill>
                          </w14:textFill>
                        </w:rPr>
                        <m:t xml:space="preserve">n</m:t>
                      </m:r>
                      <m:ctrlPr>
                        <w:rPr>
                          <w:rFonts w:ascii="Cambria Math" w:hAnsi="Cambria Math" w:eastAsia="Yu Mincho"/>
                          <w:b/>
                          <w:bCs/>
                          <w:color w:val="000000" w:themeColor="text1"/>
                          <w:sz w:val="21"/>
                          <w:szCs w:val="21"/>
                          <w14:textFill>
                            <w14:solidFill>
                              <w14:schemeClr w14:val="tx1"/>
                            </w14:solidFill>
                          </w14:textFill>
                        </w:rPr>
                      </m:ctrlPr>
                    </m:e>
                    <m:sub>
                      <m:r>
                        <m:rPr>
                          <m:sty m:val="p"/>
                        </m:rPr>
                        <w:rPr>
                          <w:rFonts w:ascii="Cambria Math" w:hAnsi="Cambria Math" w:eastAsia="Yu Mincho"/>
                          <w:color w:val="000000" w:themeColor="text1"/>
                          <w:sz w:val="21"/>
                          <w:szCs w:val="21"/>
                          <w14:textFill>
                            <w14:solidFill>
                              <w14:schemeClr w14:val="tx1"/>
                            </w14:solidFill>
                          </w14:textFill>
                        </w:rPr>
                        <m:t xml:space="preserve">s,f</m:t>
                      </m:r>
                      <m:ctrlPr>
                        <w:rPr>
                          <w:rFonts w:ascii="Cambria Math" w:hAnsi="Cambria Math" w:eastAsia="Yu Mincho"/>
                          <w:b/>
                          <w:bCs/>
                          <w:color w:val="000000" w:themeColor="text1"/>
                          <w:sz w:val="21"/>
                          <w:szCs w:val="21"/>
                          <w14:textFill>
                            <w14:solidFill>
                              <w14:schemeClr w14:val="tx1"/>
                            </w14:solidFill>
                          </w14:textFill>
                        </w:rPr>
                      </m:ctrlPr>
                    </m:sub>
                    <m:sup>
                      <m:r>
                        <m:rPr>
                          <m:sty m:val="p"/>
                        </m:rPr>
                        <w:rPr>
                          <w:rFonts w:ascii="Cambria Math" w:hAnsi="Cambria Math" w:eastAsia="Yu Mincho"/>
                          <w:color w:val="000000" w:themeColor="text1"/>
                          <w:sz w:val="21"/>
                          <w:szCs w:val="21"/>
                          <w14:textFill>
                            <w14:solidFill>
                              <w14:schemeClr w14:val="tx1"/>
                            </w14:solidFill>
                          </w14:textFill>
                        </w:rPr>
                        <m:t xml:space="preserve">μ</m:t>
                      </m:r>
                      <m:ctrlPr>
                        <w:rPr>
                          <w:rFonts w:ascii="Cambria Math" w:hAnsi="Cambria Math" w:eastAsia="Yu Mincho"/>
                          <w:b/>
                          <w:bCs/>
                          <w:color w:val="000000" w:themeColor="text1"/>
                          <w:sz w:val="21"/>
                          <w:szCs w:val="21"/>
                          <w14:textFill>
                            <w14:solidFill>
                              <w14:schemeClr w14:val="tx1"/>
                            </w14:solidFill>
                          </w14:textFill>
                        </w:rPr>
                      </m:ctrlPr>
                    </m:sup>
                  </m:sSubSup>
                  <m:r>
                    <m:rPr>
                      <m:sty m:val="p"/>
                    </m:rPr>
                    <w:rPr>
                      <w:rFonts w:ascii="Cambria Math" w:hAnsi="Cambria Math" w:eastAsia="Yu Mincho"/>
                      <w:color w:val="000000" w:themeColor="text1"/>
                      <w:sz w:val="21"/>
                      <w:szCs w:val="21"/>
                      <w14:textFill>
                        <w14:solidFill>
                          <w14:schemeClr w14:val="tx1"/>
                        </w14:solidFill>
                      </w14:textFill>
                    </w:rPr>
                    <m:t xml:space="preserve">-</m:t>
                  </m:r>
                  <m:sSub>
                    <m:sSubPr>
                      <m:ctrlPr>
                        <w:rPr>
                          <w:rFonts w:ascii="Cambria Math" w:hAnsi="Cambria Math" w:eastAsia="Yu Mincho"/>
                          <w:b/>
                          <w:bCs/>
                          <w:color w:val="000000" w:themeColor="text1"/>
                          <w:sz w:val="21"/>
                          <w:szCs w:val="21"/>
                          <w14:textFill>
                            <w14:solidFill>
                              <w14:schemeClr w14:val="tx1"/>
                            </w14:solidFill>
                          </w14:textFill>
                        </w:rPr>
                      </m:ctrlPr>
                    </m:sSubPr>
                    <m:e>
                      <m:r>
                        <m:rPr>
                          <m:sty m:val="p"/>
                        </m:rPr>
                        <w:rPr>
                          <w:rFonts w:ascii="Cambria Math" w:hAnsi="Cambria Math" w:eastAsia="Yu Mincho"/>
                          <w:color w:val="000000" w:themeColor="text1"/>
                          <w:sz w:val="21"/>
                          <w:szCs w:val="21"/>
                          <w14:textFill>
                            <w14:solidFill>
                              <w14:schemeClr w14:val="tx1"/>
                            </w14:solidFill>
                          </w14:textFill>
                        </w:rPr>
                        <m:t xml:space="preserve">o</m:t>
                      </m:r>
                      <m:ctrlPr>
                        <w:rPr>
                          <w:rFonts w:ascii="Cambria Math" w:hAnsi="Cambria Math" w:eastAsia="Yu Mincho"/>
                          <w:b/>
                          <w:bCs/>
                          <w:color w:val="000000" w:themeColor="text1"/>
                          <w:sz w:val="21"/>
                          <w:szCs w:val="21"/>
                          <w14:textFill>
                            <w14:solidFill>
                              <w14:schemeClr w14:val="tx1"/>
                            </w14:solidFill>
                          </w14:textFill>
                        </w:rPr>
                      </m:ctrlPr>
                    </m:e>
                    <m:sub>
                      <m:r>
                        <m:rPr>
                          <m:sty m:val="p"/>
                        </m:rPr>
                        <w:rPr>
                          <w:rFonts w:ascii="Cambria Math" w:hAnsi="Cambria Math" w:eastAsia="Yu Mincho"/>
                          <w:color w:val="000000" w:themeColor="text1"/>
                          <w:sz w:val="21"/>
                          <w:szCs w:val="21"/>
                          <w14:textFill>
                            <w14:solidFill>
                              <w14:schemeClr w14:val="tx1"/>
                            </w14:solidFill>
                          </w14:textFill>
                        </w:rPr>
                        <m:t xml:space="preserve">p,s</m:t>
                      </m:r>
                      <m:ctrlPr>
                        <w:rPr>
                          <w:rFonts w:ascii="Cambria Math" w:hAnsi="Cambria Math" w:eastAsia="Yu Mincho"/>
                          <w:b/>
                          <w:bCs/>
                          <w:color w:val="000000" w:themeColor="text1"/>
                          <w:sz w:val="21"/>
                          <w:szCs w:val="21"/>
                          <w14:textFill>
                            <w14:solidFill>
                              <w14:schemeClr w14:val="tx1"/>
                            </w14:solidFill>
                          </w14:textFill>
                        </w:rPr>
                      </m:ctrlPr>
                    </m:sub>
                  </m:sSub>
                  <m:ctrlPr>
                    <w:rPr>
                      <w:rFonts w:ascii="Cambria Math" w:hAnsi="Cambria Math" w:eastAsia="Yu Mincho"/>
                      <w:b/>
                      <w:bCs/>
                      <w:color w:val="000000" w:themeColor="text1"/>
                      <w:sz w:val="21"/>
                      <w:szCs w:val="21"/>
                      <w14:textFill>
                        <w14:solidFill>
                          <w14:schemeClr w14:val="tx1"/>
                        </w14:solidFill>
                      </w14:textFill>
                    </w:rPr>
                  </m:ctrlPr>
                </m:e>
              </m:d>
              <m:r>
                <m:rPr>
                  <m:sty m:val="p"/>
                </m:rPr>
                <w:rPr>
                  <w:rFonts w:ascii="Cambria Math" w:hAnsi="Cambria Math" w:eastAsia="Yu Mincho"/>
                  <w:color w:val="000000" w:themeColor="text1"/>
                  <w:sz w:val="21"/>
                  <w:szCs w:val="21"/>
                  <w14:textFill>
                    <w14:solidFill>
                      <w14:schemeClr w14:val="tx1"/>
                    </w14:solidFill>
                  </w14:textFill>
                </w:rPr>
                <m:t xml:space="preserve">mod </m:t>
              </m:r>
              <m:sSub>
                <m:sSubPr>
                  <m:ctrlPr>
                    <w:rPr>
                      <w:rFonts w:ascii="Cambria Math" w:hAnsi="Cambria Math" w:eastAsia="Yu Mincho"/>
                      <w:b/>
                      <w:bCs/>
                      <w:i/>
                      <w:color w:val="000000" w:themeColor="text1"/>
                      <w:sz w:val="21"/>
                      <w:szCs w:val="21"/>
                      <w14:textFill>
                        <w14:solidFill>
                          <w14:schemeClr w14:val="tx1"/>
                        </w14:solidFill>
                      </w14:textFill>
                    </w:rPr>
                  </m:ctrlPr>
                </m:sSubPr>
                <m:e>
                  <m:r>
                    <m:rPr>
                      <m:sty m:val="p"/>
                    </m:rPr>
                    <w:rPr>
                      <w:rFonts w:ascii="Cambria Math" w:hAnsi="Cambria Math" w:eastAsia="Yu Mincho"/>
                      <w:color w:val="000000" w:themeColor="text1"/>
                      <w:sz w:val="21"/>
                      <w:szCs w:val="21"/>
                      <w14:textFill>
                        <w14:solidFill>
                          <w14:schemeClr w14:val="tx1"/>
                        </w14:solidFill>
                      </w14:textFill>
                    </w:rPr>
                    <m:t xml:space="preserve">k</m:t>
                  </m:r>
                  <m:ctrlPr>
                    <w:rPr>
                      <w:rFonts w:ascii="Cambria Math" w:hAnsi="Cambria Math" w:eastAsia="Yu Mincho"/>
                      <w:b/>
                      <w:bCs/>
                      <w:i/>
                      <w:color w:val="000000" w:themeColor="text1"/>
                      <w:sz w:val="21"/>
                      <w:szCs w:val="21"/>
                      <w14:textFill>
                        <w14:solidFill>
                          <w14:schemeClr w14:val="tx1"/>
                        </w14:solidFill>
                      </w14:textFill>
                    </w:rPr>
                  </m:ctrlPr>
                </m:e>
                <m:sub>
                  <m:r>
                    <m:rPr>
                      <m:sty m:val="p"/>
                    </m:rPr>
                    <w:rPr>
                      <w:rFonts w:ascii="Cambria Math" w:hAnsi="Cambria Math" w:eastAsia="Yu Mincho"/>
                      <w:color w:val="000000" w:themeColor="text1"/>
                      <w:sz w:val="21"/>
                      <w:szCs w:val="21"/>
                      <w14:textFill>
                        <w14:solidFill>
                          <w14:schemeClr w14:val="tx1"/>
                        </w14:solidFill>
                      </w14:textFill>
                    </w:rPr>
                    <m:t xml:space="preserve">p,s</m:t>
                  </m:r>
                  <m:ctrlPr>
                    <w:rPr>
                      <w:rFonts w:ascii="Cambria Math" w:hAnsi="Cambria Math" w:eastAsia="Yu Mincho"/>
                      <w:b/>
                      <w:bCs/>
                      <w:i/>
                      <w:color w:val="000000" w:themeColor="text1"/>
                      <w:sz w:val="21"/>
                      <w:szCs w:val="21"/>
                      <w14:textFill>
                        <w14:solidFill>
                          <w14:schemeClr w14:val="tx1"/>
                        </w14:solidFill>
                      </w14:textFill>
                    </w:rPr>
                  </m:ctrlPr>
                </m:sub>
              </m:sSub>
              <m:r>
                <m:rPr>
                  <m:sty m:val="p"/>
                </m:rPr>
                <w:rPr>
                  <w:rFonts w:ascii="Cambria Math" w:hAnsi="Cambria Math" w:eastAsia="Yu Mincho"/>
                  <w:color w:val="000000" w:themeColor="text1"/>
                  <w:sz w:val="21"/>
                  <w:szCs w:val="21"/>
                  <w14:textFill>
                    <w14:solidFill>
                      <w14:schemeClr w14:val="tx1"/>
                    </w14:solidFill>
                  </w14:textFill>
                </w:rPr>
                <m:t xml:space="preserve">=0</m:t>
              </m:r>
            </m:oMath>
            <w:r>
              <w:rPr>
                <w:rFonts w:eastAsia="Yu Mincho"/>
                <w:b/>
                <w:bCs/>
                <w:color w:val="000000" w:themeColor="text1"/>
                <w:sz w:val="21"/>
                <w:szCs w:val="21"/>
                <w:lang w:eastAsia="ja-JP"/>
                <w14:textFill>
                  <w14:solidFill>
                    <w14:schemeClr w14:val="tx1"/>
                  </w14:solidFill>
                </w14:textFill>
              </w:rPr>
              <w:instrText xml:space="preserve"> </w:instrText>
            </w:r>
            <w:r>
              <w:rPr>
                <w:rFonts w:eastAsia="Yu Mincho"/>
                <w:b/>
                <w:bCs/>
                <w:color w:val="000000" w:themeColor="text1"/>
                <w:sz w:val="21"/>
                <w:szCs w:val="21"/>
                <w:lang w:eastAsia="ja-JP"/>
                <w14:textFill>
                  <w14:solidFill>
                    <w14:schemeClr w14:val="tx1"/>
                  </w14:solidFill>
                </w14:textFill>
              </w:rPr>
              <w:fldChar w:fldCharType="end"/>
            </w:r>
            <w:r>
              <w:rPr>
                <w:rFonts w:eastAsia="Yu Mincho"/>
                <w:b/>
                <w:bCs/>
                <w:color w:val="000000" w:themeColor="text1"/>
                <w:sz w:val="21"/>
                <w:szCs w:val="21"/>
                <w:lang w:eastAsia="ja-JP"/>
                <w14:textFill>
                  <w14:solidFill>
                    <w14:schemeClr w14:val="tx1"/>
                  </w14:solidFill>
                </w14:textFill>
              </w:rPr>
              <w:t xml:space="preserve">. The UE monitors PDCCH candidates for search space set </w:t>
            </w:r>
            <m:oMath>
              <m:r>
                <m:rPr>
                  <m:sty m:val="bi"/>
                </m:rPr>
                <w:rPr>
                  <w:rFonts w:ascii="Cambria Math" w:hAnsi="Cambria Math"/>
                  <w:color w:val="000000" w:themeColor="text1"/>
                  <w:sz w:val="21"/>
                  <w:szCs w:val="21"/>
                  <w14:textFill>
                    <w14:solidFill>
                      <w14:schemeClr w14:val="tx1"/>
                    </w14:solidFill>
                  </w14:textFill>
                </w:rPr>
                <m:t>s</m:t>
              </m:r>
            </m:oMath>
            <w:r>
              <w:rPr>
                <w:rFonts w:eastAsia="Yu Mincho"/>
                <w:b/>
                <w:bCs/>
                <w:color w:val="000000" w:themeColor="text1"/>
                <w:sz w:val="21"/>
                <w:szCs w:val="21"/>
                <w14:textFill>
                  <w14:solidFill>
                    <w14:schemeClr w14:val="tx1"/>
                  </w14:solidFill>
                </w14:textFill>
              </w:rPr>
              <w:t xml:space="preserve"> </w:t>
            </w:r>
            <w:r>
              <w:rPr>
                <w:b/>
                <w:bCs/>
                <w:color w:val="000000" w:themeColor="text1"/>
                <w:sz w:val="21"/>
                <w:szCs w:val="21"/>
                <w14:textFill>
                  <w14:solidFill>
                    <w14:schemeClr w14:val="tx1"/>
                  </w14:solidFill>
                </w14:textFill>
              </w:rPr>
              <w:t xml:space="preserve">for </w:t>
            </w:r>
            <m:oMath>
              <m:sSub>
                <m:sSubPr>
                  <m:ctrlPr>
                    <w:rPr>
                      <w:rFonts w:ascii="Cambria Math" w:hAnsi="Cambria Math"/>
                      <w:b/>
                      <w:bCs/>
                      <w:i/>
                      <w:color w:val="000000" w:themeColor="text1"/>
                      <w:sz w:val="21"/>
                      <w:szCs w:val="21"/>
                      <w14:textFill>
                        <w14:solidFill>
                          <w14:schemeClr w14:val="tx1"/>
                        </w14:solidFill>
                      </w14:textFill>
                    </w:rPr>
                  </m:ctrlPr>
                </m:sSubPr>
                <m:e>
                  <m:r>
                    <m:rPr>
                      <m:sty m:val="bi"/>
                    </m:rPr>
                    <w:rPr>
                      <w:rFonts w:ascii="Cambria Math" w:hAnsi="Cambria Math"/>
                      <w:color w:val="000000" w:themeColor="text1"/>
                      <w:sz w:val="21"/>
                      <w:szCs w:val="21"/>
                      <w14:textFill>
                        <w14:solidFill>
                          <w14:schemeClr w14:val="tx1"/>
                        </w14:solidFill>
                      </w14:textFill>
                    </w:rPr>
                    <m:t>T</m:t>
                  </m:r>
                  <m:ctrlPr>
                    <w:rPr>
                      <w:rFonts w:ascii="Cambria Math" w:hAnsi="Cambria Math"/>
                      <w:b/>
                      <w:bCs/>
                      <w:i/>
                      <w:color w:val="000000" w:themeColor="text1"/>
                      <w:sz w:val="21"/>
                      <w:szCs w:val="21"/>
                      <w14:textFill>
                        <w14:solidFill>
                          <w14:schemeClr w14:val="tx1"/>
                        </w14:solidFill>
                      </w14:textFill>
                    </w:rPr>
                  </m:ctrlPr>
                </m:e>
                <m:sub>
                  <m:r>
                    <m:rPr>
                      <m:sty m:val="bi"/>
                    </m:rPr>
                    <w:rPr>
                      <w:rFonts w:ascii="Cambria Math" w:hAnsi="Cambria Math"/>
                      <w:color w:val="000000" w:themeColor="text1"/>
                      <w:sz w:val="21"/>
                      <w:szCs w:val="21"/>
                      <w14:textFill>
                        <w14:solidFill>
                          <w14:schemeClr w14:val="tx1"/>
                        </w14:solidFill>
                      </w14:textFill>
                    </w:rPr>
                    <m:t>s</m:t>
                  </m:r>
                  <m:ctrlPr>
                    <w:rPr>
                      <w:rFonts w:ascii="Cambria Math" w:hAnsi="Cambria Math"/>
                      <w:b/>
                      <w:bCs/>
                      <w:i/>
                      <w:color w:val="000000" w:themeColor="text1"/>
                      <w:sz w:val="21"/>
                      <w:szCs w:val="21"/>
                      <w14:textFill>
                        <w14:solidFill>
                          <w14:schemeClr w14:val="tx1"/>
                        </w14:solidFill>
                      </w14:textFill>
                    </w:rPr>
                  </m:ctrlPr>
                </m:sub>
              </m:sSub>
            </m:oMath>
            <w:r>
              <w:rPr>
                <w:b/>
                <w:bCs/>
                <w:color w:val="000000" w:themeColor="text1"/>
                <w:sz w:val="21"/>
                <w:szCs w:val="21"/>
                <w14:textFill>
                  <w14:solidFill>
                    <w14:schemeClr w14:val="tx1"/>
                  </w14:solidFill>
                </w14:textFill>
              </w:rPr>
              <w:t xml:space="preserve"> consecutive slots, starting from slot </w:t>
            </w:r>
            <m:oMath>
              <m:sSubSup>
                <m:sSubSupPr>
                  <m:ctrlPr>
                    <w:rPr>
                      <w:rFonts w:ascii="Cambria Math" w:hAnsi="Cambria Math"/>
                      <w:b/>
                      <w:bCs/>
                      <w:i/>
                      <w:color w:val="000000" w:themeColor="text1"/>
                      <w:sz w:val="21"/>
                      <w:szCs w:val="21"/>
                      <w14:textFill>
                        <w14:solidFill>
                          <w14:schemeClr w14:val="tx1"/>
                        </w14:solidFill>
                      </w14:textFill>
                    </w:rPr>
                  </m:ctrlPr>
                </m:sSubSupPr>
                <m:e>
                  <m:r>
                    <m:rPr>
                      <m:sty m:val="bi"/>
                    </m:rPr>
                    <w:rPr>
                      <w:rFonts w:ascii="Cambria Math" w:hAnsi="Cambria Math"/>
                      <w:color w:val="000000" w:themeColor="text1"/>
                      <w:sz w:val="21"/>
                      <w:szCs w:val="21"/>
                      <w14:textFill>
                        <w14:solidFill>
                          <w14:schemeClr w14:val="tx1"/>
                        </w14:solidFill>
                      </w14:textFill>
                    </w:rPr>
                    <m:t>n</m:t>
                  </m:r>
                  <m:ctrlPr>
                    <w:rPr>
                      <w:rFonts w:ascii="Cambria Math" w:hAnsi="Cambria Math"/>
                      <w:b/>
                      <w:bCs/>
                      <w:i/>
                      <w:color w:val="000000" w:themeColor="text1"/>
                      <w:sz w:val="21"/>
                      <w:szCs w:val="21"/>
                      <w14:textFill>
                        <w14:solidFill>
                          <w14:schemeClr w14:val="tx1"/>
                        </w14:solidFill>
                      </w14:textFill>
                    </w:rPr>
                  </m:ctrlPr>
                </m:e>
                <m:sub>
                  <m:r>
                    <m:rPr>
                      <m:sty m:val="bi"/>
                    </m:rPr>
                    <w:rPr>
                      <w:rFonts w:ascii="Cambria Math" w:hAnsi="Cambria Math"/>
                      <w:color w:val="000000" w:themeColor="text1"/>
                      <w:sz w:val="21"/>
                      <w:szCs w:val="21"/>
                      <w14:textFill>
                        <w14:solidFill>
                          <w14:schemeClr w14:val="tx1"/>
                        </w14:solidFill>
                      </w14:textFill>
                    </w:rPr>
                    <m:t>s,f</m:t>
                  </m:r>
                  <m:ctrlPr>
                    <w:rPr>
                      <w:rFonts w:ascii="Cambria Math" w:hAnsi="Cambria Math"/>
                      <w:b/>
                      <w:bCs/>
                      <w:i/>
                      <w:color w:val="000000" w:themeColor="text1"/>
                      <w:sz w:val="21"/>
                      <w:szCs w:val="21"/>
                      <w14:textFill>
                        <w14:solidFill>
                          <w14:schemeClr w14:val="tx1"/>
                        </w14:solidFill>
                      </w14:textFill>
                    </w:rPr>
                  </m:ctrlPr>
                </m:sub>
                <m:sup>
                  <m:r>
                    <m:rPr>
                      <m:sty m:val="bi"/>
                    </m:rPr>
                    <w:rPr>
                      <w:rFonts w:ascii="Cambria Math" w:hAnsi="Cambria Math"/>
                      <w:color w:val="000000" w:themeColor="text1"/>
                      <w:sz w:val="21"/>
                      <w:szCs w:val="21"/>
                      <w14:textFill>
                        <w14:solidFill>
                          <w14:schemeClr w14:val="tx1"/>
                        </w14:solidFill>
                      </w14:textFill>
                    </w:rPr>
                    <m:t>μ</m:t>
                  </m:r>
                  <m:ctrlPr>
                    <w:rPr>
                      <w:rFonts w:ascii="Cambria Math" w:hAnsi="Cambria Math"/>
                      <w:b/>
                      <w:bCs/>
                      <w:i/>
                      <w:color w:val="000000" w:themeColor="text1"/>
                      <w:sz w:val="21"/>
                      <w:szCs w:val="21"/>
                      <w14:textFill>
                        <w14:solidFill>
                          <w14:schemeClr w14:val="tx1"/>
                        </w14:solidFill>
                      </w14:textFill>
                    </w:rPr>
                  </m:ctrlPr>
                </m:sup>
              </m:sSubSup>
            </m:oMath>
            <w:r>
              <w:rPr>
                <w:b/>
                <w:bCs/>
                <w:color w:val="000000" w:themeColor="text1"/>
                <w:sz w:val="21"/>
                <w:szCs w:val="21"/>
                <w14:textFill>
                  <w14:solidFill>
                    <w14:schemeClr w14:val="tx1"/>
                  </w14:solidFill>
                </w14:textFill>
              </w:rPr>
              <w:t xml:space="preserve">, and does not monitor </w:t>
            </w:r>
            <w:r>
              <w:rPr>
                <w:rFonts w:eastAsia="Yu Mincho"/>
                <w:b/>
                <w:bCs/>
                <w:color w:val="000000" w:themeColor="text1"/>
                <w:sz w:val="21"/>
                <w:szCs w:val="21"/>
                <w:lang w:eastAsia="ja-JP"/>
                <w14:textFill>
                  <w14:solidFill>
                    <w14:schemeClr w14:val="tx1"/>
                  </w14:solidFill>
                </w14:textFill>
              </w:rPr>
              <w:t xml:space="preserve">PDCCH candidates for search space set </w:t>
            </w:r>
            <m:oMath>
              <m:r>
                <m:rPr>
                  <m:sty m:val="bi"/>
                </m:rPr>
                <w:rPr>
                  <w:rFonts w:ascii="Cambria Math" w:hAnsi="Cambria Math"/>
                  <w:color w:val="000000" w:themeColor="text1"/>
                  <w:sz w:val="21"/>
                  <w:szCs w:val="21"/>
                  <w14:textFill>
                    <w14:solidFill>
                      <w14:schemeClr w14:val="tx1"/>
                    </w14:solidFill>
                  </w14:textFill>
                </w:rPr>
                <m:t>s</m:t>
              </m:r>
            </m:oMath>
            <w:r>
              <w:rPr>
                <w:rFonts w:eastAsia="Yu Mincho"/>
                <w:b/>
                <w:bCs/>
                <w:color w:val="000000" w:themeColor="text1"/>
                <w:sz w:val="21"/>
                <w:szCs w:val="21"/>
                <w14:textFill>
                  <w14:solidFill>
                    <w14:schemeClr w14:val="tx1"/>
                  </w14:solidFill>
                </w14:textFill>
              </w:rPr>
              <w:t xml:space="preserve"> </w:t>
            </w:r>
            <w:r>
              <w:rPr>
                <w:b/>
                <w:bCs/>
                <w:color w:val="000000" w:themeColor="text1"/>
                <w:sz w:val="21"/>
                <w:szCs w:val="21"/>
                <w14:textFill>
                  <w14:solidFill>
                    <w14:schemeClr w14:val="tx1"/>
                  </w14:solidFill>
                </w14:textFill>
              </w:rPr>
              <w:t xml:space="preserve">for the next </w:t>
            </w:r>
            <m:oMath>
              <m:sSub>
                <m:sSubPr>
                  <m:ctrlPr>
                    <w:rPr>
                      <w:rFonts w:ascii="Cambria Math" w:hAnsi="Cambria Math"/>
                      <w:b/>
                      <w:bCs/>
                      <w:i/>
                      <w:color w:val="000000" w:themeColor="text1"/>
                      <w:sz w:val="21"/>
                      <w:szCs w:val="21"/>
                      <w14:textFill>
                        <w14:solidFill>
                          <w14:schemeClr w14:val="tx1"/>
                        </w14:solidFill>
                      </w14:textFill>
                    </w:rPr>
                  </m:ctrlPr>
                </m:sSubPr>
                <m:e>
                  <m:r>
                    <m:rPr>
                      <m:sty m:val="bi"/>
                    </m:rPr>
                    <w:rPr>
                      <w:rFonts w:ascii="Cambria Math" w:hAnsi="Cambria Math"/>
                      <w:color w:val="000000" w:themeColor="text1"/>
                      <w:sz w:val="21"/>
                      <w:szCs w:val="21"/>
                      <w14:textFill>
                        <w14:solidFill>
                          <w14:schemeClr w14:val="tx1"/>
                        </w14:solidFill>
                      </w14:textFill>
                    </w:rPr>
                    <m:t>k</m:t>
                  </m:r>
                  <m:ctrlPr>
                    <w:rPr>
                      <w:rFonts w:ascii="Cambria Math" w:hAnsi="Cambria Math"/>
                      <w:b/>
                      <w:bCs/>
                      <w:i/>
                      <w:color w:val="000000" w:themeColor="text1"/>
                      <w:sz w:val="21"/>
                      <w:szCs w:val="21"/>
                      <w14:textFill>
                        <w14:solidFill>
                          <w14:schemeClr w14:val="tx1"/>
                        </w14:solidFill>
                      </w14:textFill>
                    </w:rPr>
                  </m:ctrlPr>
                </m:e>
                <m:sub>
                  <m:r>
                    <m:rPr>
                      <m:sty m:val="bi"/>
                    </m:rPr>
                    <w:rPr>
                      <w:rFonts w:ascii="Cambria Math" w:hAnsi="Cambria Math"/>
                      <w:color w:val="000000" w:themeColor="text1"/>
                      <w:sz w:val="21"/>
                      <w:szCs w:val="21"/>
                      <w14:textFill>
                        <w14:solidFill>
                          <w14:schemeClr w14:val="tx1"/>
                        </w14:solidFill>
                      </w14:textFill>
                    </w:rPr>
                    <m:t>s</m:t>
                  </m:r>
                  <m:ctrlPr>
                    <w:rPr>
                      <w:rFonts w:ascii="Cambria Math" w:hAnsi="Cambria Math"/>
                      <w:b/>
                      <w:bCs/>
                      <w:i/>
                      <w:color w:val="000000" w:themeColor="text1"/>
                      <w:sz w:val="21"/>
                      <w:szCs w:val="21"/>
                      <w14:textFill>
                        <w14:solidFill>
                          <w14:schemeClr w14:val="tx1"/>
                        </w14:solidFill>
                      </w14:textFill>
                    </w:rPr>
                  </m:ctrlPr>
                </m:sub>
              </m:sSub>
              <m:r>
                <m:rPr>
                  <m:sty m:val="bi"/>
                </m:rPr>
                <w:rPr>
                  <w:rFonts w:ascii="Cambria Math" w:hAnsi="Cambria Math"/>
                  <w:color w:val="000000" w:themeColor="text1"/>
                  <w:sz w:val="21"/>
                  <w:szCs w:val="21"/>
                  <w14:textFill>
                    <w14:solidFill>
                      <w14:schemeClr w14:val="tx1"/>
                    </w14:solidFill>
                  </w14:textFill>
                </w:rPr>
                <m:t>-</m:t>
              </m:r>
              <m:sSub>
                <m:sSubPr>
                  <m:ctrlPr>
                    <w:rPr>
                      <w:rFonts w:ascii="Cambria Math" w:hAnsi="Cambria Math"/>
                      <w:b/>
                      <w:bCs/>
                      <w:i/>
                      <w:color w:val="000000" w:themeColor="text1"/>
                      <w:sz w:val="21"/>
                      <w:szCs w:val="21"/>
                      <w14:textFill>
                        <w14:solidFill>
                          <w14:schemeClr w14:val="tx1"/>
                        </w14:solidFill>
                      </w14:textFill>
                    </w:rPr>
                  </m:ctrlPr>
                </m:sSubPr>
                <m:e>
                  <m:r>
                    <m:rPr>
                      <m:sty m:val="bi"/>
                    </m:rPr>
                    <w:rPr>
                      <w:rFonts w:ascii="Cambria Math" w:hAnsi="Cambria Math"/>
                      <w:color w:val="000000" w:themeColor="text1"/>
                      <w:sz w:val="21"/>
                      <w:szCs w:val="21"/>
                      <w14:textFill>
                        <w14:solidFill>
                          <w14:schemeClr w14:val="tx1"/>
                        </w14:solidFill>
                      </w14:textFill>
                    </w:rPr>
                    <m:t>T</m:t>
                  </m:r>
                  <m:ctrlPr>
                    <w:rPr>
                      <w:rFonts w:ascii="Cambria Math" w:hAnsi="Cambria Math"/>
                      <w:b/>
                      <w:bCs/>
                      <w:i/>
                      <w:color w:val="000000" w:themeColor="text1"/>
                      <w:sz w:val="21"/>
                      <w:szCs w:val="21"/>
                      <w14:textFill>
                        <w14:solidFill>
                          <w14:schemeClr w14:val="tx1"/>
                        </w14:solidFill>
                      </w14:textFill>
                    </w:rPr>
                  </m:ctrlPr>
                </m:e>
                <m:sub>
                  <m:r>
                    <m:rPr>
                      <m:sty m:val="bi"/>
                    </m:rPr>
                    <w:rPr>
                      <w:rFonts w:ascii="Cambria Math" w:hAnsi="Cambria Math"/>
                      <w:color w:val="000000" w:themeColor="text1"/>
                      <w:sz w:val="21"/>
                      <w:szCs w:val="21"/>
                      <w14:textFill>
                        <w14:solidFill>
                          <w14:schemeClr w14:val="tx1"/>
                        </w14:solidFill>
                      </w14:textFill>
                    </w:rPr>
                    <m:t>s</m:t>
                  </m:r>
                  <m:ctrlPr>
                    <w:rPr>
                      <w:rFonts w:ascii="Cambria Math" w:hAnsi="Cambria Math"/>
                      <w:b/>
                      <w:bCs/>
                      <w:i/>
                      <w:color w:val="000000" w:themeColor="text1"/>
                      <w:sz w:val="21"/>
                      <w:szCs w:val="21"/>
                      <w14:textFill>
                        <w14:solidFill>
                          <w14:schemeClr w14:val="tx1"/>
                        </w14:solidFill>
                      </w14:textFill>
                    </w:rPr>
                  </m:ctrlPr>
                </m:sub>
              </m:sSub>
            </m:oMath>
            <w:r>
              <w:rPr>
                <w:b/>
                <w:bCs/>
                <w:color w:val="000000" w:themeColor="text1"/>
                <w:sz w:val="21"/>
                <w:szCs w:val="21"/>
                <w14:textFill>
                  <w14:solidFill>
                    <w14:schemeClr w14:val="tx1"/>
                  </w14:solidFill>
                </w14:textFill>
              </w:rPr>
              <w:t xml:space="preserve"> consecutive slots. </w:t>
            </w:r>
            <w:r>
              <w:rPr>
                <w:b/>
                <w:bCs/>
                <w:color w:val="000000" w:themeColor="text1"/>
                <w:sz w:val="21"/>
                <w:szCs w:val="21"/>
                <w:u w:val="single"/>
                <w14:textFill>
                  <w14:solidFill>
                    <w14:schemeClr w14:val="tx1"/>
                  </w14:solidFill>
                </w14:textFill>
              </w:rPr>
              <w:t xml:space="preserve">For µ = {5,6} </w:t>
            </w:r>
            <m:oMath>
              <m:sSub>
                <m:sSubPr>
                  <m:ctrlPr>
                    <w:rPr>
                      <w:rFonts w:ascii="Cambria Math" w:hAnsi="Cambria Math"/>
                      <w:b/>
                      <w:bCs/>
                      <w:i/>
                      <w:color w:val="000000" w:themeColor="text1"/>
                      <w:sz w:val="21"/>
                      <w:szCs w:val="21"/>
                      <w:u w:val="single"/>
                      <w14:textFill>
                        <w14:solidFill>
                          <w14:schemeClr w14:val="tx1"/>
                        </w14:solidFill>
                      </w14:textFill>
                    </w:rPr>
                  </m:ctrlPr>
                </m:sSubPr>
                <m:e>
                  <m:r>
                    <m:rPr>
                      <m:sty m:val="bi"/>
                    </m:rPr>
                    <w:rPr>
                      <w:rFonts w:ascii="Cambria Math" w:hAnsi="Cambria Math"/>
                      <w:color w:val="000000" w:themeColor="text1"/>
                      <w:sz w:val="21"/>
                      <w:szCs w:val="21"/>
                      <w:u w:val="single"/>
                      <w14:textFill>
                        <w14:solidFill>
                          <w14:schemeClr w14:val="tx1"/>
                        </w14:solidFill>
                      </w14:textFill>
                    </w:rPr>
                    <m:t>k</m:t>
                  </m:r>
                  <m:ctrlPr>
                    <w:rPr>
                      <w:rFonts w:ascii="Cambria Math" w:hAnsi="Cambria Math"/>
                      <w:b/>
                      <w:bCs/>
                      <w:i/>
                      <w:color w:val="000000" w:themeColor="text1"/>
                      <w:sz w:val="21"/>
                      <w:szCs w:val="21"/>
                      <w:u w:val="single"/>
                      <w14:textFill>
                        <w14:solidFill>
                          <w14:schemeClr w14:val="tx1"/>
                        </w14:solidFill>
                      </w14:textFill>
                    </w:rPr>
                  </m:ctrlPr>
                </m:e>
                <m:sub>
                  <m:r>
                    <m:rPr>
                      <m:sty m:val="bi"/>
                    </m:rPr>
                    <w:rPr>
                      <w:rFonts w:ascii="Cambria Math" w:hAnsi="Cambria Math"/>
                      <w:color w:val="000000" w:themeColor="text1"/>
                      <w:sz w:val="21"/>
                      <w:szCs w:val="21"/>
                      <w:u w:val="single"/>
                      <w14:textFill>
                        <w14:solidFill>
                          <w14:schemeClr w14:val="tx1"/>
                        </w14:solidFill>
                      </w14:textFill>
                    </w:rPr>
                    <m:t>s</m:t>
                  </m:r>
                  <m:ctrlPr>
                    <w:rPr>
                      <w:rFonts w:ascii="Cambria Math" w:hAnsi="Cambria Math"/>
                      <w:b/>
                      <w:bCs/>
                      <w:i/>
                      <w:color w:val="000000" w:themeColor="text1"/>
                      <w:sz w:val="21"/>
                      <w:szCs w:val="21"/>
                      <w:u w:val="single"/>
                      <w14:textFill>
                        <w14:solidFill>
                          <w14:schemeClr w14:val="tx1"/>
                        </w14:solidFill>
                      </w14:textFill>
                    </w:rPr>
                  </m:ctrlPr>
                </m:sub>
              </m:sSub>
              <m:r>
                <m:rPr>
                  <m:sty m:val="bi"/>
                </m:rPr>
                <w:rPr>
                  <w:rFonts w:ascii="Cambria Math" w:hAnsi="Cambria Math"/>
                  <w:color w:val="000000" w:themeColor="text1"/>
                  <w:sz w:val="21"/>
                  <w:szCs w:val="21"/>
                  <w:u w:val="single"/>
                  <w14:textFill>
                    <w14:solidFill>
                      <w14:schemeClr w14:val="tx1"/>
                    </w14:solidFill>
                  </w14:textFill>
                </w:rPr>
                <m:t xml:space="preserve"> </m:t>
              </m:r>
              <m:r>
                <m:rPr>
                  <m:sty m:val="b"/>
                </m:rPr>
                <w:rPr>
                  <w:rFonts w:ascii="Cambria Math" w:hAnsi="Cambria Math"/>
                  <w:color w:val="000000" w:themeColor="text1"/>
                  <w:sz w:val="21"/>
                  <w:szCs w:val="21"/>
                  <w:u w:val="single"/>
                  <w14:textFill>
                    <w14:solidFill>
                      <w14:schemeClr w14:val="tx1"/>
                    </w14:solidFill>
                  </w14:textFill>
                </w:rPr>
                <m:t>and</m:t>
              </m:r>
              <m:r>
                <m:rPr>
                  <m:sty m:val="bi"/>
                </m:rPr>
                <w:rPr>
                  <w:rFonts w:ascii="Cambria Math" w:hAnsi="Cambria Math"/>
                  <w:color w:val="000000" w:themeColor="text1"/>
                  <w:sz w:val="21"/>
                  <w:szCs w:val="21"/>
                  <w:u w:val="single"/>
                  <w14:textFill>
                    <w14:solidFill>
                      <w14:schemeClr w14:val="tx1"/>
                    </w14:solidFill>
                  </w14:textFill>
                </w:rPr>
                <m:t xml:space="preserve"> </m:t>
              </m:r>
              <m:sSub>
                <m:sSubPr>
                  <m:ctrlPr>
                    <w:rPr>
                      <w:rFonts w:ascii="Cambria Math" w:hAnsi="Cambria Math"/>
                      <w:b/>
                      <w:bCs/>
                      <w:i/>
                      <w:color w:val="000000" w:themeColor="text1"/>
                      <w:sz w:val="21"/>
                      <w:szCs w:val="21"/>
                      <w:u w:val="single"/>
                      <w14:textFill>
                        <w14:solidFill>
                          <w14:schemeClr w14:val="tx1"/>
                        </w14:solidFill>
                      </w14:textFill>
                    </w:rPr>
                  </m:ctrlPr>
                </m:sSubPr>
                <m:e>
                  <m:r>
                    <m:rPr>
                      <m:sty m:val="bi"/>
                    </m:rPr>
                    <w:rPr>
                      <w:rFonts w:ascii="Cambria Math" w:hAnsi="Cambria Math"/>
                      <w:color w:val="000000" w:themeColor="text1"/>
                      <w:sz w:val="21"/>
                      <w:szCs w:val="21"/>
                      <w:u w:val="single"/>
                      <w14:textFill>
                        <w14:solidFill>
                          <w14:schemeClr w14:val="tx1"/>
                        </w14:solidFill>
                      </w14:textFill>
                    </w:rPr>
                    <m:t>T</m:t>
                  </m:r>
                  <m:ctrlPr>
                    <w:rPr>
                      <w:rFonts w:ascii="Cambria Math" w:hAnsi="Cambria Math"/>
                      <w:b/>
                      <w:bCs/>
                      <w:i/>
                      <w:color w:val="000000" w:themeColor="text1"/>
                      <w:sz w:val="21"/>
                      <w:szCs w:val="21"/>
                      <w:u w:val="single"/>
                      <w14:textFill>
                        <w14:solidFill>
                          <w14:schemeClr w14:val="tx1"/>
                        </w14:solidFill>
                      </w14:textFill>
                    </w:rPr>
                  </m:ctrlPr>
                </m:e>
                <m:sub>
                  <m:r>
                    <m:rPr>
                      <m:sty m:val="bi"/>
                    </m:rPr>
                    <w:rPr>
                      <w:rFonts w:ascii="Cambria Math" w:hAnsi="Cambria Math"/>
                      <w:color w:val="000000" w:themeColor="text1"/>
                      <w:sz w:val="21"/>
                      <w:szCs w:val="21"/>
                      <w:u w:val="single"/>
                      <w14:textFill>
                        <w14:solidFill>
                          <w14:schemeClr w14:val="tx1"/>
                        </w14:solidFill>
                      </w14:textFill>
                    </w:rPr>
                    <m:t>s</m:t>
                  </m:r>
                  <m:ctrlPr>
                    <w:rPr>
                      <w:rFonts w:ascii="Cambria Math" w:hAnsi="Cambria Math"/>
                      <w:b/>
                      <w:bCs/>
                      <w:i/>
                      <w:color w:val="000000" w:themeColor="text1"/>
                      <w:sz w:val="21"/>
                      <w:szCs w:val="21"/>
                      <w:u w:val="single"/>
                      <w14:textFill>
                        <w14:solidFill>
                          <w14:schemeClr w14:val="tx1"/>
                        </w14:solidFill>
                      </w14:textFill>
                    </w:rPr>
                  </m:ctrlPr>
                </m:sub>
              </m:sSub>
            </m:oMath>
            <w:r>
              <w:rPr>
                <w:b/>
                <w:bCs/>
                <w:color w:val="000000" w:themeColor="text1"/>
                <w:sz w:val="21"/>
                <w:szCs w:val="21"/>
                <w:u w:val="single"/>
                <w14:textFill>
                  <w14:solidFill>
                    <w14:schemeClr w14:val="tx1"/>
                  </w14:solidFill>
                </w14:textFill>
              </w:rPr>
              <w:t xml:space="preserve"> are integer multiples of the slot group duration</w:t>
            </w:r>
            <w:r>
              <w:rPr>
                <w:b/>
                <w:bCs/>
                <w:color w:val="000000" w:themeColor="text1"/>
                <w:sz w:val="21"/>
                <w:szCs w:val="21"/>
                <w14:textFill>
                  <w14:solidFill>
                    <w14:schemeClr w14:val="tx1"/>
                  </w14:solidFill>
                </w14:textFill>
              </w:rPr>
              <w:t>.”</w:t>
            </w:r>
          </w:p>
          <w:p>
            <w:pPr>
              <w:widowControl w:val="0"/>
              <w:spacing w:line="240" w:lineRule="auto"/>
              <w:contextualSpacing/>
              <w:rPr>
                <w:color w:val="000000"/>
              </w:rPr>
            </w:pPr>
          </w:p>
          <w:p>
            <w:pPr>
              <w:widowControl w:val="0"/>
              <w:spacing w:line="240" w:lineRule="auto"/>
              <w:contextualSpacing/>
              <w:rPr>
                <w:color w:val="000000"/>
              </w:rPr>
            </w:pPr>
          </w:p>
          <w:p>
            <w:pPr>
              <w:widowControl w:val="0"/>
            </w:pPr>
            <w:r>
              <w:t>We propose to maintain the existing duration definitions for the multi-slot PDCCH monitoring where the duration it represents the time duration of the search space existence as an integer multiple of the basic monitoring pattern, which is the slot group.</w:t>
            </w:r>
          </w:p>
          <w:p>
            <w:pPr>
              <w:widowControl w:val="0"/>
              <w:rPr>
                <w:b/>
                <w:bCs/>
              </w:rPr>
            </w:pPr>
            <w:r>
              <w:rPr>
                <w:b/>
                <w:bCs/>
              </w:rPr>
              <w:t xml:space="preserve">Proposal 1: In TS 38.213, Clause 10.1 add the following text (the proposed addition is underlined) “- a duration of </w:t>
            </w:r>
            <m:oMath>
              <m:sSub>
                <m:sSubPr>
                  <m:ctrlPr>
                    <w:rPr>
                      <w:rFonts w:ascii="Cambria Math" w:hAnsi="Cambria Math"/>
                      <w:b/>
                      <w:bCs/>
                      <w:i/>
                    </w:rPr>
                  </m:ctrlPr>
                </m:sSubPr>
                <m:e>
                  <m:r>
                    <m:rPr>
                      <m:sty m:val="bi"/>
                    </m:rPr>
                    <w:rPr>
                      <w:rFonts w:ascii="Cambria Math" w:hAnsi="Cambria Math"/>
                    </w:rPr>
                    <m:t>T</m:t>
                  </m:r>
                  <m:ctrlPr>
                    <w:rPr>
                      <w:rFonts w:ascii="Cambria Math" w:hAnsi="Cambria Math"/>
                      <w:b/>
                      <w:bCs/>
                      <w:i/>
                    </w:rPr>
                  </m:ctrlPr>
                </m:e>
                <m:sub>
                  <m:r>
                    <m:rPr>
                      <m:sty m:val="bi"/>
                    </m:rPr>
                    <w:rPr>
                      <w:rFonts w:ascii="Cambria Math" w:hAnsi="Cambria Math"/>
                    </w:rPr>
                    <m:t>s</m:t>
                  </m:r>
                  <m:ctrlPr>
                    <w:rPr>
                      <w:rFonts w:ascii="Cambria Math" w:hAnsi="Cambria Math"/>
                      <w:b/>
                      <w:bCs/>
                      <w:i/>
                    </w:rPr>
                  </m:ctrlPr>
                </m:sub>
              </m:sSub>
              <m:r>
                <m:rPr>
                  <m:sty m:val="bi"/>
                </m:rPr>
                <w:rPr>
                  <w:rFonts w:ascii="Cambria Math" w:hAnsi="Cambria Math"/>
                </w:rPr>
                <m:t>&lt;</m:t>
              </m:r>
              <m:sSub>
                <m:sSubPr>
                  <m:ctrlPr>
                    <w:rPr>
                      <w:rFonts w:ascii="Cambria Math" w:hAnsi="Cambria Math"/>
                      <w:b/>
                      <w:bCs/>
                      <w:i/>
                    </w:rPr>
                  </m:ctrlPr>
                </m:sSubPr>
                <m:e>
                  <m:r>
                    <m:rPr>
                      <m:sty m:val="bi"/>
                    </m:rPr>
                    <w:rPr>
                      <w:rFonts w:ascii="Cambria Math" w:hAnsi="Cambria Math"/>
                    </w:rPr>
                    <m:t>k</m:t>
                  </m:r>
                  <m:ctrlPr>
                    <w:rPr>
                      <w:rFonts w:ascii="Cambria Math" w:hAnsi="Cambria Math"/>
                      <w:b/>
                      <w:bCs/>
                      <w:i/>
                    </w:rPr>
                  </m:ctrlPr>
                </m:e>
                <m:sub>
                  <m:r>
                    <m:rPr>
                      <m:sty m:val="bi"/>
                    </m:rPr>
                    <w:rPr>
                      <w:rFonts w:ascii="Cambria Math" w:hAnsi="Cambria Math"/>
                    </w:rPr>
                    <m:t>s</m:t>
                  </m:r>
                  <m:ctrlPr>
                    <w:rPr>
                      <w:rFonts w:ascii="Cambria Math" w:hAnsi="Cambria Math"/>
                      <w:b/>
                      <w:bCs/>
                      <w:i/>
                    </w:rPr>
                  </m:ctrlPr>
                </m:sub>
              </m:sSub>
            </m:oMath>
            <w:r>
              <w:rPr>
                <w:b/>
                <w:bCs/>
              </w:rPr>
              <w:t xml:space="preserve"> slots indicating a number of slots that the search space set </w:t>
            </w:r>
            <m:oMath>
              <m:r>
                <m:rPr>
                  <m:sty m:val="bi"/>
                </m:rPr>
                <w:rPr>
                  <w:rFonts w:ascii="Cambria Math" w:hAnsi="Cambria Math"/>
                </w:rPr>
                <m:t>s</m:t>
              </m:r>
            </m:oMath>
            <w:r>
              <w:rPr>
                <w:b/>
                <w:bCs/>
              </w:rPr>
              <w:t xml:space="preserve"> exists by </w:t>
            </w:r>
            <w:r>
              <w:rPr>
                <w:b/>
                <w:bCs/>
                <w:i/>
              </w:rPr>
              <w:t>duration”</w:t>
            </w:r>
            <w:r>
              <w:rPr>
                <w:b/>
                <w:bCs/>
                <w:iCs/>
              </w:rPr>
              <w:t xml:space="preserve"> </w:t>
            </w:r>
            <w:r>
              <w:rPr>
                <w:b/>
                <w:bCs/>
              </w:rPr>
              <w:t xml:space="preserve">to “- a duration of </w:t>
            </w:r>
            <m:oMath>
              <m:sSub>
                <m:sSubPr>
                  <m:ctrlPr>
                    <w:rPr>
                      <w:rFonts w:ascii="Cambria Math" w:hAnsi="Cambria Math"/>
                      <w:b/>
                      <w:bCs/>
                      <w:i/>
                    </w:rPr>
                  </m:ctrlPr>
                </m:sSubPr>
                <m:e>
                  <m:r>
                    <m:rPr>
                      <m:sty m:val="bi"/>
                    </m:rPr>
                    <w:rPr>
                      <w:rFonts w:ascii="Cambria Math" w:hAnsi="Cambria Math"/>
                    </w:rPr>
                    <m:t>T</m:t>
                  </m:r>
                  <m:ctrlPr>
                    <w:rPr>
                      <w:rFonts w:ascii="Cambria Math" w:hAnsi="Cambria Math"/>
                      <w:b/>
                      <w:bCs/>
                      <w:i/>
                    </w:rPr>
                  </m:ctrlPr>
                </m:e>
                <m:sub>
                  <m:r>
                    <m:rPr>
                      <m:sty m:val="bi"/>
                    </m:rPr>
                    <w:rPr>
                      <w:rFonts w:ascii="Cambria Math" w:hAnsi="Cambria Math"/>
                    </w:rPr>
                    <m:t>s</m:t>
                  </m:r>
                  <m:ctrlPr>
                    <w:rPr>
                      <w:rFonts w:ascii="Cambria Math" w:hAnsi="Cambria Math"/>
                      <w:b/>
                      <w:bCs/>
                      <w:i/>
                    </w:rPr>
                  </m:ctrlPr>
                </m:sub>
              </m:sSub>
              <m:r>
                <m:rPr>
                  <m:sty m:val="bi"/>
                </m:rPr>
                <w:rPr>
                  <w:rFonts w:ascii="Cambria Math" w:hAnsi="Cambria Math"/>
                </w:rPr>
                <m:t>&lt;</m:t>
              </m:r>
              <m:sSub>
                <m:sSubPr>
                  <m:ctrlPr>
                    <w:rPr>
                      <w:rFonts w:ascii="Cambria Math" w:hAnsi="Cambria Math"/>
                      <w:b/>
                      <w:bCs/>
                      <w:i/>
                    </w:rPr>
                  </m:ctrlPr>
                </m:sSubPr>
                <m:e>
                  <m:r>
                    <m:rPr>
                      <m:sty m:val="bi"/>
                    </m:rPr>
                    <w:rPr>
                      <w:rFonts w:ascii="Cambria Math" w:hAnsi="Cambria Math"/>
                    </w:rPr>
                    <m:t>k</m:t>
                  </m:r>
                  <m:ctrlPr>
                    <w:rPr>
                      <w:rFonts w:ascii="Cambria Math" w:hAnsi="Cambria Math"/>
                      <w:b/>
                      <w:bCs/>
                      <w:i/>
                    </w:rPr>
                  </m:ctrlPr>
                </m:e>
                <m:sub>
                  <m:r>
                    <m:rPr>
                      <m:sty m:val="bi"/>
                    </m:rPr>
                    <w:rPr>
                      <w:rFonts w:ascii="Cambria Math" w:hAnsi="Cambria Math"/>
                    </w:rPr>
                    <m:t>s</m:t>
                  </m:r>
                  <m:ctrlPr>
                    <w:rPr>
                      <w:rFonts w:ascii="Cambria Math" w:hAnsi="Cambria Math"/>
                      <w:b/>
                      <w:bCs/>
                      <w:i/>
                    </w:rPr>
                  </m:ctrlPr>
                </m:sub>
              </m:sSub>
            </m:oMath>
            <w:r>
              <w:rPr>
                <w:b/>
                <w:bCs/>
              </w:rPr>
              <w:t xml:space="preserve"> slots indicating a number of slots that the search space set </w:t>
            </w:r>
            <m:oMath>
              <m:r>
                <m:rPr>
                  <m:sty m:val="bi"/>
                </m:rPr>
                <w:rPr>
                  <w:rFonts w:ascii="Cambria Math" w:hAnsi="Cambria Math"/>
                </w:rPr>
                <m:t>s</m:t>
              </m:r>
            </m:oMath>
            <w:r>
              <w:rPr>
                <w:b/>
                <w:bCs/>
              </w:rPr>
              <w:t xml:space="preserve"> exists by </w:t>
            </w:r>
            <w:r>
              <w:rPr>
                <w:b/>
                <w:bCs/>
                <w:i/>
              </w:rPr>
              <w:t>duration.</w:t>
            </w:r>
            <w:r>
              <w:rPr>
                <w:b/>
                <w:bCs/>
                <w:iCs/>
              </w:rPr>
              <w:t xml:space="preserve"> </w:t>
            </w:r>
            <w:r>
              <w:rPr>
                <w:b/>
                <w:bCs/>
                <w:iCs/>
                <w:u w:val="single"/>
              </w:rPr>
              <w:t>For µ = {5,6} the duration is an integer multiple of the slot group duration</w:t>
            </w:r>
            <w:r>
              <w:rPr>
                <w:b/>
                <w:bCs/>
                <w:iCs/>
              </w:rPr>
              <w:t>.</w:t>
            </w:r>
            <w:r>
              <w:rPr>
                <w:b/>
                <w:bCs/>
              </w:rPr>
              <w:t>”</w:t>
            </w:r>
          </w:p>
          <w:p>
            <w:pPr>
              <w:widowControl w:val="0"/>
              <w:spacing w:line="240" w:lineRule="auto"/>
              <w:contextualSpacing/>
              <w:rPr>
                <w:color w:val="000000"/>
              </w:rPr>
            </w:pPr>
          </w:p>
          <w:p>
            <w:pPr>
              <w:widowControl w:val="0"/>
              <w:spacing w:line="240" w:lineRule="auto"/>
              <w:contextualSpacing/>
              <w:rPr>
                <w:color w:val="000000"/>
              </w:rPr>
            </w:pPr>
          </w:p>
          <w:p>
            <w:pPr>
              <w:widowControl w:val="0"/>
            </w:pPr>
            <w:r>
              <w:t xml:space="preserve">In RAN1#107bis-e it was agreed to introduce the RRC parameter </w:t>
            </w:r>
            <w:r>
              <w:rPr>
                <w:i/>
                <w:iCs/>
              </w:rPr>
              <w:t>monitoringSlotsWithinSlotGroup-r17</w:t>
            </w:r>
            <w:r>
              <w:t>. The design of this parameter was left as WA that needs to be confirmed. We support the WA confirmation.</w:t>
            </w:r>
          </w:p>
          <w:p>
            <w:pPr>
              <w:widowControl w:val="0"/>
              <w:rPr>
                <w:b/>
                <w:bCs/>
                <w:i/>
                <w:iCs/>
                <w:color w:val="000000"/>
              </w:rPr>
            </w:pPr>
            <w:r>
              <w:rPr>
                <w:b/>
                <w:bCs/>
              </w:rPr>
              <w:t xml:space="preserve">Proposal 3: Confirm WA regarding the </w:t>
            </w:r>
            <w:r>
              <w:rPr>
                <w:b/>
                <w:bCs/>
                <w:color w:val="000000"/>
              </w:rPr>
              <w:t xml:space="preserve">parameter </w:t>
            </w:r>
            <w:r>
              <w:rPr>
                <w:b/>
                <w:bCs/>
                <w:i/>
                <w:iCs/>
                <w:color w:val="000000"/>
              </w:rPr>
              <w:t xml:space="preserve">monitoringSlotsWithinSlotGroup-r17 </w:t>
            </w:r>
            <w:r>
              <w:rPr>
                <w:b/>
                <w:bCs/>
                <w:color w:val="000000"/>
              </w:rPr>
              <w:t>design</w:t>
            </w:r>
            <w:r>
              <w:rPr>
                <w:b/>
                <w:bCs/>
                <w:i/>
                <w:iCs/>
                <w:color w:val="000000"/>
              </w:rPr>
              <w:t>.</w:t>
            </w:r>
          </w:p>
          <w:p>
            <w:pPr>
              <w:pStyle w:val="82"/>
              <w:widowControl w:val="0"/>
              <w:autoSpaceDE w:val="0"/>
              <w:autoSpaceDN w:val="0"/>
              <w:adjustRightInd w:val="0"/>
              <w:spacing w:before="180" w:after="240" w:afterLines="100" w:line="240" w:lineRule="auto"/>
              <w:ind w:left="0"/>
              <w:contextualSpacing/>
              <w:jc w:val="both"/>
              <w:rPr>
                <w:color w:val="000000"/>
                <w:highlight w:val="yellow"/>
              </w:rPr>
            </w:pPr>
          </w:p>
          <w:p>
            <w:pPr>
              <w:widowControl w:val="0"/>
              <w:spacing w:before="120" w:beforeLines="50" w:afterLines="50"/>
              <w:rPr>
                <w:szCs w:val="21"/>
              </w:rPr>
            </w:pPr>
            <w:r>
              <w:rPr>
                <w:szCs w:val="21"/>
              </w:rPr>
              <w:t>Regarding the second bullet in above agreement, we prefer to allow full flexibility of the Group (2) SS. Besides, the necessity of further limitations on the number of spans per slot/slot group is not clear to us. Therefore, we prefer not to introduce other limitation for Group (2) SSs.</w:t>
            </w:r>
          </w:p>
          <w:p>
            <w:pPr>
              <w:pStyle w:val="82"/>
              <w:widowControl w:val="0"/>
              <w:snapToGrid/>
              <w:spacing w:before="120" w:beforeLines="50" w:after="120" w:afterLines="50"/>
              <w:ind w:left="0"/>
              <w:rPr>
                <w:b/>
                <w:i/>
                <w:sz w:val="21"/>
                <w:szCs w:val="21"/>
              </w:rPr>
            </w:pPr>
            <w:r>
              <w:rPr>
                <w:b/>
                <w:i/>
                <w:sz w:val="21"/>
                <w:szCs w:val="21"/>
              </w:rPr>
              <w:t>Proposal 3: Do not introduce other limitation for Group (2) SSs monitoring.</w:t>
            </w:r>
          </w:p>
        </w:tc>
      </w:tr>
    </w:tbl>
    <w:p>
      <w:pPr>
        <w:rPr>
          <w:lang w:eastAsia="zh-CN"/>
        </w:rPr>
      </w:pPr>
    </w:p>
    <w:p>
      <w:pPr>
        <w:pStyle w:val="4"/>
      </w:pPr>
      <w:r>
        <w:t>R1-2201033 (InterDigital)</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line="276" w:lineRule="auto"/>
              <w:jc w:val="both"/>
              <w:rPr>
                <w:rFonts w:ascii="Arial" w:hAnsi="Arial" w:cs="Arial"/>
                <w:bCs/>
              </w:rPr>
            </w:pPr>
            <w:r>
              <w:rPr>
                <w:rFonts w:ascii="Arial" w:hAnsi="Arial" w:cs="Arial"/>
                <w:bCs/>
              </w:rPr>
              <w:t>In RAN1#107bis-e [2], RRC parameter duration-r17 was agreed with the value range {8, 12, …, 20476} slots. The configured duration should be an integer multiple of X</w:t>
            </w:r>
            <w:r>
              <w:rPr>
                <w:rFonts w:ascii="Arial" w:hAnsi="Arial" w:cs="Arial"/>
                <w:bCs/>
                <w:vertAlign w:val="subscript"/>
              </w:rPr>
              <w:t>s</w:t>
            </w:r>
            <w:r>
              <w:rPr>
                <w:rFonts w:ascii="Arial" w:hAnsi="Arial" w:cs="Arial"/>
                <w:bCs/>
              </w:rPr>
              <w:t xml:space="preserve"> slots at least for Group (1) SS. However, there is an FFS bullet on whether there’s a need to revise the definition of duration. In our company view, we couldn’t find any issues to revise the existing definition of duration. </w:t>
            </w:r>
          </w:p>
          <w:p>
            <w:pPr>
              <w:widowControl w:val="0"/>
              <w:spacing w:line="276" w:lineRule="auto"/>
              <w:jc w:val="both"/>
              <w:rPr>
                <w:rFonts w:ascii="Arial" w:hAnsi="Arial" w:cs="Arial"/>
                <w:bCs/>
              </w:rPr>
            </w:pPr>
          </w:p>
          <w:p>
            <w:pPr>
              <w:widowControl w:val="0"/>
              <w:spacing w:line="276" w:lineRule="auto"/>
              <w:jc w:val="both"/>
              <w:rPr>
                <w:rFonts w:ascii="Arial" w:hAnsi="Arial" w:cs="Arial"/>
                <w:bCs/>
                <w:i/>
                <w:iCs/>
              </w:rPr>
            </w:pPr>
            <w:r>
              <w:rPr>
                <w:rFonts w:ascii="Arial" w:hAnsi="Arial" w:cs="Arial"/>
                <w:b/>
                <w:i/>
                <w:iCs/>
              </w:rPr>
              <w:t xml:space="preserve">Proposal 5: </w:t>
            </w:r>
            <w:r>
              <w:rPr>
                <w:rFonts w:ascii="Arial" w:hAnsi="Arial" w:cs="Arial"/>
                <w:bCs/>
                <w:i/>
                <w:iCs/>
              </w:rPr>
              <w:t xml:space="preserve">Keep the agreed definition of duration and revise the agreement without the FFS bullet. </w:t>
            </w:r>
          </w:p>
          <w:p>
            <w:pPr>
              <w:widowControl w:val="0"/>
              <w:spacing w:line="276" w:lineRule="auto"/>
              <w:jc w:val="both"/>
              <w:rPr>
                <w:rFonts w:ascii="Arial" w:hAnsi="Arial" w:cs="Arial"/>
                <w:bCs/>
                <w:i/>
                <w:iCs/>
              </w:rPr>
            </w:pPr>
          </w:p>
          <w:p>
            <w:pPr>
              <w:widowControl w:val="0"/>
              <w:spacing w:line="276" w:lineRule="auto"/>
              <w:jc w:val="both"/>
              <w:rPr>
                <w:rFonts w:ascii="Arial" w:hAnsi="Arial" w:cs="Arial"/>
                <w:bCs/>
              </w:rPr>
            </w:pPr>
            <w:r>
              <w:rPr>
                <w:rFonts w:ascii="Arial" w:hAnsi="Arial" w:cs="Arial"/>
                <w:bCs/>
              </w:rPr>
              <w:t xml:space="preserve">In RAN1#107bis-e [2], RRC parameter monitoringSlotsWithinSlotGroup-r17 was introduced to indicate a monitoring slot position in a slot group. For example, UE can monitor PDCCH within a slot of a multi-slot group where a corresponding bit indicates. In our company view, we couldn’t find any serious issues. Having said that, we propose to confirm the working assumption. </w:t>
            </w:r>
          </w:p>
          <w:p>
            <w:pPr>
              <w:widowControl w:val="0"/>
              <w:spacing w:line="276" w:lineRule="auto"/>
              <w:jc w:val="both"/>
              <w:rPr>
                <w:rFonts w:ascii="Arial" w:hAnsi="Arial" w:cs="Arial"/>
                <w:b/>
              </w:rPr>
            </w:pPr>
          </w:p>
          <w:p>
            <w:pPr>
              <w:widowControl w:val="0"/>
              <w:spacing w:line="276" w:lineRule="auto"/>
              <w:jc w:val="both"/>
              <w:rPr>
                <w:rFonts w:ascii="Arial" w:hAnsi="Arial" w:cs="Arial"/>
                <w:bCs/>
                <w:i/>
                <w:iCs/>
              </w:rPr>
            </w:pPr>
            <w:r>
              <w:rPr>
                <w:rFonts w:ascii="Arial" w:hAnsi="Arial" w:cs="Arial"/>
                <w:b/>
                <w:i/>
                <w:iCs/>
              </w:rPr>
              <w:t xml:space="preserve">Proposal 6: </w:t>
            </w:r>
            <w:r>
              <w:rPr>
                <w:rFonts w:ascii="Arial" w:hAnsi="Arial" w:cs="Arial"/>
                <w:bCs/>
                <w:i/>
                <w:iCs/>
              </w:rPr>
              <w:t>Confirm the working assumption on monitoringSlotsWithinSlotGroup-r17.</w:t>
            </w:r>
          </w:p>
          <w:p>
            <w:pPr>
              <w:widowControl w:val="0"/>
              <w:spacing w:line="276" w:lineRule="auto"/>
              <w:jc w:val="both"/>
              <w:rPr>
                <w:rFonts w:ascii="Arial" w:hAnsi="Arial" w:cs="Arial"/>
                <w:bCs/>
              </w:rPr>
            </w:pPr>
          </w:p>
          <w:p>
            <w:pPr>
              <w:widowControl w:val="0"/>
              <w:spacing w:line="276" w:lineRule="auto"/>
              <w:jc w:val="both"/>
              <w:rPr>
                <w:rFonts w:ascii="Arial" w:hAnsi="Arial" w:cs="Arial"/>
                <w:bCs/>
              </w:rPr>
            </w:pPr>
            <w:r>
              <w:rPr>
                <w:rFonts w:ascii="Arial" w:hAnsi="Arial" w:cs="Arial"/>
                <w:bCs/>
              </w:rPr>
              <w:t>In RAN1#107-e [1], minimum P</w:t>
            </w:r>
            <w:r>
              <w:rPr>
                <w:rFonts w:ascii="Arial" w:hAnsi="Arial" w:cs="Arial"/>
                <w:bCs/>
                <w:vertAlign w:val="subscript"/>
              </w:rPr>
              <w:t>switch</w:t>
            </w:r>
            <w:r>
              <w:rPr>
                <w:rFonts w:ascii="Arial" w:hAnsi="Arial" w:cs="Arial"/>
                <w:bCs/>
              </w:rPr>
              <w:t xml:space="preserve"> value for search space set group switching were discussed with the following issues:</w:t>
            </w:r>
          </w:p>
          <w:p>
            <w:pPr>
              <w:pStyle w:val="82"/>
              <w:widowControl w:val="0"/>
              <w:numPr>
                <w:ilvl w:val="0"/>
                <w:numId w:val="77"/>
              </w:numPr>
              <w:snapToGrid/>
              <w:spacing w:after="120" w:line="276" w:lineRule="auto"/>
              <w:jc w:val="both"/>
              <w:rPr>
                <w:rFonts w:ascii="Arial" w:hAnsi="Arial" w:cs="Arial"/>
                <w:bCs/>
              </w:rPr>
            </w:pPr>
            <w:r>
              <w:rPr>
                <w:rFonts w:ascii="Arial" w:hAnsi="Arial" w:cs="Arial"/>
                <w:bCs/>
              </w:rPr>
              <w:t>Whether to support multiple capabilities (capability 1 and capability 2 as in Rel-16).</w:t>
            </w:r>
          </w:p>
          <w:p>
            <w:pPr>
              <w:pStyle w:val="82"/>
              <w:widowControl w:val="0"/>
              <w:numPr>
                <w:ilvl w:val="1"/>
                <w:numId w:val="77"/>
              </w:numPr>
              <w:snapToGrid/>
              <w:spacing w:after="120" w:line="276" w:lineRule="auto"/>
              <w:jc w:val="both"/>
              <w:rPr>
                <w:rFonts w:ascii="Arial" w:hAnsi="Arial" w:cs="Arial"/>
                <w:bCs/>
              </w:rPr>
            </w:pPr>
            <w:r>
              <w:rPr>
                <w:rFonts w:ascii="Arial" w:hAnsi="Arial" w:cs="Arial"/>
                <w:bCs/>
              </w:rPr>
              <w:t>In Rel-16, UE cap report whether the UE supports search space set group switching Capability-2 via searchSpaceSwitchCapability2-r16.</w:t>
            </w:r>
          </w:p>
          <w:p>
            <w:pPr>
              <w:pStyle w:val="82"/>
              <w:widowControl w:val="0"/>
              <w:numPr>
                <w:ilvl w:val="0"/>
                <w:numId w:val="77"/>
              </w:numPr>
              <w:snapToGrid/>
              <w:spacing w:after="120" w:line="276" w:lineRule="auto"/>
              <w:jc w:val="both"/>
              <w:rPr>
                <w:rFonts w:ascii="Arial" w:hAnsi="Arial" w:cs="Arial"/>
                <w:bCs/>
              </w:rPr>
            </w:pPr>
            <w:r>
              <w:rPr>
                <w:rFonts w:ascii="Arial" w:hAnsi="Arial" w:cs="Arial"/>
                <w:bCs/>
              </w:rPr>
              <w:t>Value(s) for 120 kHz</w:t>
            </w:r>
          </w:p>
          <w:p>
            <w:pPr>
              <w:pStyle w:val="82"/>
              <w:widowControl w:val="0"/>
              <w:numPr>
                <w:ilvl w:val="1"/>
                <w:numId w:val="77"/>
              </w:numPr>
              <w:snapToGrid/>
              <w:spacing w:after="120" w:line="276" w:lineRule="auto"/>
              <w:jc w:val="both"/>
              <w:rPr>
                <w:rFonts w:ascii="Arial" w:hAnsi="Arial" w:cs="Arial"/>
                <w:bCs/>
              </w:rPr>
            </w:pPr>
            <w:r>
              <w:rPr>
                <w:rFonts w:ascii="Arial" w:hAnsi="Arial" w:cs="Arial"/>
                <w:bCs/>
              </w:rPr>
              <w:t>In Rel-16, P</w:t>
            </w:r>
            <w:r>
              <w:rPr>
                <w:rFonts w:ascii="Arial" w:hAnsi="Arial" w:cs="Arial"/>
                <w:bCs/>
                <w:vertAlign w:val="subscript"/>
              </w:rPr>
              <w:t>switch</w:t>
            </w:r>
            <w:r>
              <w:rPr>
                <w:rFonts w:ascii="Arial" w:hAnsi="Arial" w:cs="Arial"/>
                <w:bCs/>
              </w:rPr>
              <w:t xml:space="preserve"> values for capability 2 are based on SPS release timeline. Having said that, 25 symbols were suggested for μ=3 with capability 2.</w:t>
            </w:r>
          </w:p>
          <w:p>
            <w:pPr>
              <w:pStyle w:val="82"/>
              <w:widowControl w:val="0"/>
              <w:numPr>
                <w:ilvl w:val="0"/>
                <w:numId w:val="77"/>
              </w:numPr>
              <w:snapToGrid/>
              <w:spacing w:after="120" w:line="276" w:lineRule="auto"/>
              <w:jc w:val="both"/>
              <w:rPr>
                <w:rFonts w:ascii="Arial" w:hAnsi="Arial" w:cs="Arial"/>
                <w:bCs/>
              </w:rPr>
            </w:pPr>
            <w:r>
              <w:rPr>
                <w:rFonts w:ascii="Arial" w:hAnsi="Arial" w:cs="Arial"/>
                <w:bCs/>
              </w:rPr>
              <w:t>Whether to scale the value(s) of 120 kHz by 4 and 8 times for 480 and 960 kHz, respectively.</w:t>
            </w:r>
          </w:p>
          <w:p>
            <w:pPr>
              <w:pStyle w:val="82"/>
              <w:widowControl w:val="0"/>
              <w:numPr>
                <w:ilvl w:val="1"/>
                <w:numId w:val="77"/>
              </w:numPr>
              <w:snapToGrid/>
              <w:spacing w:after="120" w:line="276" w:lineRule="auto"/>
              <w:jc w:val="both"/>
              <w:rPr>
                <w:rFonts w:ascii="Arial" w:hAnsi="Arial" w:cs="Arial"/>
                <w:bCs/>
              </w:rPr>
            </w:pPr>
            <w:r>
              <w:rPr>
                <w:rFonts w:ascii="Arial" w:hAnsi="Arial" w:cs="Arial"/>
                <w:bCs/>
              </w:rPr>
              <w:t>Most of UE capability values were determined based on scaled values by 4 or 8 times of 120 kHz value in NR 52-71.</w:t>
            </w:r>
          </w:p>
          <w:p>
            <w:pPr>
              <w:pStyle w:val="82"/>
              <w:widowControl w:val="0"/>
              <w:numPr>
                <w:ilvl w:val="0"/>
                <w:numId w:val="77"/>
              </w:numPr>
              <w:snapToGrid/>
              <w:spacing w:after="120" w:line="276" w:lineRule="auto"/>
              <w:jc w:val="both"/>
              <w:rPr>
                <w:rFonts w:ascii="Arial" w:hAnsi="Arial" w:cs="Arial"/>
                <w:bCs/>
              </w:rPr>
            </w:pPr>
            <w:r>
              <w:rPr>
                <w:rFonts w:ascii="Arial" w:hAnsi="Arial" w:cs="Arial"/>
                <w:bCs/>
              </w:rPr>
              <w:t>Whether to consider additional margin.</w:t>
            </w:r>
          </w:p>
          <w:p>
            <w:pPr>
              <w:widowControl w:val="0"/>
              <w:spacing w:line="276" w:lineRule="auto"/>
              <w:jc w:val="both"/>
              <w:rPr>
                <w:rFonts w:ascii="Arial" w:hAnsi="Arial" w:cs="Arial"/>
                <w:bCs/>
              </w:rPr>
            </w:pPr>
            <w:r>
              <w:rPr>
                <w:rFonts w:ascii="Arial" w:hAnsi="Arial" w:cs="Arial"/>
                <w:bCs/>
              </w:rPr>
              <w:t xml:space="preserve">Based on the discussion, the following values with only one capability (i.e., UE processing capability 1) was agreed as a working assumption. </w:t>
            </w:r>
          </w:p>
          <w:tbl>
            <w:tblPr>
              <w:tblStyle w:val="54"/>
              <w:tblW w:w="368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300"/>
              <w:gridCol w:w="33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300" w:type="dxa"/>
                  <w:shd w:val="clear" w:color="auto" w:fill="E0E0E0"/>
                  <w:vAlign w:val="center"/>
                </w:tcPr>
                <w:p>
                  <w:pPr>
                    <w:pStyle w:val="90"/>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pPr>
                    <w:pStyle w:val="90"/>
                    <w:rPr>
                      <w:rFonts w:ascii="Times New Roman" w:hAnsi="Times New Roman"/>
                      <w:szCs w:val="18"/>
                    </w:rPr>
                  </w:pPr>
                  <w:r>
                    <w:rPr>
                      <w:rFonts w:ascii="Times New Roman" w:hAnsi="Times New Roman"/>
                      <w:szCs w:val="18"/>
                    </w:rPr>
                    <w:t xml:space="preserve">Minimum </w:t>
                  </w:r>
                  <m:oMath>
                    <m:sSub>
                      <m:sSubPr>
                        <m:ctrlPr>
                          <w:rPr>
                            <w:rFonts w:ascii="Cambria Math" w:hAnsi="Cambria Math"/>
                            <w:szCs w:val="18"/>
                          </w:rPr>
                        </m:ctrlPr>
                      </m:sSubPr>
                      <m:e>
                        <m:r>
                          <m:rPr>
                            <m:sty m:val="b"/>
                          </m:rPr>
                          <w:rPr>
                            <w:rFonts w:ascii="Cambria Math" w:hAnsi="Cambria Math"/>
                            <w:szCs w:val="18"/>
                          </w:rPr>
                          <m:t>P</m:t>
                        </m:r>
                        <m:ctrlPr>
                          <w:rPr>
                            <w:rFonts w:ascii="Cambria Math" w:hAnsi="Cambria Math"/>
                            <w:szCs w:val="18"/>
                          </w:rPr>
                        </m:ctrlPr>
                      </m:e>
                      <m:sub>
                        <m:r>
                          <m:rPr>
                            <m:sty m:val="b"/>
                          </m:rPr>
                          <w:rPr>
                            <w:rFonts w:ascii="Cambria Math" w:hAnsi="Cambria Math"/>
                            <w:szCs w:val="18"/>
                          </w:rPr>
                          <m:t>switch</m:t>
                        </m:r>
                        <m:ctrlPr>
                          <w:rPr>
                            <w:rFonts w:ascii="Cambria Math" w:hAnsi="Cambria Math"/>
                            <w:szCs w:val="18"/>
                          </w:rPr>
                        </m:ctrlPr>
                      </m:sub>
                    </m:sSub>
                  </m:oMath>
                  <w:r>
                    <w:rPr>
                      <w:rFonts w:ascii="Times New Roman" w:hAnsi="Times New Roman"/>
                      <w:szCs w:val="18"/>
                    </w:rPr>
                    <w:t xml:space="preserve"> value for</w:t>
                  </w:r>
                </w:p>
                <w:p>
                  <w:pPr>
                    <w:pStyle w:val="90"/>
                    <w:rPr>
                      <w:rFonts w:ascii="Times New Roman" w:hAnsi="Times New Roman"/>
                      <w:sz w:val="20"/>
                    </w:rPr>
                  </w:pPr>
                  <w:r>
                    <w:rPr>
                      <w:rFonts w:ascii="Times New Roman" w:hAnsi="Times New Roman"/>
                      <w:szCs w:val="18"/>
                    </w:rPr>
                    <w:t xml:space="preserve"> UE processing </w:t>
                  </w:r>
                  <w:r>
                    <w:rPr>
                      <w:rFonts w:ascii="Times New Roman" w:hAnsi="Times New Roman"/>
                      <w:szCs w:val="18"/>
                      <w:lang w:eastAsia="zh-CN"/>
                    </w:rPr>
                    <w:t>capability 1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300" w:type="dxa"/>
                  <w:vAlign w:val="center"/>
                </w:tcPr>
                <w:p>
                  <w:pPr>
                    <w:pStyle w:val="114"/>
                    <w:rPr>
                      <w:rFonts w:ascii="Times New Roman" w:hAnsi="Times New Roman"/>
                    </w:rPr>
                  </w:pPr>
                  <w:r>
                    <w:rPr>
                      <w:rFonts w:ascii="Times New Roman" w:hAnsi="Times New Roman"/>
                    </w:rPr>
                    <w:t>3</w:t>
                  </w:r>
                </w:p>
              </w:tc>
              <w:tc>
                <w:tcPr>
                  <w:tcW w:w="3385" w:type="dxa"/>
                  <w:vAlign w:val="center"/>
                </w:tcPr>
                <w:p>
                  <w:pPr>
                    <w:pStyle w:val="114"/>
                    <w:rPr>
                      <w:rFonts w:ascii="Times New Roman" w:hAnsi="Times New Roman"/>
                    </w:rPr>
                  </w:pPr>
                  <w:r>
                    <w:rPr>
                      <w:rFonts w:ascii="Times New Roman" w:hAnsi="Times New Roman"/>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300" w:type="dxa"/>
                  <w:vAlign w:val="center"/>
                </w:tcPr>
                <w:p>
                  <w:pPr>
                    <w:pStyle w:val="114"/>
                    <w:rPr>
                      <w:rFonts w:ascii="Times New Roman" w:hAnsi="Times New Roman"/>
                    </w:rPr>
                  </w:pPr>
                  <w:r>
                    <w:rPr>
                      <w:rFonts w:ascii="Times New Roman" w:hAnsi="Times New Roman"/>
                    </w:rPr>
                    <w:t>5</w:t>
                  </w:r>
                </w:p>
              </w:tc>
              <w:tc>
                <w:tcPr>
                  <w:tcW w:w="3385" w:type="dxa"/>
                  <w:vAlign w:val="center"/>
                </w:tcPr>
                <w:p>
                  <w:pPr>
                    <w:pStyle w:val="114"/>
                    <w:rPr>
                      <w:rFonts w:ascii="Times New Roman" w:hAnsi="Times New Roman"/>
                    </w:rPr>
                  </w:pPr>
                  <w:r>
                    <w:rPr>
                      <w:rFonts w:ascii="Times New Roman" w:hAnsi="Times New Roman"/>
                    </w:rPr>
                    <w:t>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300" w:type="dxa"/>
                  <w:vAlign w:val="center"/>
                </w:tcPr>
                <w:p>
                  <w:pPr>
                    <w:pStyle w:val="114"/>
                    <w:rPr>
                      <w:rFonts w:ascii="Times New Roman" w:hAnsi="Times New Roman"/>
                    </w:rPr>
                  </w:pPr>
                  <w:r>
                    <w:rPr>
                      <w:rFonts w:ascii="Times New Roman" w:hAnsi="Times New Roman"/>
                    </w:rPr>
                    <w:t>6</w:t>
                  </w:r>
                </w:p>
              </w:tc>
              <w:tc>
                <w:tcPr>
                  <w:tcW w:w="3385" w:type="dxa"/>
                  <w:vAlign w:val="center"/>
                </w:tcPr>
                <w:p>
                  <w:pPr>
                    <w:pStyle w:val="114"/>
                    <w:rPr>
                      <w:rFonts w:ascii="Times New Roman" w:hAnsi="Times New Roman"/>
                    </w:rPr>
                  </w:pPr>
                  <w:r>
                    <w:rPr>
                      <w:rFonts w:ascii="Times New Roman" w:hAnsi="Times New Roman"/>
                    </w:rPr>
                    <w:t>320</w:t>
                  </w:r>
                </w:p>
              </w:tc>
            </w:tr>
          </w:tbl>
          <w:p>
            <w:pPr>
              <w:widowControl w:val="0"/>
              <w:spacing w:line="276" w:lineRule="auto"/>
              <w:jc w:val="both"/>
              <w:rPr>
                <w:rFonts w:ascii="Arial" w:hAnsi="Arial" w:cs="Arial"/>
                <w:bCs/>
              </w:rPr>
            </w:pPr>
          </w:p>
          <w:p>
            <w:pPr>
              <w:widowControl w:val="0"/>
              <w:spacing w:line="276" w:lineRule="auto"/>
              <w:jc w:val="both"/>
              <w:rPr>
                <w:rFonts w:ascii="Arial" w:hAnsi="Arial" w:cs="Arial"/>
                <w:bCs/>
              </w:rPr>
            </w:pPr>
            <w:r>
              <w:rPr>
                <w:rFonts w:ascii="Arial" w:hAnsi="Arial" w:cs="Arial"/>
                <w:bCs/>
              </w:rPr>
              <w:t xml:space="preserve">As the values do not have any serious issues, it is preferred to agree the working assumption as it is. </w:t>
            </w:r>
          </w:p>
          <w:p>
            <w:pPr>
              <w:widowControl w:val="0"/>
              <w:spacing w:line="276" w:lineRule="auto"/>
              <w:jc w:val="both"/>
              <w:rPr>
                <w:rFonts w:ascii="Arial" w:hAnsi="Arial" w:cs="Arial"/>
                <w:b/>
                <w:i/>
                <w:iCs/>
              </w:rPr>
            </w:pPr>
          </w:p>
          <w:p>
            <w:pPr>
              <w:widowControl w:val="0"/>
              <w:spacing w:line="276" w:lineRule="auto"/>
              <w:jc w:val="both"/>
              <w:rPr>
                <w:rFonts w:ascii="Arial" w:hAnsi="Arial" w:cs="Arial"/>
                <w:bCs/>
                <w:i/>
                <w:iCs/>
              </w:rPr>
            </w:pPr>
            <w:r>
              <w:rPr>
                <w:rFonts w:ascii="Arial" w:hAnsi="Arial" w:cs="Arial"/>
                <w:b/>
                <w:i/>
                <w:iCs/>
              </w:rPr>
              <w:t>Proposal 7:</w:t>
            </w:r>
            <w:r>
              <w:rPr>
                <w:rFonts w:ascii="Arial" w:hAnsi="Arial" w:cs="Arial"/>
                <w:bCs/>
                <w:i/>
                <w:iCs/>
              </w:rPr>
              <w:t xml:space="preserve"> Confirm the working assumption on the minimum P</w:t>
            </w:r>
            <w:r>
              <w:rPr>
                <w:rFonts w:ascii="Arial" w:hAnsi="Arial" w:cs="Arial"/>
                <w:bCs/>
                <w:i/>
                <w:iCs/>
                <w:vertAlign w:val="subscript"/>
              </w:rPr>
              <w:t>switch</w:t>
            </w:r>
            <w:r>
              <w:rPr>
                <w:rFonts w:ascii="Arial" w:hAnsi="Arial" w:cs="Arial"/>
                <w:bCs/>
                <w:i/>
                <w:iCs/>
              </w:rPr>
              <w:t xml:space="preserve"> value.</w:t>
            </w:r>
          </w:p>
          <w:p>
            <w:pPr>
              <w:widowControl w:val="0"/>
              <w:spacing w:line="276" w:lineRule="auto"/>
              <w:jc w:val="both"/>
              <w:rPr>
                <w:rFonts w:ascii="Arial" w:hAnsi="Arial" w:cs="Arial"/>
                <w:bCs/>
              </w:rPr>
            </w:pPr>
          </w:p>
        </w:tc>
      </w:tr>
    </w:tbl>
    <w:p>
      <w:pPr>
        <w:rPr>
          <w:lang w:eastAsia="zh-CN"/>
        </w:rPr>
      </w:pPr>
    </w:p>
    <w:p>
      <w:pPr>
        <w:pStyle w:val="4"/>
      </w:pPr>
      <w:r>
        <w:t>R1-2201266 (OPPO)</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color w:val="000000"/>
              </w:rPr>
            </w:pPr>
            <w:r>
              <w:rPr>
                <w:color w:val="000000"/>
              </w:rPr>
              <w:t xml:space="preserve">The difference for FR2-2 is that the UE does not monitor PDCCH in all the slots configured by the </w:t>
            </w:r>
            <w:r>
              <w:rPr>
                <w:i/>
                <w:iCs/>
                <w:color w:val="000000"/>
              </w:rPr>
              <w:t xml:space="preserve">duration-r17 </w:t>
            </w:r>
            <w:r>
              <w:rPr>
                <w:color w:val="000000"/>
              </w:rPr>
              <w:t xml:space="preserve">parameter. This necessitates to introduce another parameter, i.e., </w:t>
            </w:r>
            <w:r>
              <w:rPr>
                <w:i/>
                <w:iCs/>
                <w:color w:val="000000"/>
              </w:rPr>
              <w:t xml:space="preserve">monitoringSlotsWithinSlotGroup-r17, </w:t>
            </w:r>
            <w:r>
              <w:rPr>
                <w:color w:val="000000"/>
              </w:rPr>
              <w:t xml:space="preserve">to indicate which of the slots to be monitored within the slots configured by </w:t>
            </w:r>
            <w:r>
              <w:rPr>
                <w:i/>
                <w:iCs/>
                <w:color w:val="000000"/>
              </w:rPr>
              <w:t xml:space="preserve">duration-r17 </w:t>
            </w:r>
            <w:r>
              <w:rPr>
                <w:color w:val="000000"/>
              </w:rPr>
              <w:t xml:space="preserve">parameter. However, we think that to make the search space configuration work, the restriction of the length of </w:t>
            </w:r>
            <w:r>
              <w:rPr>
                <w:i/>
                <w:iCs/>
                <w:color w:val="000000"/>
              </w:rPr>
              <w:t>duration-r17</w:t>
            </w:r>
            <w:r>
              <w:rPr>
                <w:color w:val="000000"/>
              </w:rPr>
              <w:t xml:space="preserve"> is integer of Xs slot should be modified. This because the Xs value is directly linked to the 8-bit of </w:t>
            </w:r>
            <w:r>
              <w:rPr>
                <w:i/>
                <w:iCs/>
                <w:color w:val="000000"/>
              </w:rPr>
              <w:t>monitoringSlotsWithinSlotGroup-r17</w:t>
            </w:r>
            <w:r>
              <w:rPr>
                <w:color w:val="000000"/>
              </w:rPr>
              <w:t xml:space="preserve">. The bit position should be aligned with Xs value in order for the UE to derive the monitored slots from a one-to-one mapping indication. If the Xs value is not equal to 8, the UE does not know how to interpret the bit-map. Given that for 480kHz SCS, UE only supports Xs=4 but for 960kHz SCS, UE may support Xs=4 or 8, we suggest that the </w:t>
            </w:r>
            <w:r>
              <w:rPr>
                <w:i/>
                <w:iCs/>
                <w:color w:val="000000"/>
              </w:rPr>
              <w:t>duration-r17</w:t>
            </w:r>
            <w:r>
              <w:rPr>
                <w:color w:val="000000"/>
              </w:rPr>
              <w:t xml:space="preserve"> is defined in a virtual slot group length of Xs=8, so that the </w:t>
            </w:r>
            <w:r>
              <w:rPr>
                <w:i/>
                <w:iCs/>
                <w:color w:val="000000"/>
              </w:rPr>
              <w:t xml:space="preserve">duration-r17 </w:t>
            </w:r>
            <w:r>
              <w:rPr>
                <w:color w:val="000000"/>
              </w:rPr>
              <w:t xml:space="preserve">should be an integer number of Xs=8. Thus the </w:t>
            </w:r>
            <w:r>
              <w:rPr>
                <w:i/>
                <w:iCs/>
                <w:color w:val="000000"/>
              </w:rPr>
              <w:t>monitoringSlotsWithinSlotGroup-r17</w:t>
            </w:r>
            <w:r>
              <w:rPr>
                <w:color w:val="000000"/>
              </w:rPr>
              <w:t xml:space="preserve"> can indicate the monitored slot based on Xs=8 slot basis and the corresponding configuration examples as shown in Fig. 2.</w:t>
            </w:r>
          </w:p>
          <w:p>
            <w:pPr>
              <w:pStyle w:val="31"/>
              <w:widowControl w:val="0"/>
              <w:rPr>
                <w:b/>
                <w:bCs/>
              </w:rPr>
            </w:pPr>
            <w:r>
              <w:rPr>
                <w:b/>
                <w:bCs/>
              </w:rPr>
              <w:t xml:space="preserve">Proposal 1: the value configured by </w:t>
            </w:r>
            <w:r>
              <w:rPr>
                <w:b/>
                <w:bCs/>
                <w:i/>
                <w:iCs/>
                <w:color w:val="000000"/>
              </w:rPr>
              <w:t>duration-r17</w:t>
            </w:r>
            <w:r>
              <w:rPr>
                <w:b/>
                <w:bCs/>
                <w:color w:val="000000"/>
              </w:rPr>
              <w:t xml:space="preserve"> should be an integer number of Xs=8 and make the previous working assumption as agreement. </w:t>
            </w:r>
          </w:p>
          <w:p>
            <w:pPr>
              <w:pStyle w:val="31"/>
              <w:widowControl w:val="0"/>
              <w:rPr>
                <w:bCs/>
                <w:lang w:eastAsia="zh-CN"/>
              </w:rPr>
            </w:pPr>
          </w:p>
        </w:tc>
      </w:tr>
    </w:tbl>
    <w:p>
      <w:pPr>
        <w:rPr>
          <w:lang w:eastAsia="zh-CN"/>
        </w:rPr>
      </w:pPr>
    </w:p>
    <w:p>
      <w:pPr>
        <w:pStyle w:val="4"/>
      </w:pPr>
      <w:r>
        <w:t>R1-2201352 (CATT)</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iCs/>
                <w:color w:val="000000"/>
                <w:lang w:eastAsia="zh-CN"/>
              </w:rPr>
            </w:pPr>
            <w:r>
              <w:rPr>
                <w:rFonts w:hint="eastAsia"/>
                <w:lang w:val="en-GB" w:eastAsia="zh-CN"/>
              </w:rPr>
              <w:t>The difference between option 1 and option 2 is how to use the</w:t>
            </w:r>
            <w:r>
              <w:rPr>
                <w:rFonts w:hint="eastAsia"/>
                <w:szCs w:val="20"/>
                <w:lang w:val="en-GB" w:eastAsia="zh-CN"/>
              </w:rPr>
              <w:t xml:space="preserve"> </w:t>
            </w:r>
            <w:r>
              <w:rPr>
                <w:i/>
                <w:iCs/>
                <w:color w:val="000000"/>
              </w:rPr>
              <w:t>monitoringSlotsWithinSlotGroup-r17</w:t>
            </w:r>
            <w:r>
              <w:rPr>
                <w:rFonts w:hint="eastAsia"/>
                <w:i/>
                <w:iCs/>
                <w:color w:val="000000"/>
                <w:lang w:eastAsia="zh-CN"/>
              </w:rPr>
              <w:t xml:space="preserve"> </w:t>
            </w:r>
            <w:r>
              <w:rPr>
                <w:rFonts w:hint="eastAsia"/>
                <w:iCs/>
                <w:color w:val="000000"/>
                <w:lang w:eastAsia="zh-CN"/>
              </w:rPr>
              <w:t xml:space="preserve">for 480kHz. It was agreed in the RAN1#107b-e meeting that the configured duration for 480 kHz is restricted to be an integer multiple of 4 slots at least for Group(1) SS. If option 2 is adopted and the value of duration is 12, </w:t>
            </w:r>
            <w:r>
              <w:rPr>
                <w:iCs/>
                <w:color w:val="000000"/>
                <w:lang w:eastAsia="zh-CN"/>
              </w:rPr>
              <w:t xml:space="preserve">the number of consecutive 8-slots group </w:t>
            </w:r>
            <w:r>
              <w:rPr>
                <w:rFonts w:hint="eastAsia"/>
                <w:iCs/>
                <w:color w:val="000000"/>
                <w:lang w:eastAsia="zh-CN"/>
              </w:rPr>
              <w:t xml:space="preserve">will be 1.5(12/8) that is not a integer. This may bring complexity to the definition of the specification. </w:t>
            </w:r>
          </w:p>
          <w:p>
            <w:pPr>
              <w:pStyle w:val="31"/>
              <w:widowControl w:val="0"/>
              <w:rPr>
                <w:b/>
                <w:i/>
                <w:lang w:eastAsia="zh-CN"/>
              </w:rPr>
            </w:pPr>
            <w:r>
              <w:rPr>
                <w:b/>
                <w:i/>
                <w:lang w:eastAsia="zh-CN"/>
              </w:rPr>
              <w:t xml:space="preserve">Proposal </w:t>
            </w:r>
            <w:r>
              <w:rPr>
                <w:rFonts w:hint="eastAsia"/>
                <w:b/>
                <w:i/>
                <w:lang w:eastAsia="zh-CN"/>
              </w:rPr>
              <w:t>1</w:t>
            </w:r>
            <w:r>
              <w:rPr>
                <w:b/>
                <w:i/>
                <w:lang w:eastAsia="zh-CN"/>
              </w:rPr>
              <w:t>：</w:t>
            </w:r>
            <w:r>
              <w:rPr>
                <w:rFonts w:hint="eastAsia"/>
                <w:b/>
                <w:i/>
                <w:lang w:eastAsia="zh-CN"/>
              </w:rPr>
              <w:t xml:space="preserve">For </w:t>
            </w:r>
            <w:r>
              <w:rPr>
                <w:b/>
                <w:i/>
                <w:lang w:eastAsia="zh-CN"/>
              </w:rPr>
              <w:t>search space set configuration of multi-slot PDCCH monitoring, the following definition is suggested:</w:t>
            </w:r>
          </w:p>
          <w:p>
            <w:pPr>
              <w:pStyle w:val="31"/>
              <w:widowControl w:val="0"/>
              <w:numPr>
                <w:ilvl w:val="0"/>
                <w:numId w:val="78"/>
              </w:numPr>
              <w:autoSpaceDE/>
              <w:autoSpaceDN/>
              <w:adjustRightInd/>
              <w:snapToGrid/>
              <w:spacing w:line="240" w:lineRule="auto"/>
              <w:jc w:val="both"/>
              <w:rPr>
                <w:b/>
                <w:i/>
                <w:lang w:eastAsia="zh-CN"/>
              </w:rPr>
            </w:pPr>
            <w:r>
              <w:rPr>
                <w:rFonts w:hint="eastAsia"/>
                <w:b/>
                <w:i/>
                <w:lang w:eastAsia="zh-CN"/>
              </w:rPr>
              <w:t>Offset: t</w:t>
            </w:r>
            <w:r>
              <w:rPr>
                <w:b/>
                <w:i/>
                <w:lang w:eastAsia="zh-CN"/>
              </w:rPr>
              <w:t>he value of offset can be configured as one of the value in {0 .. Xp-1}</w:t>
            </w:r>
          </w:p>
          <w:p>
            <w:pPr>
              <w:pStyle w:val="31"/>
              <w:widowControl w:val="0"/>
              <w:numPr>
                <w:ilvl w:val="0"/>
                <w:numId w:val="78"/>
              </w:numPr>
              <w:autoSpaceDE/>
              <w:autoSpaceDN/>
              <w:adjustRightInd/>
              <w:snapToGrid/>
              <w:spacing w:line="240" w:lineRule="auto"/>
              <w:jc w:val="both"/>
              <w:rPr>
                <w:b/>
                <w:i/>
                <w:lang w:eastAsia="zh-CN"/>
              </w:rPr>
            </w:pPr>
            <w:r>
              <w:rPr>
                <w:b/>
                <w:i/>
                <w:lang w:eastAsia="zh-CN"/>
              </w:rPr>
              <w:t>Duration: It is used to configure the number of consecutive slots that a SearchSpace lasts in every periodicity</w:t>
            </w:r>
            <w:r>
              <w:rPr>
                <w:rFonts w:hint="eastAsia"/>
                <w:b/>
                <w:i/>
                <w:lang w:eastAsia="zh-CN"/>
              </w:rPr>
              <w:t>.</w:t>
            </w:r>
            <w:r>
              <w:rPr>
                <w:b/>
                <w:i/>
                <w:lang w:val="en-GB" w:eastAsia="zh-CN"/>
              </w:rPr>
              <w:t xml:space="preserve"> For 480kHz SCS, if the value of duration-r17 is N, the number of consecutive 4-slots group is N/4 that a SearchSpace lasts in every periodicity. For 9</w:t>
            </w:r>
            <w:r>
              <w:rPr>
                <w:rFonts w:hint="eastAsia"/>
                <w:b/>
                <w:i/>
                <w:lang w:val="en-GB" w:eastAsia="zh-CN"/>
              </w:rPr>
              <w:t>6</w:t>
            </w:r>
            <w:r>
              <w:rPr>
                <w:b/>
                <w:i/>
                <w:lang w:val="en-GB" w:eastAsia="zh-CN"/>
              </w:rPr>
              <w:t>0kHz SCS, if the value of duration-r17 is N, the number of consecutive 8-slots group is N/8 that a SearchSpace lasts in every periodicity.</w:t>
            </w:r>
          </w:p>
          <w:p>
            <w:pPr>
              <w:pStyle w:val="31"/>
              <w:widowControl w:val="0"/>
              <w:numPr>
                <w:ilvl w:val="0"/>
                <w:numId w:val="78"/>
              </w:numPr>
              <w:autoSpaceDE/>
              <w:autoSpaceDN/>
              <w:adjustRightInd/>
              <w:snapToGrid/>
              <w:spacing w:after="0" w:line="240" w:lineRule="auto"/>
              <w:jc w:val="both"/>
              <w:rPr>
                <w:b/>
                <w:i/>
                <w:lang w:val="en-GB" w:eastAsia="zh-CN"/>
              </w:rPr>
            </w:pPr>
            <w:r>
              <w:rPr>
                <w:b/>
                <w:i/>
                <w:iCs/>
                <w:color w:val="000000"/>
              </w:rPr>
              <w:t>monitoringSlotsWithinSlotGroup-r17</w:t>
            </w:r>
            <w:r>
              <w:rPr>
                <w:rFonts w:hint="eastAsia"/>
                <w:b/>
                <w:lang w:val="en-GB" w:eastAsia="zh-CN"/>
              </w:rPr>
              <w:t xml:space="preserve">: </w:t>
            </w:r>
            <w:r>
              <w:rPr>
                <w:b/>
                <w:i/>
                <w:lang w:val="en-GB" w:eastAsia="zh-CN"/>
              </w:rPr>
              <w:t>For 480kHz SCS, only the first four most significant(left) bit are applicable and can be used to configure the slot for PDCCH monitoring that a SearchSpace lasts in every 4-slots.</w:t>
            </w:r>
            <w:r>
              <w:rPr>
                <w:rFonts w:hint="eastAsia"/>
                <w:b/>
                <w:i/>
                <w:lang w:val="en-GB" w:eastAsia="zh-CN"/>
              </w:rPr>
              <w:t xml:space="preserve"> </w:t>
            </w:r>
            <w:r>
              <w:rPr>
                <w:b/>
                <w:i/>
                <w:lang w:val="en-GB" w:eastAsia="zh-CN"/>
              </w:rPr>
              <w:t xml:space="preserve">For </w:t>
            </w:r>
            <w:r>
              <w:rPr>
                <w:rFonts w:hint="eastAsia"/>
                <w:b/>
                <w:i/>
                <w:lang w:val="en-GB" w:eastAsia="zh-CN"/>
              </w:rPr>
              <w:t>960</w:t>
            </w:r>
            <w:r>
              <w:rPr>
                <w:b/>
                <w:i/>
                <w:lang w:val="en-GB" w:eastAsia="zh-CN"/>
              </w:rPr>
              <w:t>kHz SCS</w:t>
            </w:r>
            <w:r>
              <w:rPr>
                <w:rFonts w:hint="eastAsia"/>
                <w:b/>
                <w:i/>
                <w:lang w:val="en-GB" w:eastAsia="zh-CN"/>
              </w:rPr>
              <w:t xml:space="preserve">, </w:t>
            </w:r>
            <w:r>
              <w:rPr>
                <w:b/>
                <w:i/>
                <w:lang w:val="en-GB" w:eastAsia="zh-CN"/>
              </w:rPr>
              <w:t>all the 8 bits are applicable and can be used to configure the slot for PDCCH monitoring that a SearchSpace lasts in every 8-slots.</w:t>
            </w:r>
          </w:p>
          <w:p>
            <w:pPr>
              <w:pStyle w:val="31"/>
              <w:widowControl w:val="0"/>
              <w:rPr>
                <w:bCs/>
                <w:lang w:val="en-GB" w:eastAsia="zh-CN"/>
              </w:rPr>
            </w:pPr>
          </w:p>
          <w:p>
            <w:pPr>
              <w:pStyle w:val="31"/>
              <w:widowControl w:val="0"/>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enables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lang w:eastAsia="zh-CN"/>
              </w:rPr>
              <w:t>In RAN1#107bis-e discussion</w:t>
            </w:r>
            <w:r>
              <w:rPr>
                <w:rFonts w:hint="eastAsia"/>
                <w:lang w:eastAsia="zh-CN"/>
              </w:rPr>
              <w:t xml:space="preserve">, </w:t>
            </w:r>
            <w:r>
              <w:rPr>
                <w:lang w:eastAsia="zh-CN"/>
              </w:rPr>
              <w:t>it is generally the common understanding that</w:t>
            </w:r>
            <w:r>
              <w:rPr>
                <w:rFonts w:hint="eastAsia"/>
                <w:lang w:eastAsia="zh-CN"/>
              </w:rPr>
              <w:t xml:space="preserve">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w:t>
            </w:r>
            <w:r>
              <w:rPr>
                <w:lang w:eastAsia="zh-CN"/>
              </w:rPr>
              <w:t>. Also the following was agreed</w:t>
            </w:r>
          </w:p>
          <w:tbl>
            <w:tblPr>
              <w:tblStyle w:val="55"/>
              <w:tblW w:w="93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1" w:hRule="atLeast"/>
              </w:trPr>
              <w:tc>
                <w:tcPr>
                  <w:tcW w:w="9304" w:type="dxa"/>
                  <w:vAlign w:val="center"/>
                </w:tcPr>
                <w:p>
                  <w:pPr>
                    <w:widowControl w:val="0"/>
                    <w:rPr>
                      <w:b/>
                      <w:u w:val="single"/>
                      <w:lang w:eastAsia="zh-CN"/>
                    </w:rPr>
                  </w:pPr>
                  <w:r>
                    <w:rPr>
                      <w:b/>
                      <w:u w:val="single"/>
                      <w:lang w:eastAsia="zh-CN"/>
                    </w:rPr>
                    <w:t>Conclusion</w:t>
                  </w:r>
                </w:p>
                <w:p>
                  <w:pPr>
                    <w:widowControl w:val="0"/>
                    <w:rPr>
                      <w:lang w:eastAsia="zh-CN"/>
                    </w:rPr>
                  </w:pPr>
                  <w:r>
                    <w:t>The SSSG switching timer is in units of slots.</w:t>
                  </w:r>
                </w:p>
              </w:tc>
            </w:tr>
          </w:tbl>
          <w:p>
            <w:pPr>
              <w:pStyle w:val="31"/>
              <w:widowControl w:val="0"/>
              <w:rPr>
                <w:lang w:eastAsia="zh-CN"/>
              </w:rPr>
            </w:pPr>
            <w:r>
              <w:rPr>
                <w:lang w:eastAsia="zh-CN"/>
              </w:rPr>
              <w:t>The next issue is the switching boundary</w:t>
            </w:r>
            <w:r>
              <w:rPr>
                <w:rFonts w:hint="eastAsia"/>
                <w:lang w:eastAsia="zh-CN"/>
              </w:rPr>
              <w:t>.</w:t>
            </w:r>
            <w:r>
              <w:rPr>
                <w:lang w:eastAsia="zh-CN"/>
              </w:rPr>
              <w:t xml:space="preserve"> </w:t>
            </w:r>
            <w:r>
              <w:rPr>
                <w:rFonts w:hint="eastAsia"/>
                <w:lang w:eastAsia="zh-CN"/>
              </w:rPr>
              <w:t>T</w:t>
            </w:r>
            <w:r>
              <w:rPr>
                <w:lang w:eastAsia="zh-CN"/>
              </w:rPr>
              <w:t>o simplify the behavior and reduce specification effort, it is suggested to align the boundary with the boundary of a slot group.</w:t>
            </w:r>
          </w:p>
          <w:p>
            <w:pPr>
              <w:pStyle w:val="31"/>
              <w:widowControl w:val="0"/>
              <w:rPr>
                <w:lang w:eastAsia="zh-CN"/>
              </w:rPr>
            </w:pPr>
            <w:r>
              <w:rPr>
                <w:rFonts w:hint="eastAsia"/>
                <w:b/>
                <w:i/>
                <w:lang w:eastAsia="zh-CN"/>
              </w:rPr>
              <w:t xml:space="preserve">Proposal 4: </w:t>
            </w:r>
            <w:r>
              <w:rPr>
                <w:rFonts w:hint="eastAsia"/>
              </w:rPr>
              <w:t xml:space="preserve"> </w:t>
            </w:r>
            <w:r>
              <w:rPr>
                <w:b/>
                <w:i/>
                <w:lang w:eastAsia="zh-CN"/>
              </w:rPr>
              <w:t>The SSSG switching boundary is aligned with the boundary of a slot group</w:t>
            </w:r>
            <w:r>
              <w:rPr>
                <w:rFonts w:hint="eastAsia"/>
                <w:b/>
                <w:i/>
                <w:lang w:eastAsia="zh-CN"/>
              </w:rPr>
              <w:t>.</w:t>
            </w:r>
          </w:p>
        </w:tc>
      </w:tr>
    </w:tbl>
    <w:p>
      <w:pPr>
        <w:rPr>
          <w:lang w:eastAsia="zh-CN"/>
        </w:rPr>
      </w:pPr>
    </w:p>
    <w:p>
      <w:pPr>
        <w:pStyle w:val="4"/>
      </w:pPr>
      <w:r>
        <w:t>R1-2201389 (ZTE, Sanechips)</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rFonts w:eastAsia="宋体"/>
                <w:bCs/>
                <w:lang w:eastAsia="zh-CN"/>
              </w:rPr>
            </w:pPr>
            <w:r>
              <w:rPr>
                <w:rFonts w:hint="eastAsia" w:eastAsia="宋体"/>
                <w:sz w:val="20"/>
                <w:szCs w:val="20"/>
                <w:lang w:eastAsia="zh-CN"/>
              </w:rPr>
              <w:t xml:space="preserve">For </w:t>
            </w:r>
            <w:r>
              <w:rPr>
                <w:rFonts w:hint="eastAsia" w:eastAsia="宋体"/>
                <w:bCs/>
                <w:i/>
                <w:iCs/>
                <w:lang w:eastAsia="zh-CN"/>
              </w:rPr>
              <w:t xml:space="preserve">monitoringSlotPeriodicityAndOffset-r17 </w:t>
            </w:r>
            <w:r>
              <w:rPr>
                <w:rFonts w:hint="eastAsia" w:eastAsia="宋体"/>
                <w:bCs/>
                <w:lang w:eastAsia="zh-CN"/>
              </w:rPr>
              <w:t>and</w:t>
            </w:r>
            <w:r>
              <w:rPr>
                <w:rFonts w:hint="eastAsia" w:eastAsia="宋体"/>
                <w:bCs/>
                <w:i/>
                <w:iCs/>
                <w:lang w:eastAsia="zh-CN"/>
              </w:rPr>
              <w:t xml:space="preserve"> duration-r17</w:t>
            </w:r>
            <w:r>
              <w:rPr>
                <w:rFonts w:hint="eastAsia" w:eastAsia="宋体"/>
                <w:bCs/>
                <w:lang w:eastAsia="zh-CN"/>
              </w:rPr>
              <w:t xml:space="preserve">, according to the agreement made in </w:t>
            </w:r>
            <w:r>
              <w:rPr>
                <w:rFonts w:hint="eastAsia"/>
                <w:sz w:val="20"/>
                <w:szCs w:val="20"/>
                <w:lang w:eastAsia="zh-CN"/>
              </w:rPr>
              <w:t>RAN1#107bis e-meeting,</w:t>
            </w:r>
            <w:r>
              <w:rPr>
                <w:rFonts w:hint="eastAsia" w:eastAsia="宋体"/>
                <w:bCs/>
                <w:lang w:eastAsia="zh-CN"/>
              </w:rPr>
              <w:t xml:space="preserve"> other appropriate periodicity values { sl32, sl64, sl128, sl5120, sl10240, sl20480} are added in addition to the existing configurable values. Moreover, additional restrictions are needed to make sure that the values of periodicity/duration for multi-slot PDCCH monitoring in FR2-2 are an integral multiple of slot groups. The configuration of periodicity/duration is intended not only for Group (1) SSs but also for Group (2) SSs, so we suggest changing the wordings in the agreement </w:t>
            </w:r>
            <w:r>
              <w:rPr>
                <w:rFonts w:eastAsia="宋体"/>
                <w:bCs/>
                <w:lang w:eastAsia="zh-CN"/>
              </w:rPr>
              <w:t>“The configured periodicity</w:t>
            </w:r>
            <w:r>
              <w:rPr>
                <w:rFonts w:hint="eastAsia" w:eastAsia="宋体"/>
                <w:bCs/>
                <w:lang w:eastAsia="zh-CN"/>
              </w:rPr>
              <w:t>/duration</w:t>
            </w:r>
            <w:r>
              <w:rPr>
                <w:rFonts w:eastAsia="宋体"/>
                <w:bCs/>
                <w:lang w:eastAsia="zh-CN"/>
              </w:rPr>
              <w:t xml:space="preserve"> at least for Group (1) SSs is restricted to be an integer multiple of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rFonts w:eastAsia="宋体"/>
                <w:bCs/>
                <w:lang w:eastAsia="zh-CN"/>
              </w:rPr>
              <w:t xml:space="preserve"> slots”</w:t>
            </w:r>
            <w:r>
              <w:rPr>
                <w:rFonts w:hint="eastAsia" w:eastAsia="宋体"/>
                <w:bCs/>
                <w:lang w:eastAsia="zh-CN"/>
              </w:rPr>
              <w:t xml:space="preserve"> to </w:t>
            </w:r>
            <w:r>
              <w:rPr>
                <w:rFonts w:eastAsia="宋体"/>
                <w:bCs/>
                <w:lang w:eastAsia="zh-CN"/>
              </w:rPr>
              <w:t>“</w:t>
            </w:r>
            <w:r>
              <w:rPr>
                <w:rFonts w:hint="eastAsia"/>
                <w:sz w:val="20"/>
                <w:szCs w:val="20"/>
                <w:lang w:eastAsia="zh-CN"/>
              </w:rPr>
              <w:t>The configured periodicity/duration</w:t>
            </w:r>
            <w:r>
              <w:rPr>
                <w:rFonts w:hint="eastAsia" w:eastAsia="宋体"/>
                <w:i/>
                <w:iCs/>
                <w:lang w:eastAsia="zh-CN"/>
              </w:rPr>
              <w:t xml:space="preserve"> </w:t>
            </w:r>
            <w:r>
              <w:rPr>
                <w:rFonts w:hint="eastAsia" w:eastAsia="宋体"/>
                <w:lang w:eastAsia="zh-CN"/>
              </w:rPr>
              <w:t xml:space="preserve">is restricted to be an integer multiple of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rFonts w:hint="eastAsia" w:eastAsia="宋体"/>
                <w:lang w:eastAsia="zh-CN"/>
              </w:rPr>
              <w:t xml:space="preserve"> slots for both Group (1) SSs and Group (2) SSs</w:t>
            </w:r>
            <w:r>
              <w:rPr>
                <w:rFonts w:eastAsia="宋体"/>
                <w:bCs/>
                <w:lang w:eastAsia="zh-CN"/>
              </w:rPr>
              <w:t>”</w:t>
            </w:r>
            <w:r>
              <w:rPr>
                <w:rFonts w:hint="eastAsia" w:eastAsia="宋体"/>
                <w:bCs/>
                <w:lang w:eastAsia="zh-CN"/>
              </w:rPr>
              <w:t>.</w:t>
            </w:r>
          </w:p>
          <w:p>
            <w:pPr>
              <w:widowControl w:val="0"/>
              <w:spacing w:before="180" w:line="260" w:lineRule="auto"/>
              <w:jc w:val="both"/>
              <w:rPr>
                <w:rFonts w:eastAsia="宋体"/>
                <w:bCs/>
                <w:lang w:eastAsia="zh-CN"/>
              </w:rPr>
            </w:pPr>
            <w:r>
              <w:rPr>
                <w:rFonts w:hint="eastAsia"/>
                <w:b/>
                <w:bCs/>
                <w:sz w:val="20"/>
                <w:szCs w:val="20"/>
                <w:lang w:eastAsia="zh-CN"/>
              </w:rPr>
              <w:t xml:space="preserve">Proposal 4: The configured periodicity in </w:t>
            </w:r>
            <w:r>
              <w:rPr>
                <w:rFonts w:hint="eastAsia" w:eastAsia="宋体"/>
                <w:b/>
                <w:bCs/>
                <w:i/>
                <w:iCs/>
                <w:lang w:eastAsia="zh-CN"/>
              </w:rPr>
              <w:t xml:space="preserve">monitoringSlotPeriodicityAndOffset-r17 </w:t>
            </w:r>
            <w:r>
              <w:rPr>
                <w:rFonts w:hint="eastAsia" w:eastAsia="宋体"/>
                <w:b/>
                <w:bCs/>
                <w:lang w:eastAsia="zh-CN"/>
              </w:rPr>
              <w:t>and duration in</w:t>
            </w:r>
            <w:r>
              <w:rPr>
                <w:rFonts w:hint="eastAsia" w:eastAsia="宋体"/>
                <w:b/>
                <w:bCs/>
                <w:i/>
                <w:iCs/>
                <w:lang w:eastAsia="zh-CN"/>
              </w:rPr>
              <w:t xml:space="preserve"> duration-r17 </w:t>
            </w:r>
            <w:r>
              <w:rPr>
                <w:rFonts w:hint="eastAsia" w:eastAsia="宋体"/>
                <w:b/>
                <w:bCs/>
                <w:lang w:eastAsia="zh-CN"/>
              </w:rPr>
              <w:t xml:space="preserve">are restricted to be an integer multiple of </w:t>
            </w:r>
            <m:oMath>
              <m:sSub>
                <m:sSubPr>
                  <m:ctrlPr>
                    <w:rPr>
                      <w:rFonts w:ascii="Cambria Math" w:hAnsi="Cambria Math"/>
                      <w:b/>
                      <w:bCs/>
                      <w:i/>
                      <w:lang w:eastAsia="zh-CN"/>
                    </w:rPr>
                  </m:ctrlPr>
                </m:sSubPr>
                <m:e>
                  <m:r>
                    <m:rPr>
                      <m:sty m:val="bi"/>
                    </m:rPr>
                    <w:rPr>
                      <w:rFonts w:ascii="Cambria Math" w:hAnsi="Cambria Math"/>
                      <w:lang w:eastAsia="zh-CN"/>
                    </w:rPr>
                    <m:t>X</m:t>
                  </m:r>
                  <m:ctrlPr>
                    <w:rPr>
                      <w:rFonts w:ascii="Cambria Math" w:hAnsi="Cambria Math"/>
                      <w:b/>
                      <w:bCs/>
                      <w:i/>
                      <w:lang w:eastAsia="zh-CN"/>
                    </w:rPr>
                  </m:ctrlPr>
                </m:e>
                <m:sub>
                  <m:r>
                    <m:rPr>
                      <m:sty m:val="bi"/>
                    </m:rPr>
                    <w:rPr>
                      <w:rFonts w:ascii="Cambria Math" w:hAnsi="Cambria Math"/>
                      <w:lang w:eastAsia="zh-CN"/>
                    </w:rPr>
                    <m:t>s</m:t>
                  </m:r>
                  <m:ctrlPr>
                    <w:rPr>
                      <w:rFonts w:ascii="Cambria Math" w:hAnsi="Cambria Math"/>
                      <w:b/>
                      <w:bCs/>
                      <w:i/>
                      <w:lang w:eastAsia="zh-CN"/>
                    </w:rPr>
                  </m:ctrlPr>
                </m:sub>
              </m:sSub>
            </m:oMath>
            <w:r>
              <w:rPr>
                <w:rFonts w:hint="eastAsia" w:eastAsia="宋体"/>
                <w:b/>
                <w:bCs/>
                <w:lang w:eastAsia="zh-CN"/>
              </w:rPr>
              <w:t xml:space="preserve"> slots for both Group (1) SSs and Group (2) SSs</w:t>
            </w:r>
            <w:r>
              <w:rPr>
                <w:rFonts w:hint="eastAsia"/>
                <w:b/>
                <w:bCs/>
                <w:sz w:val="20"/>
                <w:szCs w:val="20"/>
                <w:lang w:eastAsia="zh-CN"/>
              </w:rPr>
              <w:t>.</w:t>
            </w:r>
          </w:p>
          <w:p>
            <w:pPr>
              <w:widowControl w:val="0"/>
              <w:spacing w:after="0" w:line="260" w:lineRule="auto"/>
              <w:rPr>
                <w:bCs/>
                <w:lang w:eastAsia="zh-CN"/>
              </w:rPr>
            </w:pPr>
          </w:p>
          <w:p>
            <w:pPr>
              <w:widowControl w:val="0"/>
              <w:numPr>
                <w:ilvl w:val="255"/>
                <w:numId w:val="0"/>
              </w:numPr>
              <w:jc w:val="both"/>
              <w:rPr>
                <w:rFonts w:eastAsia="宋体"/>
                <w:lang w:eastAsia="zh-CN"/>
              </w:rPr>
            </w:pPr>
            <w:r>
              <w:rPr>
                <w:rFonts w:hint="eastAsia" w:eastAsia="宋体"/>
                <w:sz w:val="20"/>
                <w:szCs w:val="20"/>
                <w:lang w:eastAsia="zh-CN"/>
              </w:rPr>
              <w:t xml:space="preserve">Moreover, the current definition of </w:t>
            </w:r>
            <w:r>
              <w:rPr>
                <w:rFonts w:hint="eastAsia" w:eastAsia="宋体"/>
                <w:i/>
                <w:iCs/>
                <w:sz w:val="20"/>
                <w:szCs w:val="20"/>
                <w:lang w:eastAsia="zh-CN"/>
              </w:rPr>
              <w:t>duration</w:t>
            </w:r>
            <w:r>
              <w:rPr>
                <w:rFonts w:hint="eastAsia" w:eastAsia="宋体"/>
                <w:sz w:val="20"/>
                <w:szCs w:val="20"/>
                <w:lang w:eastAsia="zh-CN"/>
              </w:rPr>
              <w:t xml:space="preserve"> is </w:t>
            </w:r>
            <w:r>
              <w:rPr>
                <w:rFonts w:eastAsia="宋体"/>
                <w:sz w:val="20"/>
                <w:szCs w:val="20"/>
                <w:lang w:eastAsia="zh-CN"/>
              </w:rPr>
              <w:t>“Number of</w:t>
            </w:r>
            <w:r>
              <w:rPr>
                <w:rFonts w:eastAsia="宋体"/>
                <w:sz w:val="20"/>
                <w:szCs w:val="20"/>
                <w:highlight w:val="cyan"/>
                <w:lang w:eastAsia="zh-CN"/>
              </w:rPr>
              <w:t xml:space="preserve"> consecutive slots</w:t>
            </w:r>
            <w:r>
              <w:rPr>
                <w:rFonts w:eastAsia="宋体"/>
                <w:sz w:val="20"/>
                <w:szCs w:val="20"/>
                <w:lang w:eastAsia="zh-CN"/>
              </w:rPr>
              <w:t xml:space="preserve"> that a SearchSpace lasts in every occasion”</w:t>
            </w:r>
            <w:r>
              <w:rPr>
                <w:rFonts w:hint="eastAsia" w:eastAsia="宋体"/>
                <w:sz w:val="20"/>
                <w:szCs w:val="20"/>
                <w:lang w:eastAsia="zh-CN"/>
              </w:rPr>
              <w:t xml:space="preserve">. For slot-group based PDCCH monitoring, duration is restricted to be an integer multiple of </w:t>
            </w:r>
            <w:r>
              <w:rPr>
                <w:rFonts w:eastAsia="宋体"/>
                <w:iCs/>
                <w:sz w:val="20"/>
                <w:szCs w:val="20"/>
              </w:rPr>
              <w:t>Xs</w:t>
            </w:r>
            <w:r>
              <w:rPr>
                <w:rFonts w:hint="eastAsia" w:eastAsia="宋体"/>
                <w:iCs/>
                <w:sz w:val="20"/>
                <w:szCs w:val="20"/>
                <w:lang w:eastAsia="zh-CN"/>
              </w:rPr>
              <w:t xml:space="preserve"> of a slot group</w:t>
            </w:r>
            <w:r>
              <w:rPr>
                <w:rFonts w:hint="eastAsia" w:eastAsia="宋体"/>
                <w:sz w:val="20"/>
                <w:szCs w:val="20"/>
                <w:lang w:eastAsia="zh-CN"/>
              </w:rPr>
              <w:t xml:space="preserve"> and its unit is slot based on</w:t>
            </w:r>
            <w:r>
              <w:rPr>
                <w:rFonts w:hint="eastAsia" w:eastAsia="宋体"/>
                <w:bCs/>
                <w:lang w:eastAsia="zh-CN"/>
              </w:rPr>
              <w:t xml:space="preserve"> the agreement made in </w:t>
            </w:r>
            <w:r>
              <w:rPr>
                <w:rFonts w:hint="eastAsia"/>
                <w:sz w:val="20"/>
                <w:szCs w:val="20"/>
                <w:lang w:eastAsia="zh-CN"/>
              </w:rPr>
              <w:t xml:space="preserve">RAN1#107bis e-meeting, we propose to clarify the definition of </w:t>
            </w:r>
            <w:r>
              <w:rPr>
                <w:rFonts w:hint="eastAsia"/>
                <w:i/>
                <w:iCs/>
                <w:sz w:val="20"/>
                <w:szCs w:val="20"/>
                <w:lang w:eastAsia="zh-CN"/>
              </w:rPr>
              <w:t>duration-r17</w:t>
            </w:r>
            <w:r>
              <w:rPr>
                <w:rFonts w:hint="eastAsia"/>
                <w:sz w:val="20"/>
                <w:szCs w:val="20"/>
                <w:lang w:eastAsia="zh-CN"/>
              </w:rPr>
              <w:t xml:space="preserve"> as </w:t>
            </w:r>
            <w:r>
              <w:rPr>
                <w:sz w:val="20"/>
                <w:szCs w:val="20"/>
                <w:lang w:eastAsia="zh-CN"/>
              </w:rPr>
              <w:t>“</w:t>
            </w:r>
            <w:r>
              <w:rPr>
                <w:rFonts w:hint="eastAsia"/>
                <w:sz w:val="20"/>
                <w:szCs w:val="20"/>
                <w:lang w:eastAsia="zh-CN"/>
              </w:rPr>
              <w:t xml:space="preserve">number of slots that a </w:t>
            </w:r>
            <w:r>
              <w:rPr>
                <w:rFonts w:hint="eastAsia"/>
                <w:lang w:eastAsia="zh-CN"/>
              </w:rPr>
              <w:t>SearchSpace lasts for a couple of consecutive slot groups in every occasion</w:t>
            </w:r>
            <w:r>
              <w:rPr>
                <w:sz w:val="20"/>
                <w:szCs w:val="20"/>
                <w:lang w:eastAsia="zh-CN"/>
              </w:rPr>
              <w:t>”</w:t>
            </w:r>
            <w:r>
              <w:rPr>
                <w:rFonts w:hint="eastAsia"/>
                <w:sz w:val="20"/>
                <w:szCs w:val="20"/>
                <w:lang w:eastAsia="zh-CN"/>
              </w:rPr>
              <w:t xml:space="preserve">. </w:t>
            </w:r>
            <w:r>
              <w:rPr>
                <w:rFonts w:hint="eastAsia"/>
                <w:lang w:eastAsia="zh-CN"/>
              </w:rPr>
              <w:t xml:space="preserve">If </w:t>
            </w:r>
            <w:r>
              <w:rPr>
                <w:rFonts w:hint="eastAsia"/>
                <w:i/>
                <w:iCs/>
                <w:lang w:eastAsia="zh-CN"/>
              </w:rPr>
              <w:t>duration-r17</w:t>
            </w:r>
            <w:r>
              <w:rPr>
                <w:rFonts w:hint="eastAsia"/>
                <w:lang w:eastAsia="zh-CN"/>
              </w:rPr>
              <w:t xml:space="preserve"> is absent, the UE applies the value 4 slots, except for DCI format 2_0.</w:t>
            </w:r>
          </w:p>
          <w:p>
            <w:pPr>
              <w:widowControl w:val="0"/>
              <w:spacing w:before="180" w:line="260" w:lineRule="auto"/>
              <w:jc w:val="both"/>
              <w:rPr>
                <w:lang w:eastAsia="zh-CN"/>
              </w:rPr>
            </w:pPr>
            <w:r>
              <w:rPr>
                <w:rFonts w:hint="eastAsia"/>
                <w:b/>
                <w:bCs/>
                <w:sz w:val="20"/>
                <w:szCs w:val="20"/>
                <w:lang w:eastAsia="zh-CN"/>
              </w:rPr>
              <w:t>Proposal 5: Further clarify the definition of</w:t>
            </w:r>
            <w:r>
              <w:rPr>
                <w:rFonts w:hint="eastAsia" w:eastAsia="宋体"/>
                <w:b/>
                <w:bCs/>
                <w:i/>
                <w:iCs/>
                <w:lang w:eastAsia="zh-CN"/>
              </w:rPr>
              <w:t xml:space="preserve"> duration-r17 </w:t>
            </w:r>
            <w:r>
              <w:rPr>
                <w:rFonts w:hint="eastAsia" w:eastAsia="宋体"/>
                <w:b/>
                <w:bCs/>
                <w:lang w:eastAsia="zh-CN"/>
              </w:rPr>
              <w:t xml:space="preserve">as: Number of slots that a SearchSpace lasts for a couple of consecutive slot groups in every occasion. If </w:t>
            </w:r>
            <w:r>
              <w:rPr>
                <w:rFonts w:hint="eastAsia"/>
                <w:b/>
                <w:bCs/>
                <w:i/>
                <w:iCs/>
                <w:sz w:val="20"/>
                <w:szCs w:val="20"/>
                <w:lang w:eastAsia="zh-CN"/>
              </w:rPr>
              <w:t>duration-r17</w:t>
            </w:r>
            <w:r>
              <w:rPr>
                <w:rFonts w:hint="eastAsia" w:eastAsia="宋体"/>
                <w:b/>
                <w:bCs/>
                <w:lang w:eastAsia="zh-CN"/>
              </w:rPr>
              <w:t xml:space="preserve"> is absent, the UE applies the value 4 slots, except for DCI format 2_0.</w:t>
            </w:r>
          </w:p>
          <w:p>
            <w:pPr>
              <w:widowControl w:val="0"/>
              <w:spacing w:after="0" w:line="260" w:lineRule="auto"/>
              <w:rPr>
                <w:b/>
                <w:lang w:eastAsia="zh-CN"/>
              </w:rPr>
            </w:pPr>
          </w:p>
          <w:p>
            <w:pPr>
              <w:widowControl w:val="0"/>
              <w:spacing w:before="120" w:beforeLines="50" w:line="260" w:lineRule="auto"/>
              <w:jc w:val="both"/>
              <w:rPr>
                <w:rFonts w:eastAsia="宋体"/>
                <w:bCs/>
                <w:lang w:eastAsia="zh-CN"/>
              </w:rPr>
            </w:pPr>
            <w:r>
              <w:rPr>
                <w:rFonts w:hint="eastAsia"/>
                <w:sz w:val="20"/>
                <w:szCs w:val="20"/>
                <w:lang w:eastAsia="zh-CN"/>
              </w:rPr>
              <w:t xml:space="preserve">Basically, we are fine with introducing a new parameter </w:t>
            </w:r>
            <w:r>
              <w:rPr>
                <w:rFonts w:hint="eastAsia" w:eastAsia="宋体"/>
                <w:i/>
                <w:iCs/>
                <w:lang w:eastAsia="zh-CN"/>
              </w:rPr>
              <w:t xml:space="preserve">monitoringSlotsWithinSlotGroup-r17 </w:t>
            </w:r>
            <w:r>
              <w:rPr>
                <w:rFonts w:hint="eastAsia" w:eastAsia="宋体"/>
                <w:lang w:eastAsia="zh-CN"/>
              </w:rPr>
              <w:t xml:space="preserve">to indicate which slots have monitoring occasions within a slot group for SCS 480/960 kHz. However, we think the configuration of  parameter </w:t>
            </w:r>
            <w:r>
              <w:rPr>
                <w:rFonts w:hint="eastAsia" w:eastAsia="宋体"/>
                <w:i/>
                <w:iCs/>
                <w:lang w:eastAsia="zh-CN"/>
              </w:rPr>
              <w:t xml:space="preserve">monitoringSlotsWithinSlotGroup-r17 </w:t>
            </w:r>
            <w:r>
              <w:rPr>
                <w:rFonts w:hint="eastAsia" w:eastAsia="宋体"/>
                <w:lang w:eastAsia="zh-CN"/>
              </w:rPr>
              <w:t xml:space="preserve">should align with the configuration of offset in </w:t>
            </w:r>
            <w:r>
              <w:rPr>
                <w:rFonts w:hint="eastAsia" w:eastAsia="宋体"/>
                <w:sz w:val="20"/>
                <w:szCs w:val="20"/>
                <w:lang w:eastAsia="zh-CN"/>
              </w:rPr>
              <w:t xml:space="preserve"> </w:t>
            </w:r>
            <w:r>
              <w:rPr>
                <w:rFonts w:hint="eastAsia" w:eastAsia="宋体"/>
                <w:bCs/>
                <w:i/>
                <w:iCs/>
                <w:lang w:eastAsia="zh-CN"/>
              </w:rPr>
              <w:t>monitoringSlotPeriodicityAndOffset-r17</w:t>
            </w:r>
            <w:r>
              <w:rPr>
                <w:rFonts w:hint="eastAsia" w:eastAsia="宋体"/>
                <w:lang w:eastAsia="zh-CN"/>
              </w:rPr>
              <w:t xml:space="preserve">. </w:t>
            </w:r>
            <w:r>
              <w:rPr>
                <w:rFonts w:hint="eastAsia" w:eastAsia="宋体"/>
                <w:bCs/>
                <w:lang w:eastAsia="zh-CN"/>
              </w:rPr>
              <w:t>The value range for the offset O is {0 .. Xp-1} slots for each periodicity value Xp and its unit is slot.</w:t>
            </w:r>
            <w:r>
              <w:rPr>
                <w:rFonts w:hint="eastAsia" w:eastAsia="宋体"/>
                <w:sz w:val="20"/>
                <w:szCs w:val="20"/>
                <w:lang w:eastAsia="zh-CN"/>
              </w:rPr>
              <w:t xml:space="preserve"> The offset indicates the slot offset between PDCCH monitoring occasion and frame boundary according to the current specification in TS 38.213 as follows: </w:t>
            </w:r>
          </w:p>
          <w:tbl>
            <w:tblPr>
              <w:tblStyle w:val="55"/>
              <w:tblW w:w="96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0" w:type="dxa"/>
                  <w:vAlign w:val="center"/>
                </w:tcPr>
                <w:p>
                  <w:pPr>
                    <w:widowControl w:val="0"/>
                    <w:spacing w:line="260" w:lineRule="auto"/>
                    <w:ind w:left="440" w:leftChars="200"/>
                    <w:jc w:val="both"/>
                    <w:rPr>
                      <w:lang w:eastAsia="en-GB"/>
                    </w:rPr>
                  </w:pPr>
                  <w:r>
                    <w:rPr>
                      <w:rFonts w:eastAsia="Times New Roman"/>
                      <w:sz w:val="20"/>
                      <w:szCs w:val="20"/>
                      <w:lang w:val="en-GB" w:eastAsia="en-GB"/>
                    </w:rPr>
                    <w:t>-</w:t>
                  </w:r>
                  <w:r>
                    <w:rPr>
                      <w:rFonts w:eastAsia="Times New Roman"/>
                      <w:sz w:val="20"/>
                      <w:szCs w:val="20"/>
                      <w:lang w:val="en-GB" w:eastAsia="en-GB"/>
                    </w:rPr>
                    <w:tab/>
                  </w:r>
                  <w:r>
                    <w:rPr>
                      <w:rFonts w:eastAsia="Times New Roman"/>
                      <w:sz w:val="20"/>
                      <w:szCs w:val="20"/>
                      <w:lang w:val="en-GB" w:eastAsia="en-GB"/>
                    </w:rPr>
                    <w:t xml:space="preserve">a PDCCH monitoring periodicity of </w:t>
                  </w:r>
                  <m:oMath>
                    <m:sSub>
                      <m:sSubPr>
                        <m:ctrlPr>
                          <w:rPr>
                            <w:rFonts w:ascii="Cambria Math" w:hAnsi="Cambria Math"/>
                            <w:i/>
                            <w:sz w:val="20"/>
                            <w:szCs w:val="20"/>
                          </w:rPr>
                        </m:ctrlPr>
                      </m:sSubPr>
                      <m:e>
                        <m:r>
                          <w:rPr>
                            <w:rFonts w:ascii="Cambria Math" w:hAnsi="Cambria Math"/>
                            <w:sz w:val="20"/>
                            <w:szCs w:val="20"/>
                          </w:rPr>
                          <m:t>k</m:t>
                        </m:r>
                        <m:ctrlPr>
                          <w:rPr>
                            <w:rFonts w:ascii="Cambria Math" w:hAnsi="Cambria Math"/>
                            <w:i/>
                            <w:sz w:val="20"/>
                            <w:szCs w:val="20"/>
                          </w:rPr>
                        </m:ctrlPr>
                      </m:e>
                      <m:sub>
                        <m:r>
                          <w:rPr>
                            <w:rFonts w:ascii="Cambria Math" w:hAnsi="Cambria Math"/>
                            <w:sz w:val="20"/>
                            <w:szCs w:val="20"/>
                          </w:rPr>
                          <m:t>s</m:t>
                        </m:r>
                        <m:ctrlPr>
                          <w:rPr>
                            <w:rFonts w:ascii="Cambria Math" w:hAnsi="Cambria Math"/>
                            <w:i/>
                            <w:sz w:val="20"/>
                            <w:szCs w:val="20"/>
                          </w:rPr>
                        </m:ctrlPr>
                      </m:sub>
                    </m:sSub>
                  </m:oMath>
                  <w:r>
                    <w:rPr>
                      <w:rFonts w:eastAsia="Times New Roman"/>
                      <w:sz w:val="20"/>
                      <w:szCs w:val="20"/>
                      <w:lang w:val="en-GB" w:eastAsia="en-GB"/>
                    </w:rPr>
                    <w:t xml:space="preserve"> slots </w:t>
                  </w:r>
                  <w:r>
                    <w:rPr>
                      <w:rFonts w:eastAsia="Times New Roman"/>
                      <w:sz w:val="20"/>
                      <w:szCs w:val="20"/>
                      <w:lang w:eastAsia="en-GB"/>
                    </w:rPr>
                    <w:t xml:space="preserve">and </w:t>
                  </w:r>
                  <w:r>
                    <w:rPr>
                      <w:rFonts w:eastAsia="Times New Roman"/>
                      <w:sz w:val="20"/>
                      <w:szCs w:val="20"/>
                      <w:lang w:val="en-GB" w:eastAsia="en-GB"/>
                    </w:rPr>
                    <w:t xml:space="preserve">a PDCCH monitoring offset of </w:t>
                  </w:r>
                  <m:oMath>
                    <m:sSub>
                      <m:sSubPr>
                        <m:ctrlPr>
                          <w:rPr>
                            <w:rFonts w:ascii="Cambria Math" w:hAnsi="Cambria Math"/>
                            <w:i/>
                            <w:sz w:val="20"/>
                            <w:szCs w:val="20"/>
                          </w:rPr>
                        </m:ctrlPr>
                      </m:sSubPr>
                      <m:e>
                        <m:r>
                          <w:rPr>
                            <w:rFonts w:ascii="Cambria Math" w:hAnsi="Cambria Math"/>
                            <w:sz w:val="20"/>
                            <w:szCs w:val="20"/>
                          </w:rPr>
                          <m:t>o</m:t>
                        </m:r>
                        <m:ctrlPr>
                          <w:rPr>
                            <w:rFonts w:ascii="Cambria Math" w:hAnsi="Cambria Math"/>
                            <w:i/>
                            <w:sz w:val="20"/>
                            <w:szCs w:val="20"/>
                          </w:rPr>
                        </m:ctrlPr>
                      </m:e>
                      <m:sub>
                        <m:r>
                          <w:rPr>
                            <w:rFonts w:ascii="Cambria Math" w:hAnsi="Cambria Math"/>
                            <w:sz w:val="20"/>
                            <w:szCs w:val="20"/>
                          </w:rPr>
                          <m:t>s</m:t>
                        </m:r>
                        <m:ctrlPr>
                          <w:rPr>
                            <w:rFonts w:ascii="Cambria Math" w:hAnsi="Cambria Math"/>
                            <w:i/>
                            <w:sz w:val="20"/>
                            <w:szCs w:val="20"/>
                          </w:rPr>
                        </m:ctrlPr>
                      </m:sub>
                    </m:sSub>
                  </m:oMath>
                  <w:r>
                    <w:rPr>
                      <w:rFonts w:eastAsia="Times New Roman"/>
                      <w:sz w:val="20"/>
                      <w:szCs w:val="20"/>
                      <w:lang w:val="en-GB" w:eastAsia="en-GB"/>
                    </w:rPr>
                    <w:t xml:space="preserve"> slots, by </w:t>
                  </w:r>
                  <w:r>
                    <w:rPr>
                      <w:rFonts w:eastAsia="Times New Roman"/>
                      <w:i/>
                      <w:sz w:val="20"/>
                      <w:szCs w:val="20"/>
                      <w:lang w:val="en-GB" w:eastAsia="en-GB"/>
                    </w:rPr>
                    <w:t>monitoringSlotPeriodicityAndOffset</w:t>
                  </w:r>
                </w:p>
                <w:p>
                  <w:pPr>
                    <w:widowControl w:val="0"/>
                    <w:spacing w:line="260" w:lineRule="auto"/>
                    <w:jc w:val="both"/>
                    <w:rPr>
                      <w:rFonts w:eastAsia="宋体"/>
                      <w:bCs/>
                      <w:lang w:eastAsia="zh-CN"/>
                    </w:rPr>
                  </w:pPr>
                  <w:r>
                    <w:rPr>
                      <w:rFonts w:eastAsia="宋体"/>
                      <w:sz w:val="20"/>
                      <w:szCs w:val="20"/>
                    </w:rPr>
                    <w:t xml:space="preserve">A UE determines a PDCCH monitoring occasion on an active DL BWP from the PDCCH monitoring periodicity, the PDCCH monitoring offset, and the PDCCH monitoring pattern within a slot. </w:t>
                  </w:r>
                  <w:r>
                    <w:rPr>
                      <w:rFonts w:eastAsia="Yu Mincho"/>
                      <w:sz w:val="20"/>
                      <w:szCs w:val="20"/>
                    </w:rPr>
                    <w:t xml:space="preserve">For search space set </w:t>
                  </w:r>
                  <m:oMath>
                    <m:r>
                      <w:rPr>
                        <w:rFonts w:ascii="Cambria Math" w:hAnsi="Cambria Math"/>
                        <w:sz w:val="20"/>
                        <w:szCs w:val="20"/>
                      </w:rPr>
                      <m:t>s</m:t>
                    </m:r>
                  </m:oMath>
                  <w:r>
                    <w:rPr>
                      <w:rFonts w:eastAsia="Yu Mincho"/>
                      <w:sz w:val="20"/>
                      <w:szCs w:val="20"/>
                    </w:rPr>
                    <w:t xml:space="preserve">, the UE determines that </w:t>
                  </w:r>
                  <w:r>
                    <w:rPr>
                      <w:rFonts w:eastAsia="Yu Mincho"/>
                      <w:sz w:val="20"/>
                      <w:szCs w:val="20"/>
                      <w:highlight w:val="cyan"/>
                    </w:rPr>
                    <w:t>a PDCCH monitoring occasion(s)</w:t>
                  </w:r>
                  <w:r>
                    <w:rPr>
                      <w:rFonts w:eastAsia="Yu Mincho"/>
                      <w:sz w:val="20"/>
                      <w:szCs w:val="20"/>
                    </w:rPr>
                    <w:t xml:space="preserve"> exists in a slot with number </w:t>
                  </w:r>
                  <m:oMath>
                    <m:sSubSup>
                      <m:sSubSupPr>
                        <m:ctrlPr>
                          <w:rPr>
                            <w:rFonts w:ascii="Cambria Math" w:hAnsi="Cambria Math"/>
                            <w:i/>
                            <w:sz w:val="20"/>
                            <w:szCs w:val="20"/>
                          </w:rPr>
                        </m:ctrlPr>
                      </m:sSubSupPr>
                      <m:e>
                        <m:r>
                          <w:rPr>
                            <w:rFonts w:ascii="Cambria Math" w:hAnsi="Cambria Math"/>
                            <w:sz w:val="20"/>
                            <w:szCs w:val="20"/>
                          </w:rPr>
                          <m:t>n</m:t>
                        </m:r>
                        <m:ctrlPr>
                          <w:rPr>
                            <w:rFonts w:ascii="Cambria Math" w:hAnsi="Cambria Math"/>
                            <w:i/>
                            <w:sz w:val="20"/>
                            <w:szCs w:val="20"/>
                          </w:rPr>
                        </m:ctrlPr>
                      </m:e>
                      <m:sub>
                        <m:r>
                          <w:rPr>
                            <w:rFonts w:ascii="Cambria Math" w:hAnsi="Cambria Math"/>
                            <w:sz w:val="20"/>
                            <w:szCs w:val="20"/>
                          </w:rPr>
                          <m:t>s,f</m:t>
                        </m:r>
                        <m:ctrlPr>
                          <w:rPr>
                            <w:rFonts w:ascii="Cambria Math" w:hAnsi="Cambria Math"/>
                            <w:i/>
                            <w:sz w:val="20"/>
                            <w:szCs w:val="20"/>
                          </w:rPr>
                        </m:ctrlPr>
                      </m:sub>
                      <m:sup>
                        <m:r>
                          <w:rPr>
                            <w:rFonts w:ascii="Cambria Math" w:hAnsi="Cambria Math"/>
                            <w:sz w:val="20"/>
                            <w:szCs w:val="20"/>
                          </w:rPr>
                          <m:t>μ</m:t>
                        </m:r>
                        <m:ctrlPr>
                          <w:rPr>
                            <w:rFonts w:ascii="Cambria Math" w:hAnsi="Cambria Math"/>
                            <w:i/>
                            <w:sz w:val="20"/>
                            <w:szCs w:val="20"/>
                          </w:rPr>
                        </m:ctrlPr>
                      </m:sup>
                    </m:sSubSup>
                  </m:oMath>
                  <w:r>
                    <w:rPr>
                      <w:rFonts w:eastAsia="宋体"/>
                      <w:sz w:val="20"/>
                      <w:szCs w:val="20"/>
                    </w:rPr>
                    <w:t xml:space="preserve"> [4, TS 38.211] in a frame with number </w:t>
                  </w:r>
                  <m:oMath>
                    <m:sSub>
                      <m:sSubPr>
                        <m:ctrlPr>
                          <w:rPr>
                            <w:rFonts w:ascii="Cambria Math" w:hAnsi="Cambria Math"/>
                            <w:i/>
                            <w:sz w:val="20"/>
                            <w:szCs w:val="20"/>
                          </w:rPr>
                        </m:ctrlPr>
                      </m:sSubPr>
                      <m:e>
                        <m:r>
                          <w:rPr>
                            <w:rFonts w:ascii="Cambria Math" w:hAnsi="Cambria Math"/>
                            <w:sz w:val="20"/>
                            <w:szCs w:val="20"/>
                          </w:rPr>
                          <m:t>n</m:t>
                        </m:r>
                        <m:ctrlPr>
                          <w:rPr>
                            <w:rFonts w:ascii="Cambria Math" w:hAnsi="Cambria Math"/>
                            <w:i/>
                            <w:sz w:val="20"/>
                            <w:szCs w:val="20"/>
                          </w:rPr>
                        </m:ctrlPr>
                      </m:e>
                      <m:sub>
                        <m:r>
                          <w:rPr>
                            <w:rFonts w:ascii="Cambria Math" w:hAnsi="Cambria Math"/>
                            <w:sz w:val="20"/>
                            <w:szCs w:val="20"/>
                          </w:rPr>
                          <m:t>f</m:t>
                        </m:r>
                        <m:ctrlPr>
                          <w:rPr>
                            <w:rFonts w:ascii="Cambria Math" w:hAnsi="Cambria Math"/>
                            <w:i/>
                            <w:sz w:val="20"/>
                            <w:szCs w:val="20"/>
                          </w:rPr>
                        </m:ctrlPr>
                      </m:sub>
                    </m:sSub>
                  </m:oMath>
                  <w:r>
                    <w:rPr>
                      <w:rFonts w:eastAsia="宋体"/>
                      <w:sz w:val="20"/>
                      <w:szCs w:val="20"/>
                    </w:rPr>
                    <w:t xml:space="preserve"> if </w:t>
                  </w:r>
                  <w:r>
                    <w:rPr>
                      <w:rFonts w:eastAsia="宋体"/>
                      <w:sz w:val="20"/>
                      <w:szCs w:val="20"/>
                      <w:highlight w:val="cyan"/>
                    </w:rPr>
                    <w:t>(</w:t>
                  </w:r>
                  <m:oMath>
                    <m:sSub>
                      <m:sSubPr>
                        <m:ctrlPr>
                          <w:rPr>
                            <w:rFonts w:ascii="Cambria Math" w:hAnsi="Cambria Math"/>
                            <w:i/>
                            <w:sz w:val="20"/>
                            <w:szCs w:val="20"/>
                            <w:highlight w:val="cyan"/>
                          </w:rPr>
                        </m:ctrlPr>
                      </m:sSubPr>
                      <m:e>
                        <m:r>
                          <w:rPr>
                            <w:rFonts w:ascii="Cambria Math" w:hAnsi="Cambria Math"/>
                            <w:sz w:val="20"/>
                            <w:szCs w:val="20"/>
                            <w:highlight w:val="cyan"/>
                          </w:rPr>
                          <m:t>n</m:t>
                        </m:r>
                        <m:ctrlPr>
                          <w:rPr>
                            <w:rFonts w:ascii="Cambria Math" w:hAnsi="Cambria Math"/>
                            <w:i/>
                            <w:sz w:val="20"/>
                            <w:szCs w:val="20"/>
                            <w:highlight w:val="cyan"/>
                          </w:rPr>
                        </m:ctrlPr>
                      </m:e>
                      <m:sub>
                        <m:r>
                          <w:rPr>
                            <w:rFonts w:ascii="Cambria Math" w:hAnsi="Cambria Math"/>
                            <w:sz w:val="20"/>
                            <w:szCs w:val="20"/>
                            <w:highlight w:val="cyan"/>
                          </w:rPr>
                          <m:t>f</m:t>
                        </m:r>
                        <m:ctrlPr>
                          <w:rPr>
                            <w:rFonts w:ascii="Cambria Math" w:hAnsi="Cambria Math"/>
                            <w:i/>
                            <w:sz w:val="20"/>
                            <w:szCs w:val="20"/>
                            <w:highlight w:val="cyan"/>
                          </w:rPr>
                        </m:ctrlPr>
                      </m:sub>
                    </m:sSub>
                  </m:oMath>
                  <w:r>
                    <w:rPr>
                      <w:rFonts w:eastAsia="等线"/>
                      <w:sz w:val="20"/>
                      <w:szCs w:val="20"/>
                      <w:highlight w:val="cyan"/>
                    </w:rPr>
                    <w:t xml:space="preserve">. </w:t>
                  </w:r>
                  <m:oMath>
                    <m:sSubSup>
                      <m:sSubSupPr>
                        <m:ctrlPr>
                          <w:rPr>
                            <w:rFonts w:ascii="Cambria Math" w:hAnsi="Cambria Math"/>
                            <w:i/>
                            <w:sz w:val="20"/>
                            <w:szCs w:val="20"/>
                            <w:highlight w:val="cyan"/>
                          </w:rPr>
                        </m:ctrlPr>
                      </m:sSubSupPr>
                      <m:e>
                        <m:r>
                          <w:rPr>
                            <w:rFonts w:ascii="Cambria Math" w:hAnsi="Cambria Math"/>
                            <w:sz w:val="20"/>
                            <w:szCs w:val="20"/>
                            <w:highlight w:val="cyan"/>
                          </w:rPr>
                          <m:t>N</m:t>
                        </m:r>
                        <m:ctrlPr>
                          <w:rPr>
                            <w:rFonts w:ascii="Cambria Math" w:hAnsi="Cambria Math"/>
                            <w:i/>
                            <w:sz w:val="20"/>
                            <w:szCs w:val="20"/>
                            <w:highlight w:val="cyan"/>
                          </w:rPr>
                        </m:ctrlPr>
                      </m:e>
                      <m:sub>
                        <m:r>
                          <w:rPr>
                            <w:rFonts w:ascii="Cambria Math" w:hAnsi="Cambria Math"/>
                            <w:sz w:val="20"/>
                            <w:szCs w:val="20"/>
                            <w:highlight w:val="cyan"/>
                          </w:rPr>
                          <m:t xml:space="preserve">slot </m:t>
                        </m:r>
                        <m:ctrlPr>
                          <w:rPr>
                            <w:rFonts w:ascii="Cambria Math" w:hAnsi="Cambria Math"/>
                            <w:i/>
                            <w:sz w:val="20"/>
                            <w:szCs w:val="20"/>
                            <w:highlight w:val="cyan"/>
                          </w:rPr>
                        </m:ctrlPr>
                      </m:sub>
                      <m:sup>
                        <m:r>
                          <w:rPr>
                            <w:rFonts w:ascii="Cambria Math" w:hAnsi="Cambria Math"/>
                            <w:sz w:val="20"/>
                            <w:szCs w:val="20"/>
                            <w:highlight w:val="cyan"/>
                          </w:rPr>
                          <m:t>frame, μ</m:t>
                        </m:r>
                        <m:ctrlPr>
                          <w:rPr>
                            <w:rFonts w:ascii="Cambria Math" w:hAnsi="Cambria Math"/>
                            <w:i/>
                            <w:sz w:val="20"/>
                            <w:szCs w:val="20"/>
                            <w:highlight w:val="cyan"/>
                          </w:rPr>
                        </m:ctrlPr>
                      </m:sup>
                    </m:sSubSup>
                  </m:oMath>
                  <w:r>
                    <w:rPr>
                      <w:rFonts w:eastAsia="等线"/>
                      <w:sz w:val="20"/>
                      <w:szCs w:val="20"/>
                      <w:highlight w:val="cyan"/>
                    </w:rPr>
                    <w:t>+</w:t>
                  </w:r>
                  <m:oMath>
                    <m:r>
                      <w:rPr>
                        <w:rFonts w:ascii="Cambria Math" w:hAnsi="Cambria Math"/>
                        <w:sz w:val="20"/>
                        <w:szCs w:val="20"/>
                        <w:highlight w:val="cyan"/>
                      </w:rPr>
                      <m:t xml:space="preserve"> </m:t>
                    </m:r>
                    <m:sSubSup>
                      <m:sSubSupPr>
                        <m:ctrlPr>
                          <w:rPr>
                            <w:rFonts w:ascii="Cambria Math" w:hAnsi="Cambria Math"/>
                            <w:i/>
                            <w:sz w:val="20"/>
                            <w:szCs w:val="20"/>
                            <w:highlight w:val="cyan"/>
                          </w:rPr>
                        </m:ctrlPr>
                      </m:sSubSupPr>
                      <m:e>
                        <m:r>
                          <w:rPr>
                            <w:rFonts w:ascii="Cambria Math" w:hAnsi="Cambria Math"/>
                            <w:sz w:val="20"/>
                            <w:szCs w:val="20"/>
                            <w:highlight w:val="cyan"/>
                          </w:rPr>
                          <m:t>n</m:t>
                        </m:r>
                        <m:ctrlPr>
                          <w:rPr>
                            <w:rFonts w:ascii="Cambria Math" w:hAnsi="Cambria Math"/>
                            <w:i/>
                            <w:sz w:val="20"/>
                            <w:szCs w:val="20"/>
                            <w:highlight w:val="cyan"/>
                          </w:rPr>
                        </m:ctrlPr>
                      </m:e>
                      <m:sub>
                        <m:r>
                          <w:rPr>
                            <w:rFonts w:ascii="Cambria Math" w:hAnsi="Cambria Math"/>
                            <w:sz w:val="20"/>
                            <w:szCs w:val="20"/>
                            <w:highlight w:val="cyan"/>
                          </w:rPr>
                          <m:t xml:space="preserve">s,f </m:t>
                        </m:r>
                        <m:ctrlPr>
                          <w:rPr>
                            <w:rFonts w:ascii="Cambria Math" w:hAnsi="Cambria Math"/>
                            <w:i/>
                            <w:sz w:val="20"/>
                            <w:szCs w:val="20"/>
                            <w:highlight w:val="cyan"/>
                          </w:rPr>
                        </m:ctrlPr>
                      </m:sub>
                      <m:sup>
                        <m:r>
                          <w:rPr>
                            <w:rFonts w:ascii="Cambria Math" w:hAnsi="Cambria Math"/>
                            <w:sz w:val="20"/>
                            <w:szCs w:val="20"/>
                            <w:highlight w:val="cyan"/>
                          </w:rPr>
                          <m:t>μ</m:t>
                        </m:r>
                        <m:ctrlPr>
                          <w:rPr>
                            <w:rFonts w:ascii="Cambria Math" w:hAnsi="Cambria Math"/>
                            <w:i/>
                            <w:sz w:val="20"/>
                            <w:szCs w:val="20"/>
                            <w:highlight w:val="cyan"/>
                          </w:rPr>
                        </m:ctrlPr>
                      </m:sup>
                    </m:sSubSup>
                  </m:oMath>
                  <w:r>
                    <w:rPr>
                      <w:rFonts w:eastAsia="等线"/>
                      <w:sz w:val="20"/>
                      <w:szCs w:val="20"/>
                      <w:highlight w:val="cyan"/>
                    </w:rPr>
                    <w:t>-</w:t>
                  </w:r>
                  <m:oMath>
                    <m:r>
                      <w:rPr>
                        <w:rFonts w:ascii="Cambria Math" w:hAnsi="Cambria Math" w:eastAsia="等线"/>
                        <w:sz w:val="20"/>
                        <w:szCs w:val="20"/>
                        <w:highlight w:val="cyan"/>
                      </w:rPr>
                      <m:t xml:space="preserve"> </m:t>
                    </m:r>
                    <m:sSub>
                      <m:sSubPr>
                        <m:ctrlPr>
                          <w:rPr>
                            <w:rFonts w:ascii="Cambria Math" w:hAnsi="Cambria Math"/>
                            <w:i/>
                            <w:sz w:val="20"/>
                            <w:szCs w:val="20"/>
                            <w:highlight w:val="cyan"/>
                          </w:rPr>
                        </m:ctrlPr>
                      </m:sSubPr>
                      <m:e>
                        <m:r>
                          <w:rPr>
                            <w:rFonts w:ascii="Cambria Math" w:hAnsi="Cambria Math"/>
                            <w:sz w:val="20"/>
                            <w:szCs w:val="20"/>
                            <w:highlight w:val="cyan"/>
                          </w:rPr>
                          <m:t>o</m:t>
                        </m:r>
                        <m:ctrlPr>
                          <w:rPr>
                            <w:rFonts w:ascii="Cambria Math" w:hAnsi="Cambria Math"/>
                            <w:i/>
                            <w:sz w:val="20"/>
                            <w:szCs w:val="20"/>
                            <w:highlight w:val="cyan"/>
                          </w:rPr>
                        </m:ctrlPr>
                      </m:e>
                      <m:sub>
                        <m:r>
                          <w:rPr>
                            <w:rFonts w:ascii="Cambria Math" w:hAnsi="Cambria Math"/>
                            <w:sz w:val="20"/>
                            <w:szCs w:val="20"/>
                            <w:highlight w:val="cyan"/>
                          </w:rPr>
                          <m:t>s</m:t>
                        </m:r>
                        <m:ctrlPr>
                          <w:rPr>
                            <w:rFonts w:ascii="Cambria Math" w:hAnsi="Cambria Math"/>
                            <w:i/>
                            <w:sz w:val="20"/>
                            <w:szCs w:val="20"/>
                            <w:highlight w:val="cyan"/>
                          </w:rPr>
                        </m:ctrlPr>
                      </m:sub>
                    </m:sSub>
                  </m:oMath>
                  <w:r>
                    <w:rPr>
                      <w:rFonts w:eastAsia="等线"/>
                      <w:sz w:val="20"/>
                      <w:szCs w:val="20"/>
                      <w:highlight w:val="cyan"/>
                    </w:rPr>
                    <w:t>)</w:t>
                  </w:r>
                  <m:oMath>
                    <m:r>
                      <w:rPr>
                        <w:rFonts w:ascii="Cambria Math" w:hAnsi="Cambria Math"/>
                        <w:sz w:val="20"/>
                        <w:szCs w:val="20"/>
                        <w:highlight w:val="cyan"/>
                      </w:rPr>
                      <m:t xml:space="preserve"> </m:t>
                    </m:r>
                    <m:r>
                      <m:rPr>
                        <m:sty m:val="p"/>
                      </m:rPr>
                      <w:rPr>
                        <w:rFonts w:ascii="Cambria Math" w:hAnsi="Cambria Math"/>
                        <w:sz w:val="20"/>
                        <w:szCs w:val="20"/>
                        <w:highlight w:val="cyan"/>
                      </w:rPr>
                      <m:t>mod</m:t>
                    </m:r>
                    <m:sSub>
                      <m:sSubPr>
                        <m:ctrlPr>
                          <w:rPr>
                            <w:rFonts w:ascii="Cambria Math" w:hAnsi="Cambria Math"/>
                            <w:i/>
                            <w:sz w:val="20"/>
                            <w:szCs w:val="20"/>
                            <w:highlight w:val="cyan"/>
                          </w:rPr>
                        </m:ctrlPr>
                      </m:sSubPr>
                      <m:e>
                        <m:r>
                          <w:rPr>
                            <w:rFonts w:ascii="Cambria Math" w:hAnsi="Cambria Math"/>
                            <w:sz w:val="20"/>
                            <w:szCs w:val="20"/>
                            <w:highlight w:val="cyan"/>
                          </w:rPr>
                          <m:t>k</m:t>
                        </m:r>
                        <m:ctrlPr>
                          <w:rPr>
                            <w:rFonts w:ascii="Cambria Math" w:hAnsi="Cambria Math"/>
                            <w:i/>
                            <w:sz w:val="20"/>
                            <w:szCs w:val="20"/>
                            <w:highlight w:val="cyan"/>
                          </w:rPr>
                        </m:ctrlPr>
                      </m:e>
                      <m:sub>
                        <m:r>
                          <w:rPr>
                            <w:rFonts w:ascii="Cambria Math" w:hAnsi="Cambria Math"/>
                            <w:sz w:val="20"/>
                            <w:szCs w:val="20"/>
                            <w:highlight w:val="cyan"/>
                          </w:rPr>
                          <m:t>s</m:t>
                        </m:r>
                        <m:ctrlPr>
                          <w:rPr>
                            <w:rFonts w:ascii="Cambria Math" w:hAnsi="Cambria Math"/>
                            <w:i/>
                            <w:sz w:val="20"/>
                            <w:szCs w:val="20"/>
                            <w:highlight w:val="cyan"/>
                          </w:rPr>
                        </m:ctrlPr>
                      </m:sub>
                    </m:sSub>
                    <m:r>
                      <w:rPr>
                        <w:rFonts w:ascii="Cambria Math" w:hAnsi="Cambria Math"/>
                        <w:sz w:val="20"/>
                        <w:szCs w:val="20"/>
                        <w:highlight w:val="cyan"/>
                      </w:rPr>
                      <m:t>=0</m:t>
                    </m:r>
                  </m:oMath>
                  <w:r>
                    <w:rPr>
                      <w:rFonts w:eastAsia="Yu Mincho"/>
                      <w:lang w:eastAsia="ja-JP"/>
                    </w:rPr>
                    <w:fldChar w:fldCharType="begin"/>
                  </w:r>
                  <w:r>
                    <w:rPr>
                      <w:rFonts w:eastAsia="Yu Mincho"/>
                      <w:sz w:val="20"/>
                      <w:szCs w:val="20"/>
                      <w:lang w:eastAsia="ja-JP"/>
                    </w:rPr>
                    <w:instrText xml:space="preserve"> QUOTE </w:instrText>
                  </w:r>
                  <m:oMath>
                    <m:d>
                      <m:dPr>
                        <m:ctrlPr>
                          <w:rPr>
                            <w:rFonts w:ascii="Cambria Math" w:hAnsi="Cambria Math" w:eastAsia="Yu Mincho"/>
                            <w:sz w:val="20"/>
                            <w:szCs w:val="20"/>
                          </w:rPr>
                        </m:ctrlPr>
                      </m:dPr>
                      <m:e>
                        <m:sSub>
                          <m:sSubPr>
                            <m:ctrlPr>
                              <w:rPr>
                                <w:rFonts w:ascii="Cambria Math" w:hAnsi="Cambria Math" w:eastAsia="Yu Mincho"/>
                                <w:sz w:val="20"/>
                                <w:szCs w:val="20"/>
                              </w:rPr>
                            </m:ctrlPr>
                          </m:sSubPr>
                          <m:e>
                            <m:r>
                              <m:rPr>
                                <m:sty m:val="p"/>
                              </m:rPr>
                              <w:rPr>
                                <w:rFonts w:ascii="Cambria Math" w:hAnsi="Cambria Math" w:eastAsia="Yu Mincho"/>
                                <w:sz w:val="20"/>
                                <w:szCs w:val="20"/>
                              </w:rPr>
                              <m:t xml:space="preserve">n</m:t>
                            </m:r>
                            <m:ctrlPr>
                              <w:rPr>
                                <w:rFonts w:ascii="Cambria Math" w:hAnsi="Cambria Math" w:eastAsia="Yu Mincho"/>
                                <w:sz w:val="20"/>
                                <w:szCs w:val="20"/>
                              </w:rPr>
                            </m:ctrlPr>
                          </m:e>
                          <m:sub>
                            <m:r>
                              <m:rPr>
                                <m:sty m:val="p"/>
                              </m:rPr>
                              <w:rPr>
                                <w:rFonts w:ascii="Cambria Math" w:hAnsi="Cambria Math" w:eastAsia="Yu Mincho"/>
                                <w:sz w:val="20"/>
                                <w:szCs w:val="20"/>
                              </w:rPr>
                              <m:t xml:space="preserve">f</m:t>
                            </m:r>
                            <m:ctrlPr>
                              <w:rPr>
                                <w:rFonts w:ascii="Cambria Math" w:hAnsi="Cambria Math" w:eastAsia="Yu Mincho"/>
                                <w:sz w:val="20"/>
                                <w:szCs w:val="20"/>
                              </w:rPr>
                            </m:ctrlPr>
                          </m:sub>
                        </m:sSub>
                        <m:sSubSup>
                          <m:sSubSupPr>
                            <m:ctrlPr>
                              <w:rPr>
                                <w:rFonts w:ascii="Cambria Math" w:hAnsi="Cambria Math" w:eastAsia="Yu Mincho"/>
                                <w:sz w:val="20"/>
                                <w:szCs w:val="20"/>
                              </w:rPr>
                            </m:ctrlPr>
                          </m:sSubSupPr>
                          <m:e>
                            <m:r>
                              <m:rPr>
                                <m:sty m:val="p"/>
                              </m:rPr>
                              <w:rPr>
                                <w:rFonts w:ascii="Cambria Math" w:hAnsi="Cambria Math" w:eastAsia="Yu Mincho"/>
                                <w:sz w:val="20"/>
                                <w:szCs w:val="20"/>
                              </w:rPr>
                              <m:t xml:space="preserve">N</m:t>
                            </m:r>
                            <m:ctrlPr>
                              <w:rPr>
                                <w:rFonts w:ascii="Cambria Math" w:hAnsi="Cambria Math" w:eastAsia="Yu Mincho"/>
                                <w:sz w:val="20"/>
                                <w:szCs w:val="20"/>
                              </w:rPr>
                            </m:ctrlPr>
                          </m:e>
                          <m:sub>
                            <m:r>
                              <m:rPr>
                                <m:sty m:val="p"/>
                              </m:rPr>
                              <w:rPr>
                                <w:rFonts w:ascii="Cambria Math" w:hAnsi="Cambria Math" w:eastAsia="Yu Mincho"/>
                                <w:sz w:val="20"/>
                                <w:szCs w:val="20"/>
                              </w:rPr>
                              <m:t xml:space="preserve">slot</m:t>
                            </m:r>
                            <m:ctrlPr>
                              <w:rPr>
                                <w:rFonts w:ascii="Cambria Math" w:hAnsi="Cambria Math" w:eastAsia="Yu Mincho"/>
                                <w:sz w:val="20"/>
                                <w:szCs w:val="20"/>
                              </w:rPr>
                            </m:ctrlPr>
                          </m:sub>
                          <m:sup>
                            <m:r>
                              <m:rPr>
                                <m:sty m:val="p"/>
                              </m:rPr>
                              <w:rPr>
                                <w:rFonts w:ascii="Cambria Math" w:hAnsi="Cambria Math" w:eastAsia="Yu Mincho"/>
                                <w:sz w:val="20"/>
                                <w:szCs w:val="20"/>
                              </w:rPr>
                              <m:t xml:space="preserve">frame,μ</m:t>
                            </m:r>
                            <m:ctrlPr>
                              <w:rPr>
                                <w:rFonts w:ascii="Cambria Math" w:hAnsi="Cambria Math" w:eastAsia="Yu Mincho"/>
                                <w:sz w:val="20"/>
                                <w:szCs w:val="20"/>
                              </w:rPr>
                            </m:ctrlPr>
                          </m:sup>
                        </m:sSubSup>
                        <m:r>
                          <m:rPr>
                            <m:sty m:val="p"/>
                          </m:rPr>
                          <w:rPr>
                            <w:rFonts w:ascii="Cambria Math" w:hAnsi="Cambria Math" w:eastAsia="Yu Mincho"/>
                            <w:sz w:val="20"/>
                            <w:szCs w:val="20"/>
                          </w:rPr>
                          <m:t xml:space="preserve">+</m:t>
                        </m:r>
                        <m:sSubSup>
                          <m:sSubSupPr>
                            <m:ctrlPr>
                              <w:rPr>
                                <w:rFonts w:ascii="Cambria Math" w:hAnsi="Cambria Math" w:eastAsia="Yu Mincho"/>
                                <w:sz w:val="20"/>
                                <w:szCs w:val="20"/>
                              </w:rPr>
                            </m:ctrlPr>
                          </m:sSubSupPr>
                          <m:e>
                            <m:r>
                              <m:rPr>
                                <m:sty m:val="p"/>
                              </m:rPr>
                              <w:rPr>
                                <w:rFonts w:ascii="Cambria Math" w:hAnsi="Cambria Math" w:eastAsia="Yu Mincho"/>
                                <w:sz w:val="20"/>
                                <w:szCs w:val="20"/>
                              </w:rPr>
                              <m:t xml:space="preserve">n</m:t>
                            </m:r>
                            <m:ctrlPr>
                              <w:rPr>
                                <w:rFonts w:ascii="Cambria Math" w:hAnsi="Cambria Math" w:eastAsia="Yu Mincho"/>
                                <w:sz w:val="20"/>
                                <w:szCs w:val="20"/>
                              </w:rPr>
                            </m:ctrlPr>
                          </m:e>
                          <m:sub>
                            <m:r>
                              <m:rPr>
                                <m:sty m:val="p"/>
                              </m:rPr>
                              <w:rPr>
                                <w:rFonts w:ascii="Cambria Math" w:hAnsi="Cambria Math" w:eastAsia="Yu Mincho"/>
                                <w:sz w:val="20"/>
                                <w:szCs w:val="20"/>
                              </w:rPr>
                              <m:t xml:space="preserve">s,f</m:t>
                            </m:r>
                            <m:ctrlPr>
                              <w:rPr>
                                <w:rFonts w:ascii="Cambria Math" w:hAnsi="Cambria Math" w:eastAsia="Yu Mincho"/>
                                <w:sz w:val="20"/>
                                <w:szCs w:val="20"/>
                              </w:rPr>
                            </m:ctrlPr>
                          </m:sub>
                          <m:sup>
                            <m:r>
                              <m:rPr>
                                <m:sty m:val="p"/>
                              </m:rPr>
                              <w:rPr>
                                <w:rFonts w:ascii="Cambria Math" w:hAnsi="Cambria Math" w:eastAsia="Yu Mincho"/>
                                <w:sz w:val="20"/>
                                <w:szCs w:val="20"/>
                              </w:rPr>
                              <m:t xml:space="preserve">μ</m:t>
                            </m:r>
                            <m:ctrlPr>
                              <w:rPr>
                                <w:rFonts w:ascii="Cambria Math" w:hAnsi="Cambria Math" w:eastAsia="Yu Mincho"/>
                                <w:sz w:val="20"/>
                                <w:szCs w:val="20"/>
                              </w:rPr>
                            </m:ctrlPr>
                          </m:sup>
                        </m:sSubSup>
                        <m:r>
                          <m:rPr>
                            <m:sty m:val="p"/>
                          </m:rPr>
                          <w:rPr>
                            <w:rFonts w:ascii="Cambria Math" w:hAnsi="Cambria Math" w:eastAsia="Yu Mincho"/>
                            <w:sz w:val="20"/>
                            <w:szCs w:val="20"/>
                          </w:rPr>
                          <m:t xml:space="preserve">-</m:t>
                        </m:r>
                        <m:sSub>
                          <m:sSubPr>
                            <m:ctrlPr>
                              <w:rPr>
                                <w:rFonts w:ascii="Cambria Math" w:hAnsi="Cambria Math" w:eastAsia="Yu Mincho"/>
                                <w:sz w:val="20"/>
                                <w:szCs w:val="20"/>
                              </w:rPr>
                            </m:ctrlPr>
                          </m:sSubPr>
                          <m:e>
                            <m:r>
                              <m:rPr>
                                <m:sty m:val="p"/>
                              </m:rPr>
                              <w:rPr>
                                <w:rFonts w:ascii="Cambria Math" w:hAnsi="Cambria Math" w:eastAsia="Yu Mincho"/>
                                <w:sz w:val="20"/>
                                <w:szCs w:val="20"/>
                              </w:rPr>
                              <m:t xml:space="preserve">o</m:t>
                            </m:r>
                            <m:ctrlPr>
                              <w:rPr>
                                <w:rFonts w:ascii="Cambria Math" w:hAnsi="Cambria Math" w:eastAsia="Yu Mincho"/>
                                <w:sz w:val="20"/>
                                <w:szCs w:val="20"/>
                              </w:rPr>
                            </m:ctrlPr>
                          </m:e>
                          <m:sub>
                            <m:r>
                              <m:rPr>
                                <m:sty m:val="p"/>
                              </m:rPr>
                              <w:rPr>
                                <w:rFonts w:ascii="Cambria Math" w:hAnsi="Cambria Math" w:eastAsia="Yu Mincho"/>
                                <w:sz w:val="20"/>
                                <w:szCs w:val="20"/>
                              </w:rPr>
                              <m:t xml:space="preserve">p,s</m:t>
                            </m:r>
                            <m:ctrlPr>
                              <w:rPr>
                                <w:rFonts w:ascii="Cambria Math" w:hAnsi="Cambria Math" w:eastAsia="Yu Mincho"/>
                                <w:sz w:val="20"/>
                                <w:szCs w:val="20"/>
                              </w:rPr>
                            </m:ctrlPr>
                          </m:sub>
                        </m:sSub>
                        <m:ctrlPr>
                          <w:rPr>
                            <w:rFonts w:ascii="Cambria Math" w:hAnsi="Cambria Math" w:eastAsia="Yu Mincho"/>
                            <w:sz w:val="20"/>
                            <w:szCs w:val="20"/>
                          </w:rPr>
                        </m:ctrlPr>
                      </m:e>
                    </m:d>
                    <m:r>
                      <m:rPr>
                        <m:sty m:val="p"/>
                      </m:rPr>
                      <w:rPr>
                        <w:rFonts w:ascii="Cambria Math" w:hAnsi="Cambria Math" w:eastAsia="Yu Mincho"/>
                        <w:sz w:val="20"/>
                        <w:szCs w:val="20"/>
                      </w:rPr>
                      <m:t xml:space="preserve">mod </m:t>
                    </m:r>
                    <m:sSub>
                      <m:sSubPr>
                        <m:ctrlPr>
                          <w:rPr>
                            <w:rFonts w:ascii="Cambria Math" w:hAnsi="Cambria Math" w:eastAsia="Yu Mincho"/>
                            <w:i/>
                            <w:sz w:val="20"/>
                            <w:szCs w:val="20"/>
                          </w:rPr>
                        </m:ctrlPr>
                      </m:sSubPr>
                      <m:e>
                        <m:r>
                          <m:rPr>
                            <m:sty m:val="p"/>
                          </m:rPr>
                          <w:rPr>
                            <w:rFonts w:ascii="Cambria Math" w:hAnsi="Cambria Math" w:eastAsia="Yu Mincho"/>
                            <w:sz w:val="20"/>
                            <w:szCs w:val="20"/>
                          </w:rPr>
                          <m:t xml:space="preserve">k</m:t>
                        </m:r>
                        <m:ctrlPr>
                          <w:rPr>
                            <w:rFonts w:ascii="Cambria Math" w:hAnsi="Cambria Math" w:eastAsia="Yu Mincho"/>
                            <w:i/>
                            <w:sz w:val="20"/>
                            <w:szCs w:val="20"/>
                          </w:rPr>
                        </m:ctrlPr>
                      </m:e>
                      <m:sub>
                        <m:r>
                          <m:rPr>
                            <m:sty m:val="p"/>
                          </m:rPr>
                          <w:rPr>
                            <w:rFonts w:ascii="Cambria Math" w:hAnsi="Cambria Math" w:eastAsia="Yu Mincho"/>
                            <w:sz w:val="20"/>
                            <w:szCs w:val="20"/>
                          </w:rPr>
                          <m:t xml:space="preserve">p,s</m:t>
                        </m:r>
                        <m:ctrlPr>
                          <w:rPr>
                            <w:rFonts w:ascii="Cambria Math" w:hAnsi="Cambria Math" w:eastAsia="Yu Mincho"/>
                            <w:i/>
                            <w:sz w:val="20"/>
                            <w:szCs w:val="20"/>
                          </w:rPr>
                        </m:ctrlPr>
                      </m:sub>
                    </m:sSub>
                    <m:r>
                      <m:rPr>
                        <m:sty m:val="p"/>
                      </m:rPr>
                      <w:rPr>
                        <w:rFonts w:ascii="Cambria Math" w:hAnsi="Cambria Math" w:eastAsia="Yu Mincho"/>
                        <w:sz w:val="20"/>
                        <w:szCs w:val="20"/>
                      </w:rPr>
                      <m:t xml:space="preserve">=0</m:t>
                    </m:r>
                  </m:oMath>
                  <w:r>
                    <w:rPr>
                      <w:rFonts w:eastAsia="Yu Mincho"/>
                      <w:sz w:val="20"/>
                      <w:szCs w:val="20"/>
                      <w:lang w:eastAsia="ja-JP"/>
                    </w:rPr>
                    <w:instrText xml:space="preserve"> </w:instrText>
                  </w:r>
                  <w:r>
                    <w:rPr>
                      <w:rFonts w:eastAsia="Yu Mincho"/>
                      <w:lang w:eastAsia="ja-JP"/>
                    </w:rPr>
                    <w:fldChar w:fldCharType="end"/>
                  </w:r>
                  <w:r>
                    <w:rPr>
                      <w:rFonts w:eastAsia="Yu Mincho"/>
                      <w:sz w:val="20"/>
                      <w:szCs w:val="20"/>
                      <w:lang w:eastAsia="ja-JP"/>
                    </w:rPr>
                    <w:t xml:space="preserve">. The UE monitors PDCCH candidates for search space set </w:t>
                  </w:r>
                  <m:oMath>
                    <m:r>
                      <w:rPr>
                        <w:rFonts w:ascii="Cambria Math" w:hAnsi="Cambria Math"/>
                        <w:sz w:val="20"/>
                        <w:szCs w:val="20"/>
                      </w:rPr>
                      <m:t>s</m:t>
                    </m:r>
                  </m:oMath>
                  <w:r>
                    <w:rPr>
                      <w:rFonts w:eastAsia="Yu Mincho"/>
                      <w:sz w:val="20"/>
                      <w:szCs w:val="20"/>
                    </w:rPr>
                    <w:t xml:space="preserve"> </w:t>
                  </w:r>
                  <w:r>
                    <w:rPr>
                      <w:rFonts w:eastAsia="宋体"/>
                      <w:sz w:val="20"/>
                      <w:szCs w:val="20"/>
                    </w:rPr>
                    <w:t xml:space="preserve">for </w:t>
                  </w:r>
                  <m:oMath>
                    <m:sSub>
                      <m:sSubPr>
                        <m:ctrlPr>
                          <w:rPr>
                            <w:rFonts w:ascii="Cambria Math" w:hAnsi="Cambria Math"/>
                            <w:i/>
                            <w:sz w:val="20"/>
                            <w:szCs w:val="20"/>
                          </w:rPr>
                        </m:ctrlPr>
                      </m:sSubPr>
                      <m:e>
                        <m:r>
                          <w:rPr>
                            <w:rFonts w:ascii="Cambria Math" w:hAnsi="Cambria Math"/>
                            <w:sz w:val="20"/>
                            <w:szCs w:val="20"/>
                          </w:rPr>
                          <m:t>T</m:t>
                        </m:r>
                        <m:ctrlPr>
                          <w:rPr>
                            <w:rFonts w:ascii="Cambria Math" w:hAnsi="Cambria Math"/>
                            <w:i/>
                            <w:sz w:val="20"/>
                            <w:szCs w:val="20"/>
                          </w:rPr>
                        </m:ctrlPr>
                      </m:e>
                      <m:sub>
                        <m:r>
                          <w:rPr>
                            <w:rFonts w:ascii="Cambria Math" w:hAnsi="Cambria Math"/>
                            <w:sz w:val="20"/>
                            <w:szCs w:val="20"/>
                          </w:rPr>
                          <m:t>s</m:t>
                        </m:r>
                        <m:ctrlPr>
                          <w:rPr>
                            <w:rFonts w:ascii="Cambria Math" w:hAnsi="Cambria Math"/>
                            <w:i/>
                            <w:sz w:val="20"/>
                            <w:szCs w:val="20"/>
                          </w:rPr>
                        </m:ctrlPr>
                      </m:sub>
                    </m:sSub>
                  </m:oMath>
                  <w:r>
                    <w:rPr>
                      <w:rFonts w:eastAsia="宋体"/>
                      <w:sz w:val="20"/>
                      <w:szCs w:val="20"/>
                    </w:rPr>
                    <w:t xml:space="preserve"> consecutive slots, starting from slot </w:t>
                  </w:r>
                  <m:oMath>
                    <m:sSubSup>
                      <m:sSubSupPr>
                        <m:ctrlPr>
                          <w:rPr>
                            <w:rFonts w:ascii="Cambria Math" w:hAnsi="Cambria Math"/>
                            <w:i/>
                            <w:sz w:val="20"/>
                            <w:szCs w:val="20"/>
                          </w:rPr>
                        </m:ctrlPr>
                      </m:sSubSupPr>
                      <m:e>
                        <m:r>
                          <w:rPr>
                            <w:rFonts w:ascii="Cambria Math" w:hAnsi="Cambria Math"/>
                            <w:sz w:val="20"/>
                            <w:szCs w:val="20"/>
                          </w:rPr>
                          <m:t>n</m:t>
                        </m:r>
                        <m:ctrlPr>
                          <w:rPr>
                            <w:rFonts w:ascii="Cambria Math" w:hAnsi="Cambria Math"/>
                            <w:i/>
                            <w:sz w:val="20"/>
                            <w:szCs w:val="20"/>
                          </w:rPr>
                        </m:ctrlPr>
                      </m:e>
                      <m:sub>
                        <m:r>
                          <w:rPr>
                            <w:rFonts w:ascii="Cambria Math" w:hAnsi="Cambria Math"/>
                            <w:sz w:val="20"/>
                            <w:szCs w:val="20"/>
                          </w:rPr>
                          <m:t>s,f</m:t>
                        </m:r>
                        <m:ctrlPr>
                          <w:rPr>
                            <w:rFonts w:ascii="Cambria Math" w:hAnsi="Cambria Math"/>
                            <w:i/>
                            <w:sz w:val="20"/>
                            <w:szCs w:val="20"/>
                          </w:rPr>
                        </m:ctrlPr>
                      </m:sub>
                      <m:sup>
                        <m:r>
                          <w:rPr>
                            <w:rFonts w:ascii="Cambria Math" w:hAnsi="Cambria Math"/>
                            <w:sz w:val="20"/>
                            <w:szCs w:val="20"/>
                          </w:rPr>
                          <m:t>μ</m:t>
                        </m:r>
                        <m:ctrlPr>
                          <w:rPr>
                            <w:rFonts w:ascii="Cambria Math" w:hAnsi="Cambria Math"/>
                            <w:i/>
                            <w:sz w:val="20"/>
                            <w:szCs w:val="20"/>
                          </w:rPr>
                        </m:ctrlPr>
                      </m:sup>
                    </m:sSubSup>
                  </m:oMath>
                  <w:r>
                    <w:rPr>
                      <w:rFonts w:eastAsia="宋体"/>
                      <w:sz w:val="20"/>
                      <w:szCs w:val="20"/>
                    </w:rPr>
                    <w:t xml:space="preserve">, and does not monitor </w:t>
                  </w:r>
                  <w:r>
                    <w:rPr>
                      <w:rFonts w:eastAsia="Yu Mincho"/>
                      <w:sz w:val="20"/>
                      <w:szCs w:val="20"/>
                      <w:lang w:eastAsia="ja-JP"/>
                    </w:rPr>
                    <w:t xml:space="preserve">PDCCH candidates for search space set </w:t>
                  </w:r>
                  <m:oMath>
                    <m:r>
                      <w:rPr>
                        <w:rFonts w:ascii="Cambria Math" w:hAnsi="Cambria Math"/>
                        <w:sz w:val="20"/>
                        <w:szCs w:val="20"/>
                      </w:rPr>
                      <m:t>s</m:t>
                    </m:r>
                  </m:oMath>
                  <w:r>
                    <w:rPr>
                      <w:rFonts w:eastAsia="Yu Mincho"/>
                      <w:sz w:val="20"/>
                      <w:szCs w:val="20"/>
                    </w:rPr>
                    <w:t xml:space="preserve"> </w:t>
                  </w:r>
                  <w:r>
                    <w:rPr>
                      <w:rFonts w:eastAsia="宋体"/>
                      <w:sz w:val="20"/>
                      <w:szCs w:val="20"/>
                    </w:rPr>
                    <w:t xml:space="preserve">for the next </w:t>
                  </w:r>
                  <m:oMath>
                    <m:sSub>
                      <m:sSubPr>
                        <m:ctrlPr>
                          <w:rPr>
                            <w:rFonts w:ascii="Cambria Math" w:hAnsi="Cambria Math"/>
                            <w:i/>
                            <w:sz w:val="20"/>
                            <w:szCs w:val="20"/>
                          </w:rPr>
                        </m:ctrlPr>
                      </m:sSubPr>
                      <m:e>
                        <m:r>
                          <w:rPr>
                            <w:rFonts w:ascii="Cambria Math" w:hAnsi="Cambria Math"/>
                            <w:sz w:val="20"/>
                            <w:szCs w:val="20"/>
                          </w:rPr>
                          <m:t>k</m:t>
                        </m:r>
                        <m:ctrlPr>
                          <w:rPr>
                            <w:rFonts w:ascii="Cambria Math" w:hAnsi="Cambria Math"/>
                            <w:i/>
                            <w:sz w:val="20"/>
                            <w:szCs w:val="20"/>
                          </w:rPr>
                        </m:ctrlPr>
                      </m:e>
                      <m:sub>
                        <m:r>
                          <w:rPr>
                            <w:rFonts w:ascii="Cambria Math" w:hAnsi="Cambria Math"/>
                            <w:sz w:val="20"/>
                            <w:szCs w:val="20"/>
                          </w:rPr>
                          <m:t>s</m:t>
                        </m:r>
                        <m:ctrlPr>
                          <w:rPr>
                            <w:rFonts w:ascii="Cambria Math" w:hAnsi="Cambria Math"/>
                            <w:i/>
                            <w:sz w:val="20"/>
                            <w:szCs w:val="20"/>
                          </w:rPr>
                        </m:ctrlP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T</m:t>
                        </m:r>
                        <m:ctrlPr>
                          <w:rPr>
                            <w:rFonts w:ascii="Cambria Math" w:hAnsi="Cambria Math"/>
                            <w:i/>
                            <w:sz w:val="20"/>
                            <w:szCs w:val="20"/>
                          </w:rPr>
                        </m:ctrlPr>
                      </m:e>
                      <m:sub>
                        <m:r>
                          <w:rPr>
                            <w:rFonts w:ascii="Cambria Math" w:hAnsi="Cambria Math"/>
                            <w:sz w:val="20"/>
                            <w:szCs w:val="20"/>
                          </w:rPr>
                          <m:t>s</m:t>
                        </m:r>
                        <m:ctrlPr>
                          <w:rPr>
                            <w:rFonts w:ascii="Cambria Math" w:hAnsi="Cambria Math"/>
                            <w:i/>
                            <w:sz w:val="20"/>
                            <w:szCs w:val="20"/>
                          </w:rPr>
                        </m:ctrlPr>
                      </m:sub>
                    </m:sSub>
                  </m:oMath>
                  <w:r>
                    <w:rPr>
                      <w:rFonts w:eastAsia="宋体"/>
                      <w:sz w:val="20"/>
                      <w:szCs w:val="20"/>
                    </w:rPr>
                    <w:t xml:space="preserve"> consecutive slots. </w:t>
                  </w:r>
                </w:p>
              </w:tc>
            </w:tr>
          </w:tbl>
          <w:p>
            <w:pPr>
              <w:widowControl w:val="0"/>
              <w:spacing w:before="120" w:beforeLines="50" w:line="260" w:lineRule="auto"/>
              <w:jc w:val="both"/>
              <w:rPr>
                <w:rFonts w:eastAsia="宋体"/>
                <w:lang w:eastAsia="zh-CN"/>
              </w:rPr>
            </w:pPr>
            <w:r>
              <w:rPr>
                <w:rFonts w:hint="eastAsia" w:eastAsia="宋体"/>
                <w:sz w:val="20"/>
                <w:szCs w:val="20"/>
                <w:lang w:eastAsia="zh-CN"/>
              </w:rPr>
              <w:t xml:space="preserve">In other words, the slot offset between the first slot in the slot group indicated in </w:t>
            </w:r>
            <w:r>
              <w:rPr>
                <w:rFonts w:hint="eastAsia" w:eastAsia="宋体"/>
                <w:i/>
                <w:iCs/>
                <w:lang w:eastAsia="zh-CN"/>
              </w:rPr>
              <w:t>monitoringSlotsWithinSlotGroup-r17</w:t>
            </w:r>
            <w:r>
              <w:rPr>
                <w:rFonts w:hint="eastAsia" w:eastAsia="宋体"/>
                <w:sz w:val="20"/>
                <w:szCs w:val="20"/>
                <w:lang w:eastAsia="zh-CN"/>
              </w:rPr>
              <w:t xml:space="preserve"> for a PDCCH monitoring occasion and subframe boundary is equal to the offset indicated in </w:t>
            </w:r>
            <w:r>
              <w:rPr>
                <w:rFonts w:hint="eastAsia" w:eastAsia="宋体"/>
                <w:bCs/>
                <w:i/>
                <w:iCs/>
                <w:lang w:eastAsia="zh-CN"/>
              </w:rPr>
              <w:t>monitoringSlotPeriodicityAndOffset-r17</w:t>
            </w:r>
            <w:r>
              <w:rPr>
                <w:rFonts w:hint="eastAsia" w:eastAsia="宋体"/>
                <w:sz w:val="20"/>
                <w:szCs w:val="20"/>
                <w:lang w:eastAsia="zh-CN"/>
              </w:rPr>
              <w:t>.</w:t>
            </w:r>
          </w:p>
          <w:p>
            <w:pPr>
              <w:widowControl w:val="0"/>
              <w:spacing w:before="180" w:line="260" w:lineRule="auto"/>
              <w:jc w:val="both"/>
              <w:rPr>
                <w:rFonts w:eastAsia="宋体"/>
                <w:lang w:eastAsia="zh-CN"/>
              </w:rPr>
            </w:pPr>
            <w:r>
              <w:rPr>
                <w:rFonts w:hint="eastAsia"/>
                <w:b/>
                <w:bCs/>
                <w:sz w:val="20"/>
                <w:szCs w:val="20"/>
                <w:lang w:eastAsia="zh-CN"/>
              </w:rPr>
              <w:t xml:space="preserve">Proposal 6: If new parameter </w:t>
            </w:r>
            <w:r>
              <w:rPr>
                <w:rFonts w:hint="eastAsia" w:eastAsia="宋体"/>
                <w:b/>
                <w:bCs/>
                <w:i/>
                <w:iCs/>
                <w:lang w:eastAsia="zh-CN"/>
              </w:rPr>
              <w:t>monitoringSlotsWithinSlotGroup-r17</w:t>
            </w:r>
            <w:r>
              <w:rPr>
                <w:rFonts w:hint="eastAsia"/>
                <w:b/>
                <w:bCs/>
                <w:sz w:val="20"/>
                <w:szCs w:val="20"/>
                <w:lang w:eastAsia="zh-CN"/>
              </w:rPr>
              <w:t xml:space="preserve"> is introduced, </w:t>
            </w:r>
            <w:r>
              <w:rPr>
                <w:rFonts w:hint="eastAsia" w:eastAsia="宋体"/>
                <w:b/>
                <w:bCs/>
                <w:sz w:val="20"/>
                <w:szCs w:val="20"/>
                <w:lang w:eastAsia="zh-CN"/>
              </w:rPr>
              <w:t xml:space="preserve">the offset indicated in </w:t>
            </w:r>
            <w:r>
              <w:rPr>
                <w:rFonts w:hint="eastAsia" w:eastAsia="宋体"/>
                <w:b/>
                <w:bCs/>
                <w:i/>
                <w:iCs/>
                <w:lang w:eastAsia="zh-CN"/>
              </w:rPr>
              <w:t xml:space="preserve">monitoringSlotPeriodicityAndOffset-r17 </w:t>
            </w:r>
            <w:r>
              <w:rPr>
                <w:rFonts w:hint="eastAsia" w:eastAsia="宋体"/>
                <w:b/>
                <w:bCs/>
                <w:sz w:val="20"/>
                <w:szCs w:val="20"/>
                <w:lang w:eastAsia="zh-CN"/>
              </w:rPr>
              <w:t xml:space="preserve">is equal to the slot offset between the subframe boundary and the first slot in the slot group indicated in </w:t>
            </w:r>
            <w:r>
              <w:rPr>
                <w:rFonts w:hint="eastAsia" w:eastAsia="宋体"/>
                <w:b/>
                <w:bCs/>
                <w:i/>
                <w:iCs/>
                <w:lang w:eastAsia="zh-CN"/>
              </w:rPr>
              <w:t>monitoringSlotsWithinSlotGroup-r17</w:t>
            </w:r>
            <w:r>
              <w:rPr>
                <w:rFonts w:hint="eastAsia" w:eastAsia="宋体"/>
                <w:b/>
                <w:bCs/>
                <w:sz w:val="20"/>
                <w:szCs w:val="20"/>
                <w:lang w:eastAsia="zh-CN"/>
              </w:rPr>
              <w:t xml:space="preserve"> for a PDCCH monitoring occasion.</w:t>
            </w:r>
          </w:p>
          <w:p>
            <w:pPr>
              <w:widowControl w:val="0"/>
              <w:spacing w:after="0" w:line="260" w:lineRule="auto"/>
              <w:rPr>
                <w:bCs/>
                <w:lang w:eastAsia="zh-CN"/>
              </w:rPr>
            </w:pPr>
          </w:p>
          <w:p>
            <w:pPr>
              <w:widowControl w:val="0"/>
              <w:spacing w:after="0" w:line="260" w:lineRule="auto"/>
              <w:rPr>
                <w:b/>
              </w:rPr>
            </w:pPr>
            <w:r>
              <w:rPr>
                <w:rFonts w:hint="eastAsia"/>
                <w:b/>
                <w:lang w:eastAsia="zh-CN"/>
              </w:rPr>
              <w:t xml:space="preserve">Proposal 7: </w:t>
            </w:r>
            <w:r>
              <w:rPr>
                <w:rFonts w:hint="eastAsia" w:eastAsia="宋体"/>
                <w:b/>
                <w:bCs/>
                <w:lang w:eastAsia="zh-CN"/>
              </w:rPr>
              <w:t xml:space="preserve">Confirm the working assumption: </w:t>
            </w:r>
            <w:r>
              <w:rPr>
                <w:b/>
                <w:sz w:val="20"/>
                <w:szCs w:val="20"/>
              </w:rPr>
              <w:t>Support only search space set group switching processing capability 1 with the following values</w:t>
            </w:r>
          </w:p>
          <w:tbl>
            <w:tblPr>
              <w:tblStyle w:val="54"/>
              <w:tblW w:w="3685" w:type="dxa"/>
              <w:tblInd w:w="169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300"/>
              <w:gridCol w:w="33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Pr>
              <w:tc>
                <w:tcPr>
                  <w:tcW w:w="300" w:type="dxa"/>
                  <w:shd w:val="clear" w:color="auto" w:fill="E0E0E0"/>
                  <w:vAlign w:val="center"/>
                </w:tcPr>
                <w:p>
                  <w:pPr>
                    <w:pStyle w:val="90"/>
                    <w:rPr>
                      <w:rFonts w:ascii="Times New Roman" w:hAnsi="Times New Roman"/>
                      <w:sz w:val="20"/>
                    </w:rPr>
                  </w:pPr>
                  <m:oMathPara>
                    <m:oMath>
                      <m:r>
                        <m:rPr>
                          <m:sty m:val="bi"/>
                        </m:rPr>
                        <w:rPr>
                          <w:rFonts w:ascii="Cambria Math" w:hAnsi="Cambria Math"/>
                          <w:sz w:val="20"/>
                        </w:rPr>
                        <m:t>μ</m:t>
                      </m:r>
                    </m:oMath>
                  </m:oMathPara>
                </w:p>
              </w:tc>
              <w:tc>
                <w:tcPr>
                  <w:tcW w:w="3385" w:type="dxa"/>
                  <w:shd w:val="clear" w:color="auto" w:fill="E0E0E0"/>
                  <w:vAlign w:val="center"/>
                </w:tcPr>
                <w:p>
                  <w:pPr>
                    <w:pStyle w:val="90"/>
                    <w:rPr>
                      <w:rFonts w:ascii="Times New Roman" w:hAnsi="Times New Roman"/>
                      <w:sz w:val="20"/>
                    </w:rPr>
                  </w:pPr>
                  <w:r>
                    <w:rPr>
                      <w:rFonts w:ascii="Times New Roman" w:hAnsi="Times New Roman"/>
                      <w:sz w:val="20"/>
                    </w:rPr>
                    <w:t xml:space="preserve">Minimum </w:t>
                  </w:r>
                  <w:r>
                    <w:rPr>
                      <w:rFonts w:ascii="Times New Roman" w:hAnsi="Times New Roman"/>
                      <w:sz w:val="20"/>
                    </w:rPr>
                    <w:fldChar w:fldCharType="begin"/>
                  </w:r>
                  <w:r>
                    <w:rPr>
                      <w:rFonts w:ascii="Times New Roman" w:hAnsi="Times New Roman"/>
                      <w:sz w:val="20"/>
                    </w:rPr>
                    <w:instrText xml:space="preserve"> QUOTE </w:instrText>
                  </w:r>
                  <m:oMath>
                    <m:sSub>
                      <m:sSubPr>
                        <m:ctrlPr>
                          <w:rPr>
                            <w:rFonts w:ascii="Cambria Math" w:hAnsi="Cambria Math" w:cs="Arial"/>
                            <w:szCs w:val="18"/>
                          </w:rPr>
                        </m:ctrlPr>
                      </m:sSubPr>
                      <m:e>
                        <m:r>
                          <m:rPr>
                            <m:sty m:val="b"/>
                          </m:rPr>
                          <w:rPr>
                            <w:rFonts w:ascii="Cambria Math" w:hAnsi="Cambria Math" w:cs="Arial"/>
                            <w:szCs w:val="18"/>
                          </w:rPr>
                          <m:t xml:space="preserve">P</m:t>
                        </m:r>
                        <m:ctrlPr>
                          <w:rPr>
                            <w:rFonts w:ascii="Cambria Math" w:hAnsi="Cambria Math" w:cs="Arial"/>
                            <w:szCs w:val="18"/>
                          </w:rPr>
                        </m:ctrlPr>
                      </m:e>
                      <m:sub>
                        <m:r>
                          <m:rPr>
                            <m:sty m:val="b"/>
                          </m:rPr>
                          <w:rPr>
                            <w:rFonts w:ascii="Cambria Math" w:hAnsi="Cambria Math" w:cs="Arial"/>
                            <w:szCs w:val="18"/>
                          </w:rPr>
                          <m:t xml:space="preserve">switch</m:t>
                        </m:r>
                        <m:ctrlPr>
                          <w:rPr>
                            <w:rFonts w:ascii="Cambria Math" w:hAnsi="Cambria Math" w:cs="Arial"/>
                            <w:szCs w:val="18"/>
                          </w:rPr>
                        </m:ctrlPr>
                      </m:sub>
                    </m:sSub>
                  </m:oMath>
                  <w:r>
                    <w:rPr>
                      <w:rFonts w:ascii="Times New Roman" w:hAnsi="Times New Roman"/>
                      <w:sz w:val="20"/>
                    </w:rPr>
                    <w:instrText xml:space="preserve"> </w:instrText>
                  </w:r>
                  <w:r>
                    <w:rPr>
                      <w:rFonts w:ascii="Times New Roman" w:hAnsi="Times New Roman"/>
                      <w:sz w:val="20"/>
                    </w:rPr>
                    <w:fldChar w:fldCharType="separate"/>
                  </w:r>
                  <m:oMath>
                    <m:sSub>
                      <m:sSubPr>
                        <m:ctrlPr>
                          <w:rPr>
                            <w:rFonts w:ascii="Cambria Math" w:hAnsi="Cambria Math"/>
                            <w:i/>
                          </w:rPr>
                        </m:ctrlPr>
                      </m:sSubPr>
                      <m:e>
                        <m:r>
                          <m:rPr>
                            <m:sty m:val="b"/>
                          </m:rPr>
                          <w:rPr>
                            <w:rFonts w:ascii="Cambria Math" w:hAnsi="Cambria Math"/>
                          </w:rPr>
                          <m:t>P</m:t>
                        </m:r>
                        <m:ctrlPr>
                          <w:rPr>
                            <w:rFonts w:ascii="Cambria Math" w:hAnsi="Cambria Math"/>
                            <w:i/>
                          </w:rPr>
                        </m:ctrlPr>
                      </m:e>
                      <m:sub>
                        <m:r>
                          <m:rPr>
                            <m:sty m:val="b"/>
                          </m:rPr>
                          <w:rPr>
                            <w:rFonts w:ascii="Cambria Math" w:hAnsi="Cambria Math"/>
                          </w:rPr>
                          <m:t>switch</m:t>
                        </m:r>
                        <m:ctrlPr>
                          <w:rPr>
                            <w:rFonts w:ascii="Cambria Math" w:hAnsi="Cambria Math"/>
                            <w:i/>
                          </w:rPr>
                        </m:ctrlPr>
                      </m:sub>
                    </m:sSub>
                  </m:oMath>
                  <w:r>
                    <w:rPr>
                      <w:rFonts w:ascii="Times New Roman" w:hAnsi="Times New Roman"/>
                      <w:sz w:val="20"/>
                    </w:rPr>
                    <w:fldChar w:fldCharType="end"/>
                  </w:r>
                  <w:r>
                    <w:rPr>
                      <w:rFonts w:ascii="Times New Roman" w:hAnsi="Times New Roman"/>
                      <w:sz w:val="20"/>
                    </w:rPr>
                    <w:t xml:space="preserve"> value for</w:t>
                  </w:r>
                </w:p>
                <w:p>
                  <w:pPr>
                    <w:pStyle w:val="90"/>
                    <w:rPr>
                      <w:rFonts w:ascii="Times New Roman" w:hAnsi="Times New Roman"/>
                      <w:sz w:val="20"/>
                    </w:rPr>
                  </w:pPr>
                  <w:r>
                    <w:rPr>
                      <w:rFonts w:ascii="Times New Roman" w:hAnsi="Times New Roman"/>
                      <w:sz w:val="20"/>
                    </w:rPr>
                    <w:t xml:space="preserve"> UE processing </w:t>
                  </w:r>
                  <w:r>
                    <w:rPr>
                      <w:rFonts w:ascii="Times New Roman" w:hAnsi="Times New Roman"/>
                      <w:sz w:val="20"/>
                      <w:lang w:eastAsia="zh-CN"/>
                    </w:rPr>
                    <w:t>capability 1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Pr>
              <w:tc>
                <w:tcPr>
                  <w:tcW w:w="300" w:type="dxa"/>
                  <w:vAlign w:val="center"/>
                </w:tcPr>
                <w:p>
                  <w:pPr>
                    <w:pStyle w:val="114"/>
                    <w:rPr>
                      <w:rFonts w:ascii="Times New Roman" w:hAnsi="Times New Roman"/>
                      <w:b/>
                      <w:sz w:val="20"/>
                    </w:rPr>
                  </w:pPr>
                  <w:r>
                    <w:rPr>
                      <w:rFonts w:ascii="Times New Roman" w:hAnsi="Times New Roman"/>
                      <w:b/>
                      <w:sz w:val="20"/>
                    </w:rPr>
                    <w:t>3</w:t>
                  </w:r>
                </w:p>
              </w:tc>
              <w:tc>
                <w:tcPr>
                  <w:tcW w:w="3385" w:type="dxa"/>
                  <w:vAlign w:val="center"/>
                </w:tcPr>
                <w:p>
                  <w:pPr>
                    <w:pStyle w:val="114"/>
                    <w:rPr>
                      <w:rFonts w:ascii="Times New Roman" w:hAnsi="Times New Roman"/>
                      <w:b/>
                      <w:sz w:val="20"/>
                    </w:rPr>
                  </w:pPr>
                  <w:r>
                    <w:rPr>
                      <w:rFonts w:ascii="Times New Roman" w:hAnsi="Times New Roman"/>
                      <w:b/>
                      <w:sz w:val="20"/>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Pr>
              <w:tc>
                <w:tcPr>
                  <w:tcW w:w="300" w:type="dxa"/>
                  <w:vAlign w:val="center"/>
                </w:tcPr>
                <w:p>
                  <w:pPr>
                    <w:pStyle w:val="114"/>
                    <w:rPr>
                      <w:rFonts w:ascii="Times New Roman" w:hAnsi="Times New Roman"/>
                      <w:b/>
                      <w:sz w:val="20"/>
                    </w:rPr>
                  </w:pPr>
                  <w:r>
                    <w:rPr>
                      <w:rFonts w:ascii="Times New Roman" w:hAnsi="Times New Roman"/>
                      <w:b/>
                      <w:sz w:val="20"/>
                    </w:rPr>
                    <w:t>5</w:t>
                  </w:r>
                </w:p>
              </w:tc>
              <w:tc>
                <w:tcPr>
                  <w:tcW w:w="3385" w:type="dxa"/>
                  <w:vAlign w:val="center"/>
                </w:tcPr>
                <w:p>
                  <w:pPr>
                    <w:pStyle w:val="114"/>
                    <w:rPr>
                      <w:rFonts w:ascii="Times New Roman" w:hAnsi="Times New Roman"/>
                      <w:b/>
                      <w:sz w:val="20"/>
                    </w:rPr>
                  </w:pPr>
                  <w:r>
                    <w:rPr>
                      <w:rFonts w:ascii="Times New Roman" w:hAnsi="Times New Roman"/>
                      <w:b/>
                      <w:sz w:val="20"/>
                    </w:rPr>
                    <w:t>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Pr>
              <w:tc>
                <w:tcPr>
                  <w:tcW w:w="300" w:type="dxa"/>
                  <w:vAlign w:val="center"/>
                </w:tcPr>
                <w:p>
                  <w:pPr>
                    <w:pStyle w:val="114"/>
                    <w:rPr>
                      <w:rFonts w:ascii="Times New Roman" w:hAnsi="Times New Roman"/>
                      <w:b/>
                      <w:sz w:val="20"/>
                    </w:rPr>
                  </w:pPr>
                  <w:r>
                    <w:rPr>
                      <w:rFonts w:ascii="Times New Roman" w:hAnsi="Times New Roman"/>
                      <w:b/>
                      <w:sz w:val="20"/>
                    </w:rPr>
                    <w:t>6</w:t>
                  </w:r>
                </w:p>
              </w:tc>
              <w:tc>
                <w:tcPr>
                  <w:tcW w:w="3385" w:type="dxa"/>
                  <w:vAlign w:val="center"/>
                </w:tcPr>
                <w:p>
                  <w:pPr>
                    <w:pStyle w:val="114"/>
                    <w:rPr>
                      <w:rFonts w:ascii="Times New Roman" w:hAnsi="Times New Roman"/>
                      <w:b/>
                      <w:sz w:val="20"/>
                    </w:rPr>
                  </w:pPr>
                  <w:r>
                    <w:rPr>
                      <w:rFonts w:ascii="Times New Roman" w:hAnsi="Times New Roman"/>
                      <w:b/>
                      <w:sz w:val="20"/>
                    </w:rPr>
                    <w:t>320</w:t>
                  </w:r>
                </w:p>
              </w:tc>
            </w:tr>
          </w:tbl>
          <w:p>
            <w:pPr>
              <w:widowControl w:val="0"/>
              <w:spacing w:after="0" w:line="260" w:lineRule="auto"/>
              <w:rPr>
                <w:lang w:eastAsia="zh-CN"/>
              </w:rPr>
            </w:pPr>
          </w:p>
          <w:p>
            <w:pPr>
              <w:widowControl w:val="0"/>
              <w:jc w:val="both"/>
              <w:rPr>
                <w:lang w:eastAsia="zh-CN"/>
              </w:rPr>
            </w:pPr>
            <w:r>
              <w:rPr>
                <w:rFonts w:hint="eastAsia"/>
                <w:lang w:eastAsia="zh-CN"/>
              </w:rPr>
              <w:t xml:space="preserve">The SSSG switching boundary is aligned with the slot boundary in Rel-15/16, the UE switches from one SSSG to another SSSG at the first slot after at least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rPr>
                <w:rFonts w:hint="eastAsia"/>
                <w:lang w:eastAsia="zh-CN"/>
              </w:rPr>
              <w:t xml:space="preserve"> symbols. Similar rule can be extended for multi-slot PDCCH monitoring in Rel-17, the SSSG switching boundary, i.e. the time of applying the switching, is aligned with the boundary of a slot group to avoid increasing complexity.</w:t>
            </w:r>
          </w:p>
          <w:p>
            <w:pPr>
              <w:widowControl w:val="0"/>
              <w:spacing w:line="260" w:lineRule="auto"/>
              <w:jc w:val="both"/>
              <w:rPr>
                <w:b/>
              </w:rPr>
            </w:pPr>
            <w:r>
              <w:rPr>
                <w:rFonts w:hint="eastAsia"/>
                <w:b/>
                <w:lang w:eastAsia="zh-CN"/>
              </w:rPr>
              <w:t>Proposal 8: For multi-slot PDCCH monitoring in Rel-17, the SSSG switching boundary, i.e. the time of applying the switching, is aligned with the boundary of a slot group to avoid increasing complexity.</w:t>
            </w:r>
          </w:p>
          <w:p>
            <w:pPr>
              <w:widowControl w:val="0"/>
              <w:spacing w:line="260" w:lineRule="auto"/>
              <w:jc w:val="both"/>
              <w:rPr>
                <w:rFonts w:eastAsia="宋体"/>
                <w:lang w:eastAsia="zh-CN"/>
              </w:rPr>
            </w:pPr>
            <w:r>
              <w:rPr>
                <w:rFonts w:hint="eastAsia"/>
                <w:lang w:eastAsia="zh-CN"/>
              </w:rPr>
              <w:t xml:space="preserve">Moreover, even though we think </w:t>
            </w:r>
            <w:r>
              <w:rPr>
                <w:rFonts w:hint="eastAsia"/>
                <w:sz w:val="21"/>
                <w:szCs w:val="21"/>
                <w:lang w:eastAsia="zh-CN"/>
              </w:rPr>
              <w:t xml:space="preserve">SSSG switching between two different capabilities of multi-slot PDCCH monitoring for 480/960kHz should be supported, </w:t>
            </w:r>
            <w:r>
              <w:rPr>
                <w:rFonts w:hint="eastAsia"/>
                <w:lang w:eastAsia="zh-CN"/>
              </w:rPr>
              <w:t>in our understanding, t</w:t>
            </w:r>
            <w:r>
              <w:rPr>
                <w:lang w:eastAsia="zh-CN"/>
              </w:rPr>
              <w:t xml:space="preserve">he UE expects to monitor PDCCH according to the same </w:t>
            </w:r>
            <w:r>
              <w:rPr>
                <w:lang w:eastAsia="ko-KR"/>
              </w:rPr>
              <w:t xml:space="preserve">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rPr>
                <w:rFonts w:hint="eastAsia"/>
                <w:lang w:eastAsia="zh-CN"/>
              </w:rPr>
              <w:t xml:space="preserve"> </w:t>
            </w:r>
            <w:r>
              <w:rPr>
                <w:lang w:eastAsia="zh-CN"/>
              </w:rPr>
              <w:t>in every slot</w:t>
            </w:r>
            <w:r>
              <w:rPr>
                <w:rFonts w:hint="eastAsia"/>
                <w:lang w:eastAsia="zh-CN"/>
              </w:rPr>
              <w:t xml:space="preserve"> group</w:t>
            </w:r>
            <w:r>
              <w:rPr>
                <w:lang w:eastAsia="zh-CN"/>
              </w:rPr>
              <w:t xml:space="preserve"> on the active DL BWP of a cell</w:t>
            </w:r>
            <w:r>
              <w:rPr>
                <w:rFonts w:hint="eastAsia"/>
                <w:lang w:eastAsia="zh-CN"/>
              </w:rPr>
              <w:t xml:space="preserve">. Therefore, we can conclude that </w:t>
            </w:r>
            <w:r>
              <w:rPr>
                <w:rFonts w:hint="eastAsia"/>
                <w:sz w:val="21"/>
                <w:szCs w:val="21"/>
                <w:lang w:eastAsia="zh-CN"/>
              </w:rPr>
              <w:t xml:space="preserve">SSSG is only supported between SSSGs that have the same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rPr>
                <w:lang w:eastAsia="zh-CN"/>
              </w:rPr>
              <w:t xml:space="preserve"> PDCCH</w:t>
            </w:r>
            <w:r>
              <w:rPr>
                <w:rFonts w:hint="eastAsia"/>
                <w:lang w:eastAsia="zh-CN"/>
              </w:rPr>
              <w:t xml:space="preserve"> monitoring capability </w:t>
            </w:r>
            <w:r>
              <w:rPr>
                <w:lang w:eastAsia="zh-CN"/>
              </w:rPr>
              <w:t>on the active DL BWP of a cell</w:t>
            </w:r>
            <w:r>
              <w:rPr>
                <w:rFonts w:hint="eastAsia"/>
                <w:lang w:eastAsia="zh-CN"/>
              </w:rPr>
              <w:t xml:space="preserve">. </w:t>
            </w:r>
            <w:r>
              <w:rPr>
                <w:rFonts w:hint="eastAsia" w:ascii="Cambria Math" w:hAnsi="Cambria Math" w:eastAsia="宋体"/>
                <w:lang w:eastAsia="zh-CN"/>
              </w:rPr>
              <w:t xml:space="preserve"> </w:t>
            </w:r>
          </w:p>
          <w:p>
            <w:pPr>
              <w:widowControl w:val="0"/>
              <w:spacing w:line="260" w:lineRule="auto"/>
              <w:rPr>
                <w:lang w:eastAsia="zh-CN"/>
              </w:rPr>
            </w:pPr>
            <w:r>
              <w:rPr>
                <w:rFonts w:hint="eastAsia"/>
                <w:b/>
                <w:lang w:eastAsia="zh-CN"/>
              </w:rPr>
              <w:t xml:space="preserve">Proposal 9: Conclude that </w:t>
            </w:r>
            <w:r>
              <w:rPr>
                <w:rFonts w:hint="eastAsia"/>
                <w:b/>
                <w:bCs/>
                <w:sz w:val="21"/>
                <w:szCs w:val="21"/>
                <w:lang w:eastAsia="zh-CN"/>
              </w:rPr>
              <w:t xml:space="preserve">SSSG is only supported between SSSGs that have the same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ctrlPr>
                        <w:rPr>
                          <w:rFonts w:ascii="Cambria Math" w:hAnsi="Cambria Math"/>
                          <w:b/>
                          <w:bCs/>
                          <w:i/>
                          <w:lang w:eastAsia="zh-CN"/>
                        </w:rPr>
                      </m:ctrlPr>
                    </m:e>
                    <m:sub>
                      <m:r>
                        <m:rPr>
                          <m:sty m:val="bi"/>
                        </m:rPr>
                        <w:rPr>
                          <w:rFonts w:ascii="Cambria Math" w:hAnsi="Cambria Math"/>
                          <w:lang w:eastAsia="zh-CN"/>
                        </w:rPr>
                        <m:t>s</m:t>
                      </m:r>
                      <m:ctrlPr>
                        <w:rPr>
                          <w:rFonts w:ascii="Cambria Math" w:hAnsi="Cambria Math"/>
                          <w:b/>
                          <w:bCs/>
                          <w:i/>
                          <w:lang w:eastAsia="zh-CN"/>
                        </w:rPr>
                      </m:ctrlP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ctrlPr>
                        <w:rPr>
                          <w:rFonts w:ascii="Cambria Math" w:hAnsi="Cambria Math"/>
                          <w:b/>
                          <w:bCs/>
                          <w:i/>
                          <w:lang w:eastAsia="zh-CN"/>
                        </w:rPr>
                      </m:ctrlPr>
                    </m:e>
                    <m:sub>
                      <m:r>
                        <m:rPr>
                          <m:sty m:val="bi"/>
                        </m:rPr>
                        <w:rPr>
                          <w:rFonts w:ascii="Cambria Math" w:hAnsi="Cambria Math"/>
                          <w:lang w:eastAsia="zh-CN"/>
                        </w:rPr>
                        <m:t>s</m:t>
                      </m:r>
                      <m:ctrlPr>
                        <w:rPr>
                          <w:rFonts w:ascii="Cambria Math" w:hAnsi="Cambria Math"/>
                          <w:b/>
                          <w:bCs/>
                          <w:i/>
                          <w:lang w:eastAsia="zh-CN"/>
                        </w:rPr>
                      </m:ctrlPr>
                    </m:sub>
                  </m:sSub>
                  <m:ctrlPr>
                    <w:rPr>
                      <w:rFonts w:ascii="Cambria Math" w:hAnsi="Cambria Math"/>
                      <w:b/>
                      <w:bCs/>
                      <w:i/>
                    </w:rPr>
                  </m:ctrlPr>
                </m:e>
              </m:d>
            </m:oMath>
            <w:r>
              <w:rPr>
                <w:b/>
                <w:bCs/>
                <w:lang w:eastAsia="zh-CN"/>
              </w:rPr>
              <w:t xml:space="preserve"> PDCCH</w:t>
            </w:r>
            <w:r>
              <w:rPr>
                <w:rFonts w:hint="eastAsia"/>
                <w:b/>
                <w:bCs/>
                <w:lang w:eastAsia="zh-CN"/>
              </w:rPr>
              <w:t xml:space="preserve"> monitoring capability </w:t>
            </w:r>
            <w:r>
              <w:rPr>
                <w:b/>
                <w:bCs/>
                <w:lang w:eastAsia="zh-CN"/>
              </w:rPr>
              <w:t>on the active DL BWP of a cell</w:t>
            </w:r>
            <w:r>
              <w:rPr>
                <w:rFonts w:hint="eastAsia"/>
                <w:b/>
                <w:bCs/>
                <w:lang w:eastAsia="zh-CN"/>
              </w:rPr>
              <w:t>.</w:t>
            </w:r>
          </w:p>
          <w:p>
            <w:pPr>
              <w:widowControl w:val="0"/>
              <w:spacing w:after="0" w:line="260" w:lineRule="auto"/>
              <w:rPr>
                <w:bCs/>
                <w:lang w:eastAsia="zh-CN"/>
              </w:rPr>
            </w:pPr>
          </w:p>
        </w:tc>
      </w:tr>
    </w:tbl>
    <w:p>
      <w:pPr>
        <w:rPr>
          <w:lang w:eastAsia="zh-CN"/>
        </w:rPr>
      </w:pPr>
    </w:p>
    <w:p>
      <w:pPr>
        <w:pStyle w:val="4"/>
      </w:pPr>
      <w:r>
        <w:t>R1-2201471 (NTT DOCOMO)</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pPr>
            <w:r>
              <w:rPr>
                <w:rFonts w:hint="eastAsia"/>
              </w:rPr>
              <w:t>A</w:t>
            </w:r>
            <w:r>
              <w:t xml:space="preserve">ccording to the agreement, an RRC parameter </w:t>
            </w:r>
            <w:r>
              <w:rPr>
                <w:rFonts w:ascii="Times" w:hAnsi="Times" w:eastAsia="Batang"/>
                <w:i/>
                <w:iCs/>
                <w:color w:val="000000"/>
              </w:rPr>
              <w:t xml:space="preserve">monitoringSlotsWithinSlotGroup-r17 </w:t>
            </w:r>
            <w:r>
              <w:t xml:space="preserve">is newly supported for multi-slot PDCCH monitoring which indicates monitored slot(s) within a slot group. However, given that </w:t>
            </w:r>
            <w:r>
              <w:rPr>
                <w:rFonts w:ascii="Times" w:hAnsi="Times" w:eastAsia="Batang"/>
                <w:i/>
                <w:iCs/>
                <w:color w:val="000000"/>
              </w:rPr>
              <w:t>monitoringSlotsWithinSlotGroup-r17</w:t>
            </w:r>
            <w:r>
              <w:t xml:space="preserve"> indicates monitored slot(s), the definition of </w:t>
            </w:r>
            <w:r>
              <w:rPr>
                <w:i/>
                <w:iCs/>
              </w:rPr>
              <w:t>duration-r17</w:t>
            </w:r>
            <w:r>
              <w:t xml:space="preserve"> needs to be revisited as captured as FFS since the RRC parameter </w:t>
            </w:r>
            <w:r>
              <w:rPr>
                <w:i/>
                <w:iCs/>
              </w:rPr>
              <w:t>duration</w:t>
            </w:r>
            <w:r>
              <w:t xml:space="preserve"> in the current specification also indicates monitored consecutive slot(s) in every monitoring occasion indicated via </w:t>
            </w:r>
            <w:r>
              <w:rPr>
                <w:rFonts w:hint="eastAsia" w:ascii="Times" w:hAnsi="Times" w:eastAsia="Batang"/>
                <w:i/>
                <w:iCs/>
                <w:lang w:eastAsia="zh-CN"/>
              </w:rPr>
              <w:t>monitoringSlotPeriodicityAndOffset</w:t>
            </w:r>
            <w:r>
              <w:t xml:space="preserve">. In our understanding, it makes more sense if </w:t>
            </w:r>
            <w:r>
              <w:rPr>
                <w:i/>
                <w:iCs/>
              </w:rPr>
              <w:t>duration-r17</w:t>
            </w:r>
            <w:r>
              <w:t xml:space="preserve"> is revised to indicate slots where </w:t>
            </w:r>
            <w:r>
              <w:rPr>
                <w:i/>
                <w:iCs/>
              </w:rPr>
              <w:t>monitoringSlotsWithinSlotGroup-r17</w:t>
            </w:r>
            <w:r>
              <w:t xml:space="preserve"> is applied in every monitoring occasion. </w:t>
            </w:r>
          </w:p>
          <w:p>
            <w:pPr>
              <w:widowControl w:val="0"/>
            </w:pPr>
            <w:r>
              <w:t xml:space="preserve">The value range </w:t>
            </w:r>
            <w:r>
              <w:rPr>
                <w:rFonts w:hint="eastAsia"/>
              </w:rPr>
              <w:t>o</w:t>
            </w:r>
            <w:r>
              <w:t xml:space="preserve">f </w:t>
            </w:r>
            <w:r>
              <w:rPr>
                <w:i/>
                <w:iCs/>
              </w:rPr>
              <w:t>duration-r17</w:t>
            </w:r>
            <w:r>
              <w:t xml:space="preserve"> was agreed as </w:t>
            </w:r>
            <w:r>
              <w:rPr>
                <w:rFonts w:ascii="Times" w:hAnsi="Times" w:eastAsia="Batang"/>
                <w:color w:val="000000"/>
              </w:rPr>
              <w:t>{8, 12, …, 20476} which are scaled from the values in the current specification based on the supported SCSs in FR2-2</w:t>
            </w:r>
            <w:r>
              <w:t xml:space="preserve">. According to the current specification, it is also specified that a UE applies the value 1 slot if </w:t>
            </w:r>
            <w:r>
              <w:rPr>
                <w:i/>
                <w:iCs/>
              </w:rPr>
              <w:t>duration</w:t>
            </w:r>
            <w:r>
              <w:t xml:space="preserve"> is absent. We believe this default value should also be scaled in the same manner as for the exact values for </w:t>
            </w:r>
            <w:r>
              <w:rPr>
                <w:i/>
                <w:iCs/>
              </w:rPr>
              <w:t>duration-r17</w:t>
            </w:r>
            <w:r>
              <w:t xml:space="preserve">, i.e., a UE applies the value </w:t>
            </w:r>
            <w:r>
              <w:rPr>
                <w:u w:val="single"/>
              </w:rPr>
              <w:t>4</w:t>
            </w:r>
            <w:r>
              <w:t xml:space="preserve"> slots if </w:t>
            </w:r>
            <w:r>
              <w:rPr>
                <w:i/>
                <w:iCs/>
              </w:rPr>
              <w:t>duration-r17</w:t>
            </w:r>
            <w:r>
              <w:t xml:space="preserve"> is absent.</w:t>
            </w:r>
          </w:p>
          <w:p>
            <w:pPr>
              <w:widowControl w:val="0"/>
            </w:pPr>
            <w:r>
              <w:t xml:space="preserve">As per the above discussion, </w:t>
            </w:r>
            <w:r>
              <w:rPr>
                <w:i/>
                <w:iCs/>
              </w:rPr>
              <w:t>duration-r17</w:t>
            </w:r>
            <w:r>
              <w:t xml:space="preserve"> indicates multiple of Xs slots that </w:t>
            </w:r>
            <w:r>
              <w:rPr>
                <w:rFonts w:ascii="Times" w:hAnsi="Times" w:eastAsia="Batang"/>
                <w:i/>
                <w:iCs/>
                <w:color w:val="000000"/>
              </w:rPr>
              <w:t>monitoringSlotsWithinSlotGroup-r17</w:t>
            </w:r>
            <w:r>
              <w:t xml:space="preserve"> is applied. In that sense, the starting slot of </w:t>
            </w:r>
            <w:r>
              <w:rPr>
                <w:i/>
                <w:iCs/>
              </w:rPr>
              <w:t>duration-r17</w:t>
            </w:r>
            <w:r>
              <w:t xml:space="preserve"> should be aligned with slot group boundary, thus, the periodicity and offset also should be the multiple of Xs slots. Furthermore, it is preferable to support unified configuration principle between Group(1) SSs and Group(2) SSs. Therefore, both </w:t>
            </w:r>
            <w:r>
              <w:rPr>
                <w:rFonts w:hint="eastAsia" w:ascii="Times" w:hAnsi="Times" w:eastAsia="Batang"/>
                <w:i/>
                <w:iCs/>
                <w:lang w:eastAsia="zh-CN"/>
              </w:rPr>
              <w:t>monitoringSlotPeriodicityAnd</w:t>
            </w:r>
            <w:r>
              <w:rPr>
                <w:rFonts w:ascii="Times" w:hAnsi="Times" w:eastAsia="Batang"/>
                <w:i/>
                <w:iCs/>
                <w:lang w:eastAsia="zh-CN"/>
              </w:rPr>
              <w:t xml:space="preserve"> </w:t>
            </w:r>
            <w:r>
              <w:rPr>
                <w:rFonts w:hint="eastAsia" w:ascii="Times" w:hAnsi="Times" w:eastAsia="Batang"/>
                <w:i/>
                <w:iCs/>
                <w:lang w:eastAsia="zh-CN"/>
              </w:rPr>
              <w:t>Offset</w:t>
            </w:r>
            <w:r>
              <w:rPr>
                <w:i/>
                <w:iCs/>
              </w:rPr>
              <w:t>-r17</w:t>
            </w:r>
            <w:r>
              <w:t>and</w:t>
            </w:r>
            <w:r>
              <w:rPr>
                <w:i/>
                <w:iCs/>
              </w:rPr>
              <w:t xml:space="preserve"> duration-r17</w:t>
            </w:r>
            <w:r>
              <w:t xml:space="preserve"> </w:t>
            </w:r>
            <w:r>
              <w:rPr>
                <w:rFonts w:ascii="Times" w:hAnsi="Times" w:eastAsia="Batang"/>
                <w:color w:val="000000"/>
              </w:rPr>
              <w:t>should be an integer multiple of Xs slots regardless of SS type.</w:t>
            </w:r>
          </w:p>
          <w:p>
            <w:pPr>
              <w:widowControl w:val="0"/>
            </w:pPr>
            <w:r>
              <w:t xml:space="preserve">Figure 1 shows an example as for SS set configuration with </w:t>
            </w:r>
            <w:r>
              <w:rPr>
                <w:rFonts w:hint="eastAsia" w:ascii="Times" w:hAnsi="Times" w:eastAsia="Batang"/>
                <w:i/>
                <w:iCs/>
                <w:lang w:eastAsia="zh-CN"/>
              </w:rPr>
              <w:t>monitoringSlotPeriodicityAndOffset</w:t>
            </w:r>
            <w:r>
              <w:rPr>
                <w:i/>
                <w:iCs/>
              </w:rPr>
              <w:t>-r17, duration-r17</w:t>
            </w:r>
            <w:r>
              <w:t xml:space="preserve"> and </w:t>
            </w:r>
            <w:r>
              <w:rPr>
                <w:rFonts w:ascii="Times" w:hAnsi="Times" w:eastAsia="Batang"/>
                <w:i/>
                <w:iCs/>
                <w:color w:val="000000"/>
              </w:rPr>
              <w:t xml:space="preserve">monitoringSlotsWithinSlotGroup-r17 </w:t>
            </w:r>
            <w:r>
              <w:rPr>
                <w:rFonts w:ascii="Times" w:hAnsi="Times" w:eastAsia="Batang"/>
                <w:color w:val="000000"/>
              </w:rPr>
              <w:t>when a UE reports the support of (Xs, Ys)=(4, 2)</w:t>
            </w:r>
            <w:r>
              <w:rPr>
                <w:rFonts w:ascii="Times" w:hAnsi="Times" w:eastAsia="Batang"/>
                <w:i/>
                <w:iCs/>
                <w:color w:val="000000"/>
              </w:rPr>
              <w:t>.</w:t>
            </w:r>
          </w:p>
          <w:p>
            <w:pPr>
              <w:widowControl w:val="0"/>
              <w:rPr>
                <w:szCs w:val="18"/>
              </w:rPr>
            </w:pPr>
          </w:p>
          <w:p>
            <w:pPr>
              <w:widowControl w:val="0"/>
              <w:rPr>
                <w:szCs w:val="18"/>
              </w:rPr>
            </w:pPr>
            <w:r>
              <w:rPr>
                <w:szCs w:val="18"/>
              </w:rPr>
              <w:drawing>
                <wp:inline distT="0" distB="0" distL="0" distR="0">
                  <wp:extent cx="6332220" cy="1002665"/>
                  <wp:effectExtent l="0" t="0" r="0" b="0"/>
                  <wp:docPr id="429" name="図 1" descr="テキス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図 1" descr="テキスト&#10;&#10;自動的に生成された説明"/>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6332220" cy="1002665"/>
                          </a:xfrm>
                          <a:prstGeom prst="rect">
                            <a:avLst/>
                          </a:prstGeom>
                        </pic:spPr>
                      </pic:pic>
                    </a:graphicData>
                  </a:graphic>
                </wp:inline>
              </w:drawing>
            </w:r>
          </w:p>
          <w:p>
            <w:pPr>
              <w:widowControl w:val="0"/>
              <w:jc w:val="center"/>
              <w:rPr>
                <w:szCs w:val="18"/>
              </w:rPr>
            </w:pPr>
            <w:r>
              <w:rPr>
                <w:szCs w:val="18"/>
              </w:rPr>
              <w:t>Fig.1: SS set configuration for multi-slot PDCCH monitoring.</w:t>
            </w:r>
          </w:p>
          <w:p>
            <w:pPr>
              <w:widowControl w:val="0"/>
              <w:rPr>
                <w:szCs w:val="18"/>
              </w:rPr>
            </w:pPr>
          </w:p>
          <w:p>
            <w:pPr>
              <w:widowControl w:val="0"/>
              <w:rPr>
                <w:szCs w:val="18"/>
              </w:rPr>
            </w:pPr>
            <w:r>
              <w:rPr>
                <w:szCs w:val="18"/>
              </w:rPr>
              <w:t>Based on the discussion, we make the following proposal.</w:t>
            </w:r>
          </w:p>
          <w:p>
            <w:pPr>
              <w:widowControl w:val="0"/>
              <w:rPr>
                <w:szCs w:val="18"/>
              </w:rPr>
            </w:pPr>
          </w:p>
          <w:p>
            <w:pPr>
              <w:widowControl w:val="0"/>
              <w:rPr>
                <w:b/>
                <w:bCs/>
                <w:szCs w:val="18"/>
              </w:rPr>
            </w:pPr>
            <w:r>
              <w:rPr>
                <w:b/>
                <w:bCs/>
                <w:szCs w:val="18"/>
              </w:rPr>
              <w:t>Proposal 3: The following agreement at RAN1#107bis-e meeting should be supported with revision in red and the working assumption should be confirmed.</w:t>
            </w:r>
          </w:p>
          <w:tbl>
            <w:tblPr>
              <w:tblStyle w:val="55"/>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vAlign w:val="center"/>
                </w:tcPr>
                <w:p>
                  <w:pPr>
                    <w:widowControl w:val="0"/>
                    <w:spacing w:after="0"/>
                    <w:rPr>
                      <w:rFonts w:ascii="Times" w:hAnsi="Times" w:eastAsia="Batang"/>
                      <w:sz w:val="20"/>
                      <w:szCs w:val="24"/>
                    </w:rPr>
                  </w:pPr>
                  <w:r>
                    <w:rPr>
                      <w:rFonts w:ascii="Times" w:hAnsi="Times" w:eastAsia="Batang"/>
                      <w:sz w:val="20"/>
                      <w:szCs w:val="24"/>
                    </w:rPr>
                    <w:t>For search space set configuration of multi-slot PDCCH monitoring:</w:t>
                  </w:r>
                </w:p>
                <w:p>
                  <w:pPr>
                    <w:widowControl w:val="0"/>
                    <w:numPr>
                      <w:ilvl w:val="0"/>
                      <w:numId w:val="28"/>
                    </w:numPr>
                    <w:overflowPunct w:val="0"/>
                    <w:textAlignment w:val="baseline"/>
                    <w:rPr>
                      <w:rFonts w:ascii="Times" w:hAnsi="Times" w:eastAsia="Batang"/>
                      <w:sz w:val="20"/>
                      <w:szCs w:val="24"/>
                    </w:rPr>
                  </w:pPr>
                  <w:r>
                    <w:rPr>
                      <w:rFonts w:hint="eastAsia" w:ascii="Times" w:hAnsi="Times" w:eastAsia="Batang"/>
                      <w:i/>
                      <w:iCs/>
                      <w:sz w:val="20"/>
                      <w:szCs w:val="24"/>
                      <w:lang w:eastAsia="zh-CN"/>
                    </w:rPr>
                    <w:t>monitoringSlotPeriodicityAndOffset</w:t>
                  </w:r>
                  <w:r>
                    <w:rPr>
                      <w:rFonts w:ascii="Times" w:hAnsi="Times" w:eastAsia="Batang"/>
                      <w:sz w:val="20"/>
                      <w:szCs w:val="24"/>
                      <w:lang w:eastAsia="zh-CN"/>
                    </w:rPr>
                    <w:t xml:space="preserve"> and</w:t>
                  </w:r>
                  <w:r>
                    <w:rPr>
                      <w:rFonts w:hint="eastAsia" w:ascii="Times" w:hAnsi="Times" w:eastAsia="Batang"/>
                      <w:i/>
                      <w:iCs/>
                      <w:sz w:val="20"/>
                      <w:lang w:eastAsia="zh-CN"/>
                    </w:rPr>
                    <w:t xml:space="preserve"> </w:t>
                  </w:r>
                  <w:r>
                    <w:rPr>
                      <w:rFonts w:hint="eastAsia" w:ascii="Times" w:hAnsi="Times" w:eastAsia="Batang"/>
                      <w:i/>
                      <w:iCs/>
                      <w:sz w:val="20"/>
                      <w:szCs w:val="24"/>
                      <w:lang w:eastAsia="zh-CN"/>
                    </w:rPr>
                    <w:t>duration</w:t>
                  </w:r>
                  <w:r>
                    <w:rPr>
                      <w:rFonts w:hint="eastAsia" w:ascii="Times" w:hAnsi="Times" w:eastAsia="Batang"/>
                      <w:i/>
                      <w:iCs/>
                      <w:sz w:val="20"/>
                      <w:lang w:eastAsia="zh-CN"/>
                    </w:rPr>
                    <w:t xml:space="preserve"> </w:t>
                  </w:r>
                  <w:r>
                    <w:rPr>
                      <w:rFonts w:ascii="Times" w:hAnsi="Times" w:eastAsia="Batang"/>
                      <w:sz w:val="20"/>
                      <w:szCs w:val="24"/>
                    </w:rPr>
                    <w:t>are appended with "-r17", and</w:t>
                  </w:r>
                </w:p>
                <w:p>
                  <w:pPr>
                    <w:widowControl w:val="0"/>
                    <w:numPr>
                      <w:ilvl w:val="1"/>
                      <w:numId w:val="28"/>
                    </w:numPr>
                    <w:overflowPunct w:val="0"/>
                    <w:textAlignment w:val="baseline"/>
                    <w:rPr>
                      <w:rFonts w:ascii="Times" w:hAnsi="Times" w:eastAsia="Batang"/>
                      <w:sz w:val="20"/>
                      <w:szCs w:val="24"/>
                    </w:rPr>
                  </w:pPr>
                  <w:r>
                    <w:rPr>
                      <w:rFonts w:ascii="Times" w:hAnsi="Times" w:eastAsia="Batang"/>
                      <w:i/>
                      <w:iCs/>
                      <w:sz w:val="20"/>
                      <w:szCs w:val="24"/>
                      <w:lang w:eastAsia="zh-CN"/>
                    </w:rPr>
                    <w:t xml:space="preserve">For </w:t>
                  </w:r>
                  <w:r>
                    <w:rPr>
                      <w:rFonts w:ascii="Times" w:hAnsi="Times" w:eastAsia="Batang"/>
                      <w:i/>
                      <w:iCs/>
                      <w:sz w:val="20"/>
                      <w:szCs w:val="24"/>
                    </w:rPr>
                    <w:t>monitoringPeriodicityAndOffset-r17</w:t>
                  </w:r>
                </w:p>
                <w:p>
                  <w:pPr>
                    <w:widowControl w:val="0"/>
                    <w:numPr>
                      <w:ilvl w:val="2"/>
                      <w:numId w:val="28"/>
                    </w:numPr>
                    <w:overflowPunct w:val="0"/>
                    <w:textAlignment w:val="baseline"/>
                    <w:rPr>
                      <w:rFonts w:ascii="Times" w:hAnsi="Times" w:eastAsia="Batang"/>
                      <w:sz w:val="20"/>
                      <w:szCs w:val="24"/>
                    </w:rPr>
                  </w:pPr>
                  <w:r>
                    <w:rPr>
                      <w:rFonts w:ascii="Times" w:hAnsi="Times" w:eastAsia="Batang"/>
                      <w:sz w:val="20"/>
                      <w:szCs w:val="24"/>
                    </w:rPr>
                    <w:t>The values represent slots</w:t>
                  </w:r>
                </w:p>
                <w:p>
                  <w:pPr>
                    <w:widowControl w:val="0"/>
                    <w:numPr>
                      <w:ilvl w:val="2"/>
                      <w:numId w:val="28"/>
                    </w:numPr>
                    <w:overflowPunct w:val="0"/>
                    <w:textAlignment w:val="baseline"/>
                    <w:rPr>
                      <w:rFonts w:ascii="Times" w:hAnsi="Times" w:eastAsia="Batang"/>
                      <w:sz w:val="20"/>
                      <w:szCs w:val="24"/>
                    </w:rPr>
                  </w:pPr>
                  <w:r>
                    <w:rPr>
                      <w:rFonts w:ascii="Times" w:hAnsi="Times" w:eastAsia="Batang"/>
                      <w:sz w:val="20"/>
                      <w:szCs w:val="24"/>
                    </w:rPr>
                    <w:t xml:space="preserve">Add periodicity values {32,64,128,5120,10240,20480} to the existing values in </w:t>
                  </w:r>
                  <w:r>
                    <w:rPr>
                      <w:rFonts w:hint="eastAsia" w:ascii="Times" w:hAnsi="Times" w:eastAsia="Batang"/>
                      <w:i/>
                      <w:iCs/>
                      <w:sz w:val="20"/>
                      <w:szCs w:val="24"/>
                      <w:lang w:eastAsia="zh-CN"/>
                    </w:rPr>
                    <w:t>monitoringSlotPeriodicityAndOffset</w:t>
                  </w:r>
                </w:p>
                <w:p>
                  <w:pPr>
                    <w:widowControl w:val="0"/>
                    <w:numPr>
                      <w:ilvl w:val="3"/>
                      <w:numId w:val="28"/>
                    </w:numPr>
                    <w:overflowPunct w:val="0"/>
                    <w:textAlignment w:val="baseline"/>
                    <w:rPr>
                      <w:rFonts w:ascii="Times" w:hAnsi="Times" w:eastAsia="Batang"/>
                      <w:sz w:val="20"/>
                      <w:szCs w:val="24"/>
                    </w:rPr>
                  </w:pPr>
                  <w:r>
                    <w:rPr>
                      <w:rFonts w:ascii="Times" w:hAnsi="Times" w:eastAsia="Batang"/>
                      <w:sz w:val="20"/>
                      <w:szCs w:val="24"/>
                    </w:rPr>
                    <w:t>Note: Total list of supported periodicity values: {</w:t>
                  </w:r>
                  <w:r>
                    <w:rPr>
                      <w:rFonts w:ascii="Times" w:hAnsi="Times" w:eastAsia="Batang"/>
                      <w:strike/>
                      <w:color w:val="FF0000"/>
                      <w:sz w:val="20"/>
                      <w:szCs w:val="24"/>
                    </w:rPr>
                    <w:t>1,2,</w:t>
                  </w:r>
                  <w:r>
                    <w:rPr>
                      <w:rFonts w:ascii="Times" w:hAnsi="Times" w:eastAsia="Batang"/>
                      <w:sz w:val="20"/>
                      <w:szCs w:val="24"/>
                    </w:rPr>
                    <w:t>4,</w:t>
                  </w:r>
                  <w:r>
                    <w:rPr>
                      <w:rFonts w:ascii="Times" w:hAnsi="Times" w:eastAsia="Batang"/>
                      <w:strike/>
                      <w:color w:val="FF0000"/>
                      <w:sz w:val="20"/>
                      <w:szCs w:val="24"/>
                    </w:rPr>
                    <w:t>5,</w:t>
                  </w:r>
                  <w:r>
                    <w:rPr>
                      <w:rFonts w:ascii="Times" w:hAnsi="Times" w:eastAsia="Batang"/>
                      <w:sz w:val="20"/>
                      <w:szCs w:val="24"/>
                    </w:rPr>
                    <w:t>8,</w:t>
                  </w:r>
                  <w:r>
                    <w:rPr>
                      <w:rFonts w:ascii="Times" w:hAnsi="Times" w:eastAsia="Batang"/>
                      <w:strike/>
                      <w:color w:val="FF0000"/>
                      <w:sz w:val="20"/>
                      <w:szCs w:val="24"/>
                    </w:rPr>
                    <w:t>10,</w:t>
                  </w:r>
                  <w:r>
                    <w:rPr>
                      <w:rFonts w:ascii="Times" w:hAnsi="Times" w:eastAsia="Batang"/>
                      <w:sz w:val="20"/>
                      <w:szCs w:val="24"/>
                    </w:rPr>
                    <w:t>16,20,32,40,64,80,128,160,320,640,1280,2560,5120,10240,20480}</w:t>
                  </w:r>
                </w:p>
                <w:p>
                  <w:pPr>
                    <w:widowControl w:val="0"/>
                    <w:numPr>
                      <w:ilvl w:val="2"/>
                      <w:numId w:val="28"/>
                    </w:numPr>
                    <w:overflowPunct w:val="0"/>
                    <w:textAlignment w:val="baseline"/>
                    <w:rPr>
                      <w:rFonts w:ascii="Times" w:hAnsi="Times" w:eastAsia="Batang"/>
                      <w:sz w:val="20"/>
                      <w:szCs w:val="24"/>
                    </w:rPr>
                  </w:pPr>
                  <w:r>
                    <w:rPr>
                      <w:rFonts w:ascii="Times" w:hAnsi="Times" w:eastAsia="Batang"/>
                      <w:sz w:val="20"/>
                      <w:szCs w:val="24"/>
                    </w:rPr>
                    <w:t>For each periodicity value Xp</w:t>
                  </w:r>
                </w:p>
                <w:p>
                  <w:pPr>
                    <w:widowControl w:val="0"/>
                    <w:numPr>
                      <w:ilvl w:val="3"/>
                      <w:numId w:val="28"/>
                    </w:numPr>
                    <w:overflowPunct w:val="0"/>
                    <w:textAlignment w:val="baseline"/>
                    <w:rPr>
                      <w:rFonts w:ascii="Times" w:hAnsi="Times" w:eastAsia="Batang"/>
                      <w:sz w:val="20"/>
                      <w:szCs w:val="24"/>
                    </w:rPr>
                  </w:pPr>
                  <w:r>
                    <w:rPr>
                      <w:rFonts w:ascii="Times" w:hAnsi="Times" w:eastAsia="Batang"/>
                      <w:sz w:val="20"/>
                      <w:szCs w:val="24"/>
                    </w:rPr>
                    <w:t>The value range for the offset O is {0 .. Xp-1} slots</w:t>
                  </w:r>
                </w:p>
                <w:p>
                  <w:pPr>
                    <w:widowControl w:val="0"/>
                    <w:numPr>
                      <w:ilvl w:val="3"/>
                      <w:numId w:val="28"/>
                    </w:numPr>
                    <w:overflowPunct w:val="0"/>
                    <w:textAlignment w:val="baseline"/>
                    <w:rPr>
                      <w:rFonts w:ascii="Times" w:hAnsi="Times" w:eastAsia="Batang"/>
                      <w:sz w:val="20"/>
                      <w:szCs w:val="24"/>
                    </w:rPr>
                  </w:pPr>
                  <w:r>
                    <w:rPr>
                      <w:rFonts w:ascii="Times" w:hAnsi="Times" w:eastAsia="Batang"/>
                      <w:sz w:val="20"/>
                      <w:szCs w:val="24"/>
                    </w:rPr>
                    <w:t>Note: There may be no need to introduce the term "X</w:t>
                  </w:r>
                  <w:r>
                    <w:rPr>
                      <w:rFonts w:ascii="Times" w:hAnsi="Times" w:eastAsia="Batang"/>
                      <w:sz w:val="20"/>
                      <w:szCs w:val="24"/>
                      <w:vertAlign w:val="subscript"/>
                    </w:rPr>
                    <w:t>p</w:t>
                  </w:r>
                  <w:r>
                    <w:rPr>
                      <w:rFonts w:ascii="Times" w:hAnsi="Times" w:eastAsia="Batang"/>
                      <w:sz w:val="20"/>
                      <w:szCs w:val="24"/>
                    </w:rPr>
                    <w:t>" in the specifications</w:t>
                  </w:r>
                </w:p>
                <w:p>
                  <w:pPr>
                    <w:widowControl w:val="0"/>
                    <w:numPr>
                      <w:ilvl w:val="2"/>
                      <w:numId w:val="28"/>
                    </w:numPr>
                    <w:overflowPunct w:val="0"/>
                    <w:textAlignment w:val="baseline"/>
                    <w:rPr>
                      <w:rFonts w:ascii="Times" w:hAnsi="Times" w:eastAsia="Batang"/>
                      <w:sz w:val="20"/>
                      <w:szCs w:val="24"/>
                    </w:rPr>
                  </w:pPr>
                  <w:r>
                    <w:rPr>
                      <w:rFonts w:ascii="Times" w:hAnsi="Times" w:eastAsia="Batang"/>
                      <w:sz w:val="20"/>
                      <w:szCs w:val="24"/>
                    </w:rPr>
                    <w:t xml:space="preserve">The configured periodicity </w:t>
                  </w:r>
                  <w:r>
                    <w:rPr>
                      <w:rFonts w:ascii="Times" w:hAnsi="Times" w:eastAsia="Batang"/>
                      <w:strike/>
                      <w:color w:val="FF0000"/>
                      <w:sz w:val="20"/>
                      <w:szCs w:val="24"/>
                    </w:rPr>
                    <w:t>at least for Group (1) SSs</w:t>
                  </w:r>
                  <w:r>
                    <w:rPr>
                      <w:rFonts w:ascii="Times" w:hAnsi="Times" w:eastAsia="Batang"/>
                      <w:sz w:val="20"/>
                      <w:szCs w:val="24"/>
                    </w:rPr>
                    <w:t xml:space="preserve"> is restricted to be an integer multiple of Xs slots</w:t>
                  </w:r>
                </w:p>
                <w:p>
                  <w:pPr>
                    <w:widowControl w:val="0"/>
                    <w:numPr>
                      <w:ilvl w:val="2"/>
                      <w:numId w:val="28"/>
                    </w:numPr>
                    <w:overflowPunct w:val="0"/>
                    <w:textAlignment w:val="baseline"/>
                    <w:rPr>
                      <w:rFonts w:ascii="Times" w:hAnsi="Times" w:eastAsia="Batang"/>
                      <w:color w:val="FF0000"/>
                      <w:sz w:val="20"/>
                      <w:szCs w:val="24"/>
                    </w:rPr>
                  </w:pPr>
                  <w:r>
                    <w:rPr>
                      <w:rFonts w:ascii="Times" w:hAnsi="Times" w:eastAsia="Batang"/>
                      <w:color w:val="FF0000"/>
                      <w:sz w:val="20"/>
                      <w:szCs w:val="24"/>
                    </w:rPr>
                    <w:t>The configured offset is restricted to be an integer multiple of Xs slots</w:t>
                  </w:r>
                </w:p>
                <w:p>
                  <w:pPr>
                    <w:widowControl w:val="0"/>
                    <w:numPr>
                      <w:ilvl w:val="2"/>
                      <w:numId w:val="28"/>
                    </w:numPr>
                    <w:overflowPunct w:val="0"/>
                    <w:textAlignment w:val="baseline"/>
                    <w:rPr>
                      <w:rFonts w:ascii="Times" w:hAnsi="Times" w:eastAsia="Batang"/>
                      <w:strike/>
                      <w:color w:val="FF0000"/>
                      <w:sz w:val="20"/>
                      <w:szCs w:val="24"/>
                    </w:rPr>
                  </w:pPr>
                  <w:r>
                    <w:rPr>
                      <w:rFonts w:ascii="Times" w:hAnsi="Times" w:eastAsia="Batang"/>
                      <w:strike/>
                      <w:color w:val="FF0000"/>
                      <w:sz w:val="20"/>
                      <w:szCs w:val="24"/>
                    </w:rPr>
                    <w:t>FFS: details of offset</w:t>
                  </w:r>
                </w:p>
                <w:p>
                  <w:pPr>
                    <w:widowControl w:val="0"/>
                    <w:numPr>
                      <w:ilvl w:val="1"/>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For </w:t>
                  </w:r>
                  <w:r>
                    <w:rPr>
                      <w:rFonts w:ascii="Times" w:hAnsi="Times" w:eastAsia="Batang"/>
                      <w:i/>
                      <w:iCs/>
                      <w:color w:val="000000"/>
                      <w:sz w:val="20"/>
                      <w:szCs w:val="24"/>
                    </w:rPr>
                    <w:t>duration-r17</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The values represent slots</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The value range is {8, 12, …, 20476}</w:t>
                  </w:r>
                </w:p>
                <w:p>
                  <w:pPr>
                    <w:widowControl w:val="0"/>
                    <w:numPr>
                      <w:ilvl w:val="3"/>
                      <w:numId w:val="28"/>
                    </w:numPr>
                    <w:overflowPunct w:val="0"/>
                    <w:textAlignment w:val="baseline"/>
                    <w:rPr>
                      <w:rFonts w:ascii="Times" w:hAnsi="Times" w:eastAsia="Batang"/>
                      <w:color w:val="FF0000"/>
                      <w:sz w:val="20"/>
                      <w:szCs w:val="24"/>
                    </w:rPr>
                  </w:pPr>
                  <w:r>
                    <w:rPr>
                      <w:rFonts w:ascii="Times" w:hAnsi="Times"/>
                      <w:color w:val="FF0000"/>
                      <w:sz w:val="20"/>
                      <w:szCs w:val="24"/>
                    </w:rPr>
                    <w:t>If this field is absent, a UE applies the value 4 slots.</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The configured duration is restricted to be an integer multiple of Xs slots</w:t>
                  </w:r>
                  <w:r>
                    <w:rPr>
                      <w:rFonts w:ascii="Times" w:hAnsi="Times" w:eastAsia="Batang"/>
                      <w:sz w:val="20"/>
                      <w:szCs w:val="24"/>
                    </w:rPr>
                    <w:t xml:space="preserve"> </w:t>
                  </w:r>
                  <w:r>
                    <w:rPr>
                      <w:rFonts w:ascii="Times" w:hAnsi="Times" w:eastAsia="Batang"/>
                      <w:strike/>
                      <w:color w:val="FF0000"/>
                      <w:sz w:val="20"/>
                      <w:szCs w:val="24"/>
                    </w:rPr>
                    <w:t>at least for Group (1) SSs</w:t>
                  </w:r>
                </w:p>
                <w:p>
                  <w:pPr>
                    <w:widowControl w:val="0"/>
                    <w:numPr>
                      <w:ilvl w:val="2"/>
                      <w:numId w:val="28"/>
                    </w:numPr>
                    <w:overflowPunct w:val="0"/>
                    <w:textAlignment w:val="baseline"/>
                    <w:rPr>
                      <w:rFonts w:ascii="Times" w:hAnsi="Times" w:eastAsia="Batang"/>
                      <w:color w:val="FF0000"/>
                      <w:sz w:val="20"/>
                      <w:szCs w:val="24"/>
                    </w:rPr>
                  </w:pPr>
                  <w:r>
                    <w:rPr>
                      <w:rFonts w:ascii="Times" w:hAnsi="Times"/>
                      <w:color w:val="FF0000"/>
                      <w:sz w:val="20"/>
                      <w:szCs w:val="24"/>
                    </w:rPr>
                    <w:t xml:space="preserve">This field indicates the number of consecutive slots that a </w:t>
                  </w:r>
                  <w:r>
                    <w:rPr>
                      <w:rFonts w:ascii="Times" w:hAnsi="Times"/>
                      <w:i/>
                      <w:iCs/>
                      <w:color w:val="FF0000"/>
                      <w:sz w:val="20"/>
                      <w:szCs w:val="24"/>
                    </w:rPr>
                    <w:t>SearchSpace</w:t>
                  </w:r>
                  <w:r>
                    <w:rPr>
                      <w:rFonts w:ascii="Times" w:hAnsi="Times"/>
                      <w:color w:val="FF0000"/>
                      <w:sz w:val="20"/>
                      <w:szCs w:val="24"/>
                    </w:rPr>
                    <w:t xml:space="preserve"> lasts </w:t>
                  </w:r>
                  <w:r>
                    <w:rPr>
                      <w:rFonts w:ascii="Times" w:hAnsi="Times"/>
                      <w:i/>
                      <w:iCs/>
                      <w:color w:val="FF0000"/>
                      <w:sz w:val="20"/>
                      <w:szCs w:val="24"/>
                    </w:rPr>
                    <w:t>monitoringSlotsWithinSlotGroup-r17</w:t>
                  </w:r>
                  <w:r>
                    <w:rPr>
                      <w:rFonts w:ascii="Times" w:hAnsi="Times"/>
                      <w:color w:val="FF0000"/>
                      <w:sz w:val="20"/>
                      <w:szCs w:val="24"/>
                    </w:rPr>
                    <w:t xml:space="preserve"> is applied in every occasion, i.e., upon every period as given in the </w:t>
                  </w:r>
                  <w:r>
                    <w:rPr>
                      <w:rFonts w:ascii="Times" w:hAnsi="Times"/>
                      <w:i/>
                      <w:iCs/>
                      <w:color w:val="FF0000"/>
                      <w:sz w:val="20"/>
                      <w:szCs w:val="24"/>
                    </w:rPr>
                    <w:t>monitoringSlotPeriodicityAndOffset-r17</w:t>
                  </w:r>
                  <w:r>
                    <w:rPr>
                      <w:rFonts w:ascii="Times" w:hAnsi="Times"/>
                      <w:color w:val="FF0000"/>
                      <w:sz w:val="20"/>
                      <w:szCs w:val="24"/>
                    </w:rPr>
                    <w:t>.</w:t>
                  </w:r>
                </w:p>
                <w:p>
                  <w:pPr>
                    <w:widowControl w:val="0"/>
                    <w:numPr>
                      <w:ilvl w:val="2"/>
                      <w:numId w:val="28"/>
                    </w:numPr>
                    <w:overflowPunct w:val="0"/>
                    <w:textAlignment w:val="baseline"/>
                    <w:rPr>
                      <w:rFonts w:ascii="Times" w:hAnsi="Times" w:eastAsia="Batang"/>
                      <w:strike/>
                      <w:color w:val="FF0000"/>
                      <w:sz w:val="20"/>
                      <w:szCs w:val="24"/>
                    </w:rPr>
                  </w:pPr>
                  <w:r>
                    <w:rPr>
                      <w:rFonts w:ascii="Times" w:hAnsi="Times" w:eastAsia="Batang"/>
                      <w:strike/>
                      <w:color w:val="FF0000"/>
                      <w:sz w:val="20"/>
                      <w:szCs w:val="24"/>
                    </w:rPr>
                    <w:t xml:space="preserve">FFS: need to revise the definition of </w:t>
                  </w:r>
                  <w:r>
                    <w:rPr>
                      <w:rFonts w:ascii="Times" w:hAnsi="Times" w:eastAsia="Batang"/>
                      <w:i/>
                      <w:strike/>
                      <w:color w:val="FF0000"/>
                      <w:sz w:val="20"/>
                      <w:szCs w:val="24"/>
                    </w:rPr>
                    <w:t>duration</w:t>
                  </w:r>
                </w:p>
                <w:p>
                  <w:pPr>
                    <w:widowControl w:val="0"/>
                    <w:numPr>
                      <w:ilvl w:val="0"/>
                      <w:numId w:val="28"/>
                    </w:numPr>
                    <w:overflowPunct w:val="0"/>
                    <w:textAlignment w:val="baseline"/>
                    <w:rPr>
                      <w:rFonts w:ascii="Times" w:hAnsi="Times" w:eastAsia="Batang"/>
                      <w:sz w:val="20"/>
                      <w:szCs w:val="24"/>
                    </w:rPr>
                  </w:pPr>
                  <w:r>
                    <w:rPr>
                      <w:rFonts w:ascii="Times" w:hAnsi="Times" w:eastAsia="Batang"/>
                      <w:i/>
                      <w:iCs/>
                      <w:sz w:val="20"/>
                      <w:szCs w:val="24"/>
                    </w:rPr>
                    <w:t xml:space="preserve">monitoringSymbolsWithinSlot </w:t>
                  </w:r>
                  <w:r>
                    <w:rPr>
                      <w:rFonts w:ascii="Times" w:hAnsi="Times" w:eastAsia="Batang"/>
                      <w:sz w:val="20"/>
                      <w:szCs w:val="24"/>
                    </w:rPr>
                    <w:t>applies to each slot in a slot group configured for multi-slot PDCCH monitoring</w:t>
                  </w:r>
                </w:p>
                <w:p>
                  <w:pPr>
                    <w:widowControl w:val="0"/>
                    <w:numPr>
                      <w:ilvl w:val="1"/>
                      <w:numId w:val="28"/>
                    </w:numPr>
                    <w:overflowPunct w:val="0"/>
                    <w:textAlignment w:val="baseline"/>
                    <w:rPr>
                      <w:rFonts w:ascii="Times" w:hAnsi="Times" w:eastAsia="Batang"/>
                      <w:sz w:val="20"/>
                      <w:szCs w:val="24"/>
                    </w:rPr>
                  </w:pPr>
                  <w:r>
                    <w:rPr>
                      <w:rFonts w:ascii="Times" w:hAnsi="Times" w:eastAsia="Batang"/>
                      <w:sz w:val="20"/>
                      <w:szCs w:val="24"/>
                    </w:rPr>
                    <w:t>Note: This parameter can be directly re-used from earlier releases.</w:t>
                  </w:r>
                </w:p>
                <w:p>
                  <w:pPr>
                    <w:widowControl w:val="0"/>
                    <w:numPr>
                      <w:ilvl w:val="0"/>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Introduce new parameter </w:t>
                  </w:r>
                  <w:r>
                    <w:rPr>
                      <w:rFonts w:ascii="Times" w:hAnsi="Times" w:eastAsia="Batang"/>
                      <w:i/>
                      <w:iCs/>
                      <w:color w:val="000000"/>
                      <w:sz w:val="20"/>
                      <w:szCs w:val="24"/>
                    </w:rPr>
                    <w:t>monitoringSlotsWithinSlotGroup-r17</w:t>
                  </w:r>
                </w:p>
                <w:p>
                  <w:pPr>
                    <w:widowControl w:val="0"/>
                    <w:numPr>
                      <w:ilvl w:val="1"/>
                      <w:numId w:val="28"/>
                    </w:numPr>
                    <w:overflowPunct w:val="0"/>
                    <w:textAlignment w:val="baseline"/>
                    <w:rPr>
                      <w:rFonts w:ascii="Times" w:hAnsi="Times" w:eastAsia="Batang"/>
                      <w:color w:val="000000"/>
                      <w:sz w:val="20"/>
                      <w:szCs w:val="24"/>
                    </w:rPr>
                  </w:pPr>
                  <w:r>
                    <w:rPr>
                      <w:rFonts w:ascii="Times" w:hAnsi="Times" w:eastAsia="Batang"/>
                      <w:color w:val="000000"/>
                      <w:sz w:val="20"/>
                      <w:szCs w:val="24"/>
                      <w:highlight w:val="darkYellow"/>
                    </w:rPr>
                    <w:t>Working assumption</w:t>
                  </w:r>
                  <w:r>
                    <w:rPr>
                      <w:rFonts w:ascii="Times" w:hAnsi="Times" w:eastAsia="Batang"/>
                      <w:color w:val="000000"/>
                      <w:sz w:val="20"/>
                      <w:szCs w:val="24"/>
                    </w:rPr>
                    <w:t>:</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The size is 8 bits</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Each bit in </w:t>
                  </w:r>
                  <w:r>
                    <w:rPr>
                      <w:rFonts w:ascii="Times" w:hAnsi="Times" w:eastAsia="Batang"/>
                      <w:i/>
                      <w:iCs/>
                      <w:color w:val="000000"/>
                      <w:sz w:val="20"/>
                      <w:szCs w:val="24"/>
                    </w:rPr>
                    <w:t>monitoringSlotsWithinSlotGroup-r17</w:t>
                  </w:r>
                  <w:r>
                    <w:rPr>
                      <w:rFonts w:ascii="Times" w:hAnsi="Times" w:eastAsia="Batang"/>
                      <w:color w:val="000000"/>
                      <w:sz w:val="20"/>
                      <w:szCs w:val="24"/>
                    </w:rPr>
                    <w:t xml:space="preserve"> represents a slot in a slot group</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A slot in the slot group is configured for multi-slot PDCCH monitoring if the corresponding bit in the slot group is set to '1'</w:t>
                  </w:r>
                </w:p>
                <w:p>
                  <w:pPr>
                    <w:widowControl w:val="0"/>
                    <w:numPr>
                      <w:ilvl w:val="3"/>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 xml:space="preserve">Note: Further configuration of the monitoring symbols in such a slot is done by </w:t>
                  </w:r>
                  <w:r>
                    <w:rPr>
                      <w:rFonts w:ascii="Times" w:hAnsi="Times" w:eastAsia="Batang"/>
                      <w:i/>
                      <w:iCs/>
                      <w:color w:val="000000"/>
                      <w:sz w:val="20"/>
                      <w:szCs w:val="24"/>
                    </w:rPr>
                    <w:t>monitoringSymbolsWithinSlot</w:t>
                  </w:r>
                </w:p>
                <w:p>
                  <w:pPr>
                    <w:widowControl w:val="0"/>
                    <w:numPr>
                      <w:ilvl w:val="2"/>
                      <w:numId w:val="28"/>
                    </w:numPr>
                    <w:overflowPunct w:val="0"/>
                    <w:textAlignment w:val="baseline"/>
                    <w:rPr>
                      <w:rFonts w:ascii="Times" w:hAnsi="Times" w:eastAsia="Batang"/>
                      <w:color w:val="000000"/>
                      <w:sz w:val="20"/>
                      <w:szCs w:val="24"/>
                    </w:rPr>
                  </w:pPr>
                  <w:r>
                    <w:rPr>
                      <w:rFonts w:ascii="Times" w:hAnsi="Times" w:eastAsia="Batang"/>
                      <w:color w:val="000000"/>
                      <w:sz w:val="20"/>
                      <w:szCs w:val="24"/>
                    </w:rPr>
                    <w:t>The</w:t>
                  </w:r>
                  <w:r>
                    <w:rPr>
                      <w:rFonts w:hint="eastAsia" w:ascii="Times" w:hAnsi="Times" w:eastAsia="Batang"/>
                      <w:color w:val="000000"/>
                      <w:sz w:val="20"/>
                      <w:szCs w:val="24"/>
                    </w:rPr>
                    <w:t xml:space="preserve"> </w:t>
                  </w:r>
                  <w:r>
                    <w:rPr>
                      <w:rFonts w:ascii="Times" w:hAnsi="Times" w:eastAsia="Batang"/>
                      <w:color w:val="000000"/>
                      <w:sz w:val="20"/>
                      <w:szCs w:val="24"/>
                    </w:rPr>
                    <w:t>slots indicated in the bitmap should be consecutive</w:t>
                  </w:r>
                  <w:r>
                    <w:rPr>
                      <w:rFonts w:ascii="Times" w:hAnsi="Times" w:eastAsia="Batang"/>
                      <w:sz w:val="20"/>
                      <w:szCs w:val="24"/>
                    </w:rPr>
                    <w:t xml:space="preserve"> at least for Group (1) SSs</w:t>
                  </w:r>
                </w:p>
              </w:tc>
            </w:tr>
          </w:tbl>
          <w:p>
            <w:pPr>
              <w:pStyle w:val="230"/>
              <w:widowControl w:val="0"/>
              <w:snapToGrid w:val="0"/>
              <w:spacing w:line="240" w:lineRule="auto"/>
              <w:ind w:firstLine="0"/>
              <w:contextualSpacing w:val="0"/>
              <w:rPr>
                <w:rFonts w:eastAsiaTheme="minorEastAsia"/>
                <w:bCs/>
                <w:sz w:val="24"/>
                <w:szCs w:val="24"/>
                <w:lang w:eastAsia="ja-JP"/>
              </w:rPr>
            </w:pPr>
          </w:p>
          <w:p>
            <w:pPr>
              <w:widowControl w:val="0"/>
              <w:rPr>
                <w:szCs w:val="18"/>
              </w:rPr>
            </w:pPr>
            <w:r>
              <w:rPr>
                <w:szCs w:val="18"/>
              </w:rPr>
              <w:t>As per the discussion in AI 8.2.2, most companies agreed that SSSG switching and PDCCH skipping feature introduced in Rel-17 UE power saving enhancement WI can be extended for NR operation in FR2-2 with 480 and 960 kHz SCS, then the exact values need to be discussed.</w:t>
            </w:r>
          </w:p>
          <w:p>
            <w:pPr>
              <w:widowControl w:val="0"/>
              <w:rPr>
                <w:szCs w:val="18"/>
              </w:rPr>
            </w:pPr>
            <w:r>
              <w:rPr>
                <w:szCs w:val="18"/>
              </w:rPr>
              <w:t>We believe the scaled values from that for 120 kHz by 4/8 for 480/960 kHz SCS (shown below) can be a good starting point to determine the exact values for larger SCSs:</w:t>
            </w:r>
          </w:p>
          <w:p>
            <w:pPr>
              <w:widowControl w:val="0"/>
              <w:numPr>
                <w:ilvl w:val="2"/>
                <w:numId w:val="79"/>
              </w:numPr>
              <w:autoSpaceDE/>
              <w:autoSpaceDN/>
              <w:adjustRightInd/>
              <w:snapToGrid/>
              <w:spacing w:after="0" w:line="280" w:lineRule="atLeast"/>
              <w:rPr>
                <w:rFonts w:ascii="Times" w:hAnsi="Times" w:eastAsia="Batang"/>
                <w:sz w:val="20"/>
                <w:lang w:eastAsia="zh-CN"/>
              </w:rPr>
            </w:pPr>
            <w:r>
              <w:rPr>
                <w:rFonts w:eastAsia="Batang"/>
                <w:sz w:val="20"/>
                <w:lang w:eastAsia="zh-CN"/>
              </w:rPr>
              <w:t xml:space="preserve">{[4,8,12,16,...,640,1280,1600,2560,3200]} for 480kHz SCS,  </w:t>
            </w:r>
          </w:p>
          <w:p>
            <w:pPr>
              <w:widowControl w:val="0"/>
              <w:numPr>
                <w:ilvl w:val="2"/>
                <w:numId w:val="79"/>
              </w:numPr>
              <w:autoSpaceDE/>
              <w:autoSpaceDN/>
              <w:adjustRightInd/>
              <w:snapToGrid/>
              <w:spacing w:after="0" w:line="280" w:lineRule="atLeast"/>
              <w:rPr>
                <w:rFonts w:ascii="Times" w:hAnsi="Times" w:eastAsia="Batang"/>
                <w:sz w:val="20"/>
                <w:lang w:eastAsia="zh-CN"/>
              </w:rPr>
            </w:pPr>
            <w:r>
              <w:rPr>
                <w:rFonts w:eastAsia="Batang"/>
                <w:sz w:val="20"/>
                <w:lang w:eastAsia="zh-CN"/>
              </w:rPr>
              <w:t>{[8,16,24,32,..., 1280,1600,2560,3200,6400]} for 960kHz SCS.</w:t>
            </w:r>
          </w:p>
          <w:p>
            <w:pPr>
              <w:widowControl w:val="0"/>
              <w:rPr>
                <w:szCs w:val="18"/>
              </w:rPr>
            </w:pPr>
          </w:p>
          <w:p>
            <w:pPr>
              <w:widowControl w:val="0"/>
              <w:rPr>
                <w:szCs w:val="18"/>
              </w:rPr>
            </w:pPr>
            <w:r>
              <w:rPr>
                <w:szCs w:val="18"/>
              </w:rPr>
              <w:t>We think it would be sufficient to just use the values above for larger SCSs in FR2-2, i.e., the values scaled based on SCS. From power saving perspective, we believe the same “absolute” time duration should be considered even when larger SCS is configured. The simplest solution to achieve this would be the simple scaling. Some companies argued that the values should be discussed separately for LBT and non-LBT cases since maximum COT duration should be considered for LBT case. However, the values which are scaled based on the values for Rel-17 power saving shown above includes the values for LBT case, i.e., 160/320 slots, and the single value set shown above seems sufficient configuring per BWP. Thus, we think it is not necessary to specify SSSG switching timer and PDCCH candidates skipping values for 480/960 kHz SCS as NR-U based value sets and Rel-17 power saving based value sets separately.</w:t>
            </w:r>
          </w:p>
          <w:p>
            <w:pPr>
              <w:widowControl w:val="0"/>
              <w:rPr>
                <w:szCs w:val="18"/>
              </w:rPr>
            </w:pPr>
          </w:p>
          <w:p>
            <w:pPr>
              <w:widowControl w:val="0"/>
              <w:overflowPunct w:val="0"/>
              <w:spacing w:after="0"/>
              <w:rPr>
                <w:rFonts w:eastAsia="Batang"/>
                <w:b/>
                <w:bCs/>
              </w:rPr>
            </w:pPr>
            <w:r>
              <w:rPr>
                <w:b/>
                <w:bCs/>
              </w:rPr>
              <w:t xml:space="preserve">Proposal 4: Support </w:t>
            </w:r>
            <w:r>
              <w:rPr>
                <w:rFonts w:eastAsia="Batang"/>
                <w:b/>
                <w:bCs/>
                <w:lang w:eastAsia="zh-CN"/>
              </w:rPr>
              <w:t xml:space="preserve">the candidate skipping values </w:t>
            </w:r>
            <w:r>
              <w:rPr>
                <w:rFonts w:hint="eastAsia" w:eastAsia="Batang"/>
                <w:b/>
                <w:bCs/>
                <w:lang w:eastAsia="zh-CN"/>
              </w:rPr>
              <w:t>and</w:t>
            </w:r>
            <w:r>
              <w:rPr>
                <w:rFonts w:eastAsia="Batang"/>
                <w:b/>
                <w:bCs/>
                <w:lang w:eastAsia="zh-CN"/>
              </w:rPr>
              <w:t xml:space="preserve"> SSSG switching initial timer values in slots as follows: </w:t>
            </w:r>
          </w:p>
          <w:p>
            <w:pPr>
              <w:widowControl w:val="0"/>
              <w:numPr>
                <w:ilvl w:val="1"/>
                <w:numId w:val="80"/>
              </w:numPr>
              <w:overflowPunct w:val="0"/>
              <w:autoSpaceDE/>
              <w:autoSpaceDN/>
              <w:adjustRightInd/>
              <w:snapToGrid/>
              <w:spacing w:after="0" w:line="240" w:lineRule="auto"/>
              <w:rPr>
                <w:rFonts w:eastAsia="Batang"/>
                <w:b/>
                <w:bCs/>
                <w:lang w:eastAsia="zh-CN"/>
              </w:rPr>
            </w:pPr>
            <w:r>
              <w:rPr>
                <w:rFonts w:eastAsia="Batang"/>
                <w:b/>
                <w:bCs/>
                <w:lang w:eastAsia="zh-CN"/>
              </w:rPr>
              <w:t xml:space="preserve">The candidate skipping values can be configured as </w:t>
            </w:r>
          </w:p>
          <w:p>
            <w:pPr>
              <w:widowControl w:val="0"/>
              <w:numPr>
                <w:ilvl w:val="2"/>
                <w:numId w:val="79"/>
              </w:numPr>
              <w:autoSpaceDE/>
              <w:autoSpaceDN/>
              <w:adjustRightInd/>
              <w:snapToGrid/>
              <w:spacing w:after="0" w:line="280" w:lineRule="atLeast"/>
              <w:rPr>
                <w:rFonts w:ascii="Times" w:hAnsi="Times" w:eastAsia="Batang"/>
                <w:b/>
                <w:bCs/>
                <w:lang w:eastAsia="zh-CN"/>
              </w:rPr>
            </w:pPr>
            <w:bookmarkStart w:id="59" w:name="_Hlk95728371"/>
            <w:r>
              <w:rPr>
                <w:rFonts w:eastAsia="Batang"/>
                <w:b/>
                <w:bCs/>
                <w:lang w:eastAsia="zh-CN"/>
              </w:rPr>
              <w:t xml:space="preserve">{[4,8,12,16,...,640,1280,1600,2560,3200]} for 480kHz SCS,  </w:t>
            </w:r>
          </w:p>
          <w:p>
            <w:pPr>
              <w:widowControl w:val="0"/>
              <w:numPr>
                <w:ilvl w:val="2"/>
                <w:numId w:val="79"/>
              </w:numPr>
              <w:autoSpaceDE/>
              <w:autoSpaceDN/>
              <w:adjustRightInd/>
              <w:snapToGrid/>
              <w:spacing w:after="0" w:line="280" w:lineRule="atLeast"/>
              <w:rPr>
                <w:rFonts w:ascii="Times" w:hAnsi="Times" w:eastAsia="Batang"/>
                <w:b/>
                <w:bCs/>
                <w:lang w:eastAsia="zh-CN"/>
              </w:rPr>
            </w:pPr>
            <w:r>
              <w:rPr>
                <w:rFonts w:eastAsia="Batang"/>
                <w:b/>
                <w:bCs/>
                <w:lang w:eastAsia="zh-CN"/>
              </w:rPr>
              <w:t>{[8,16,24,32,..., 1280,1600,2560,3200,6400]} for 960kHz SCS.</w:t>
            </w:r>
          </w:p>
          <w:bookmarkEnd w:id="59"/>
          <w:p>
            <w:pPr>
              <w:widowControl w:val="0"/>
              <w:numPr>
                <w:ilvl w:val="1"/>
                <w:numId w:val="80"/>
              </w:numPr>
              <w:autoSpaceDE/>
              <w:autoSpaceDN/>
              <w:adjustRightInd/>
              <w:snapToGrid/>
              <w:spacing w:after="0" w:line="280" w:lineRule="atLeast"/>
              <w:rPr>
                <w:rFonts w:ascii="Times" w:hAnsi="Times"/>
                <w:b/>
                <w:bCs/>
                <w:lang w:eastAsia="zh-CN"/>
              </w:rPr>
            </w:pPr>
            <w:r>
              <w:rPr>
                <w:b/>
                <w:bCs/>
                <w:lang w:eastAsia="zh-CN"/>
              </w:rPr>
              <w:t xml:space="preserve">The value of the SSSG switching timer in slots can be configured as, </w:t>
            </w:r>
          </w:p>
          <w:p>
            <w:pPr>
              <w:widowControl w:val="0"/>
              <w:numPr>
                <w:ilvl w:val="2"/>
                <w:numId w:val="79"/>
              </w:numPr>
              <w:autoSpaceDE/>
              <w:autoSpaceDN/>
              <w:adjustRightInd/>
              <w:snapToGrid/>
              <w:spacing w:after="0" w:line="280" w:lineRule="atLeast"/>
              <w:rPr>
                <w:rFonts w:ascii="Times" w:hAnsi="Times" w:eastAsia="Batang"/>
                <w:b/>
                <w:bCs/>
                <w:lang w:eastAsia="zh-CN"/>
              </w:rPr>
            </w:pPr>
            <w:r>
              <w:rPr>
                <w:rFonts w:eastAsia="Batang"/>
                <w:b/>
                <w:bCs/>
                <w:lang w:eastAsia="zh-CN"/>
              </w:rPr>
              <w:t xml:space="preserve">{[4,8,12,16,...,640,1280,1600,2560,3200]} for 480kHz SCS,  </w:t>
            </w:r>
          </w:p>
          <w:p>
            <w:pPr>
              <w:widowControl w:val="0"/>
              <w:numPr>
                <w:ilvl w:val="2"/>
                <w:numId w:val="79"/>
              </w:numPr>
              <w:autoSpaceDE/>
              <w:autoSpaceDN/>
              <w:adjustRightInd/>
              <w:snapToGrid/>
              <w:spacing w:after="0" w:line="280" w:lineRule="atLeast"/>
              <w:rPr>
                <w:rFonts w:ascii="Times" w:hAnsi="Times" w:eastAsia="Batang"/>
                <w:b/>
                <w:bCs/>
                <w:lang w:eastAsia="zh-CN"/>
              </w:rPr>
            </w:pPr>
            <w:r>
              <w:rPr>
                <w:rFonts w:eastAsia="Batang"/>
                <w:b/>
                <w:bCs/>
                <w:lang w:eastAsia="zh-CN"/>
              </w:rPr>
              <w:t>{[8,16,24,32,..., 1280,1600,2560,3200,6400]} for 960kHz SCS.</w:t>
            </w:r>
          </w:p>
          <w:p>
            <w:pPr>
              <w:pStyle w:val="230"/>
              <w:widowControl w:val="0"/>
              <w:snapToGrid w:val="0"/>
              <w:spacing w:line="240" w:lineRule="auto"/>
              <w:ind w:firstLine="0"/>
              <w:contextualSpacing w:val="0"/>
              <w:rPr>
                <w:rFonts w:eastAsiaTheme="minorEastAsia"/>
                <w:b/>
                <w:sz w:val="24"/>
                <w:szCs w:val="24"/>
                <w:lang w:eastAsia="ja-JP"/>
              </w:rPr>
            </w:pPr>
          </w:p>
          <w:p>
            <w:pPr>
              <w:widowControl w:val="0"/>
            </w:pPr>
            <w:r>
              <w:rPr>
                <w:rFonts w:ascii="Times" w:hAnsi="Times" w:eastAsia="Batang"/>
              </w:rPr>
              <w:t>Considering the discussion at last RAN1 meeting, while our first preference is to support 25/100/200 symbols for 120/480/960 kHz SCS (i.e., either Alt-1 or Alt-2b), we can accept the values captured as working assumption to SSSG switching even for the unlicensed band operation in FR2-2.</w:t>
            </w:r>
          </w:p>
          <w:p>
            <w:pPr>
              <w:widowControl w:val="0"/>
            </w:pPr>
          </w:p>
          <w:p>
            <w:pPr>
              <w:widowControl w:val="0"/>
              <w:rPr>
                <w:b/>
                <w:bCs/>
              </w:rPr>
            </w:pPr>
            <w:r>
              <w:rPr>
                <w:b/>
                <w:bCs/>
              </w:rPr>
              <w:t>Proposal 5:</w:t>
            </w:r>
            <w:r>
              <w:rPr>
                <w:rFonts w:hint="eastAsia"/>
                <w:b/>
                <w:bCs/>
              </w:rPr>
              <w:t xml:space="preserve"> </w:t>
            </w:r>
            <w:r>
              <w:rPr>
                <w:b/>
                <w:bCs/>
              </w:rPr>
              <w:t>Confirm the following working assumption:</w:t>
            </w:r>
          </w:p>
          <w:p>
            <w:pPr>
              <w:widowControl w:val="0"/>
              <w:spacing w:after="0"/>
              <w:rPr>
                <w:rFonts w:ascii="Times" w:hAnsi="Times" w:eastAsia="Batang"/>
                <w:b/>
                <w:bCs/>
                <w:lang w:eastAsia="zh-CN"/>
              </w:rPr>
            </w:pPr>
            <w:r>
              <w:rPr>
                <w:rFonts w:ascii="Times" w:hAnsi="Times" w:eastAsia="Batang"/>
                <w:b/>
                <w:bCs/>
                <w:highlight w:val="darkYellow"/>
                <w:lang w:eastAsia="zh-CN"/>
              </w:rPr>
              <w:t>Working assumption</w:t>
            </w:r>
          </w:p>
          <w:p>
            <w:pPr>
              <w:widowControl w:val="0"/>
              <w:spacing w:after="0"/>
              <w:rPr>
                <w:rFonts w:ascii="Times" w:hAnsi="Times" w:eastAsia="Batang"/>
                <w:b/>
                <w:bCs/>
              </w:rPr>
            </w:pPr>
            <w:r>
              <w:rPr>
                <w:rFonts w:ascii="Times" w:hAnsi="Times" w:eastAsia="Batang"/>
                <w:b/>
                <w:bCs/>
              </w:rPr>
              <w:t xml:space="preserve">The following values are adopted as minimum value of </w:t>
            </w:r>
            <m:oMath>
              <m:sSub>
                <m:sSubPr>
                  <m:ctrlPr>
                    <w:rPr>
                      <w:rFonts w:ascii="Cambria Math" w:hAnsi="Cambria Math"/>
                      <w:b/>
                      <w:bCs/>
                      <w:i/>
                    </w:rPr>
                  </m:ctrlPr>
                </m:sSubPr>
                <m:e>
                  <m:r>
                    <m:rPr>
                      <m:sty m:val="bi"/>
                    </m:rPr>
                    <w:rPr>
                      <w:rFonts w:ascii="Cambria Math" w:hAnsi="Cambria Math"/>
                    </w:rPr>
                    <m:t>P</m:t>
                  </m:r>
                  <m:ctrlPr>
                    <w:rPr>
                      <w:rFonts w:ascii="Cambria Math" w:hAnsi="Cambria Math"/>
                      <w:b/>
                      <w:bCs/>
                      <w:i/>
                    </w:rPr>
                  </m:ctrlPr>
                </m:e>
                <m:sub>
                  <m:r>
                    <m:rPr>
                      <m:sty m:val="bi"/>
                    </m:rPr>
                    <w:rPr>
                      <w:rFonts w:ascii="Cambria Math" w:hAnsi="Cambria Math"/>
                    </w:rPr>
                    <m:t>switch</m:t>
                  </m:r>
                  <m:ctrlPr>
                    <w:rPr>
                      <w:rFonts w:ascii="Cambria Math" w:hAnsi="Cambria Math"/>
                      <w:b/>
                      <w:bCs/>
                      <w:i/>
                    </w:rPr>
                  </m:ctrlPr>
                </m:sub>
              </m:sSub>
            </m:oMath>
            <w:r>
              <w:rPr>
                <w:rFonts w:ascii="Times" w:hAnsi="Times" w:eastAsia="Batang"/>
                <w:b/>
                <w:bCs/>
              </w:rPr>
              <w:t xml:space="preserve"> for 120/480/960 kHz</w:t>
            </w:r>
          </w:p>
          <w:p>
            <w:pPr>
              <w:widowControl w:val="0"/>
              <w:numPr>
                <w:ilvl w:val="0"/>
                <w:numId w:val="81"/>
              </w:numPr>
              <w:autoSpaceDE/>
              <w:autoSpaceDN/>
              <w:adjustRightInd/>
              <w:spacing w:after="0"/>
              <w:rPr>
                <w:rFonts w:ascii="Times" w:hAnsi="Times" w:eastAsia="Batang"/>
                <w:lang w:eastAsia="zh-CN"/>
              </w:rPr>
            </w:pPr>
            <w:r>
              <w:rPr>
                <w:rFonts w:ascii="Times" w:hAnsi="Times" w:eastAsia="Batang"/>
                <w:b/>
                <w:bCs/>
                <w:lang w:eastAsia="zh-CN"/>
              </w:rPr>
              <w:t>Support only search space set group switching processing capability 1 with the following values</w:t>
            </w:r>
          </w:p>
          <w:p>
            <w:pPr>
              <w:widowControl w:val="0"/>
              <w:spacing w:after="0"/>
              <w:rPr>
                <w:rFonts w:ascii="Times" w:hAnsi="Times" w:eastAsia="Batang"/>
                <w:sz w:val="20"/>
                <w:szCs w:val="24"/>
                <w:lang w:eastAsia="zh-CN"/>
              </w:rPr>
            </w:pPr>
          </w:p>
          <w:tbl>
            <w:tblPr>
              <w:tblStyle w:val="54"/>
              <w:tblW w:w="3685" w:type="dxa"/>
              <w:tblInd w:w="169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300"/>
              <w:gridCol w:w="33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Pr>
              <w:tc>
                <w:tcPr>
                  <w:tcW w:w="300" w:type="dxa"/>
                  <w:shd w:val="clear" w:color="auto" w:fill="E0E0E0"/>
                  <w:vAlign w:val="center"/>
                </w:tcPr>
                <w:p>
                  <w:pPr>
                    <w:keepNext/>
                    <w:keepLines/>
                    <w:overflowPunct w:val="0"/>
                    <w:spacing w:after="0"/>
                    <w:jc w:val="center"/>
                    <w:textAlignment w:val="baseline"/>
                    <w:rPr>
                      <w:rFonts w:eastAsia="Times New Roman"/>
                      <w:b/>
                      <w:sz w:val="20"/>
                      <w:lang w:eastAsia="en-GB"/>
                    </w:rPr>
                  </w:pPr>
                  <m:oMathPara>
                    <m:oMath>
                      <m:r>
                        <m:rPr>
                          <m:sty m:val="bi"/>
                        </m:rPr>
                        <w:rPr>
                          <w:rFonts w:ascii="Cambria Math" w:hAnsi="Cambria Math"/>
                        </w:rPr>
                        <m:t>μ</m:t>
                      </m:r>
                    </m:oMath>
                  </m:oMathPara>
                </w:p>
              </w:tc>
              <w:tc>
                <w:tcPr>
                  <w:tcW w:w="3385" w:type="dxa"/>
                  <w:shd w:val="clear" w:color="auto" w:fill="E0E0E0"/>
                  <w:vAlign w:val="center"/>
                </w:tcPr>
                <w:p>
                  <w:pPr>
                    <w:keepNext/>
                    <w:keepLines/>
                    <w:overflowPunct w:val="0"/>
                    <w:spacing w:after="0"/>
                    <w:jc w:val="center"/>
                    <w:textAlignment w:val="baseline"/>
                    <w:rPr>
                      <w:rFonts w:ascii="Arial" w:hAnsi="Arial" w:eastAsia="Times New Roman" w:cs="Arial"/>
                      <w:b/>
                      <w:sz w:val="18"/>
                      <w:szCs w:val="18"/>
                      <w:lang w:eastAsia="en-GB"/>
                    </w:rPr>
                  </w:pPr>
                  <w:r>
                    <w:rPr>
                      <w:rFonts w:ascii="Arial" w:hAnsi="Arial" w:eastAsia="Times New Roman"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ctrlPr>
                          <w:rPr>
                            <w:rFonts w:ascii="Cambria Math" w:hAnsi="Cambria Math" w:cs="Arial"/>
                            <w:szCs w:val="18"/>
                          </w:rPr>
                        </m:ctrlPr>
                      </m:e>
                      <m:sub>
                        <m:r>
                          <m:rPr>
                            <m:sty m:val="b"/>
                          </m:rPr>
                          <w:rPr>
                            <w:rFonts w:ascii="Cambria Math" w:hAnsi="Cambria Math" w:cs="Arial"/>
                            <w:szCs w:val="18"/>
                          </w:rPr>
                          <m:t>switch</m:t>
                        </m:r>
                        <m:ctrlPr>
                          <w:rPr>
                            <w:rFonts w:ascii="Cambria Math" w:hAnsi="Cambria Math" w:cs="Arial"/>
                            <w:szCs w:val="18"/>
                          </w:rPr>
                        </m:ctrlPr>
                      </m:sub>
                    </m:sSub>
                  </m:oMath>
                  <w:r>
                    <w:rPr>
                      <w:rFonts w:ascii="Arial" w:hAnsi="Arial" w:eastAsia="Times New Roman" w:cs="Arial"/>
                      <w:b/>
                      <w:sz w:val="18"/>
                      <w:szCs w:val="18"/>
                      <w:lang w:eastAsia="en-GB"/>
                    </w:rPr>
                    <w:t xml:space="preserve"> value for</w:t>
                  </w:r>
                </w:p>
                <w:p>
                  <w:pPr>
                    <w:keepNext/>
                    <w:keepLines/>
                    <w:overflowPunct w:val="0"/>
                    <w:spacing w:after="0"/>
                    <w:jc w:val="center"/>
                    <w:textAlignment w:val="baseline"/>
                    <w:rPr>
                      <w:rFonts w:eastAsia="Times New Roman"/>
                      <w:b/>
                      <w:sz w:val="20"/>
                      <w:lang w:eastAsia="en-GB"/>
                    </w:rPr>
                  </w:pPr>
                  <w:r>
                    <w:rPr>
                      <w:rFonts w:ascii="Arial" w:hAnsi="Arial" w:eastAsia="Times New Roman" w:cs="Arial"/>
                      <w:b/>
                      <w:sz w:val="18"/>
                      <w:szCs w:val="18"/>
                      <w:lang w:eastAsia="en-GB"/>
                    </w:rPr>
                    <w:t xml:space="preserve"> UE processing </w:t>
                  </w:r>
                  <w:r>
                    <w:rPr>
                      <w:rFonts w:ascii="Arial" w:hAnsi="Arial" w:eastAsia="Times New Roman" w:cs="Arial"/>
                      <w:b/>
                      <w:sz w:val="18"/>
                      <w:szCs w:val="18"/>
                      <w:lang w:eastAsia="zh-CN"/>
                    </w:rPr>
                    <w:t>capability 1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Pr>
              <w:tc>
                <w:tcPr>
                  <w:tcW w:w="300" w:type="dxa"/>
                  <w:vAlign w:val="center"/>
                </w:tcPr>
                <w:p>
                  <w:pPr>
                    <w:keepLines/>
                    <w:spacing w:before="40" w:after="40"/>
                    <w:jc w:val="center"/>
                    <w:rPr>
                      <w:rFonts w:eastAsia="宋体"/>
                      <w:sz w:val="20"/>
                      <w:lang w:eastAsia="zh-CN"/>
                    </w:rPr>
                  </w:pPr>
                  <w:r>
                    <w:rPr>
                      <w:rFonts w:eastAsia="宋体"/>
                      <w:sz w:val="20"/>
                      <w:lang w:eastAsia="zh-CN"/>
                    </w:rPr>
                    <w:t>3</w:t>
                  </w:r>
                </w:p>
              </w:tc>
              <w:tc>
                <w:tcPr>
                  <w:tcW w:w="3385" w:type="dxa"/>
                  <w:vAlign w:val="center"/>
                </w:tcPr>
                <w:p>
                  <w:pPr>
                    <w:keepLines/>
                    <w:spacing w:before="40" w:after="40"/>
                    <w:jc w:val="center"/>
                    <w:rPr>
                      <w:rFonts w:eastAsia="宋体"/>
                      <w:sz w:val="20"/>
                      <w:lang w:eastAsia="zh-CN"/>
                    </w:rPr>
                  </w:pPr>
                  <w:r>
                    <w:rPr>
                      <w:rFonts w:eastAsia="宋体"/>
                      <w:sz w:val="20"/>
                      <w:lang w:eastAsia="zh-CN"/>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Pr>
              <w:tc>
                <w:tcPr>
                  <w:tcW w:w="300" w:type="dxa"/>
                  <w:vAlign w:val="center"/>
                </w:tcPr>
                <w:p>
                  <w:pPr>
                    <w:keepLines/>
                    <w:spacing w:before="40" w:after="40"/>
                    <w:jc w:val="center"/>
                    <w:rPr>
                      <w:rFonts w:eastAsia="宋体"/>
                      <w:sz w:val="20"/>
                      <w:lang w:eastAsia="zh-CN"/>
                    </w:rPr>
                  </w:pPr>
                  <w:r>
                    <w:rPr>
                      <w:rFonts w:eastAsia="宋体"/>
                      <w:sz w:val="20"/>
                      <w:lang w:eastAsia="zh-CN"/>
                    </w:rPr>
                    <w:t>5</w:t>
                  </w:r>
                </w:p>
              </w:tc>
              <w:tc>
                <w:tcPr>
                  <w:tcW w:w="3385" w:type="dxa"/>
                  <w:vAlign w:val="center"/>
                </w:tcPr>
                <w:p>
                  <w:pPr>
                    <w:keepLines/>
                    <w:spacing w:before="40" w:after="40"/>
                    <w:jc w:val="center"/>
                    <w:rPr>
                      <w:rFonts w:eastAsia="宋体"/>
                      <w:sz w:val="20"/>
                      <w:lang w:eastAsia="zh-CN"/>
                    </w:rPr>
                  </w:pPr>
                  <w:r>
                    <w:rPr>
                      <w:rFonts w:eastAsia="宋体"/>
                      <w:sz w:val="20"/>
                      <w:lang w:eastAsia="zh-CN"/>
                    </w:rPr>
                    <w:t>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Pr>
              <w:tc>
                <w:tcPr>
                  <w:tcW w:w="300" w:type="dxa"/>
                  <w:vAlign w:val="center"/>
                </w:tcPr>
                <w:p>
                  <w:pPr>
                    <w:keepLines/>
                    <w:spacing w:before="40" w:after="40"/>
                    <w:jc w:val="center"/>
                    <w:rPr>
                      <w:rFonts w:eastAsia="宋体"/>
                      <w:sz w:val="20"/>
                      <w:lang w:eastAsia="zh-CN"/>
                    </w:rPr>
                  </w:pPr>
                  <w:r>
                    <w:rPr>
                      <w:rFonts w:eastAsia="宋体"/>
                      <w:sz w:val="20"/>
                      <w:lang w:eastAsia="zh-CN"/>
                    </w:rPr>
                    <w:t>6</w:t>
                  </w:r>
                </w:p>
              </w:tc>
              <w:tc>
                <w:tcPr>
                  <w:tcW w:w="3385" w:type="dxa"/>
                  <w:vAlign w:val="center"/>
                </w:tcPr>
                <w:p>
                  <w:pPr>
                    <w:keepLines/>
                    <w:spacing w:before="40" w:after="40"/>
                    <w:jc w:val="center"/>
                    <w:rPr>
                      <w:rFonts w:eastAsia="宋体"/>
                      <w:sz w:val="20"/>
                      <w:lang w:eastAsia="zh-CN"/>
                    </w:rPr>
                  </w:pPr>
                  <w:r>
                    <w:rPr>
                      <w:rFonts w:eastAsia="宋体"/>
                      <w:sz w:val="20"/>
                      <w:lang w:eastAsia="zh-CN"/>
                    </w:rPr>
                    <w:t>320</w:t>
                  </w:r>
                </w:p>
              </w:tc>
            </w:tr>
          </w:tbl>
          <w:p>
            <w:pPr>
              <w:pStyle w:val="230"/>
              <w:widowControl w:val="0"/>
              <w:snapToGrid w:val="0"/>
              <w:spacing w:line="240" w:lineRule="auto"/>
              <w:ind w:firstLine="0"/>
              <w:contextualSpacing w:val="0"/>
              <w:rPr>
                <w:rFonts w:eastAsiaTheme="minorEastAsia"/>
                <w:b/>
                <w:sz w:val="24"/>
                <w:szCs w:val="24"/>
                <w:lang w:eastAsia="ja-JP"/>
              </w:rPr>
            </w:pPr>
          </w:p>
        </w:tc>
      </w:tr>
    </w:tbl>
    <w:p>
      <w:pPr>
        <w:rPr>
          <w:lang w:eastAsia="zh-CN"/>
        </w:rPr>
      </w:pPr>
    </w:p>
    <w:p>
      <w:pPr>
        <w:pStyle w:val="4"/>
      </w:pPr>
      <w:r>
        <w:t>R1-2201542 (Spreadtrum)</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autoSpaceDE/>
              <w:autoSpaceDN/>
              <w:adjustRightInd/>
              <w:spacing w:after="0"/>
              <w:rPr>
                <w:lang w:eastAsia="zh-CN"/>
              </w:rPr>
            </w:pPr>
            <w:r>
              <w:rPr>
                <w:rFonts w:hint="eastAsia"/>
                <w:lang w:eastAsia="zh-CN"/>
              </w:rPr>
              <w:t>As</w:t>
            </w:r>
            <w:r>
              <w:rPr>
                <w:lang w:eastAsia="zh-CN"/>
              </w:rPr>
              <w:t xml:space="preserve"> multi-slot PDCCH monitoring is based on slots within a slot group, and the X is 4 and 8 slots for SCS 480 and 960 kHz, respectively. Therefore, the bit string size of </w:t>
            </w:r>
            <w:r>
              <w:rPr>
                <w:i/>
                <w:lang w:eastAsia="zh-CN"/>
              </w:rPr>
              <w:t>monitoringSlotsWithinSlotGroup-r17</w:t>
            </w:r>
            <w:r>
              <w:rPr>
                <w:lang w:eastAsia="zh-CN"/>
              </w:rPr>
              <w:t xml:space="preserve"> set to 8 to support both 480 and 960 kHz SCS is reasonable. </w:t>
            </w:r>
          </w:p>
          <w:p>
            <w:pPr>
              <w:widowControl w:val="0"/>
              <w:autoSpaceDE/>
              <w:autoSpaceDN/>
              <w:adjustRightInd/>
              <w:spacing w:after="0"/>
              <w:rPr>
                <w:lang w:eastAsia="zh-CN"/>
              </w:rPr>
            </w:pPr>
            <w:r>
              <w:rPr>
                <w:lang w:eastAsia="zh-CN"/>
              </w:rPr>
              <w:t xml:space="preserve">For the monitoring symbols in such a slot, it can be done by </w:t>
            </w:r>
            <w:r>
              <w:rPr>
                <w:i/>
                <w:lang w:eastAsia="zh-CN"/>
              </w:rPr>
              <w:t>monitoringSymbolsWithinSlot</w:t>
            </w:r>
            <w:r>
              <w:rPr>
                <w:lang w:eastAsia="zh-CN"/>
              </w:rPr>
              <w:t xml:space="preserve">. However, </w:t>
            </w:r>
            <w:r>
              <w:rPr>
                <w:i/>
                <w:lang w:eastAsia="zh-CN"/>
              </w:rPr>
              <w:t>monitoringSymbolsWithinSlot</w:t>
            </w:r>
            <w:r>
              <w:rPr>
                <w:lang w:eastAsia="zh-CN"/>
              </w:rPr>
              <w:t xml:space="preserve"> is used to determine the symbols within a slot. For multi-slot case, we think monitoring symbols in each slots can be the same. Thus, a justification can be added to the note, e.g., Note: Further configuration of the monitoring symbols in such a slot is done by monitoringSymbolsWithinSlot, and monitoring symbols in each slot are the same.</w:t>
            </w:r>
          </w:p>
          <w:p>
            <w:pPr>
              <w:widowControl w:val="0"/>
              <w:spacing w:before="120" w:beforeLines="50" w:after="100"/>
              <w:rPr>
                <w:b/>
                <w:i/>
                <w:lang w:eastAsia="zh-CN"/>
              </w:rPr>
            </w:pPr>
            <w:r>
              <w:rPr>
                <w:rFonts w:eastAsia="Times New Roman"/>
                <w:b/>
                <w:i/>
                <w:lang w:eastAsia="zh-CN"/>
              </w:rPr>
              <w:t>Proposal 2: Confirm the following revised working assumption.</w:t>
            </w:r>
          </w:p>
          <w:p>
            <w:pPr>
              <w:widowControl w:val="0"/>
              <w:numPr>
                <w:ilvl w:val="1"/>
                <w:numId w:val="28"/>
              </w:numPr>
              <w:spacing w:after="100" w:line="240" w:lineRule="auto"/>
              <w:jc w:val="both"/>
              <w:rPr>
                <w:b/>
                <w:i/>
                <w:highlight w:val="darkYellow"/>
                <w:lang w:val="en-GB" w:eastAsia="zh-CN"/>
              </w:rPr>
            </w:pPr>
            <w:r>
              <w:rPr>
                <w:b/>
                <w:i/>
                <w:highlight w:val="darkYellow"/>
                <w:lang w:val="en-GB" w:eastAsia="zh-CN"/>
              </w:rPr>
              <w:t>Working assumption:</w:t>
            </w:r>
          </w:p>
          <w:p>
            <w:pPr>
              <w:widowControl w:val="0"/>
              <w:numPr>
                <w:ilvl w:val="2"/>
                <w:numId w:val="28"/>
              </w:numPr>
              <w:spacing w:after="100" w:line="240" w:lineRule="auto"/>
              <w:jc w:val="both"/>
              <w:rPr>
                <w:b/>
                <w:i/>
                <w:lang w:val="en-GB" w:eastAsia="zh-CN"/>
              </w:rPr>
            </w:pPr>
            <w:r>
              <w:rPr>
                <w:b/>
                <w:i/>
                <w:lang w:val="en-GB" w:eastAsia="zh-CN"/>
              </w:rPr>
              <w:t>The size is 8 bits</w:t>
            </w:r>
          </w:p>
          <w:p>
            <w:pPr>
              <w:widowControl w:val="0"/>
              <w:numPr>
                <w:ilvl w:val="2"/>
                <w:numId w:val="28"/>
              </w:numPr>
              <w:spacing w:after="100" w:line="240" w:lineRule="auto"/>
              <w:jc w:val="both"/>
              <w:rPr>
                <w:b/>
                <w:i/>
                <w:lang w:val="en-GB" w:eastAsia="zh-CN"/>
              </w:rPr>
            </w:pPr>
            <w:r>
              <w:rPr>
                <w:b/>
                <w:i/>
                <w:lang w:val="en-GB" w:eastAsia="zh-CN"/>
              </w:rPr>
              <w:t xml:space="preserve">Each bit in </w:t>
            </w:r>
            <w:r>
              <w:rPr>
                <w:b/>
                <w:i/>
                <w:iCs/>
                <w:lang w:val="en-GB" w:eastAsia="zh-CN"/>
              </w:rPr>
              <w:t>monitoringSlotsWithinSlotGroup-r17</w:t>
            </w:r>
            <w:r>
              <w:rPr>
                <w:b/>
                <w:i/>
                <w:lang w:val="en-GB" w:eastAsia="zh-CN"/>
              </w:rPr>
              <w:t xml:space="preserve"> represents a slot in a slot group</w:t>
            </w:r>
          </w:p>
          <w:p>
            <w:pPr>
              <w:widowControl w:val="0"/>
              <w:numPr>
                <w:ilvl w:val="2"/>
                <w:numId w:val="28"/>
              </w:numPr>
              <w:spacing w:after="100" w:line="240" w:lineRule="auto"/>
              <w:jc w:val="both"/>
              <w:rPr>
                <w:b/>
                <w:i/>
                <w:lang w:val="en-GB" w:eastAsia="zh-CN"/>
              </w:rPr>
            </w:pPr>
            <w:r>
              <w:rPr>
                <w:b/>
                <w:i/>
                <w:lang w:val="en-GB" w:eastAsia="zh-CN"/>
              </w:rPr>
              <w:t>A slot in the slot group is configured for multi-slot PDCCH monitoring if the corresponding bit in the slot group is set to '1'</w:t>
            </w:r>
          </w:p>
          <w:p>
            <w:pPr>
              <w:widowControl w:val="0"/>
              <w:numPr>
                <w:ilvl w:val="3"/>
                <w:numId w:val="28"/>
              </w:numPr>
              <w:spacing w:after="100" w:line="240" w:lineRule="auto"/>
              <w:jc w:val="both"/>
              <w:rPr>
                <w:b/>
                <w:i/>
                <w:lang w:eastAsia="zh-CN"/>
              </w:rPr>
            </w:pPr>
            <w:r>
              <w:rPr>
                <w:b/>
                <w:i/>
                <w:lang w:val="en-GB" w:eastAsia="zh-CN"/>
              </w:rPr>
              <w:t xml:space="preserve">Note: Further configuration of the monitoring symbols in such a slot is done by </w:t>
            </w:r>
            <w:r>
              <w:rPr>
                <w:b/>
                <w:i/>
                <w:iCs/>
                <w:lang w:val="en-GB" w:eastAsia="zh-CN"/>
              </w:rPr>
              <w:t>monitoringSymbolsWithinSlot,</w:t>
            </w:r>
            <w:r>
              <w:t xml:space="preserve"> </w:t>
            </w:r>
            <w:r>
              <w:rPr>
                <w:b/>
                <w:i/>
                <w:iCs/>
                <w:color w:val="FF0000"/>
                <w:lang w:val="en-GB" w:eastAsia="zh-CN"/>
              </w:rPr>
              <w:t>and monitoring symbols in each slot are the same.</w:t>
            </w:r>
          </w:p>
          <w:p>
            <w:pPr>
              <w:widowControl w:val="0"/>
              <w:numPr>
                <w:ilvl w:val="2"/>
                <w:numId w:val="28"/>
              </w:numPr>
              <w:spacing w:after="100" w:line="240" w:lineRule="auto"/>
              <w:jc w:val="both"/>
              <w:rPr>
                <w:b/>
                <w:i/>
                <w:lang w:eastAsia="zh-CN"/>
              </w:rPr>
            </w:pPr>
            <w:r>
              <w:rPr>
                <w:b/>
                <w:i/>
                <w:lang w:val="en-GB" w:eastAsia="zh-CN"/>
              </w:rPr>
              <w:t>The</w:t>
            </w:r>
            <w:r>
              <w:rPr>
                <w:rFonts w:hint="eastAsia"/>
                <w:b/>
                <w:i/>
                <w:lang w:val="en-GB" w:eastAsia="zh-CN"/>
              </w:rPr>
              <w:t xml:space="preserve"> </w:t>
            </w:r>
            <w:r>
              <w:rPr>
                <w:b/>
                <w:i/>
                <w:lang w:val="en-GB" w:eastAsia="zh-CN"/>
              </w:rPr>
              <w:t>slots indicated in the bitmap should be consecutive at least for Group (1) SSs</w:t>
            </w:r>
          </w:p>
          <w:p>
            <w:pPr>
              <w:pStyle w:val="230"/>
              <w:widowControl w:val="0"/>
              <w:snapToGrid w:val="0"/>
              <w:spacing w:line="240" w:lineRule="auto"/>
              <w:ind w:firstLine="0"/>
              <w:contextualSpacing w:val="0"/>
              <w:rPr>
                <w:rFonts w:eastAsiaTheme="minorEastAsia"/>
                <w:b/>
                <w:sz w:val="24"/>
                <w:szCs w:val="24"/>
                <w:lang w:eastAsia="ja-JP"/>
              </w:rPr>
            </w:pPr>
          </w:p>
        </w:tc>
      </w:tr>
    </w:tbl>
    <w:p>
      <w:pPr>
        <w:rPr>
          <w:lang w:eastAsia="zh-CN"/>
        </w:rPr>
      </w:pPr>
    </w:p>
    <w:p>
      <w:pPr>
        <w:pStyle w:val="4"/>
      </w:pPr>
      <w:r>
        <w:t>R1-2201593 (TCL Communication)</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lang w:eastAsia="zh-CN"/>
              </w:rPr>
            </w:pPr>
            <w:r>
              <w:rPr>
                <w:rFonts w:hint="eastAsia"/>
                <w:lang w:eastAsia="zh-CN"/>
              </w:rPr>
              <w:t>F</w:t>
            </w:r>
            <w:r>
              <w:rPr>
                <w:lang w:eastAsia="zh-CN"/>
              </w:rPr>
              <w:t>or FR2-2, the PDCCH is monitored in a slot-group manner. The recent conclusion indicates this is the default capability of a UE.  In the last RAN1 107bis-e meeting, there are intensive discussions about the design of the search space for PDCCH monitoring in FR 2-2, there are some pending parameters without agreement reached. The designs related to Group (1) SS is indicated. For example,</w:t>
            </w:r>
          </w:p>
          <w:p>
            <w:pPr>
              <w:widowControl w:val="0"/>
              <w:jc w:val="both"/>
              <w:rPr>
                <w:i/>
                <w:iCs/>
              </w:rPr>
            </w:pPr>
            <w:r>
              <w:rPr>
                <w:i/>
                <w:iCs/>
              </w:rPr>
              <w:t xml:space="preserve">monitoringPeriodicityAndOffset-r17 </w:t>
            </w:r>
          </w:p>
          <w:p>
            <w:pPr>
              <w:widowControl w:val="0"/>
              <w:numPr>
                <w:ilvl w:val="0"/>
                <w:numId w:val="28"/>
              </w:numPr>
            </w:pPr>
            <w:r>
              <w:t>The configured periodicity at least for Group (1) SSs is restricted to be an integer multiple of Xs slots</w:t>
            </w:r>
          </w:p>
          <w:p>
            <w:pPr>
              <w:widowControl w:val="0"/>
              <w:jc w:val="both"/>
              <w:rPr>
                <w:lang w:eastAsia="zh-CN"/>
              </w:rPr>
            </w:pPr>
            <w:r>
              <w:rPr>
                <w:lang w:eastAsia="zh-CN"/>
              </w:rPr>
              <w:t>Those for Group (2) SS is missing. We prefer a unified design for Both Group (1) SS and Group (2) SS.</w:t>
            </w:r>
          </w:p>
          <w:p>
            <w:pPr>
              <w:widowControl w:val="0"/>
              <w:jc w:val="both"/>
              <w:rPr>
                <w:lang w:eastAsia="zh-CN"/>
              </w:rPr>
            </w:pPr>
            <w:r>
              <w:rPr>
                <w:lang w:eastAsia="zh-CN"/>
              </w:rPr>
              <w:t xml:space="preserve">For </w:t>
            </w:r>
            <w:r>
              <w:rPr>
                <w:i/>
                <w:iCs/>
                <w:color w:val="000000"/>
              </w:rPr>
              <w:t xml:space="preserve">duration-r17, </w:t>
            </w:r>
            <w:r>
              <w:rPr>
                <w:lang w:eastAsia="zh-CN"/>
              </w:rPr>
              <w:t>there are two possible options.</w:t>
            </w:r>
          </w:p>
          <w:p>
            <w:pPr>
              <w:widowControl w:val="0"/>
              <w:numPr>
                <w:ilvl w:val="0"/>
                <w:numId w:val="28"/>
              </w:numPr>
              <w:rPr>
                <w:lang w:eastAsia="zh-CN"/>
              </w:rPr>
            </w:pPr>
            <w:r>
              <w:t>Option</w:t>
            </w:r>
            <w:r>
              <w:rPr>
                <w:lang w:eastAsia="zh-CN"/>
              </w:rPr>
              <w:t xml:space="preserve"> 1: </w:t>
            </w:r>
            <w:r>
              <w:rPr>
                <w:i/>
                <w:iCs/>
                <w:color w:val="000000"/>
              </w:rPr>
              <w:t>duration-r17</w:t>
            </w:r>
            <w:r>
              <w:rPr>
                <w:lang w:eastAsia="zh-CN"/>
              </w:rPr>
              <w:t xml:space="preserve"> indicates a continuous range which should be monitored. This the same as FR1 and FR2-1</w:t>
            </w:r>
            <w:r>
              <w:rPr>
                <w:rFonts w:hint="eastAsia"/>
                <w:lang w:eastAsia="zh-CN"/>
              </w:rPr>
              <w:t>,</w:t>
            </w:r>
            <w:r>
              <w:rPr>
                <w:lang w:eastAsia="zh-CN"/>
              </w:rPr>
              <w:t xml:space="preserve"> The PDCCH is monitored in a continuous range within the monitoring period.</w:t>
            </w:r>
          </w:p>
          <w:p>
            <w:pPr>
              <w:widowControl w:val="0"/>
              <w:numPr>
                <w:ilvl w:val="0"/>
                <w:numId w:val="28"/>
              </w:numPr>
              <w:rPr>
                <w:lang w:eastAsia="zh-CN"/>
              </w:rPr>
            </w:pPr>
            <w:r>
              <w:t>Option</w:t>
            </w:r>
            <w:r>
              <w:rPr>
                <w:lang w:eastAsia="zh-CN"/>
              </w:rPr>
              <w:t xml:space="preserve"> 2: </w:t>
            </w:r>
            <w:r>
              <w:rPr>
                <w:i/>
                <w:iCs/>
                <w:color w:val="000000"/>
              </w:rPr>
              <w:t>duration-r17</w:t>
            </w:r>
            <w:r>
              <w:rPr>
                <w:lang w:eastAsia="zh-CN"/>
              </w:rPr>
              <w:t xml:space="preserve"> indicates dis-continuous ranges which should be monitored. This is useful for intermittent traffic or power saving case. A bitmap would complete this feature, whereas that bring</w:t>
            </w:r>
            <w:r>
              <w:rPr>
                <w:rFonts w:hint="eastAsia"/>
                <w:lang w:eastAsia="zh-CN"/>
              </w:rPr>
              <w:t>s</w:t>
            </w:r>
            <w:r>
              <w:rPr>
                <w:lang w:eastAsia="zh-CN"/>
              </w:rPr>
              <w:t xml:space="preserve"> more overhead.</w:t>
            </w:r>
          </w:p>
          <w:p>
            <w:pPr>
              <w:widowControl w:val="0"/>
              <w:jc w:val="both"/>
              <w:rPr>
                <w:color w:val="000000"/>
              </w:rPr>
            </w:pPr>
            <w:r>
              <w:rPr>
                <w:rFonts w:hint="eastAsia"/>
                <w:lang w:eastAsia="zh-CN"/>
              </w:rPr>
              <w:t>T</w:t>
            </w:r>
            <w:r>
              <w:rPr>
                <w:lang w:eastAsia="zh-CN"/>
              </w:rPr>
              <w:t xml:space="preserve">he monitored symbol within a slot group is configured by </w:t>
            </w:r>
            <w:r>
              <w:rPr>
                <w:i/>
                <w:iCs/>
                <w:color w:val="000000"/>
              </w:rPr>
              <w:t>monitoringSymbolsWithinSlot</w:t>
            </w:r>
            <w:r>
              <w:rPr>
                <w:iCs/>
                <w:color w:val="000000"/>
              </w:rPr>
              <w:t xml:space="preserve">. </w:t>
            </w:r>
            <w:r>
              <w:rPr>
                <w:lang w:eastAsia="zh-CN"/>
              </w:rPr>
              <w:t>It is a tradeoff that whether monitored symbols in each monitored slot in the slot group should be same. That brings a balance between flexibility and signaling overhead. Since there are various UEs and the UE capability is different. The UE capability will cover this tradeoff.</w:t>
            </w:r>
          </w:p>
          <w:p>
            <w:pPr>
              <w:widowControl w:val="0"/>
              <w:jc w:val="both"/>
              <w:rPr>
                <w:lang w:eastAsia="zh-CN"/>
              </w:rPr>
            </w:pPr>
          </w:p>
          <w:p>
            <w:pPr>
              <w:widowControl w:val="0"/>
              <w:jc w:val="both"/>
              <w:rPr>
                <w:b/>
                <w:lang w:eastAsia="zh-CN"/>
              </w:rPr>
            </w:pPr>
            <w:r>
              <w:rPr>
                <w:rFonts w:hint="eastAsia"/>
                <w:b/>
                <w:lang w:eastAsia="zh-CN"/>
              </w:rPr>
              <w:t>P</w:t>
            </w:r>
            <w:r>
              <w:rPr>
                <w:b/>
                <w:lang w:eastAsia="zh-CN"/>
              </w:rPr>
              <w:t>roposal 1: For the search space configuration design, a unified framework for both Group (1) SS and Group (2) SS is preferred. That reduces the specification workload.</w:t>
            </w:r>
          </w:p>
          <w:p>
            <w:pPr>
              <w:widowControl w:val="0"/>
              <w:jc w:val="both"/>
              <w:rPr>
                <w:b/>
                <w:lang w:eastAsia="zh-CN"/>
              </w:rPr>
            </w:pPr>
            <w:r>
              <w:rPr>
                <w:b/>
                <w:lang w:eastAsia="zh-CN"/>
              </w:rPr>
              <w:t>Proposal 2: the PDCCH monitoring duration can be dis-continuous ranges in terms of slot group for FR 2-2. This flexibility gives more chances for power saving UE and intermittent traffics.</w:t>
            </w:r>
          </w:p>
          <w:p>
            <w:pPr>
              <w:widowControl w:val="0"/>
              <w:jc w:val="both"/>
              <w:rPr>
                <w:lang w:eastAsia="zh-CN"/>
              </w:rPr>
            </w:pPr>
            <w:r>
              <w:rPr>
                <w:b/>
                <w:lang w:eastAsia="zh-CN"/>
              </w:rPr>
              <w:t xml:space="preserve">Proposal 3: Whether the </w:t>
            </w:r>
            <w:r>
              <w:rPr>
                <w:i/>
                <w:iCs/>
                <w:color w:val="000000"/>
              </w:rPr>
              <w:t>monitoringSymbolsWithinSlot</w:t>
            </w:r>
            <w:r>
              <w:rPr>
                <w:b/>
                <w:i/>
                <w:iCs/>
                <w:color w:val="000000"/>
              </w:rPr>
              <w:t xml:space="preserve"> </w:t>
            </w:r>
            <w:r>
              <w:rPr>
                <w:b/>
                <w:lang w:eastAsia="zh-CN"/>
              </w:rPr>
              <w:t xml:space="preserve">is same for each monitoring slot in a slot group leads to a tradeoff. </w:t>
            </w:r>
            <w:r>
              <w:rPr>
                <w:rFonts w:hint="eastAsia"/>
                <w:b/>
                <w:lang w:eastAsia="zh-CN"/>
              </w:rPr>
              <w:t>T</w:t>
            </w:r>
            <w:r>
              <w:rPr>
                <w:b/>
                <w:lang w:eastAsia="zh-CN"/>
              </w:rPr>
              <w:t xml:space="preserve">he UE capabilities will cover this tradeoff. We support the both designs of </w:t>
            </w:r>
            <w:r>
              <w:rPr>
                <w:i/>
                <w:iCs/>
                <w:color w:val="000000"/>
              </w:rPr>
              <w:t>monitoringSymbolsWithinSlot</w:t>
            </w:r>
            <w:r>
              <w:rPr>
                <w:b/>
                <w:lang w:eastAsia="zh-CN"/>
              </w:rPr>
              <w:t xml:space="preserve">. It can be either a bitmap of 14bits, or a bitmap with more bits mapped to each symbol in the slot group. </w:t>
            </w:r>
          </w:p>
          <w:p>
            <w:pPr>
              <w:widowControl w:val="0"/>
              <w:jc w:val="both"/>
              <w:rPr>
                <w:b/>
                <w:u w:val="single"/>
              </w:rPr>
            </w:pPr>
          </w:p>
        </w:tc>
      </w:tr>
    </w:tbl>
    <w:p>
      <w:pPr>
        <w:rPr>
          <w:lang w:eastAsia="zh-CN"/>
        </w:rPr>
      </w:pPr>
    </w:p>
    <w:p>
      <w:pPr>
        <w:pStyle w:val="4"/>
      </w:pPr>
      <w:r>
        <w:t>R1-2201663 (Nokia, Nokia Shanghai Bell)</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103"/>
              <w:widowControl w:val="0"/>
              <w:spacing w:after="0"/>
              <w:ind w:left="0" w:firstLine="0"/>
              <w:textAlignment w:val="auto"/>
              <w:rPr>
                <w:rStyle w:val="216"/>
                <w:color w:val="000000"/>
                <w:shd w:val="clear" w:color="auto" w:fill="FFFFFF"/>
              </w:rPr>
            </w:pPr>
            <w:r>
              <w:rPr>
                <w:rStyle w:val="216"/>
                <w:color w:val="000000"/>
                <w:shd w:val="clear" w:color="auto" w:fill="FFFFFF"/>
              </w:rPr>
              <w:t>The working assumption is well inline with the principle applied widely for all the processing times (i.e., apply the same absolute time for all SCSs: 120 kHz, 480 kHz and 960 kHz). Based on that we just propose to convert the working assumption to an agreement.</w:t>
            </w:r>
          </w:p>
          <w:p>
            <w:pPr>
              <w:pStyle w:val="215"/>
              <w:widowControl w:val="0"/>
              <w:spacing w:before="0" w:beforeAutospacing="0" w:after="0" w:afterAutospacing="0"/>
              <w:textAlignment w:val="baseline"/>
              <w:rPr>
                <w:b/>
                <w:bCs/>
                <w:i/>
                <w:iCs/>
                <w:sz w:val="20"/>
                <w:szCs w:val="20"/>
              </w:rPr>
            </w:pPr>
          </w:p>
          <w:p>
            <w:pPr>
              <w:widowControl w:val="0"/>
              <w:spacing w:line="256" w:lineRule="auto"/>
            </w:pPr>
            <w:r>
              <w:rPr>
                <w:b/>
                <w:bCs/>
                <w:i/>
                <w:iCs/>
              </w:rPr>
              <w:t>Proposal 5:</w:t>
            </w:r>
            <w:r>
              <w:t xml:space="preserve"> Support only search space set group switching processing capability 1 with the following values</w:t>
            </w:r>
          </w:p>
          <w:tbl>
            <w:tblPr>
              <w:tblStyle w:val="54"/>
              <w:tblW w:w="3685" w:type="dxa"/>
              <w:tblInd w:w="169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300"/>
              <w:gridCol w:w="33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Pr>
              <w:tc>
                <w:tcPr>
                  <w:tcW w:w="300" w:type="dxa"/>
                  <w:tcBorders>
                    <w:top w:val="single" w:color="auto" w:sz="4" w:space="0"/>
                    <w:left w:val="single" w:color="auto" w:sz="4" w:space="0"/>
                    <w:bottom w:val="single" w:color="auto" w:sz="4" w:space="0"/>
                    <w:right w:val="single" w:color="auto" w:sz="4" w:space="0"/>
                  </w:tcBorders>
                  <w:shd w:val="clear" w:color="auto" w:fill="E0E0E0"/>
                  <w:vAlign w:val="center"/>
                </w:tcPr>
                <w:p>
                  <w:pPr>
                    <w:pStyle w:val="90"/>
                    <w:rPr>
                      <w:rFonts w:ascii="Times New Roman" w:hAnsi="Times New Roman"/>
                      <w:sz w:val="20"/>
                    </w:rPr>
                  </w:pPr>
                  <w:r>
                    <w:rPr>
                      <w:rFonts w:eastAsia="Batang"/>
                    </w:rPr>
                    <w:pict>
                      <v:shape id="_x0000_i1043" o:spt="75" type="#_x0000_t75" style="height:13.5pt;width:7.5pt;" filled="f" o:preferrelative="t" stroked="f" coordsize="21600,21600" equationxml="&lt;">
                        <v:path/>
                        <v:fill on="f" focussize="0,0"/>
                        <v:stroke on="f" joinstyle="miter"/>
                        <v:imagedata r:id="rId51" chromakey="#FFFFFF" o:title=""/>
                        <o:lock v:ext="edit" aspectratio="t"/>
                        <w10:wrap type="none"/>
                        <w10:anchorlock/>
                      </v:shape>
                    </w:pict>
                  </w:r>
                </w:p>
              </w:tc>
              <w:tc>
                <w:tcPr>
                  <w:tcW w:w="3385" w:type="dxa"/>
                  <w:tcBorders>
                    <w:top w:val="single" w:color="auto" w:sz="4" w:space="0"/>
                    <w:left w:val="single" w:color="auto" w:sz="4" w:space="0"/>
                    <w:bottom w:val="single" w:color="auto" w:sz="4" w:space="0"/>
                    <w:right w:val="single" w:color="auto" w:sz="4" w:space="0"/>
                  </w:tcBorders>
                  <w:shd w:val="clear" w:color="auto" w:fill="E0E0E0"/>
                  <w:vAlign w:val="center"/>
                </w:tcPr>
                <w:p>
                  <w:pPr>
                    <w:pStyle w:val="90"/>
                    <w:rPr>
                      <w:rFonts w:cs="Arial"/>
                      <w:szCs w:val="18"/>
                    </w:rPr>
                  </w:pPr>
                  <w:r>
                    <w:rPr>
                      <w:rFonts w:cs="Arial"/>
                      <w:szCs w:val="18"/>
                    </w:rPr>
                    <w:t xml:space="preserve">Minimum </w:t>
                  </w:r>
                  <w:r>
                    <w:rPr>
                      <w:rFonts w:cs="Arial"/>
                      <w:szCs w:val="18"/>
                    </w:rPr>
                    <w:fldChar w:fldCharType="begin"/>
                  </w:r>
                  <w:r>
                    <w:rPr>
                      <w:rFonts w:cs="Arial"/>
                      <w:szCs w:val="18"/>
                    </w:rPr>
                    <w:instrText xml:space="preserve"> QUOTE </w:instrText>
                  </w:r>
                  <w:r>
                    <w:rPr>
                      <w:position w:val="-5"/>
                    </w:rPr>
                    <w:pict>
                      <v:shape id="_x0000_i1044" o:spt="75" type="#_x0000_t75" style="height:13.5pt;width:19.5pt;" filled="f" o:preferrelative="t" stroked="f" coordsize="21600,21600" equationxml="&lt;">
                        <v:path/>
                        <v:fill on="f" focussize="0,0"/>
                        <v:stroke on="f" joinstyle="miter"/>
                        <v:imagedata r:id="rId52" chromakey="#FFFFFF" o:title=""/>
                        <o:lock v:ext="edit" aspectratio="t"/>
                        <w10:wrap type="none"/>
                        <w10:anchorlock/>
                      </v:shape>
                    </w:pict>
                  </w:r>
                  <w:r>
                    <w:rPr>
                      <w:rFonts w:cs="Arial"/>
                      <w:szCs w:val="18"/>
                    </w:rPr>
                    <w:instrText xml:space="preserve"> </w:instrText>
                  </w:r>
                  <w:r>
                    <w:rPr>
                      <w:rFonts w:cs="Arial"/>
                      <w:szCs w:val="18"/>
                    </w:rPr>
                    <w:fldChar w:fldCharType="separate"/>
                  </w:r>
                  <w:r>
                    <w:rPr>
                      <w:position w:val="-5"/>
                    </w:rPr>
                    <w:pict>
                      <v:shape id="_x0000_i1045" o:spt="75" type="#_x0000_t75" style="height:13.5pt;width:19.5pt;" filled="f" o:preferrelative="t" stroked="f" coordsize="21600,21600" equationxml="&lt;">
                        <v:path/>
                        <v:fill on="f" focussize="0,0"/>
                        <v:stroke on="f" joinstyle="miter"/>
                        <v:imagedata r:id="rId52" chromakey="#FFFFFF" o:title=""/>
                        <o:lock v:ext="edit" aspectratio="t"/>
                        <w10:wrap type="none"/>
                        <w10:anchorlock/>
                      </v:shape>
                    </w:pict>
                  </w:r>
                  <w:r>
                    <w:rPr>
                      <w:rFonts w:cs="Arial"/>
                      <w:szCs w:val="18"/>
                    </w:rPr>
                    <w:fldChar w:fldCharType="end"/>
                  </w:r>
                  <w:r>
                    <w:rPr>
                      <w:rFonts w:cs="Arial"/>
                      <w:szCs w:val="18"/>
                    </w:rPr>
                    <w:t xml:space="preserve"> value for</w:t>
                  </w:r>
                </w:p>
                <w:p>
                  <w:pPr>
                    <w:pStyle w:val="90"/>
                    <w:rPr>
                      <w:rFonts w:ascii="Times New Roman" w:hAnsi="Times New Roman"/>
                      <w:sz w:val="20"/>
                    </w:rPr>
                  </w:pPr>
                  <w:r>
                    <w:rPr>
                      <w:rFonts w:cs="Arial"/>
                      <w:szCs w:val="18"/>
                    </w:rPr>
                    <w:t xml:space="preserve"> UE processing </w:t>
                  </w:r>
                  <w:r>
                    <w:rPr>
                      <w:rFonts w:cs="Arial"/>
                      <w:szCs w:val="18"/>
                      <w:lang w:eastAsia="zh-CN"/>
                    </w:rPr>
                    <w:t>capability 1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Pr>
              <w:tc>
                <w:tcPr>
                  <w:tcW w:w="300" w:type="dxa"/>
                  <w:tcBorders>
                    <w:top w:val="single" w:color="auto" w:sz="4" w:space="0"/>
                    <w:left w:val="single" w:color="auto" w:sz="4" w:space="0"/>
                    <w:bottom w:val="single" w:color="auto" w:sz="4" w:space="0"/>
                    <w:right w:val="single" w:color="auto" w:sz="4" w:space="0"/>
                  </w:tcBorders>
                  <w:vAlign w:val="center"/>
                </w:tcPr>
                <w:p>
                  <w:pPr>
                    <w:pStyle w:val="114"/>
                    <w:rPr>
                      <w:rFonts w:ascii="Times New Roman" w:hAnsi="Times New Roman"/>
                      <w:sz w:val="20"/>
                    </w:rPr>
                  </w:pPr>
                  <w:r>
                    <w:t>3</w:t>
                  </w:r>
                </w:p>
              </w:tc>
              <w:tc>
                <w:tcPr>
                  <w:tcW w:w="3385" w:type="dxa"/>
                  <w:tcBorders>
                    <w:top w:val="single" w:color="auto" w:sz="4" w:space="0"/>
                    <w:left w:val="single" w:color="auto" w:sz="4" w:space="0"/>
                    <w:bottom w:val="single" w:color="auto" w:sz="4" w:space="0"/>
                    <w:right w:val="single" w:color="auto" w:sz="4" w:space="0"/>
                  </w:tcBorders>
                  <w:vAlign w:val="center"/>
                </w:tcPr>
                <w:p>
                  <w:pPr>
                    <w:pStyle w:val="114"/>
                  </w:pPr>
                  <w: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Pr>
              <w:tc>
                <w:tcPr>
                  <w:tcW w:w="300" w:type="dxa"/>
                  <w:tcBorders>
                    <w:top w:val="single" w:color="auto" w:sz="4" w:space="0"/>
                    <w:left w:val="single" w:color="auto" w:sz="4" w:space="0"/>
                    <w:bottom w:val="single" w:color="auto" w:sz="4" w:space="0"/>
                    <w:right w:val="single" w:color="auto" w:sz="4" w:space="0"/>
                  </w:tcBorders>
                  <w:vAlign w:val="center"/>
                </w:tcPr>
                <w:p>
                  <w:pPr>
                    <w:pStyle w:val="114"/>
                  </w:pPr>
                  <w:r>
                    <w:t>5</w:t>
                  </w:r>
                </w:p>
              </w:tc>
              <w:tc>
                <w:tcPr>
                  <w:tcW w:w="3385" w:type="dxa"/>
                  <w:tcBorders>
                    <w:top w:val="single" w:color="auto" w:sz="4" w:space="0"/>
                    <w:left w:val="single" w:color="auto" w:sz="4" w:space="0"/>
                    <w:bottom w:val="single" w:color="auto" w:sz="4" w:space="0"/>
                    <w:right w:val="single" w:color="auto" w:sz="4" w:space="0"/>
                  </w:tcBorders>
                  <w:vAlign w:val="center"/>
                </w:tcPr>
                <w:p>
                  <w:pPr>
                    <w:pStyle w:val="114"/>
                  </w:pPr>
                  <w:r>
                    <w:t>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Pr>
              <w:tc>
                <w:tcPr>
                  <w:tcW w:w="300" w:type="dxa"/>
                  <w:tcBorders>
                    <w:top w:val="single" w:color="auto" w:sz="4" w:space="0"/>
                    <w:left w:val="single" w:color="auto" w:sz="4" w:space="0"/>
                    <w:bottom w:val="single" w:color="auto" w:sz="4" w:space="0"/>
                    <w:right w:val="single" w:color="auto" w:sz="4" w:space="0"/>
                  </w:tcBorders>
                  <w:vAlign w:val="center"/>
                </w:tcPr>
                <w:p>
                  <w:pPr>
                    <w:pStyle w:val="114"/>
                  </w:pPr>
                  <w:r>
                    <w:t>6</w:t>
                  </w:r>
                </w:p>
              </w:tc>
              <w:tc>
                <w:tcPr>
                  <w:tcW w:w="3385" w:type="dxa"/>
                  <w:tcBorders>
                    <w:top w:val="single" w:color="auto" w:sz="4" w:space="0"/>
                    <w:left w:val="single" w:color="auto" w:sz="4" w:space="0"/>
                    <w:bottom w:val="single" w:color="auto" w:sz="4" w:space="0"/>
                    <w:right w:val="single" w:color="auto" w:sz="4" w:space="0"/>
                  </w:tcBorders>
                  <w:vAlign w:val="center"/>
                </w:tcPr>
                <w:p>
                  <w:pPr>
                    <w:pStyle w:val="114"/>
                  </w:pPr>
                  <w:r>
                    <w:t>320</w:t>
                  </w:r>
                </w:p>
              </w:tc>
            </w:tr>
          </w:tbl>
          <w:p>
            <w:pPr>
              <w:pStyle w:val="103"/>
              <w:widowControl w:val="0"/>
              <w:spacing w:after="0"/>
              <w:ind w:left="0" w:firstLine="0"/>
              <w:textAlignment w:val="auto"/>
              <w:rPr>
                <w:rStyle w:val="216"/>
                <w:color w:val="000000"/>
                <w:shd w:val="clear" w:color="auto" w:fill="FFFFFF"/>
              </w:rPr>
            </w:pPr>
          </w:p>
          <w:p>
            <w:pPr>
              <w:widowControl w:val="0"/>
              <w:rPr>
                <w:lang w:eastAsia="zh-CN"/>
              </w:rPr>
            </w:pPr>
            <w:r>
              <w:t>It was concluded in RAN1 #107bis-e that “</w:t>
            </w:r>
            <w:r>
              <w:rPr>
                <w:i/>
                <w:iCs/>
                <w:lang w:eastAsia="zh-CN"/>
              </w:rPr>
              <w:t>The SSSG switching timer is in units of slots</w:t>
            </w:r>
            <w:r>
              <w:rPr>
                <w:lang w:eastAsia="zh-CN"/>
              </w:rPr>
              <w:t>”. One of the open questions for SSSG switching for 480/960 kHz SCSs is when to perform the SSSG switching. We think that the switching should happen always at the slot group boundary. Otherwise, there can be ambiguity e.g. in the CCE/BD budget determination.</w:t>
            </w:r>
          </w:p>
          <w:p>
            <w:pPr>
              <w:widowControl w:val="0"/>
              <w:spacing w:line="256" w:lineRule="auto"/>
              <w:rPr>
                <w:i/>
                <w:iCs/>
              </w:rPr>
            </w:pPr>
            <w:r>
              <w:rPr>
                <w:b/>
                <w:bCs/>
                <w:i/>
                <w:iCs/>
              </w:rPr>
              <w:t>Proposal 6:</w:t>
            </w:r>
            <w:r>
              <w:t xml:space="preserve"> </w:t>
            </w:r>
            <w:r>
              <w:rPr>
                <w:i/>
                <w:iCs/>
              </w:rPr>
              <w:t>For multi-slot PDCCH monitoring for 480/960 kHz SCSs, a boundary of SSSG switching is always aligned with a boundary of a slot group.</w:t>
            </w:r>
          </w:p>
          <w:p>
            <w:pPr>
              <w:pStyle w:val="215"/>
              <w:widowControl w:val="0"/>
              <w:spacing w:after="0"/>
              <w:rPr>
                <w:rFonts w:eastAsiaTheme="minorEastAsia"/>
                <w:sz w:val="20"/>
                <w:szCs w:val="20"/>
                <w:lang w:eastAsia="zh-CN"/>
              </w:rPr>
            </w:pPr>
            <w:r>
              <w:rPr>
                <w:rFonts w:eastAsiaTheme="minorEastAsia"/>
                <w:sz w:val="20"/>
                <w:szCs w:val="20"/>
                <w:lang w:eastAsia="zh-CN"/>
              </w:rPr>
              <w:t xml:space="preserve">We think that it makes sense to support Rel-17 PDCCH skipping feature also in FR2-2. And it makes sense to scale the values the values corresponding for 120 kHz by 4 and 8 for 480 and 960 kHz SCS, respectively (as the corresponding working assumption has been done in UE power saving AI already there is no need to do a separate agreement in this agenda item). </w:t>
            </w:r>
          </w:p>
          <w:p>
            <w:pPr>
              <w:widowControl w:val="0"/>
              <w:spacing w:after="160" w:line="252" w:lineRule="auto"/>
              <w:jc w:val="both"/>
            </w:pPr>
            <w:r>
              <w:t>When considering the PDCCH skipping for higher sub-carrier spacings, we think that the skipping duration is always extend till slot group boundary. In this case the skipping duration granularity could be same as for X, and the minimum value, to enable skipping of one ‘slot group period’, would be X-Y+1 (i.e. at the second last slot on the group, min. 2 slots). Other approach is that skipping duration is not bound by slot group, thus skipping duration could end during the multi-slot monitoring of a slot group. This requires to support durations down to one slot for 960kHz. As this would result enabling ‘sub slot-group’ skipping for 960 kHz, it may not have much practical use from UE power saving perspective. Therefore it is proposed that the skipping duration would always assumed to be extended till slot group boundary.</w:t>
            </w:r>
          </w:p>
          <w:p>
            <w:pPr>
              <w:widowControl w:val="0"/>
              <w:spacing w:after="160" w:line="252" w:lineRule="auto"/>
              <w:jc w:val="both"/>
              <w:rPr>
                <w:i/>
                <w:iCs/>
              </w:rPr>
            </w:pPr>
            <w:r>
              <w:rPr>
                <w:b/>
                <w:bCs/>
                <w:i/>
                <w:iCs/>
              </w:rPr>
              <w:t>Proposal 7:</w:t>
            </w:r>
            <w:r>
              <w:t xml:space="preserve"> </w:t>
            </w:r>
            <w:r>
              <w:rPr>
                <w:i/>
                <w:iCs/>
              </w:rPr>
              <w:t>Skipping duration is always extended till slot group boundary.</w:t>
            </w:r>
          </w:p>
          <w:p>
            <w:pPr>
              <w:pStyle w:val="215"/>
              <w:widowControl w:val="0"/>
              <w:spacing w:after="0" w:afterAutospacing="0"/>
              <w:rPr>
                <w:rFonts w:eastAsiaTheme="minorEastAsia"/>
                <w:sz w:val="20"/>
                <w:szCs w:val="20"/>
                <w:lang w:eastAsia="zh-CN"/>
              </w:rPr>
            </w:pPr>
            <w:r>
              <w:rPr>
                <w:rFonts w:eastAsiaTheme="minorEastAsia"/>
                <w:sz w:val="20"/>
                <w:szCs w:val="20"/>
                <w:lang w:eastAsia="zh-CN"/>
              </w:rPr>
              <w:t xml:space="preserve">Corresponding to this it proposed to support following skipping durations </w:t>
            </w:r>
          </w:p>
          <w:p>
            <w:pPr>
              <w:pStyle w:val="215"/>
              <w:widowControl w:val="0"/>
              <w:numPr>
                <w:ilvl w:val="0"/>
                <w:numId w:val="82"/>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 xml:space="preserve">{2,3,4,8,12,16,…636,640,720,…,1200,1280, 1440, 1600, 1760,…,3040,3200} for 480kHz SCS </w:t>
            </w:r>
          </w:p>
          <w:p>
            <w:pPr>
              <w:pStyle w:val="215"/>
              <w:widowControl w:val="0"/>
              <w:numPr>
                <w:ilvl w:val="1"/>
                <w:numId w:val="82"/>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 xml:space="preserve">I.e. {2,3,[4:4:636],[640:80:1200],[1280:160:3200]} </w:t>
            </w:r>
          </w:p>
          <w:p>
            <w:pPr>
              <w:pStyle w:val="215"/>
              <w:widowControl w:val="0"/>
              <w:numPr>
                <w:ilvl w:val="0"/>
                <w:numId w:val="82"/>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 xml:space="preserve">{2,4,7,8,16,24,…1280,1440,1600,2400,2560,2880,3200,…,6080,6400 } for 960kHz SCS </w:t>
            </w:r>
          </w:p>
          <w:p>
            <w:pPr>
              <w:pStyle w:val="215"/>
              <w:widowControl w:val="0"/>
              <w:numPr>
                <w:ilvl w:val="1"/>
                <w:numId w:val="82"/>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I.e. {2,4,7,[8:8:1280],[1440:160:2560],[2880:320:6400]}</w:t>
            </w:r>
          </w:p>
          <w:p>
            <w:pPr>
              <w:pStyle w:val="215"/>
              <w:widowControl w:val="0"/>
              <w:spacing w:after="0"/>
              <w:rPr>
                <w:rFonts w:eastAsiaTheme="minorEastAsia"/>
                <w:sz w:val="20"/>
                <w:szCs w:val="20"/>
                <w:lang w:eastAsia="zh-CN"/>
              </w:rPr>
            </w:pPr>
            <w:r>
              <w:rPr>
                <w:rFonts w:eastAsiaTheme="minorEastAsia"/>
                <w:sz w:val="20"/>
                <w:szCs w:val="20"/>
                <w:lang w:eastAsia="zh-CN"/>
              </w:rPr>
              <w:t>As discussed in RAN1 #107bis-e there are differences between Rel-16 and Rel-17 approaches: the SSSG timer configuration of Rel-16 SSSG switching is per-cell, while the SSSG timer for Rel-17 SSSG switching is per-BWP. Based on that, it makes sense to avoid simultaneous usage of Rel-16 feature (defined originally for LBT scenario) and Rel-17 feature (defined for non-LBT scenario). However, it would be more natural to make such decision in UE power saving WI. That would ensure that the agreement is not limited to FR2-2 &amp; 480/960 kHz SCSs.</w:t>
            </w:r>
          </w:p>
          <w:p>
            <w:pPr>
              <w:widowControl w:val="0"/>
              <w:spacing w:line="256" w:lineRule="auto"/>
              <w:rPr>
                <w:i/>
                <w:iCs/>
              </w:rPr>
            </w:pPr>
            <w:r>
              <w:rPr>
                <w:b/>
                <w:bCs/>
                <w:i/>
                <w:iCs/>
              </w:rPr>
              <w:t>Proposal 8:</w:t>
            </w:r>
            <w:r>
              <w:t xml:space="preserve"> </w:t>
            </w:r>
            <w:r>
              <w:rPr>
                <w:i/>
                <w:iCs/>
              </w:rPr>
              <w:t xml:space="preserve">Agreements related to simultaneous usage of Rel-16 SSSG switching and Rel-17 SSSG switching are done in UE power saving WI.  </w:t>
            </w:r>
          </w:p>
          <w:p>
            <w:pPr>
              <w:widowControl w:val="0"/>
              <w:spacing w:line="256" w:lineRule="auto"/>
              <w:rPr>
                <w:lang w:eastAsia="zh-CN"/>
              </w:rPr>
            </w:pPr>
          </w:p>
          <w:p>
            <w:pPr>
              <w:widowControl w:val="0"/>
              <w:spacing w:line="256" w:lineRule="auto"/>
            </w:pPr>
            <w:r>
              <w:rPr>
                <w:b/>
                <w:bCs/>
                <w:i/>
                <w:iCs/>
              </w:rPr>
              <w:t>Proposal 9:</w:t>
            </w:r>
            <w:r>
              <w:t xml:space="preserve"> Confirm the following working assumtion</w:t>
            </w:r>
          </w:p>
          <w:p>
            <w:pPr>
              <w:widowControl w:val="0"/>
              <w:numPr>
                <w:ilvl w:val="0"/>
                <w:numId w:val="28"/>
              </w:numPr>
              <w:spacing w:after="0" w:line="256" w:lineRule="auto"/>
              <w:rPr>
                <w:color w:val="000000"/>
              </w:rPr>
            </w:pPr>
            <w:r>
              <w:rPr>
                <w:color w:val="000000"/>
              </w:rPr>
              <w:t xml:space="preserve">Introduce new parameter </w:t>
            </w:r>
            <w:r>
              <w:rPr>
                <w:i/>
                <w:iCs/>
                <w:color w:val="000000"/>
              </w:rPr>
              <w:t>monitoringSlotsWithinSlotGroup-r17</w:t>
            </w:r>
          </w:p>
          <w:p>
            <w:pPr>
              <w:widowControl w:val="0"/>
              <w:numPr>
                <w:ilvl w:val="1"/>
                <w:numId w:val="28"/>
              </w:numPr>
              <w:spacing w:after="0" w:line="256" w:lineRule="auto"/>
              <w:rPr>
                <w:color w:val="000000"/>
              </w:rPr>
            </w:pPr>
            <w:r>
              <w:rPr>
                <w:color w:val="000000"/>
                <w:highlight w:val="darkYellow"/>
              </w:rPr>
              <w:t>Working assumption</w:t>
            </w:r>
            <w:r>
              <w:rPr>
                <w:color w:val="000000"/>
              </w:rPr>
              <w:t>:</w:t>
            </w:r>
          </w:p>
          <w:p>
            <w:pPr>
              <w:widowControl w:val="0"/>
              <w:numPr>
                <w:ilvl w:val="2"/>
                <w:numId w:val="28"/>
              </w:numPr>
              <w:spacing w:after="0" w:line="256" w:lineRule="auto"/>
              <w:rPr>
                <w:color w:val="000000"/>
              </w:rPr>
            </w:pPr>
            <w:r>
              <w:rPr>
                <w:color w:val="000000"/>
              </w:rPr>
              <w:t>The size is 8 bits</w:t>
            </w:r>
          </w:p>
          <w:p>
            <w:pPr>
              <w:widowControl w:val="0"/>
              <w:numPr>
                <w:ilvl w:val="2"/>
                <w:numId w:val="28"/>
              </w:numPr>
              <w:spacing w:after="0" w:line="256" w:lineRule="auto"/>
              <w:rPr>
                <w:color w:val="000000"/>
              </w:rPr>
            </w:pPr>
            <w:r>
              <w:rPr>
                <w:color w:val="000000"/>
              </w:rPr>
              <w:t xml:space="preserve">Each bit in </w:t>
            </w:r>
            <w:r>
              <w:rPr>
                <w:i/>
                <w:iCs/>
                <w:color w:val="000000"/>
              </w:rPr>
              <w:t>monitoringSlotsWithinSlotGroup-r17</w:t>
            </w:r>
            <w:r>
              <w:rPr>
                <w:color w:val="000000"/>
              </w:rPr>
              <w:t xml:space="preserve"> represents a slot in a slot group</w:t>
            </w:r>
          </w:p>
          <w:p>
            <w:pPr>
              <w:widowControl w:val="0"/>
              <w:numPr>
                <w:ilvl w:val="2"/>
                <w:numId w:val="28"/>
              </w:numPr>
              <w:spacing w:after="0" w:line="256" w:lineRule="auto"/>
              <w:rPr>
                <w:color w:val="000000"/>
              </w:rPr>
            </w:pPr>
            <w:r>
              <w:rPr>
                <w:color w:val="000000"/>
              </w:rPr>
              <w:t>A slot in the slot group is configured for multi-slot PDCCH monitoring if the corresponding bit in the slot group is set to '1'</w:t>
            </w:r>
          </w:p>
          <w:p>
            <w:pPr>
              <w:widowControl w:val="0"/>
              <w:numPr>
                <w:ilvl w:val="3"/>
                <w:numId w:val="28"/>
              </w:numPr>
              <w:spacing w:after="0" w:line="256" w:lineRule="auto"/>
              <w:rPr>
                <w:color w:val="000000"/>
              </w:rPr>
            </w:pPr>
            <w:r>
              <w:rPr>
                <w:color w:val="000000"/>
              </w:rPr>
              <w:t xml:space="preserve">Note: Further configuration of the monitoring symbols in such a slot is done by </w:t>
            </w:r>
            <w:r>
              <w:rPr>
                <w:i/>
                <w:iCs/>
                <w:color w:val="000000"/>
              </w:rPr>
              <w:t>monitoringSymbolsWithinSlot</w:t>
            </w:r>
          </w:p>
          <w:p>
            <w:pPr>
              <w:widowControl w:val="0"/>
              <w:numPr>
                <w:ilvl w:val="2"/>
                <w:numId w:val="28"/>
              </w:numPr>
              <w:spacing w:line="256" w:lineRule="auto"/>
              <w:rPr>
                <w:rFonts w:ascii="Times" w:hAnsi="Times"/>
                <w:color w:val="000000"/>
                <w:szCs w:val="24"/>
              </w:rPr>
            </w:pPr>
            <w:r>
              <w:rPr>
                <w:color w:val="000000"/>
              </w:rPr>
              <w:t>The slots indicated in the bitmap should be consecutive</w:t>
            </w:r>
            <w:r>
              <w:t xml:space="preserve"> </w:t>
            </w:r>
            <w:r>
              <w:rPr>
                <w:strike/>
              </w:rPr>
              <w:t>at least for Group (1) SSs</w:t>
            </w:r>
          </w:p>
          <w:p>
            <w:pPr>
              <w:widowControl w:val="0"/>
              <w:spacing w:line="256" w:lineRule="auto"/>
              <w:rPr>
                <w:lang w:eastAsia="zh-CN"/>
              </w:rPr>
            </w:pPr>
          </w:p>
          <w:p>
            <w:pPr>
              <w:widowControl w:val="0"/>
              <w:spacing w:after="0" w:line="257" w:lineRule="auto"/>
            </w:pPr>
            <w:r>
              <w:rPr>
                <w:b/>
                <w:bCs/>
                <w:i/>
                <w:iCs/>
              </w:rPr>
              <w:t>Proposal 10:</w:t>
            </w:r>
            <w:r>
              <w:t xml:space="preserve"> </w:t>
            </w:r>
            <w:r>
              <w:rPr>
                <w:i/>
                <w:iCs/>
              </w:rPr>
              <w:t>revise the definition of duration in the following way:</w:t>
            </w:r>
          </w:p>
          <w:p>
            <w:pPr>
              <w:pStyle w:val="215"/>
              <w:widowControl w:val="0"/>
              <w:numPr>
                <w:ilvl w:val="0"/>
                <w:numId w:val="82"/>
              </w:numPr>
              <w:spacing w:before="0" w:beforeAutospacing="0" w:after="0" w:afterAutospacing="0" w:line="240" w:lineRule="auto"/>
              <w:textAlignment w:val="baseline"/>
              <w:rPr>
                <w:i/>
                <w:iCs/>
                <w:sz w:val="20"/>
                <w:szCs w:val="20"/>
              </w:rPr>
            </w:pPr>
            <w:r>
              <w:rPr>
                <w:i/>
                <w:iCs/>
                <w:sz w:val="20"/>
                <w:szCs w:val="20"/>
              </w:rPr>
              <w:t>If duration ≤ 8, UE considers up-to “duration” bits as valid bits in the bitmap</w:t>
            </w:r>
          </w:p>
          <w:p>
            <w:pPr>
              <w:pStyle w:val="215"/>
              <w:widowControl w:val="0"/>
              <w:numPr>
                <w:ilvl w:val="0"/>
                <w:numId w:val="82"/>
              </w:numPr>
              <w:spacing w:before="0" w:beforeAutospacing="0" w:after="0" w:afterAutospacing="0" w:line="240" w:lineRule="auto"/>
              <w:textAlignment w:val="baseline"/>
              <w:rPr>
                <w:i/>
                <w:iCs/>
                <w:sz w:val="20"/>
                <w:szCs w:val="20"/>
              </w:rPr>
            </w:pPr>
            <w:r>
              <w:rPr>
                <w:i/>
                <w:iCs/>
                <w:sz w:val="20"/>
                <w:szCs w:val="20"/>
              </w:rPr>
              <w:t xml:space="preserve">If duration &gt;8, UE creates a new bitmap by repeating the </w:t>
            </w:r>
            <w:r>
              <w:rPr>
                <w:i/>
                <w:iCs/>
                <w:color w:val="000000"/>
                <w:sz w:val="20"/>
                <w:szCs w:val="20"/>
              </w:rPr>
              <w:t>monitoringSlotsWithinSlotGroup-r17, and considers up-to “duration” bits as valid bits in the new bitmap.</w:t>
            </w:r>
            <w:r>
              <w:rPr>
                <w:i/>
                <w:iCs/>
                <w:sz w:val="20"/>
                <w:szCs w:val="20"/>
              </w:rPr>
              <w:t xml:space="preserve">   </w:t>
            </w:r>
          </w:p>
          <w:p>
            <w:pPr>
              <w:widowControl w:val="0"/>
              <w:spacing w:line="256" w:lineRule="auto"/>
              <w:rPr>
                <w:lang w:val="en-GB" w:eastAsia="zh-CN"/>
              </w:rPr>
            </w:pPr>
          </w:p>
          <w:p>
            <w:pPr>
              <w:widowControl w:val="0"/>
              <w:spacing w:after="0" w:line="257" w:lineRule="auto"/>
              <w:rPr>
                <w:i/>
                <w:iCs/>
              </w:rPr>
            </w:pPr>
            <w:r>
              <w:rPr>
                <w:b/>
                <w:bCs/>
                <w:i/>
                <w:iCs/>
              </w:rPr>
              <w:t>Proposal 11:</w:t>
            </w:r>
            <w:r>
              <w:t xml:space="preserve"> </w:t>
            </w:r>
            <w:r>
              <w:rPr>
                <w:i/>
                <w:iCs/>
              </w:rPr>
              <w:t>revise the value range for offset as:</w:t>
            </w:r>
          </w:p>
          <w:p>
            <w:pPr>
              <w:pStyle w:val="215"/>
              <w:widowControl w:val="0"/>
              <w:numPr>
                <w:ilvl w:val="0"/>
                <w:numId w:val="83"/>
              </w:numPr>
              <w:spacing w:before="0" w:beforeAutospacing="0" w:after="0" w:afterAutospacing="0" w:line="240" w:lineRule="auto"/>
              <w:textAlignment w:val="baseline"/>
              <w:rPr>
                <w:rStyle w:val="216"/>
                <w:i/>
                <w:iCs/>
                <w:sz w:val="16"/>
                <w:szCs w:val="16"/>
              </w:rPr>
            </w:pPr>
            <w:r>
              <w:rPr>
                <w:rStyle w:val="216"/>
                <w:i/>
                <w:iCs/>
                <w:sz w:val="20"/>
                <w:szCs w:val="20"/>
              </w:rPr>
              <w:t xml:space="preserve">value range for offset is </w:t>
            </w:r>
            <w:r>
              <w:rPr>
                <w:i/>
                <w:iCs/>
                <w:color w:val="000000"/>
                <w:sz w:val="20"/>
                <w:szCs w:val="20"/>
              </w:rPr>
              <w:t xml:space="preserve"> {0, 4, 8,  …, </w:t>
            </w:r>
            <w:r>
              <w:rPr>
                <w:i/>
                <w:iCs/>
                <w:sz w:val="20"/>
                <w:szCs w:val="20"/>
              </w:rPr>
              <w:t>Xp-1</w:t>
            </w:r>
            <w:r>
              <w:rPr>
                <w:i/>
                <w:iCs/>
                <w:color w:val="000000"/>
                <w:sz w:val="20"/>
                <w:szCs w:val="20"/>
              </w:rPr>
              <w:t>} slots.</w:t>
            </w:r>
          </w:p>
          <w:p>
            <w:pPr>
              <w:widowControl w:val="0"/>
              <w:spacing w:line="256" w:lineRule="auto"/>
              <w:rPr>
                <w:lang w:val="en-GB" w:eastAsia="zh-CN"/>
              </w:rPr>
            </w:pPr>
          </w:p>
        </w:tc>
      </w:tr>
    </w:tbl>
    <w:p>
      <w:pPr>
        <w:rPr>
          <w:lang w:val="en-GB" w:eastAsia="zh-CN"/>
        </w:rPr>
      </w:pPr>
    </w:p>
    <w:p>
      <w:pPr>
        <w:pStyle w:val="4"/>
      </w:pPr>
      <w:r>
        <w:t>R1-2201689 (Intel)</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after="60"/>
              <w:jc w:val="both"/>
              <w:rPr>
                <w:lang w:val="en-GB" w:eastAsia="zh-CN"/>
              </w:rPr>
            </w:pPr>
            <w:r>
              <w:rPr>
                <w:lang w:val="en-GB" w:eastAsia="zh-CN"/>
              </w:rPr>
              <w:t xml:space="preserve">Before discussing details of Group (2) SS handling, it is better to align the understanding of FG 3-1 especially ‘any of’ in the following bullet. </w:t>
            </w:r>
          </w:p>
          <w:p>
            <w:pPr>
              <w:pStyle w:val="82"/>
              <w:widowControl w:val="0"/>
              <w:jc w:val="both"/>
              <w:rPr>
                <w:rFonts w:ascii="Times New Roman" w:hAnsi="Times New Roman"/>
                <w:sz w:val="20"/>
                <w:szCs w:val="20"/>
                <w:lang w:val="en-GB" w:eastAsia="zh-CN"/>
              </w:rPr>
            </w:pPr>
          </w:p>
          <w:tbl>
            <w:tblPr>
              <w:tblStyle w:val="55"/>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vAlign w:val="center"/>
                </w:tcPr>
                <w:p>
                  <w:pPr>
                    <w:widowControl w:val="0"/>
                    <w:spacing w:after="0" w:line="240" w:lineRule="auto"/>
                    <w:rPr>
                      <w:lang w:val="en-GB" w:eastAsia="zh-CN"/>
                    </w:rPr>
                  </w:pPr>
                  <w:r>
                    <w:rPr>
                      <w:lang w:val="en-GB" w:eastAsia="zh-CN"/>
                    </w:rPr>
                    <w:t xml:space="preserve">- For type 1 CSS without dedicated RRC configuration and for type 0, 0A, and 2 CSS, the monitoring occasion can be any OFDM symbol(s) of a slot, with the monitoring occasions for </w:t>
                  </w:r>
                  <w:r>
                    <w:rPr>
                      <w:color w:val="FF0000"/>
                      <w:lang w:val="en-GB" w:eastAsia="zh-CN"/>
                    </w:rPr>
                    <w:t xml:space="preserve">any of </w:t>
                  </w:r>
                  <w:r>
                    <w:rPr>
                      <w:lang w:val="en-GB" w:eastAsia="zh-CN"/>
                    </w:rPr>
                    <w:t>Type 1- CSS without dedicated RRC configuration, or Types 0, 0A, or 2 CSS configurations within a single span of three consecutive OFDM symbols within a slot</w:t>
                  </w:r>
                </w:p>
              </w:tc>
            </w:tr>
          </w:tbl>
          <w:p>
            <w:pPr>
              <w:widowControl w:val="0"/>
              <w:spacing w:after="60"/>
              <w:jc w:val="both"/>
              <w:rPr>
                <w:lang w:eastAsia="zh-CN"/>
              </w:rPr>
            </w:pPr>
          </w:p>
          <w:p>
            <w:pPr>
              <w:widowControl w:val="0"/>
              <w:spacing w:after="60"/>
              <w:jc w:val="both"/>
              <w:rPr>
                <w:lang w:val="en-GB" w:eastAsia="zh-CN"/>
              </w:rPr>
            </w:pPr>
            <w:r>
              <w:rPr>
                <w:lang w:val="en-GB" w:eastAsia="zh-CN"/>
              </w:rPr>
              <w:t>There are two interpretations.</w:t>
            </w:r>
          </w:p>
          <w:p>
            <w:pPr>
              <w:pStyle w:val="82"/>
              <w:widowControl w:val="0"/>
              <w:numPr>
                <w:ilvl w:val="0"/>
                <w:numId w:val="45"/>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#1: It is limited to single span in a slot for each Group (2) SS set, however the different Group (2) SS sets can be configured in different spans in the slot. </w:t>
            </w:r>
          </w:p>
          <w:p>
            <w:pPr>
              <w:pStyle w:val="82"/>
              <w:widowControl w:val="0"/>
              <w:numPr>
                <w:ilvl w:val="0"/>
                <w:numId w:val="45"/>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#2: It is limited to single span in a slot considering all configured Group (2) SS sets in the slot.  </w:t>
            </w:r>
          </w:p>
          <w:p>
            <w:pPr>
              <w:widowControl w:val="0"/>
              <w:spacing w:before="60" w:after="60"/>
              <w:jc w:val="both"/>
              <w:rPr>
                <w:lang w:val="en-GB" w:eastAsia="zh-CN"/>
              </w:rPr>
            </w:pPr>
            <w:r>
              <w:rPr>
                <w:lang w:val="en-GB" w:eastAsia="zh-CN"/>
              </w:rPr>
              <w:t>In our view, Interpretation #2 is the correct understanding. Interpretation #1 will not bring any real complexity reduction at UE side compared to Interpretation #2. With Interpretation #1, though a single Group (2) SS set is limited to single span per slot, there can still be multiple spans in a slot due to multiple configured Group (2) SS sets. Consequently, UE must prepare for the worst case, i.e., to decode multiple spans per slot for Group (2</w:t>
            </w:r>
            <w:r>
              <w:rPr>
                <w:rFonts w:hint="eastAsia"/>
                <w:lang w:val="en-GB" w:eastAsia="zh-CN"/>
              </w:rPr>
              <w:t>)</w:t>
            </w:r>
            <w:r>
              <w:rPr>
                <w:lang w:val="en-GB" w:eastAsia="zh-CN"/>
              </w:rPr>
              <w:t xml:space="preserve"> SS sets. </w:t>
            </w:r>
          </w:p>
          <w:p>
            <w:pPr>
              <w:widowControl w:val="0"/>
              <w:spacing w:before="240" w:after="0"/>
              <w:jc w:val="both"/>
              <w:rPr>
                <w:b/>
              </w:rPr>
            </w:pPr>
            <w:r>
              <w:rPr>
                <w:b/>
              </w:rPr>
              <w:t xml:space="preserve">Proposal 2: </w:t>
            </w:r>
          </w:p>
          <w:p>
            <w:pPr>
              <w:pStyle w:val="82"/>
              <w:widowControl w:val="0"/>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Clarify that Interpretation #2 is the right understanding for FG 3-1</w:t>
            </w:r>
          </w:p>
          <w:p>
            <w:pPr>
              <w:pStyle w:val="82"/>
              <w:widowControl w:val="0"/>
              <w:numPr>
                <w:ilvl w:val="1"/>
                <w:numId w:val="4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Interpretation</w:t>
            </w:r>
            <w:r>
              <w:rPr>
                <w:rFonts w:ascii="Times New Roman" w:hAnsi="Times New Roman"/>
                <w:sz w:val="20"/>
                <w:szCs w:val="20"/>
                <w:lang w:val="en-GB" w:eastAsia="zh-CN"/>
              </w:rPr>
              <w:t xml:space="preserve"> #2: It is limited to single span in a slot considering all configured Group (2) SS sets in the slot.  </w:t>
            </w:r>
          </w:p>
          <w:p>
            <w:pPr>
              <w:widowControl w:val="0"/>
              <w:snapToGrid/>
              <w:spacing w:before="60" w:line="240" w:lineRule="auto"/>
              <w:jc w:val="both"/>
              <w:rPr>
                <w:b/>
                <w:sz w:val="20"/>
                <w:szCs w:val="20"/>
              </w:rPr>
            </w:pPr>
          </w:p>
          <w:p>
            <w:pPr>
              <w:widowControl w:val="0"/>
              <w:jc w:val="both"/>
            </w:pPr>
            <w:r>
              <w:t xml:space="preserve">In general, it is not preferred to limit the maximum number of slots that can be simultaneously configured for PDCCH monitoring in a slot group for Group (2) SS configuration flexibility. That is, the Group (2) SS can be simultaneously configured in all slots in a slot group. On the other hand, the maximum number of configured spans in a slot may remain to be 2 to align with Group (1) SS for the Y=1 slot. </w:t>
            </w:r>
          </w:p>
          <w:p>
            <w:pPr>
              <w:widowControl w:val="0"/>
              <w:jc w:val="both"/>
              <w:rPr>
                <w:lang w:val="en-GB" w:eastAsia="zh-CN"/>
              </w:rPr>
            </w:pPr>
            <w:r>
              <w:rPr>
                <w:lang w:val="en-GB" w:eastAsia="zh-CN"/>
              </w:rPr>
              <w:t xml:space="preserve">Since UE mandatorily supports Y=1 for the multi-slot PDCCH monitoring capability, the design on handling group (2) SS can take existing agreement for Y=1 as baseline, i.e., FG3-5b extension. That is, UE must be capable to monitor up to two spans of Group (1) SS in a slot in a slot group. </w:t>
            </w:r>
            <w:r>
              <w:t xml:space="preserve">To avoid excessive increase of UE complexity, it is preferred that the maximum number of monitored spans per slot in a slot group for the two groups of SS sets remains to be 2. </w:t>
            </w:r>
            <w:r>
              <w:rPr>
                <w:lang w:val="en-GB" w:eastAsia="zh-CN"/>
              </w:rPr>
              <w:t xml:space="preserve">Further, the total number of monitored spans of SS sets in a slot group should be carefully designed. A larger number of spans provide a better flexibility for PDCCH transmission. However, it also increases UE complexity and power consumption. To balance various factors, it is preferred that UE should be capable to monitor up to 3 or 4 spans of all SS sets in a slot group which includes spans for </w:t>
            </w:r>
            <w:r>
              <w:t>all Group (1) and Group (2) SS sets</w:t>
            </w:r>
            <w:r>
              <w:rPr>
                <w:lang w:val="en-GB" w:eastAsia="zh-CN"/>
              </w:rPr>
              <w:t xml:space="preserve">. </w:t>
            </w:r>
          </w:p>
          <w:p>
            <w:pPr>
              <w:widowControl w:val="0"/>
              <w:spacing w:before="240" w:after="0"/>
              <w:jc w:val="both"/>
              <w:rPr>
                <w:b/>
              </w:rPr>
            </w:pPr>
            <w:r>
              <w:rPr>
                <w:b/>
              </w:rPr>
              <w:t xml:space="preserve">Proposal 3: </w:t>
            </w:r>
          </w:p>
          <w:p>
            <w:pPr>
              <w:pStyle w:val="82"/>
              <w:widowControl w:val="0"/>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The limitation on Group (2) SS sets should be clarified from two aspects</w:t>
            </w:r>
          </w:p>
          <w:p>
            <w:pPr>
              <w:pStyle w:val="82"/>
              <w:widowControl w:val="0"/>
              <w:numPr>
                <w:ilvl w:val="1"/>
                <w:numId w:val="46"/>
              </w:numPr>
              <w:snapToGrid/>
              <w:spacing w:before="60" w:line="240" w:lineRule="auto"/>
              <w:jc w:val="both"/>
              <w:rPr>
                <w:rFonts w:ascii="Times New Roman" w:hAnsi="Times New Roman"/>
                <w:sz w:val="20"/>
                <w:szCs w:val="20"/>
              </w:rPr>
            </w:pPr>
            <w:r>
              <w:rPr>
                <w:rFonts w:ascii="Times New Roman" w:hAnsi="Times New Roman"/>
                <w:sz w:val="20"/>
                <w:szCs w:val="20"/>
              </w:rPr>
              <w:t xml:space="preserve">Whether to limit the number of slots/spans on which the SS set(s) can be simultaneously configured in a slot group for a UE. </w:t>
            </w:r>
          </w:p>
          <w:p>
            <w:pPr>
              <w:pStyle w:val="82"/>
              <w:widowControl w:val="0"/>
              <w:numPr>
                <w:ilvl w:val="1"/>
                <w:numId w:val="46"/>
              </w:numPr>
              <w:snapToGrid/>
              <w:spacing w:before="60" w:line="240" w:lineRule="auto"/>
              <w:jc w:val="both"/>
              <w:rPr>
                <w:rFonts w:ascii="Times New Roman" w:hAnsi="Times New Roman"/>
                <w:sz w:val="20"/>
                <w:szCs w:val="20"/>
              </w:rPr>
            </w:pPr>
            <w:r>
              <w:rPr>
                <w:rFonts w:ascii="Times New Roman" w:hAnsi="Times New Roman"/>
                <w:sz w:val="20"/>
                <w:szCs w:val="20"/>
              </w:rPr>
              <w:t>Whether to limit the number of slots/spans on which the SS set(s) can be simultaneously monitored in a slot group by a UE.</w:t>
            </w:r>
          </w:p>
          <w:p>
            <w:pPr>
              <w:widowControl w:val="0"/>
              <w:spacing w:before="240" w:after="0"/>
              <w:jc w:val="both"/>
              <w:rPr>
                <w:b/>
              </w:rPr>
            </w:pPr>
            <w:r>
              <w:rPr>
                <w:b/>
              </w:rPr>
              <w:t xml:space="preserve">Proposal 4: </w:t>
            </w:r>
          </w:p>
          <w:p>
            <w:pPr>
              <w:pStyle w:val="82"/>
              <w:widowControl w:val="0"/>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For SS set configuration</w:t>
            </w:r>
          </w:p>
          <w:p>
            <w:pPr>
              <w:pStyle w:val="82"/>
              <w:widowControl w:val="0"/>
              <w:numPr>
                <w:ilvl w:val="1"/>
                <w:numId w:val="46"/>
              </w:numPr>
              <w:snapToGrid/>
              <w:spacing w:before="60" w:line="240" w:lineRule="auto"/>
              <w:jc w:val="both"/>
              <w:rPr>
                <w:rFonts w:ascii="Times New Roman" w:hAnsi="Times New Roman"/>
                <w:sz w:val="20"/>
                <w:szCs w:val="20"/>
              </w:rPr>
            </w:pPr>
            <w:r>
              <w:rPr>
                <w:rFonts w:ascii="Times New Roman" w:hAnsi="Times New Roman"/>
                <w:sz w:val="20"/>
                <w:szCs w:val="20"/>
              </w:rPr>
              <w:t>The Group (2) SS sets can be simultaneously configured in all slots in a slot group.</w:t>
            </w:r>
          </w:p>
          <w:p>
            <w:pPr>
              <w:pStyle w:val="82"/>
              <w:widowControl w:val="0"/>
              <w:numPr>
                <w:ilvl w:val="1"/>
                <w:numId w:val="46"/>
              </w:numPr>
              <w:snapToGrid/>
              <w:spacing w:before="60" w:line="240" w:lineRule="auto"/>
              <w:jc w:val="both"/>
              <w:rPr>
                <w:rFonts w:ascii="Times New Roman" w:hAnsi="Times New Roman"/>
                <w:sz w:val="20"/>
                <w:szCs w:val="20"/>
              </w:rPr>
            </w:pPr>
            <w:r>
              <w:rPr>
                <w:rFonts w:ascii="Times New Roman" w:hAnsi="Times New Roman"/>
                <w:sz w:val="20"/>
                <w:szCs w:val="20"/>
              </w:rPr>
              <w:t>The maximum number of configured spans in a slot remains to be 2 considering all SS sets.</w:t>
            </w:r>
          </w:p>
          <w:p>
            <w:pPr>
              <w:pStyle w:val="82"/>
              <w:widowControl w:val="0"/>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 xml:space="preserve">For PDCCH monitoring at UE </w:t>
            </w:r>
          </w:p>
          <w:p>
            <w:pPr>
              <w:pStyle w:val="82"/>
              <w:widowControl w:val="0"/>
              <w:numPr>
                <w:ilvl w:val="1"/>
                <w:numId w:val="46"/>
              </w:numPr>
              <w:snapToGrid/>
              <w:spacing w:before="60" w:line="240" w:lineRule="auto"/>
              <w:jc w:val="both"/>
              <w:rPr>
                <w:rFonts w:ascii="Times New Roman" w:hAnsi="Times New Roman"/>
                <w:sz w:val="20"/>
                <w:szCs w:val="20"/>
              </w:rPr>
            </w:pPr>
            <w:r>
              <w:rPr>
                <w:rFonts w:ascii="Times New Roman" w:hAnsi="Times New Roman"/>
                <w:sz w:val="20"/>
                <w:szCs w:val="20"/>
              </w:rPr>
              <w:t>The maximum number of monitored spans per slot in a slot group remains to be 2 considering all SS sets</w:t>
            </w:r>
          </w:p>
          <w:p>
            <w:pPr>
              <w:pStyle w:val="82"/>
              <w:widowControl w:val="0"/>
              <w:numPr>
                <w:ilvl w:val="1"/>
                <w:numId w:val="46"/>
              </w:numPr>
              <w:snapToGrid/>
              <w:spacing w:before="60" w:line="240" w:lineRule="auto"/>
              <w:jc w:val="both"/>
              <w:rPr>
                <w:rFonts w:ascii="Times New Roman" w:hAnsi="Times New Roman"/>
                <w:sz w:val="20"/>
                <w:szCs w:val="20"/>
              </w:rPr>
            </w:pPr>
            <w:r>
              <w:rPr>
                <w:rFonts w:ascii="Times New Roman" w:hAnsi="Times New Roman"/>
                <w:sz w:val="20"/>
                <w:szCs w:val="20"/>
              </w:rPr>
              <w:t>UE is capable to monitor up to 3 or 4 spans of SS sets in a slot group considering all SS sets.</w:t>
            </w:r>
          </w:p>
          <w:p>
            <w:pPr>
              <w:pStyle w:val="82"/>
              <w:widowControl w:val="0"/>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Discuss the exact number of limited configured/monitored spans in a slot or in a slot group in UE feature for WI NR_ext_to_71GHz</w:t>
            </w:r>
          </w:p>
          <w:p>
            <w:pPr>
              <w:pStyle w:val="103"/>
              <w:widowControl w:val="0"/>
              <w:spacing w:before="60" w:after="0" w:line="240" w:lineRule="auto"/>
              <w:ind w:left="0" w:firstLine="0"/>
              <w:jc w:val="both"/>
              <w:rPr>
                <w:highlight w:val="yellow"/>
                <w:lang w:val="en-US"/>
              </w:rPr>
            </w:pPr>
          </w:p>
          <w:p>
            <w:pPr>
              <w:pStyle w:val="103"/>
              <w:widowControl w:val="0"/>
              <w:spacing w:before="60" w:after="0" w:line="240" w:lineRule="auto"/>
              <w:ind w:left="0" w:firstLine="0"/>
              <w:jc w:val="both"/>
              <w:rPr>
                <w:b/>
                <w:bCs/>
              </w:rPr>
            </w:pPr>
          </w:p>
          <w:p>
            <w:pPr>
              <w:widowControl w:val="0"/>
              <w:jc w:val="both"/>
              <w:rPr>
                <w:lang w:eastAsia="zh-CN"/>
              </w:rPr>
            </w:pPr>
            <w:r>
              <w:rPr>
                <w:lang w:eastAsia="zh-CN"/>
              </w:rPr>
              <w:t xml:space="preserve">The configured search space configuration in the two SSSGs may have different requirements on the PDCCH monitoring capability. Figure 1 provides </w:t>
            </w:r>
            <w:r>
              <w:rPr>
                <w:rFonts w:hint="eastAsia"/>
                <w:lang w:eastAsia="zh-CN"/>
              </w:rPr>
              <w:t>two</w:t>
            </w:r>
            <w:r>
              <w:rPr>
                <w:lang w:eastAsia="zh-CN"/>
              </w:rPr>
              <w:t xml:space="preserve"> examples for the SSSG switching with corresponding switching between combination (4, 1) and (4, 2). In Figure 1A, at the time for SSSG switching, UE needs to decode more PDCCHs if no additional restriction is introduced. Since the agreed P</w:t>
            </w:r>
            <w:r>
              <w:rPr>
                <w:vertAlign w:val="subscript"/>
                <w:lang w:eastAsia="zh-CN"/>
              </w:rPr>
              <w:t>switch</w:t>
            </w:r>
            <w:r>
              <w:rPr>
                <w:lang w:eastAsia="zh-CN"/>
              </w:rPr>
              <w:t xml:space="preserve"> values are much larger than the slot group size X=4/8, UE can know in a quite early time that there happens burst PDCCH detections at the time of SSSG switching. As a result, a simple solution is that UE can cancel the PDCCH detection in X slots before the time of SSSG switching. On the other hand, Figure 1B shows another example that there exists a distance between the slots for PDCCH monitoring before or after SSSG switching. There is practically no problem to monitor all PDCCHs around the time of SSSG switching. In this case, it is desired if PDCCH in the first SSSG in the X slots before the time of SSSG switching can still be detected. </w:t>
            </w:r>
            <w:r>
              <w:rPr>
                <w:rFonts w:hint="eastAsia"/>
                <w:lang w:eastAsia="zh-CN"/>
              </w:rPr>
              <w:t>Base</w:t>
            </w:r>
            <w:r>
              <w:rPr>
                <w:lang w:eastAsia="zh-CN"/>
              </w:rPr>
              <w:t xml:space="preserve">d on Figure 1A/1B, a unified solution could be that UE can monitor the PDCCHs in the X slots before the time of SSSG switching in the slots that are the intersection of the slot patterns of combinations (X, Y) used before and after SSSG switching. </w:t>
            </w:r>
          </w:p>
          <w:p>
            <w:pPr>
              <w:widowControl w:val="0"/>
              <w:jc w:val="center"/>
              <w:rPr>
                <w:lang w:eastAsia="zh-CN"/>
              </w:rPr>
            </w:pPr>
            <w:r>
              <w:object>
                <v:shape id="_x0000_i1046" o:spt="75" type="#_x0000_t75" style="height:238.5pt;width:381.75pt;" o:ole="t" filled="f" o:preferrelative="t" stroked="f" coordsize="21600,21600">
                  <v:path/>
                  <v:fill on="f" focussize="0,0"/>
                  <v:stroke on="f" joinstyle="miter"/>
                  <v:imagedata r:id="rId54" o:title=""/>
                  <o:lock v:ext="edit" aspectratio="t"/>
                  <w10:wrap type="none"/>
                  <w10:anchorlock/>
                </v:shape>
                <o:OLEObject Type="Embed" ProgID="Visio.Drawing.15" ShapeID="_x0000_i1046" DrawAspect="Content" ObjectID="_1468075743" r:id="rId53">
                  <o:LockedField>false</o:LockedField>
                </o:OLEObject>
              </w:object>
            </w:r>
          </w:p>
          <w:p>
            <w:pPr>
              <w:widowControl w:val="0"/>
              <w:jc w:val="center"/>
              <w:rPr>
                <w:b/>
                <w:bCs/>
                <w:lang w:eastAsia="zh-CN"/>
              </w:rPr>
            </w:pPr>
            <w:r>
              <w:rPr>
                <w:b/>
                <w:bCs/>
                <w:lang w:eastAsia="zh-CN"/>
              </w:rPr>
              <w:t>Figure 1: SSSG switching resulting in burst PDCCH detections</w:t>
            </w:r>
          </w:p>
          <w:p>
            <w:pPr>
              <w:widowControl w:val="0"/>
            </w:pPr>
            <w:r>
              <w:t xml:space="preserve">The </w:t>
            </w:r>
            <w:r>
              <w:rPr>
                <w:lang w:eastAsia="zh-CN"/>
              </w:rPr>
              <w:t>following</w:t>
            </w:r>
            <w:r>
              <w:t xml:space="preserve"> TP is proposed to do SSSG switching with different multi-slot PDCCH monitoring capability combinations (X, Y).</w:t>
            </w:r>
          </w:p>
          <w:tbl>
            <w:tblPr>
              <w:tblStyle w:val="55"/>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vAlign w:val="center"/>
                </w:tcPr>
                <w:p>
                  <w:pPr>
                    <w:widowControl w:val="0"/>
                    <w:jc w:val="center"/>
                    <w:rPr>
                      <w:b/>
                      <w:bCs/>
                      <w:color w:val="0070C0"/>
                      <w:lang w:eastAsia="zh-CN"/>
                    </w:rPr>
                  </w:pPr>
                  <w:r>
                    <w:rPr>
                      <w:b/>
                      <w:bCs/>
                      <w:iCs/>
                      <w:color w:val="0070C0"/>
                    </w:rPr>
                    <w:t>------------------------------   TP#4c: TS 38.213 -----------------------------------</w:t>
                  </w:r>
                </w:p>
                <w:p>
                  <w:pPr>
                    <w:widowControl w:val="0"/>
                    <w:jc w:val="center"/>
                    <w:rPr>
                      <w:iCs/>
                    </w:rPr>
                  </w:pPr>
                  <w:r>
                    <w:rPr>
                      <w:color w:val="FF0000"/>
                      <w:lang w:eastAsia="zh-CN"/>
                    </w:rPr>
                    <w:t>*** Unchanged text is omitted ***</w:t>
                  </w:r>
                </w:p>
                <w:p>
                  <w:pPr>
                    <w:widowControl w:val="0"/>
                  </w:pPr>
                  <w:bookmarkStart w:id="60" w:name="_Toc36498189"/>
                  <w:bookmarkStart w:id="61" w:name="_Toc29899586"/>
                  <w:bookmarkStart w:id="62" w:name="_Toc29899168"/>
                  <w:bookmarkStart w:id="63" w:name="_Toc45699217"/>
                  <w:bookmarkStart w:id="64" w:name="_Toc83289689"/>
                  <w:bookmarkStart w:id="65" w:name="_Toc29894869"/>
                  <w:bookmarkStart w:id="66" w:name="_Toc29917315"/>
                  <w:r>
                    <w:t>10.4</w:t>
                  </w:r>
                  <w:r>
                    <w:tab/>
                  </w:r>
                  <w:r>
                    <w:t>Search space set group switching</w:t>
                  </w:r>
                  <w:bookmarkEnd w:id="60"/>
                  <w:bookmarkEnd w:id="61"/>
                  <w:bookmarkEnd w:id="62"/>
                  <w:bookmarkEnd w:id="63"/>
                  <w:bookmarkEnd w:id="64"/>
                  <w:bookmarkEnd w:id="65"/>
                  <w:bookmarkEnd w:id="66"/>
                </w:p>
                <w:p>
                  <w:pPr>
                    <w:widowControl w:val="0"/>
                    <w:jc w:val="center"/>
                    <w:rPr>
                      <w:b/>
                      <w:bCs/>
                    </w:rPr>
                  </w:pPr>
                  <w:r>
                    <w:rPr>
                      <w:color w:val="FF0000"/>
                      <w:lang w:eastAsia="zh-CN"/>
                    </w:rPr>
                    <w:t>*** Unchanged text is omitted ***</w:t>
                  </w:r>
                </w:p>
                <w:p>
                  <w:pPr>
                    <w:widowControl w:val="0"/>
                  </w:pPr>
                  <w:r>
                    <w:rPr>
                      <w:lang w:eastAsia="zh-CN"/>
                    </w:rPr>
                    <w:t>If a UE is provided</w:t>
                  </w:r>
                  <w:r>
                    <w:t xml:space="preserve"> by </w:t>
                  </w:r>
                  <w:r>
                    <w:rPr>
                      <w:i/>
                      <w:iCs/>
                    </w:rPr>
                    <w:t>SearchSpaceSwitchTrigger</w:t>
                  </w:r>
                  <w:r>
                    <w:rPr>
                      <w:iCs/>
                    </w:rPr>
                    <w:t xml:space="preserve"> a location of a search space set group switching flag field for a serving cell in a DCI format 2_0</w:t>
                  </w:r>
                  <w:r>
                    <w:t xml:space="preserve">, as described in clause 11.1.1; </w:t>
                  </w:r>
                </w:p>
                <w:p>
                  <w:pPr>
                    <w:pStyle w:val="103"/>
                    <w:widowControl w:val="0"/>
                  </w:pPr>
                  <w:r>
                    <w:t>-</w:t>
                  </w:r>
                  <w:r>
                    <w:tab/>
                  </w:r>
                  <w:r>
                    <w:t xml:space="preserve">if the UE detects a DCI format 2_0 and a value of the search space set group switching flag field in the DCI format 2_0 is 0, the UE starts monitoring PDCCH according to search space sets with group index 0, and stops monitoring PDCCH according to search space sets with group index 1, for the serving cell at a first slot that is at least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t xml:space="preserve"> symbols after the last symbol of the PDCCH with the DCI format 2_0</w:t>
                  </w:r>
                </w:p>
                <w:p>
                  <w:pPr>
                    <w:pStyle w:val="103"/>
                    <w:widowControl w:val="0"/>
                  </w:pPr>
                  <w:r>
                    <w:t>-</w:t>
                  </w:r>
                  <w:r>
                    <w:tab/>
                  </w:r>
                  <w:r>
                    <w:t xml:space="preserve">if the UE detects a DCI format 2_0 and a value of the search space set group switching flag field in the DCI format 2_0 is 1, the UE starts monitoring PDCCH according to search space sets with group index 1, and stops monitoring PDCCH according to search space sets with group index 0, for the serving cell at a first slot that is at least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t xml:space="preserve"> symbols after the last symbol of the PDCCH with the DCI format 2_0, and the UE </w:t>
                  </w:r>
                  <w:r>
                    <w:rPr>
                      <w:lang w:eastAsia="zh-CN"/>
                    </w:rPr>
                    <w:t xml:space="preserve">sets the timer value to the value provided by </w:t>
                  </w:r>
                  <w:r>
                    <w:rPr>
                      <w:i/>
                      <w:lang w:eastAsia="zh-CN"/>
                    </w:rPr>
                    <w:t>searchSpaceSwitchTimer</w:t>
                  </w:r>
                </w:p>
                <w:p>
                  <w:pPr>
                    <w:pStyle w:val="103"/>
                    <w:widowControl w:val="0"/>
                  </w:pPr>
                  <w:r>
                    <w:t>-</w:t>
                  </w:r>
                  <w:r>
                    <w:tab/>
                  </w:r>
                  <w:r>
                    <w:t xml:space="preserve">if the UE monitors PDCCH for a serving cell according to search space sets with group index 1, the UE starts monitoring PDCCH for the serving cell according to search space sets with group index 0, and stops monitoring PDCCH according to search space sets with group index 1, for the serving cell at the beginning of the first slot that is at least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t xml:space="preserve"> symbols after a slot where the timer expires or after a last symbol of a remaining channel occupancy duration for the serving cell if indicated by DCI format 2_0</w:t>
                  </w:r>
                </w:p>
                <w:p>
                  <w:pPr>
                    <w:widowControl w:val="0"/>
                    <w:rPr>
                      <w:color w:val="C00000"/>
                      <w:u w:val="single"/>
                    </w:rPr>
                  </w:pPr>
                  <w:r>
                    <w:rPr>
                      <w:color w:val="C00000"/>
                      <w:u w:val="single"/>
                      <w:lang w:eastAsia="zh-CN"/>
                    </w:rPr>
                    <w:t xml:space="preserve">If a UE indicates a capability to monitor PDCCHs according to multiple 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ctrlPr>
                              <w:rPr>
                                <w:rFonts w:ascii="Cambria Math" w:hAnsi="Cambria Math"/>
                                <w:i/>
                                <w:color w:val="C00000"/>
                                <w:u w:val="single"/>
                                <w:lang w:eastAsia="zh-CN"/>
                              </w:rPr>
                            </m:ctrlPr>
                          </m:e>
                          <m:sub>
                            <m:r>
                              <w:rPr>
                                <w:rFonts w:ascii="Cambria Math" w:hAnsi="Cambria Math"/>
                                <w:color w:val="C00000"/>
                                <w:u w:val="single"/>
                                <w:lang w:eastAsia="zh-CN"/>
                              </w:rPr>
                              <m:t>s</m:t>
                            </m:r>
                            <m:ctrlPr>
                              <w:rPr>
                                <w:rFonts w:ascii="Cambria Math" w:hAnsi="Cambria Math"/>
                                <w:i/>
                                <w:color w:val="C00000"/>
                                <w:u w:val="single"/>
                                <w:lang w:eastAsia="zh-CN"/>
                              </w:rPr>
                            </m:ctrlP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ctrlPr>
                              <w:rPr>
                                <w:rFonts w:ascii="Cambria Math" w:hAnsi="Cambria Math"/>
                                <w:i/>
                                <w:color w:val="C00000"/>
                                <w:u w:val="single"/>
                                <w:lang w:eastAsia="zh-CN"/>
                              </w:rPr>
                            </m:ctrlPr>
                          </m:e>
                          <m:sub>
                            <m:r>
                              <w:rPr>
                                <w:rFonts w:ascii="Cambria Math" w:hAnsi="Cambria Math"/>
                                <w:color w:val="C00000"/>
                                <w:u w:val="single"/>
                                <w:lang w:eastAsia="zh-CN"/>
                              </w:rPr>
                              <m:t>s</m:t>
                            </m:r>
                            <m:ctrlPr>
                              <w:rPr>
                                <w:rFonts w:ascii="Cambria Math" w:hAnsi="Cambria Math"/>
                                <w:i/>
                                <w:color w:val="C00000"/>
                                <w:u w:val="single"/>
                                <w:lang w:eastAsia="zh-CN"/>
                              </w:rPr>
                            </m:ctrlPr>
                          </m:sub>
                        </m:sSub>
                        <m:ctrlPr>
                          <w:rPr>
                            <w:rFonts w:ascii="Cambria Math" w:hAnsi="Cambria Math"/>
                            <w:color w:val="C00000"/>
                            <w:u w:val="single"/>
                            <w:lang w:eastAsia="zh-CN"/>
                          </w:rPr>
                        </m:ctrlPr>
                      </m:e>
                    </m:d>
                  </m:oMath>
                  <w:r>
                    <w:rPr>
                      <w:color w:val="C00000"/>
                      <w:u w:val="single"/>
                      <w:lang w:eastAsia="zh-CN"/>
                    </w:rPr>
                    <w:t>, the</w:t>
                  </w:r>
                  <w:r>
                    <w:rPr>
                      <w:color w:val="C00000"/>
                      <w:u w:val="single"/>
                    </w:rPr>
                    <w:t xml:space="preserve"> search space sets with group index 0 and 1 are respectively associated with different 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ctrlPr>
                              <w:rPr>
                                <w:rFonts w:ascii="Cambria Math" w:hAnsi="Cambria Math"/>
                                <w:i/>
                                <w:color w:val="C00000"/>
                                <w:u w:val="single"/>
                                <w:lang w:eastAsia="zh-CN"/>
                              </w:rPr>
                            </m:ctrlPr>
                          </m:e>
                          <m:sub>
                            <m:r>
                              <w:rPr>
                                <w:rFonts w:ascii="Cambria Math" w:hAnsi="Cambria Math"/>
                                <w:color w:val="C00000"/>
                                <w:u w:val="single"/>
                                <w:lang w:eastAsia="zh-CN"/>
                              </w:rPr>
                              <m:t>s0</m:t>
                            </m:r>
                            <m:ctrlPr>
                              <w:rPr>
                                <w:rFonts w:ascii="Cambria Math" w:hAnsi="Cambria Math"/>
                                <w:i/>
                                <w:color w:val="C00000"/>
                                <w:u w:val="single"/>
                                <w:lang w:eastAsia="zh-CN"/>
                              </w:rPr>
                            </m:ctrlP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ctrlPr>
                              <w:rPr>
                                <w:rFonts w:ascii="Cambria Math" w:hAnsi="Cambria Math"/>
                                <w:i/>
                                <w:color w:val="C00000"/>
                                <w:u w:val="single"/>
                                <w:lang w:eastAsia="zh-CN"/>
                              </w:rPr>
                            </m:ctrlPr>
                          </m:e>
                          <m:sub>
                            <m:r>
                              <w:rPr>
                                <w:rFonts w:ascii="Cambria Math" w:hAnsi="Cambria Math"/>
                                <w:color w:val="C00000"/>
                                <w:u w:val="single"/>
                                <w:lang w:eastAsia="zh-CN"/>
                              </w:rPr>
                              <m:t>s0</m:t>
                            </m:r>
                            <m:ctrlPr>
                              <w:rPr>
                                <w:rFonts w:ascii="Cambria Math" w:hAnsi="Cambria Math"/>
                                <w:i/>
                                <w:color w:val="C00000"/>
                                <w:u w:val="single"/>
                                <w:lang w:eastAsia="zh-CN"/>
                              </w:rPr>
                            </m:ctrlPr>
                          </m:sub>
                        </m:sSub>
                        <m:ctrlPr>
                          <w:rPr>
                            <w:rFonts w:ascii="Cambria Math" w:hAnsi="Cambria Math"/>
                            <w:color w:val="C00000"/>
                            <w:u w:val="single"/>
                            <w:lang w:eastAsia="zh-CN"/>
                          </w:rPr>
                        </m:ctrlPr>
                      </m:e>
                    </m:d>
                  </m:oMath>
                  <w:r>
                    <w:rPr>
                      <w:color w:val="C00000"/>
                      <w:u w:val="single"/>
                      <w:lang w:eastAsia="zh-CN"/>
                    </w:rPr>
                    <w:t xml:space="preserve"> and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ctrlPr>
                              <w:rPr>
                                <w:rFonts w:ascii="Cambria Math" w:hAnsi="Cambria Math"/>
                                <w:i/>
                                <w:color w:val="C00000"/>
                                <w:u w:val="single"/>
                                <w:lang w:eastAsia="zh-CN"/>
                              </w:rPr>
                            </m:ctrlPr>
                          </m:e>
                          <m:sub>
                            <m:r>
                              <w:rPr>
                                <w:rFonts w:ascii="Cambria Math" w:hAnsi="Cambria Math"/>
                                <w:color w:val="C00000"/>
                                <w:u w:val="single"/>
                                <w:lang w:eastAsia="zh-CN"/>
                              </w:rPr>
                              <m:t>s1</m:t>
                            </m:r>
                            <m:ctrlPr>
                              <w:rPr>
                                <w:rFonts w:ascii="Cambria Math" w:hAnsi="Cambria Math"/>
                                <w:i/>
                                <w:color w:val="C00000"/>
                                <w:u w:val="single"/>
                                <w:lang w:eastAsia="zh-CN"/>
                              </w:rPr>
                            </m:ctrlP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ctrlPr>
                              <w:rPr>
                                <w:rFonts w:ascii="Cambria Math" w:hAnsi="Cambria Math"/>
                                <w:i/>
                                <w:color w:val="C00000"/>
                                <w:u w:val="single"/>
                                <w:lang w:eastAsia="zh-CN"/>
                              </w:rPr>
                            </m:ctrlPr>
                          </m:e>
                          <m:sub>
                            <m:r>
                              <w:rPr>
                                <w:rFonts w:ascii="Cambria Math" w:hAnsi="Cambria Math"/>
                                <w:color w:val="C00000"/>
                                <w:u w:val="single"/>
                                <w:lang w:eastAsia="zh-CN"/>
                              </w:rPr>
                              <m:t>s1</m:t>
                            </m:r>
                            <m:ctrlPr>
                              <w:rPr>
                                <w:rFonts w:ascii="Cambria Math" w:hAnsi="Cambria Math"/>
                                <w:i/>
                                <w:color w:val="C00000"/>
                                <w:u w:val="single"/>
                                <w:lang w:eastAsia="zh-CN"/>
                              </w:rPr>
                            </m:ctrlPr>
                          </m:sub>
                        </m:sSub>
                        <m:ctrlPr>
                          <w:rPr>
                            <w:rFonts w:ascii="Cambria Math" w:hAnsi="Cambria Math"/>
                            <w:color w:val="C00000"/>
                            <w:u w:val="single"/>
                            <w:lang w:eastAsia="zh-CN"/>
                          </w:rPr>
                        </m:ctrlPr>
                      </m:e>
                    </m:d>
                  </m:oMath>
                  <w:r>
                    <w:rPr>
                      <w:color w:val="C00000"/>
                      <w:u w:val="single"/>
                      <w:lang w:eastAsia="zh-CN"/>
                    </w:rPr>
                    <w:t xml:space="preserve">, the UE monitors PDCCHs </w:t>
                  </w:r>
                  <w:r>
                    <w:rPr>
                      <w:color w:val="C00000"/>
                      <w:u w:val="single"/>
                    </w:rPr>
                    <w:t xml:space="preserve">of search space sets with group index </w:t>
                  </w:r>
                  <w:r>
                    <w:rPr>
                      <w:i/>
                      <w:iCs/>
                      <w:color w:val="C00000"/>
                      <w:u w:val="single"/>
                    </w:rPr>
                    <w:t>g</w:t>
                  </w:r>
                  <w:r>
                    <w:rPr>
                      <w:color w:val="C00000"/>
                      <w:u w:val="single"/>
                    </w:rPr>
                    <w:t xml:space="preserve"> in the slot(s) that belongs to both the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ctrlPr>
                          <w:rPr>
                            <w:rFonts w:ascii="Cambria Math" w:hAnsi="Cambria Math"/>
                            <w:i/>
                            <w:color w:val="C00000"/>
                            <w:u w:val="single"/>
                            <w:lang w:eastAsia="zh-CN"/>
                          </w:rPr>
                        </m:ctrlPr>
                      </m:e>
                      <m:sub>
                        <m:r>
                          <w:rPr>
                            <w:rFonts w:ascii="Cambria Math" w:hAnsi="Cambria Math"/>
                            <w:color w:val="C00000"/>
                            <w:u w:val="single"/>
                            <w:lang w:eastAsia="zh-CN"/>
                          </w:rPr>
                          <m:t>s0</m:t>
                        </m:r>
                        <m:ctrlPr>
                          <w:rPr>
                            <w:rFonts w:ascii="Cambria Math" w:hAnsi="Cambria Math"/>
                            <w:i/>
                            <w:color w:val="C00000"/>
                            <w:u w:val="single"/>
                            <w:lang w:eastAsia="zh-CN"/>
                          </w:rPr>
                        </m:ctrlPr>
                      </m:sub>
                    </m:sSub>
                  </m:oMath>
                  <w:r>
                    <w:rPr>
                      <w:color w:val="C00000"/>
                      <w:u w:val="single"/>
                      <w:lang w:eastAsia="zh-CN"/>
                    </w:rPr>
                    <w:t xml:space="preserve"> slots of </w:t>
                  </w:r>
                  <w:r>
                    <w:rPr>
                      <w:color w:val="C00000"/>
                      <w:u w:val="single"/>
                    </w:rPr>
                    <w:t xml:space="preserve">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ctrlPr>
                              <w:rPr>
                                <w:rFonts w:ascii="Cambria Math" w:hAnsi="Cambria Math"/>
                                <w:i/>
                                <w:color w:val="C00000"/>
                                <w:u w:val="single"/>
                                <w:lang w:eastAsia="zh-CN"/>
                              </w:rPr>
                            </m:ctrlPr>
                          </m:e>
                          <m:sub>
                            <m:r>
                              <w:rPr>
                                <w:rFonts w:ascii="Cambria Math" w:hAnsi="Cambria Math"/>
                                <w:color w:val="C00000"/>
                                <w:u w:val="single"/>
                                <w:lang w:eastAsia="zh-CN"/>
                              </w:rPr>
                              <m:t>s0</m:t>
                            </m:r>
                            <m:ctrlPr>
                              <w:rPr>
                                <w:rFonts w:ascii="Cambria Math" w:hAnsi="Cambria Math"/>
                                <w:i/>
                                <w:color w:val="C00000"/>
                                <w:u w:val="single"/>
                                <w:lang w:eastAsia="zh-CN"/>
                              </w:rPr>
                            </m:ctrlP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ctrlPr>
                              <w:rPr>
                                <w:rFonts w:ascii="Cambria Math" w:hAnsi="Cambria Math"/>
                                <w:i/>
                                <w:color w:val="C00000"/>
                                <w:u w:val="single"/>
                                <w:lang w:eastAsia="zh-CN"/>
                              </w:rPr>
                            </m:ctrlPr>
                          </m:e>
                          <m:sub>
                            <m:r>
                              <w:rPr>
                                <w:rFonts w:ascii="Cambria Math" w:hAnsi="Cambria Math"/>
                                <w:color w:val="C00000"/>
                                <w:u w:val="single"/>
                                <w:lang w:eastAsia="zh-CN"/>
                              </w:rPr>
                              <m:t>s0</m:t>
                            </m:r>
                            <m:ctrlPr>
                              <w:rPr>
                                <w:rFonts w:ascii="Cambria Math" w:hAnsi="Cambria Math"/>
                                <w:i/>
                                <w:color w:val="C00000"/>
                                <w:u w:val="single"/>
                                <w:lang w:eastAsia="zh-CN"/>
                              </w:rPr>
                            </m:ctrlPr>
                          </m:sub>
                        </m:sSub>
                        <m:ctrlPr>
                          <w:rPr>
                            <w:rFonts w:ascii="Cambria Math" w:hAnsi="Cambria Math"/>
                            <w:color w:val="C00000"/>
                            <w:u w:val="single"/>
                            <w:lang w:eastAsia="zh-CN"/>
                          </w:rPr>
                        </m:ctrlPr>
                      </m:e>
                    </m:d>
                  </m:oMath>
                  <w:r>
                    <w:rPr>
                      <w:color w:val="C00000"/>
                      <w:u w:val="single"/>
                      <w:lang w:eastAsia="zh-CN"/>
                    </w:rPr>
                    <w:t xml:space="preserve"> and </w:t>
                  </w:r>
                  <w:r>
                    <w:rPr>
                      <w:color w:val="C00000"/>
                      <w:u w:val="single"/>
                    </w:rPr>
                    <w:t xml:space="preserve">the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ctrlPr>
                          <w:rPr>
                            <w:rFonts w:ascii="Cambria Math" w:hAnsi="Cambria Math"/>
                            <w:i/>
                            <w:color w:val="C00000"/>
                            <w:u w:val="single"/>
                            <w:lang w:eastAsia="zh-CN"/>
                          </w:rPr>
                        </m:ctrlPr>
                      </m:e>
                      <m:sub>
                        <m:r>
                          <w:rPr>
                            <w:rFonts w:ascii="Cambria Math" w:hAnsi="Cambria Math"/>
                            <w:color w:val="C00000"/>
                            <w:u w:val="single"/>
                            <w:lang w:eastAsia="zh-CN"/>
                          </w:rPr>
                          <m:t>s1</m:t>
                        </m:r>
                        <m:ctrlPr>
                          <w:rPr>
                            <w:rFonts w:ascii="Cambria Math" w:hAnsi="Cambria Math"/>
                            <w:i/>
                            <w:color w:val="C00000"/>
                            <w:u w:val="single"/>
                            <w:lang w:eastAsia="zh-CN"/>
                          </w:rPr>
                        </m:ctrlPr>
                      </m:sub>
                    </m:sSub>
                  </m:oMath>
                  <w:r>
                    <w:rPr>
                      <w:color w:val="C00000"/>
                      <w:u w:val="single"/>
                      <w:lang w:eastAsia="zh-CN"/>
                    </w:rPr>
                    <w:t xml:space="preserve"> slots of </w:t>
                  </w:r>
                  <w:r>
                    <w:rPr>
                      <w:color w:val="C00000"/>
                      <w:u w:val="single"/>
                    </w:rPr>
                    <w:t>combinations</w:t>
                  </w:r>
                  <w:r>
                    <w:rPr>
                      <w:color w:val="C00000"/>
                      <w:u w:val="single"/>
                      <w:lang w:eastAsia="zh-CN"/>
                    </w:rPr>
                    <w:t xml:space="preserve">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ctrlPr>
                              <w:rPr>
                                <w:rFonts w:ascii="Cambria Math" w:hAnsi="Cambria Math"/>
                                <w:i/>
                                <w:color w:val="C00000"/>
                                <w:u w:val="single"/>
                                <w:lang w:eastAsia="zh-CN"/>
                              </w:rPr>
                            </m:ctrlPr>
                          </m:e>
                          <m:sub>
                            <m:r>
                              <w:rPr>
                                <w:rFonts w:ascii="Cambria Math" w:hAnsi="Cambria Math"/>
                                <w:color w:val="C00000"/>
                                <w:u w:val="single"/>
                                <w:lang w:eastAsia="zh-CN"/>
                              </w:rPr>
                              <m:t>s1</m:t>
                            </m:r>
                            <m:ctrlPr>
                              <w:rPr>
                                <w:rFonts w:ascii="Cambria Math" w:hAnsi="Cambria Math"/>
                                <w:i/>
                                <w:color w:val="C00000"/>
                                <w:u w:val="single"/>
                                <w:lang w:eastAsia="zh-CN"/>
                              </w:rPr>
                            </m:ctrlP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ctrlPr>
                              <w:rPr>
                                <w:rFonts w:ascii="Cambria Math" w:hAnsi="Cambria Math"/>
                                <w:i/>
                                <w:color w:val="C00000"/>
                                <w:u w:val="single"/>
                                <w:lang w:eastAsia="zh-CN"/>
                              </w:rPr>
                            </m:ctrlPr>
                          </m:e>
                          <m:sub>
                            <m:r>
                              <w:rPr>
                                <w:rFonts w:ascii="Cambria Math" w:hAnsi="Cambria Math"/>
                                <w:color w:val="C00000"/>
                                <w:u w:val="single"/>
                                <w:lang w:eastAsia="zh-CN"/>
                              </w:rPr>
                              <m:t>s1</m:t>
                            </m:r>
                            <m:ctrlPr>
                              <w:rPr>
                                <w:rFonts w:ascii="Cambria Math" w:hAnsi="Cambria Math"/>
                                <w:i/>
                                <w:color w:val="C00000"/>
                                <w:u w:val="single"/>
                                <w:lang w:eastAsia="zh-CN"/>
                              </w:rPr>
                            </m:ctrlPr>
                          </m:sub>
                        </m:sSub>
                        <m:ctrlPr>
                          <w:rPr>
                            <w:rFonts w:ascii="Cambria Math" w:hAnsi="Cambria Math"/>
                            <w:color w:val="C00000"/>
                            <w:u w:val="single"/>
                            <w:lang w:eastAsia="zh-CN"/>
                          </w:rPr>
                        </m:ctrlPr>
                      </m:e>
                    </m:d>
                  </m:oMath>
                  <w:r>
                    <w:rPr>
                      <w:color w:val="C00000"/>
                      <w:u w:val="single"/>
                      <w:lang w:eastAsia="zh-CN"/>
                    </w:rPr>
                    <w:t xml:space="preserve"> withi</w:t>
                  </w:r>
                  <w:r>
                    <w:rPr>
                      <w:color w:val="C00000"/>
                      <w:u w:val="single"/>
                    </w:rPr>
                    <w:t xml:space="preserve">n the </w:t>
                  </w:r>
                  <m:oMath>
                    <m:r>
                      <w:rPr>
                        <w:rFonts w:ascii="Cambria Math" w:hAnsi="Cambria Math"/>
                        <w:color w:val="C00000"/>
                        <w:u w:val="single"/>
                      </w:rPr>
                      <m:t>max</m:t>
                    </m:r>
                    <m:d>
                      <m:dPr>
                        <m:ctrlPr>
                          <w:rPr>
                            <w:rFonts w:ascii="Cambria Math" w:hAnsi="Cambria Math"/>
                            <w:i/>
                            <w:color w:val="C00000"/>
                            <w:u w:val="single"/>
                          </w:rPr>
                        </m:ctrlPr>
                      </m:dPr>
                      <m:e>
                        <m:sSub>
                          <m:sSubPr>
                            <m:ctrlPr>
                              <w:rPr>
                                <w:rFonts w:ascii="Cambria Math" w:hAnsi="Cambria Math"/>
                                <w:i/>
                                <w:color w:val="C00000"/>
                                <w:u w:val="single"/>
                              </w:rPr>
                            </m:ctrlPr>
                          </m:sSubPr>
                          <m:e>
                            <m:r>
                              <w:rPr>
                                <w:rFonts w:ascii="Cambria Math" w:hAnsi="Cambria Math"/>
                                <w:color w:val="C00000"/>
                                <w:u w:val="single"/>
                              </w:rPr>
                              <m:t>X</m:t>
                            </m:r>
                            <m:ctrlPr>
                              <w:rPr>
                                <w:rFonts w:ascii="Cambria Math" w:hAnsi="Cambria Math"/>
                                <w:i/>
                                <w:color w:val="C00000"/>
                                <w:u w:val="single"/>
                              </w:rPr>
                            </m:ctrlPr>
                          </m:e>
                          <m:sub>
                            <m:r>
                              <w:rPr>
                                <w:rFonts w:ascii="Cambria Math" w:hAnsi="Cambria Math"/>
                                <w:color w:val="C00000"/>
                                <w:u w:val="single"/>
                              </w:rPr>
                              <m:t>s0</m:t>
                            </m:r>
                            <m:ctrlPr>
                              <w:rPr>
                                <w:rFonts w:ascii="Cambria Math" w:hAnsi="Cambria Math"/>
                                <w:i/>
                                <w:color w:val="C00000"/>
                                <w:u w:val="single"/>
                              </w:rPr>
                            </m:ctrlPr>
                          </m:sub>
                        </m:sSub>
                        <m:r>
                          <w:rPr>
                            <w:rFonts w:ascii="Cambria Math" w:hAnsi="Cambria Math"/>
                            <w:color w:val="C00000"/>
                            <w:u w:val="single"/>
                          </w:rPr>
                          <m:t>,</m:t>
                        </m:r>
                        <m:sSub>
                          <m:sSubPr>
                            <m:ctrlPr>
                              <w:rPr>
                                <w:rFonts w:ascii="Cambria Math" w:hAnsi="Cambria Math"/>
                                <w:i/>
                                <w:color w:val="C00000"/>
                                <w:u w:val="single"/>
                              </w:rPr>
                            </m:ctrlPr>
                          </m:sSubPr>
                          <m:e>
                            <m:r>
                              <w:rPr>
                                <w:rFonts w:ascii="Cambria Math" w:hAnsi="Cambria Math"/>
                                <w:color w:val="C00000"/>
                                <w:u w:val="single"/>
                              </w:rPr>
                              <m:t>X</m:t>
                            </m:r>
                            <m:ctrlPr>
                              <w:rPr>
                                <w:rFonts w:ascii="Cambria Math" w:hAnsi="Cambria Math"/>
                                <w:i/>
                                <w:color w:val="C00000"/>
                                <w:u w:val="single"/>
                              </w:rPr>
                            </m:ctrlPr>
                          </m:e>
                          <m:sub>
                            <m:r>
                              <w:rPr>
                                <w:rFonts w:ascii="Cambria Math" w:hAnsi="Cambria Math"/>
                                <w:color w:val="C00000"/>
                                <w:u w:val="single"/>
                              </w:rPr>
                              <m:t>s1</m:t>
                            </m:r>
                            <m:ctrlPr>
                              <w:rPr>
                                <w:rFonts w:ascii="Cambria Math" w:hAnsi="Cambria Math"/>
                                <w:i/>
                                <w:color w:val="C00000"/>
                                <w:u w:val="single"/>
                              </w:rPr>
                            </m:ctrlPr>
                          </m:sub>
                        </m:sSub>
                        <m:ctrlPr>
                          <w:rPr>
                            <w:rFonts w:ascii="Cambria Math" w:hAnsi="Cambria Math"/>
                            <w:i/>
                            <w:color w:val="C00000"/>
                            <w:u w:val="single"/>
                          </w:rPr>
                        </m:ctrlPr>
                      </m:e>
                    </m:d>
                  </m:oMath>
                  <w:r>
                    <w:rPr>
                      <w:color w:val="C00000"/>
                      <w:u w:val="single"/>
                    </w:rPr>
                    <w:t xml:space="preserve"> slots prior to PDCCH monitoring according to search space sets with group index </w:t>
                  </w:r>
                  <w:r>
                    <w:rPr>
                      <w:i/>
                      <w:iCs/>
                      <w:color w:val="C00000"/>
                      <w:u w:val="single"/>
                    </w:rPr>
                    <w:t>1-g</w:t>
                  </w:r>
                  <w:r>
                    <w:rPr>
                      <w:color w:val="C00000"/>
                      <w:u w:val="single"/>
                      <w:lang w:eastAsia="zh-CN"/>
                    </w:rPr>
                    <w:t>.</w:t>
                  </w:r>
                </w:p>
                <w:p>
                  <w:pPr>
                    <w:widowControl w:val="0"/>
                    <w:jc w:val="center"/>
                    <w:rPr>
                      <w:b/>
                      <w:bCs/>
                    </w:rPr>
                  </w:pPr>
                  <w:r>
                    <w:rPr>
                      <w:color w:val="FF0000"/>
                      <w:lang w:eastAsia="zh-CN"/>
                    </w:rPr>
                    <w:t>*** Unchanged text is omitted ***</w:t>
                  </w:r>
                </w:p>
              </w:tc>
            </w:tr>
          </w:tbl>
          <w:p>
            <w:pPr>
              <w:widowControl w:val="0"/>
              <w:jc w:val="both"/>
              <w:rPr>
                <w:lang w:eastAsia="zh-CN"/>
              </w:rPr>
            </w:pPr>
          </w:p>
          <w:p>
            <w:pPr>
              <w:widowControl w:val="0"/>
              <w:spacing w:before="240" w:after="0"/>
              <w:jc w:val="both"/>
              <w:rPr>
                <w:b/>
                <w:bCs/>
                <w:lang w:val="en-GB" w:eastAsia="zh-CN"/>
              </w:rPr>
            </w:pPr>
            <w:r>
              <w:rPr>
                <w:b/>
                <w:bCs/>
                <w:lang w:val="en-GB" w:eastAsia="zh-CN"/>
              </w:rPr>
              <w:t>Proposal 9:</w:t>
            </w:r>
          </w:p>
          <w:p>
            <w:pPr>
              <w:pStyle w:val="103"/>
              <w:widowControl w:val="0"/>
              <w:numPr>
                <w:ilvl w:val="0"/>
                <w:numId w:val="84"/>
              </w:numPr>
              <w:spacing w:before="60" w:after="0" w:line="240" w:lineRule="auto"/>
              <w:rPr>
                <w:lang w:eastAsia="zh-CN"/>
              </w:rPr>
            </w:pPr>
            <w:r>
              <w:rPr>
                <w:lang w:eastAsia="zh-CN"/>
              </w:rPr>
              <w:t xml:space="preserve">Dynamic SSSG switching is supported for all SCSs 120, 480 and 960kHz. </w:t>
            </w:r>
          </w:p>
          <w:p>
            <w:pPr>
              <w:pStyle w:val="103"/>
              <w:widowControl w:val="0"/>
              <w:numPr>
                <w:ilvl w:val="0"/>
                <w:numId w:val="84"/>
              </w:numPr>
              <w:spacing w:before="60" w:after="0" w:line="240" w:lineRule="auto"/>
              <w:rPr>
                <w:lang w:eastAsia="zh-CN"/>
              </w:rPr>
            </w:pPr>
            <w:r>
              <w:rPr>
                <w:lang w:eastAsia="zh-CN"/>
              </w:rPr>
              <w:t>PDCCH monitoring following the second SSSG can start right after the time of SSSG switching</w:t>
            </w:r>
          </w:p>
          <w:p>
            <w:pPr>
              <w:pStyle w:val="103"/>
              <w:widowControl w:val="0"/>
              <w:numPr>
                <w:ilvl w:val="0"/>
                <w:numId w:val="84"/>
              </w:numPr>
              <w:spacing w:before="60" w:after="0" w:line="240" w:lineRule="auto"/>
              <w:rPr>
                <w:lang w:eastAsia="zh-CN"/>
              </w:rPr>
            </w:pPr>
            <w:r>
              <w:rPr>
                <w:lang w:eastAsia="zh-CN"/>
              </w:rPr>
              <w:t>The search space set configurations of the two SSSG can correspond to two different PDCCH monitoring capabilities combinations (X, Y)</w:t>
            </w:r>
          </w:p>
          <w:p>
            <w:pPr>
              <w:pStyle w:val="103"/>
              <w:widowControl w:val="0"/>
              <w:numPr>
                <w:ilvl w:val="0"/>
                <w:numId w:val="84"/>
              </w:numPr>
              <w:spacing w:before="60" w:after="0" w:line="240" w:lineRule="auto"/>
              <w:rPr>
                <w:lang w:eastAsia="zh-CN"/>
              </w:rPr>
            </w:pPr>
            <w:r>
              <w:rPr>
                <w:lang w:eastAsia="zh-CN"/>
              </w:rPr>
              <w:t>UE can monitor the PDCCHs in the X slots before the time of SSSG switching in the slots that are the intersection of the slot patterns of the two combinations (X, Y) before and after SSSG switching</w:t>
            </w:r>
          </w:p>
          <w:p>
            <w:pPr>
              <w:pStyle w:val="103"/>
              <w:widowControl w:val="0"/>
              <w:numPr>
                <w:ilvl w:val="0"/>
                <w:numId w:val="84"/>
              </w:numPr>
              <w:spacing w:before="60" w:after="0" w:line="240" w:lineRule="auto"/>
              <w:rPr>
                <w:lang w:eastAsia="zh-CN"/>
              </w:rPr>
            </w:pPr>
            <w:r>
              <w:rPr>
                <w:lang w:eastAsia="zh-CN"/>
              </w:rPr>
              <w:t xml:space="preserve">Agree on TP 4 </w:t>
            </w:r>
            <w:r>
              <w:t>to do SSSG switching with different multi-slot PDCCH monitoring capability combinations (X, Y).</w:t>
            </w:r>
          </w:p>
          <w:p>
            <w:pPr>
              <w:pStyle w:val="103"/>
              <w:widowControl w:val="0"/>
              <w:spacing w:before="60" w:after="0" w:line="240" w:lineRule="auto"/>
              <w:ind w:left="0" w:firstLine="0"/>
              <w:jc w:val="both"/>
              <w:rPr>
                <w:b/>
                <w:bCs/>
              </w:rPr>
            </w:pPr>
          </w:p>
          <w:p>
            <w:pPr>
              <w:widowControl w:val="0"/>
              <w:jc w:val="both"/>
              <w:rPr>
                <w:lang w:eastAsia="zh-CN"/>
              </w:rPr>
            </w:pPr>
          </w:p>
          <w:p>
            <w:pPr>
              <w:widowControl w:val="0"/>
              <w:jc w:val="both"/>
              <w:rPr>
                <w:lang w:eastAsia="zh-CN"/>
              </w:rPr>
            </w:pPr>
            <w:r>
              <w:rPr>
                <w:lang w:eastAsia="zh-CN"/>
              </w:rPr>
              <w:t xml:space="preserve">According to the above WA, </w:t>
            </w:r>
            <w:r>
              <w:rPr>
                <w:i/>
                <w:iCs/>
                <w:color w:val="000000"/>
              </w:rPr>
              <w:t xml:space="preserve">monitoringSlotsWithinSlotGroup-r17 </w:t>
            </w:r>
            <w:r>
              <w:rPr>
                <w:color w:val="000000"/>
              </w:rPr>
              <w:t>has a size of 8 bits, which may exceed value X. for example, it is X=4 for SCS 480k</w:t>
            </w:r>
            <w:r>
              <w:rPr>
                <w:color w:val="000000"/>
                <w:lang w:eastAsia="zh-CN"/>
              </w:rPr>
              <w:t xml:space="preserve">Hz, the </w:t>
            </w:r>
            <w:r>
              <w:rPr>
                <w:i/>
                <w:iCs/>
                <w:color w:val="000000"/>
              </w:rPr>
              <w:t xml:space="preserve">monitoringSlotsWithinSlotGroup-r17 </w:t>
            </w:r>
            <w:r>
              <w:rPr>
                <w:color w:val="000000"/>
              </w:rPr>
              <w:t>can indicate the slots with configured MOs in two consecutive slot groups of X=4. UE can expect that the configured MOs are in same position in both slot groups. The 8-bit bitmap allows full flexibility for SS set configuration, however, it is unnecessary for a typical SS set configuration if Y=1. S</w:t>
            </w:r>
            <w:r>
              <w:rPr>
                <w:lang w:eastAsia="zh-CN"/>
              </w:rPr>
              <w:t xml:space="preserve">ince </w:t>
            </w:r>
            <w:r>
              <w:t xml:space="preserve">the agreed value range for the offset O is {0 .. Xp-1} slots, the offset O can indicate a right slot index with configured MOs </w:t>
            </w:r>
            <w:r>
              <w:rPr>
                <w:color w:val="000000"/>
              </w:rPr>
              <w:t xml:space="preserve">in a slot group, i.e., mod(offset, X). In this case, </w:t>
            </w:r>
            <w:r>
              <w:rPr>
                <w:i/>
                <w:iCs/>
                <w:color w:val="000000"/>
              </w:rPr>
              <w:t xml:space="preserve">monitoringSlotsWithinSlotGroup-r17 </w:t>
            </w:r>
            <w:r>
              <w:rPr>
                <w:color w:val="000000"/>
              </w:rPr>
              <w:t xml:space="preserve">can be omitted. </w:t>
            </w:r>
          </w:p>
          <w:p>
            <w:pPr>
              <w:widowControl w:val="0"/>
              <w:jc w:val="both"/>
              <w:rPr>
                <w:lang w:eastAsia="zh-CN"/>
              </w:rPr>
            </w:pPr>
            <w:r>
              <w:rPr>
                <w:lang w:eastAsia="zh-CN"/>
              </w:rPr>
              <w:t xml:space="preserve">One more remaining issue is on the definition of </w:t>
            </w:r>
            <w:r>
              <w:rPr>
                <w:i/>
                <w:iCs/>
                <w:lang w:eastAsia="zh-CN"/>
              </w:rPr>
              <w:t>duration</w:t>
            </w:r>
            <w:r>
              <w:rPr>
                <w:lang w:eastAsia="zh-CN"/>
              </w:rPr>
              <w:t xml:space="preserve">. </w:t>
            </w:r>
            <w:r>
              <w:rPr>
                <w:i/>
                <w:iCs/>
                <w:lang w:eastAsia="zh-CN"/>
              </w:rPr>
              <w:t>duration</w:t>
            </w:r>
            <w:r>
              <w:rPr>
                <w:lang w:eastAsia="zh-CN"/>
              </w:rPr>
              <w:t xml:space="preserve"> indicates the number of consecutive slots for PDCCH monitoring according to a combination (Xs, Ys)</w:t>
            </w:r>
            <w:r>
              <w:t xml:space="preserve"> </w:t>
            </w:r>
            <w:r>
              <w:rPr>
                <w:lang w:eastAsia="zh-CN"/>
              </w:rPr>
              <w:t xml:space="preserve">upon every period as given in the </w:t>
            </w:r>
            <w:r>
              <w:rPr>
                <w:bCs/>
                <w:i/>
                <w:lang w:eastAsia="sv-SE"/>
              </w:rPr>
              <w:t>monitoringSlotPeriodicityAndOffset</w:t>
            </w:r>
            <w:r>
              <w:rPr>
                <w:i/>
                <w:iCs/>
                <w:lang w:eastAsia="zh-CN"/>
              </w:rPr>
              <w:t xml:space="preserve">. </w:t>
            </w:r>
          </w:p>
          <w:p>
            <w:pPr>
              <w:widowControl w:val="0"/>
            </w:pPr>
            <w:r>
              <w:t xml:space="preserve">The </w:t>
            </w:r>
            <w:r>
              <w:rPr>
                <w:lang w:eastAsia="zh-CN"/>
              </w:rPr>
              <w:t>following</w:t>
            </w:r>
            <w:r>
              <w:t xml:space="preserve"> TP is proposed for SS set configuration.</w:t>
            </w:r>
          </w:p>
          <w:tbl>
            <w:tblPr>
              <w:tblStyle w:val="55"/>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vAlign w:val="center"/>
                </w:tcPr>
                <w:p>
                  <w:pPr>
                    <w:widowControl w:val="0"/>
                    <w:jc w:val="center"/>
                    <w:rPr>
                      <w:b/>
                      <w:bCs/>
                      <w:color w:val="0070C0"/>
                      <w:lang w:eastAsia="zh-CN"/>
                    </w:rPr>
                  </w:pPr>
                  <w:r>
                    <w:rPr>
                      <w:b/>
                      <w:bCs/>
                      <w:iCs/>
                      <w:color w:val="0070C0"/>
                    </w:rPr>
                    <w:t>------------------------------   TP#5: TS 38.213 -----------------------------------</w:t>
                  </w:r>
                </w:p>
                <w:p>
                  <w:pPr>
                    <w:widowControl w:val="0"/>
                    <w:jc w:val="center"/>
                    <w:rPr>
                      <w:iCs/>
                    </w:rPr>
                  </w:pPr>
                  <w:r>
                    <w:rPr>
                      <w:color w:val="FF0000"/>
                      <w:lang w:eastAsia="zh-CN"/>
                    </w:rPr>
                    <w:t>*** Unchanged text is omitted ***</w:t>
                  </w:r>
                </w:p>
                <w:p>
                  <w:pPr>
                    <w:widowControl w:val="0"/>
                  </w:pPr>
                  <w:r>
                    <w:t>10</w:t>
                  </w:r>
                  <w:r>
                    <w:rPr>
                      <w:rFonts w:hint="eastAsia"/>
                    </w:rPr>
                    <w:t>.1</w:t>
                  </w:r>
                  <w:r>
                    <w:rPr>
                      <w:rFonts w:hint="eastAsia"/>
                    </w:rPr>
                    <w:tab/>
                  </w:r>
                  <w:r>
                    <w:t xml:space="preserve">UE procedure for determining physical downlink control channel assignment </w:t>
                  </w:r>
                </w:p>
                <w:p>
                  <w:pPr>
                    <w:widowControl w:val="0"/>
                    <w:jc w:val="center"/>
                    <w:rPr>
                      <w:b/>
                      <w:bCs/>
                    </w:rPr>
                  </w:pPr>
                  <w:r>
                    <w:rPr>
                      <w:color w:val="FF0000"/>
                      <w:lang w:eastAsia="zh-CN"/>
                    </w:rPr>
                    <w:t>*** Unchanged text is omitted ***</w:t>
                  </w:r>
                </w:p>
                <w:p>
                  <w:pPr>
                    <w:widowControl w:val="0"/>
                  </w:pPr>
                  <w:r>
                    <w:t xml:space="preserve">For each DL BWP configured to a UE in a serving cell, the UE is provided by higher layers with </w:t>
                  </w:r>
                  <m:oMath>
                    <m:r>
                      <w:rPr>
                        <w:rFonts w:ascii="Cambria Math" w:hAnsi="Cambria Math"/>
                      </w:rPr>
                      <m:t>S≤10</m:t>
                    </m:r>
                  </m:oMath>
                  <w:r>
                    <w:t xml:space="preserve"> search space sets where, for each search space set from the </w:t>
                  </w:r>
                  <m:oMath>
                    <m:r>
                      <w:rPr>
                        <w:rFonts w:ascii="Cambria Math" w:hAnsi="Cambria Math"/>
                      </w:rPr>
                      <m:t>S</m:t>
                    </m:r>
                  </m:oMath>
                  <w:r>
                    <w:t xml:space="preserve"> search space sets, the UE is provided the following by </w:t>
                  </w:r>
                  <w:r>
                    <w:rPr>
                      <w:i/>
                    </w:rPr>
                    <w:t>SearchSpace</w:t>
                  </w:r>
                  <w:r>
                    <w:t xml:space="preserve">: </w:t>
                  </w:r>
                </w:p>
                <w:p>
                  <w:pPr>
                    <w:pStyle w:val="103"/>
                    <w:widowControl w:val="0"/>
                  </w:pPr>
                  <w:r>
                    <w:t>-</w:t>
                  </w:r>
                  <w:r>
                    <w:tab/>
                  </w:r>
                  <w:r>
                    <w:t xml:space="preserve">a search space set index </w:t>
                  </w:r>
                  <m:oMath>
                    <m:r>
                      <w:rPr>
                        <w:rFonts w:ascii="Cambria Math" w:hAnsi="Cambria Math"/>
                      </w:rPr>
                      <m:t>s</m:t>
                    </m:r>
                  </m:oMath>
                  <w:r>
                    <w:t xml:space="preserve">, </w:t>
                  </w:r>
                  <m:oMath>
                    <m:r>
                      <w:rPr>
                        <w:rFonts w:ascii="Cambria Math" w:hAnsi="Cambria Math"/>
                      </w:rPr>
                      <m:t>0&lt;s&lt;40</m:t>
                    </m:r>
                  </m:oMath>
                  <w:r>
                    <w:rPr>
                      <w:position w:val="-6"/>
                    </w:rPr>
                    <w:t xml:space="preserve"> </w:t>
                  </w:r>
                  <w:r>
                    <w:t xml:space="preserve">, by </w:t>
                  </w:r>
                  <w:r>
                    <w:rPr>
                      <w:i/>
                    </w:rPr>
                    <w:t>searchSpaceId</w:t>
                  </w:r>
                  <w:r>
                    <w:t xml:space="preserve"> </w:t>
                  </w:r>
                </w:p>
                <w:p>
                  <w:pPr>
                    <w:pStyle w:val="103"/>
                    <w:widowControl w:val="0"/>
                  </w:pPr>
                  <w:r>
                    <w:t>-</w:t>
                  </w:r>
                  <w:r>
                    <w:tab/>
                  </w:r>
                  <w:r>
                    <w:t xml:space="preserve">an association between the search space set </w:t>
                  </w:r>
                  <m:oMath>
                    <m:r>
                      <w:rPr>
                        <w:rFonts w:ascii="Cambria Math" w:hAnsi="Cambria Math"/>
                      </w:rPr>
                      <m:t xml:space="preserve"> s</m:t>
                    </m:r>
                  </m:oMath>
                  <w:r>
                    <w:t xml:space="preserve"> and a CORESET </w:t>
                  </w:r>
                  <m:oMath>
                    <m:r>
                      <w:rPr>
                        <w:rFonts w:ascii="Cambria Math" w:hAnsi="Cambria Math"/>
                      </w:rPr>
                      <m:t>p</m:t>
                    </m:r>
                  </m:oMath>
                  <w:r>
                    <w:t xml:space="preserve"> by </w:t>
                  </w:r>
                  <w:r>
                    <w:rPr>
                      <w:i/>
                    </w:rPr>
                    <w:t>controlResourceSetId</w:t>
                  </w:r>
                  <w:r>
                    <w:t xml:space="preserve"> or by </w:t>
                  </w:r>
                  <w:r>
                    <w:rPr>
                      <w:i/>
                      <w:iCs/>
                    </w:rPr>
                    <w:t>controlResourceSetId-v1610</w:t>
                  </w:r>
                </w:p>
                <w:p>
                  <w:pPr>
                    <w:pStyle w:val="103"/>
                    <w:widowControl w:val="0"/>
                    <w:rPr>
                      <w:iCs/>
                    </w:rPr>
                  </w:pPr>
                  <w:r>
                    <w:t>-</w:t>
                  </w:r>
                  <w:r>
                    <w:tab/>
                  </w:r>
                  <w:r>
                    <w:t xml:space="preserve">a PDCCH monitoring periodicity of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t xml:space="preserve"> slots and a PDCCH monitoring offset of </w:t>
                  </w:r>
                  <m:oMath>
                    <m:sSub>
                      <m:sSubPr>
                        <m:ctrlPr>
                          <w:rPr>
                            <w:rFonts w:ascii="Cambria Math" w:hAnsi="Cambria Math"/>
                            <w:i/>
                          </w:rPr>
                        </m:ctrlPr>
                      </m:sSubPr>
                      <m:e>
                        <m:r>
                          <w:rPr>
                            <w:rFonts w:ascii="Cambria Math" w:hAnsi="Cambria Math"/>
                          </w:rPr>
                          <m:t>o</m:t>
                        </m:r>
                        <m:ctrlPr>
                          <w:rPr>
                            <w:rFonts w:ascii="Cambria Math" w:hAnsi="Cambria Math"/>
                            <w:i/>
                          </w:rPr>
                        </m:ctrlPr>
                      </m:e>
                      <m:sub>
                        <m:r>
                          <w:rPr>
                            <w:rFonts w:ascii="Cambria Math" w:hAnsi="Cambria Math"/>
                          </w:rPr>
                          <m:t>s</m:t>
                        </m:r>
                        <m:ctrlPr>
                          <w:rPr>
                            <w:rFonts w:ascii="Cambria Math" w:hAnsi="Cambria Math"/>
                            <w:i/>
                          </w:rPr>
                        </m:ctrlPr>
                      </m:sub>
                    </m:sSub>
                  </m:oMath>
                  <w:r>
                    <w:t xml:space="preserve"> slots, by </w:t>
                  </w:r>
                  <w:r>
                    <w:rPr>
                      <w:i/>
                    </w:rPr>
                    <w:t>monitoringSlotPeriodicityAndOffset</w:t>
                  </w:r>
                  <w:r>
                    <w:rPr>
                      <w:iCs/>
                    </w:rPr>
                    <w:t xml:space="preserve"> </w:t>
                  </w:r>
                  <w:r>
                    <w:rPr>
                      <w:iCs/>
                      <w:color w:val="0070C0"/>
                      <w:u w:val="single"/>
                    </w:rPr>
                    <w:t xml:space="preserve">or by </w:t>
                  </w:r>
                  <w:r>
                    <w:rPr>
                      <w:i/>
                      <w:color w:val="0070C0"/>
                      <w:u w:val="single"/>
                    </w:rPr>
                    <w:t>monitoringSlotPeriodicityAndOffset-r17</w:t>
                  </w:r>
                </w:p>
                <w:p>
                  <w:pPr>
                    <w:pStyle w:val="103"/>
                    <w:widowControl w:val="0"/>
                  </w:pPr>
                  <w:r>
                    <w:t>-</w:t>
                  </w:r>
                  <w:r>
                    <w:tab/>
                  </w:r>
                  <w:r>
                    <w:t xml:space="preserve">a PDCCH monitoring pattern within a slot, indicating first symbol(s) of the CORESET within a slot for PDCCH monitoring, by </w:t>
                  </w:r>
                  <w:r>
                    <w:rPr>
                      <w:i/>
                    </w:rPr>
                    <w:t>monitoringSymbolsWithinSlot</w:t>
                  </w:r>
                  <w:r>
                    <w:t xml:space="preserve"> </w:t>
                  </w:r>
                </w:p>
                <w:p>
                  <w:pPr>
                    <w:pStyle w:val="103"/>
                    <w:widowControl w:val="0"/>
                  </w:pPr>
                  <w:r>
                    <w:t>-</w:t>
                  </w:r>
                  <w:r>
                    <w:tab/>
                  </w:r>
                  <w:r>
                    <w:rPr>
                      <w:color w:val="0070C0"/>
                      <w:u w:val="single"/>
                    </w:rPr>
                    <w:t xml:space="preserve">a PDCCH monitoring pattern within a group of slots, indicating consecutive slots in the group of slots for PDCCH monitoring, by </w:t>
                  </w:r>
                  <w:r>
                    <w:rPr>
                      <w:i/>
                      <w:iCs/>
                      <w:color w:val="0070C0"/>
                      <w:u w:val="single"/>
                    </w:rPr>
                    <w:t>monitoringSlotsWithinSlotGroup-r17.</w:t>
                  </w:r>
                  <w:r>
                    <w:rPr>
                      <w:i/>
                      <w:iCs/>
                      <w:color w:val="0070C0"/>
                    </w:rPr>
                    <w:t xml:space="preserve"> </w:t>
                  </w:r>
                  <w:r>
                    <w:rPr>
                      <w:i/>
                      <w:iCs/>
                      <w:color w:val="C00000"/>
                      <w:u w:val="single"/>
                    </w:rPr>
                    <w:t xml:space="preserve">If monitoringSlotsWithinSlotGroup-r17 </w:t>
                  </w:r>
                  <w:r>
                    <w:rPr>
                      <w:color w:val="C00000"/>
                      <w:u w:val="single"/>
                    </w:rPr>
                    <w:t xml:space="preserve">is not configured, the slot for PDCCH monitoring is indicated by PDCCH monitoring offset </w:t>
                  </w:r>
                  <m:oMath>
                    <m:sSub>
                      <m:sSubPr>
                        <m:ctrlPr>
                          <w:rPr>
                            <w:rFonts w:ascii="Cambria Math" w:hAnsi="Cambria Math"/>
                            <w:i/>
                            <w:color w:val="C00000"/>
                            <w:u w:val="single"/>
                          </w:rPr>
                        </m:ctrlPr>
                      </m:sSubPr>
                      <m:e>
                        <m:r>
                          <w:rPr>
                            <w:rFonts w:ascii="Cambria Math" w:hAnsi="Cambria Math"/>
                            <w:color w:val="C00000"/>
                            <w:u w:val="single"/>
                          </w:rPr>
                          <m:t>o</m:t>
                        </m:r>
                        <m:ctrlPr>
                          <w:rPr>
                            <w:rFonts w:ascii="Cambria Math" w:hAnsi="Cambria Math"/>
                            <w:i/>
                            <w:color w:val="C00000"/>
                            <w:u w:val="single"/>
                          </w:rPr>
                        </m:ctrlPr>
                      </m:e>
                      <m:sub>
                        <m:r>
                          <w:rPr>
                            <w:rFonts w:ascii="Cambria Math" w:hAnsi="Cambria Math"/>
                            <w:color w:val="C00000"/>
                            <w:u w:val="single"/>
                          </w:rPr>
                          <m:t>s</m:t>
                        </m:r>
                        <m:ctrlPr>
                          <w:rPr>
                            <w:rFonts w:ascii="Cambria Math" w:hAnsi="Cambria Math"/>
                            <w:i/>
                            <w:color w:val="C00000"/>
                            <w:u w:val="single"/>
                          </w:rPr>
                        </m:ctrlPr>
                      </m:sub>
                    </m:sSub>
                  </m:oMath>
                </w:p>
                <w:p>
                  <w:pPr>
                    <w:pStyle w:val="103"/>
                    <w:widowControl w:val="0"/>
                    <w:rPr>
                      <w:color w:val="0070C0"/>
                      <w:u w:val="single"/>
                    </w:rPr>
                  </w:pPr>
                  <w:r>
                    <w:t>-</w:t>
                  </w:r>
                  <w:r>
                    <w:tab/>
                  </w:r>
                  <w:r>
                    <w:t xml:space="preserve">a duration of </w:t>
                  </w:r>
                  <m:oMath>
                    <m:sSub>
                      <m:sSubPr>
                        <m:ctrlPr>
                          <w:rPr>
                            <w:rFonts w:ascii="Cambria Math" w:hAnsi="Cambria Math"/>
                            <w:i/>
                          </w:rPr>
                        </m:ctrlPr>
                      </m:sSubPr>
                      <m:e>
                        <m:r>
                          <w:rPr>
                            <w:rFonts w:ascii="Cambria Math" w:hAnsi="Cambria Math"/>
                          </w:rPr>
                          <m:t>T</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&lt;</m:t>
                    </m:r>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t xml:space="preserve"> slots indicating a number of slots that the search space set </w:t>
                  </w:r>
                  <m:oMath>
                    <m:r>
                      <w:rPr>
                        <w:rFonts w:ascii="Cambria Math" w:hAnsi="Cambria Math"/>
                      </w:rPr>
                      <m:t>s</m:t>
                    </m:r>
                  </m:oMath>
                  <w:r>
                    <w:t xml:space="preserve"> exists by </w:t>
                  </w:r>
                  <w:r>
                    <w:rPr>
                      <w:i/>
                    </w:rPr>
                    <w:t>duration</w:t>
                  </w:r>
                  <w:r>
                    <w:t xml:space="preserve"> </w:t>
                  </w:r>
                  <w:r>
                    <w:rPr>
                      <w:iCs/>
                      <w:color w:val="0070C0"/>
                      <w:u w:val="single"/>
                    </w:rPr>
                    <w:t xml:space="preserve">or by </w:t>
                  </w:r>
                  <w:r>
                    <w:rPr>
                      <w:i/>
                      <w:color w:val="0070C0"/>
                      <w:u w:val="single"/>
                    </w:rPr>
                    <w:t>duration-r17</w:t>
                  </w:r>
                </w:p>
                <w:p>
                  <w:pPr>
                    <w:widowControl w:val="0"/>
                    <w:jc w:val="center"/>
                    <w:rPr>
                      <w:b/>
                      <w:bCs/>
                    </w:rPr>
                  </w:pPr>
                  <w:r>
                    <w:rPr>
                      <w:color w:val="FF0000"/>
                      <w:lang w:eastAsia="zh-CN"/>
                    </w:rPr>
                    <w:t>*** Unchanged text is omitted ***</w:t>
                  </w:r>
                </w:p>
              </w:tc>
            </w:tr>
          </w:tbl>
          <w:p>
            <w:pPr>
              <w:widowControl w:val="0"/>
              <w:jc w:val="both"/>
              <w:rPr>
                <w:lang w:eastAsia="zh-CN"/>
              </w:rPr>
            </w:pPr>
          </w:p>
          <w:p>
            <w:pPr>
              <w:widowControl w:val="0"/>
              <w:jc w:val="both"/>
              <w:rPr>
                <w:b/>
                <w:bCs/>
              </w:rPr>
            </w:pPr>
            <w:r>
              <w:rPr>
                <w:b/>
                <w:bCs/>
              </w:rPr>
              <w:t xml:space="preserve">Proposal 10: </w:t>
            </w:r>
          </w:p>
          <w:p>
            <w:pPr>
              <w:pStyle w:val="103"/>
              <w:widowControl w:val="0"/>
              <w:numPr>
                <w:ilvl w:val="0"/>
                <w:numId w:val="84"/>
              </w:numPr>
              <w:spacing w:before="60" w:after="0" w:line="240" w:lineRule="auto"/>
              <w:jc w:val="both"/>
              <w:rPr>
                <w:iCs/>
              </w:rPr>
            </w:pPr>
            <w:r>
              <w:rPr>
                <w:bCs/>
                <w:iCs/>
                <w:lang w:eastAsia="sv-SE"/>
              </w:rPr>
              <w:t xml:space="preserve">In search space set configuration, </w:t>
            </w:r>
          </w:p>
          <w:p>
            <w:pPr>
              <w:pStyle w:val="82"/>
              <w:widowControl w:val="0"/>
              <w:numPr>
                <w:ilvl w:val="1"/>
                <w:numId w:val="84"/>
              </w:numPr>
              <w:snapToGrid/>
              <w:spacing w:line="240" w:lineRule="auto"/>
              <w:jc w:val="both"/>
              <w:rPr>
                <w:rFonts w:ascii="Times New Roman" w:hAnsi="Times New Roman"/>
                <w:iCs/>
                <w:sz w:val="20"/>
                <w:szCs w:val="20"/>
              </w:rPr>
            </w:pPr>
            <w:r>
              <w:rPr>
                <w:rFonts w:ascii="Times New Roman" w:hAnsi="Times New Roman"/>
                <w:i/>
                <w:sz w:val="20"/>
                <w:szCs w:val="20"/>
              </w:rPr>
              <w:t>duration</w:t>
            </w:r>
            <w:r>
              <w:rPr>
                <w:rFonts w:ascii="Times New Roman" w:hAnsi="Times New Roman"/>
                <w:iCs/>
                <w:sz w:val="20"/>
                <w:szCs w:val="20"/>
              </w:rPr>
              <w:t xml:space="preserve"> indicates the number of consecutive slots for PDCCH monitoring according to a combination (Xs, Ys) upon every period as given in the </w:t>
            </w:r>
            <w:r>
              <w:rPr>
                <w:rFonts w:ascii="Times New Roman" w:hAnsi="Times New Roman"/>
                <w:i/>
                <w:sz w:val="20"/>
                <w:szCs w:val="20"/>
              </w:rPr>
              <w:t>periodicityAndOffset</w:t>
            </w:r>
          </w:p>
          <w:p>
            <w:pPr>
              <w:pStyle w:val="82"/>
              <w:widowControl w:val="0"/>
              <w:numPr>
                <w:ilvl w:val="1"/>
                <w:numId w:val="84"/>
              </w:numPr>
              <w:snapToGrid/>
              <w:spacing w:line="240" w:lineRule="auto"/>
              <w:jc w:val="both"/>
              <w:rPr>
                <w:rFonts w:ascii="Times New Roman" w:hAnsi="Times New Roman"/>
                <w:iCs/>
                <w:sz w:val="20"/>
                <w:szCs w:val="20"/>
              </w:rPr>
            </w:pPr>
            <w:r>
              <w:rPr>
                <w:rFonts w:ascii="Times New Roman" w:hAnsi="Times New Roman"/>
                <w:bCs/>
                <w:i/>
                <w:sz w:val="20"/>
                <w:szCs w:val="20"/>
                <w:lang w:eastAsia="sv-SE"/>
              </w:rPr>
              <w:t xml:space="preserve">Revise the WA: </w:t>
            </w:r>
          </w:p>
          <w:p>
            <w:pPr>
              <w:pStyle w:val="82"/>
              <w:widowControl w:val="0"/>
              <w:numPr>
                <w:ilvl w:val="2"/>
                <w:numId w:val="84"/>
              </w:numPr>
              <w:snapToGrid/>
              <w:spacing w:line="240" w:lineRule="auto"/>
              <w:jc w:val="both"/>
              <w:rPr>
                <w:rFonts w:ascii="Times New Roman" w:hAnsi="Times New Roman"/>
                <w:iCs/>
                <w:sz w:val="20"/>
                <w:szCs w:val="20"/>
              </w:rPr>
            </w:pPr>
            <w:r>
              <w:rPr>
                <w:rFonts w:ascii="Times New Roman" w:hAnsi="Times New Roman"/>
                <w:i/>
                <w:iCs/>
                <w:color w:val="000000"/>
                <w:sz w:val="20"/>
                <w:szCs w:val="20"/>
              </w:rPr>
              <w:t xml:space="preserve">monitoringSlotsWithinSlotGroup-r17 </w:t>
            </w:r>
            <w:r>
              <w:rPr>
                <w:rFonts w:ascii="Times New Roman" w:hAnsi="Times New Roman"/>
                <w:color w:val="000000"/>
                <w:sz w:val="20"/>
                <w:szCs w:val="20"/>
              </w:rPr>
              <w:t xml:space="preserve">can indicate the slots with configured MOs in two consecutive slot groups of X=4. UE can expect that the configured MOs are in same position in both slot groups. </w:t>
            </w:r>
          </w:p>
          <w:p>
            <w:pPr>
              <w:pStyle w:val="82"/>
              <w:widowControl w:val="0"/>
              <w:numPr>
                <w:ilvl w:val="2"/>
                <w:numId w:val="84"/>
              </w:numPr>
              <w:snapToGrid/>
              <w:spacing w:line="240" w:lineRule="auto"/>
              <w:jc w:val="both"/>
              <w:rPr>
                <w:rFonts w:ascii="Times New Roman" w:hAnsi="Times New Roman"/>
                <w:iCs/>
                <w:sz w:val="20"/>
                <w:szCs w:val="20"/>
              </w:rPr>
            </w:pPr>
            <w:r>
              <w:rPr>
                <w:rFonts w:ascii="Times New Roman" w:hAnsi="Times New Roman"/>
                <w:iCs/>
                <w:sz w:val="20"/>
                <w:szCs w:val="20"/>
              </w:rPr>
              <w:t xml:space="preserve">if </w:t>
            </w:r>
            <w:r>
              <w:rPr>
                <w:rFonts w:ascii="Times New Roman" w:hAnsi="Times New Roman"/>
                <w:bCs/>
                <w:i/>
                <w:sz w:val="20"/>
                <w:szCs w:val="20"/>
                <w:lang w:eastAsia="sv-SE"/>
              </w:rPr>
              <w:t xml:space="preserve">monitoringSlotsWithinSlotGroup-r17 </w:t>
            </w:r>
            <w:r>
              <w:rPr>
                <w:rFonts w:ascii="Times New Roman" w:hAnsi="Times New Roman"/>
                <w:bCs/>
                <w:iCs/>
                <w:sz w:val="20"/>
                <w:szCs w:val="20"/>
                <w:lang w:eastAsia="sv-SE"/>
              </w:rPr>
              <w:t>is not configured, the SS set is only configured in slot</w:t>
            </w:r>
            <w:r>
              <w:rPr>
                <w:rFonts w:ascii="Times New Roman" w:hAnsi="Times New Roman"/>
                <w:bCs/>
                <w:i/>
                <w:sz w:val="20"/>
                <w:szCs w:val="20"/>
                <w:lang w:eastAsia="sv-SE"/>
              </w:rPr>
              <w:t xml:space="preserve"> </w:t>
            </w:r>
            <m:oMath>
              <m:r>
                <w:rPr>
                  <w:rFonts w:ascii="Cambria Math" w:hAnsi="Cambria Math"/>
                  <w:sz w:val="20"/>
                  <w:szCs w:val="20"/>
                  <w:lang w:eastAsia="sv-SE"/>
                </w:rPr>
                <m:t>mod</m:t>
              </m:r>
              <m:d>
                <m:dPr>
                  <m:ctrlPr>
                    <w:rPr>
                      <w:rFonts w:ascii="Cambria Math" w:hAnsi="Cambria Math"/>
                      <w:bCs/>
                      <w:iCs/>
                      <w:sz w:val="20"/>
                      <w:szCs w:val="20"/>
                      <w:lang w:eastAsia="sv-SE"/>
                    </w:rPr>
                  </m:ctrlPr>
                </m:dPr>
                <m:e>
                  <m:r>
                    <w:rPr>
                      <w:rFonts w:ascii="Cambria Math" w:hAnsi="Cambria Math"/>
                      <w:sz w:val="20"/>
                      <w:szCs w:val="20"/>
                      <w:lang w:eastAsia="sv-SE"/>
                    </w:rPr>
                    <m:t>offset</m:t>
                  </m:r>
                  <m:r>
                    <m:rPr>
                      <m:sty m:val="p"/>
                    </m:rPr>
                    <w:rPr>
                      <w:rFonts w:ascii="Cambria Math" w:hAnsi="Cambria Math"/>
                      <w:sz w:val="20"/>
                      <w:szCs w:val="20"/>
                      <w:lang w:eastAsia="sv-SE"/>
                    </w:rPr>
                    <m:t>,</m:t>
                  </m:r>
                  <m:r>
                    <w:rPr>
                      <w:rFonts w:ascii="Cambria Math" w:hAnsi="Cambria Math"/>
                      <w:sz w:val="20"/>
                      <w:szCs w:val="20"/>
                      <w:lang w:eastAsia="sv-SE"/>
                    </w:rPr>
                    <m:t>X</m:t>
                  </m:r>
                  <m:ctrlPr>
                    <w:rPr>
                      <w:rFonts w:ascii="Cambria Math" w:hAnsi="Cambria Math"/>
                      <w:bCs/>
                      <w:iCs/>
                      <w:sz w:val="20"/>
                      <w:szCs w:val="20"/>
                      <w:lang w:eastAsia="sv-SE"/>
                    </w:rPr>
                  </m:ctrlPr>
                </m:e>
              </m:d>
            </m:oMath>
            <w:r>
              <w:rPr>
                <w:rFonts w:ascii="Times New Roman" w:hAnsi="Times New Roman"/>
                <w:bCs/>
                <w:iCs/>
                <w:sz w:val="20"/>
                <w:szCs w:val="20"/>
                <w:lang w:eastAsia="sv-SE"/>
              </w:rPr>
              <w:t xml:space="preserve"> in a slot group</w:t>
            </w:r>
          </w:p>
          <w:p>
            <w:pPr>
              <w:pStyle w:val="103"/>
              <w:widowControl w:val="0"/>
              <w:numPr>
                <w:ilvl w:val="0"/>
                <w:numId w:val="84"/>
              </w:numPr>
              <w:spacing w:before="60" w:after="0" w:line="240" w:lineRule="auto"/>
              <w:jc w:val="both"/>
              <w:rPr>
                <w:bCs/>
                <w:iCs/>
                <w:lang w:eastAsia="sv-SE"/>
              </w:rPr>
            </w:pPr>
            <w:r>
              <w:rPr>
                <w:bCs/>
                <w:iCs/>
                <w:lang w:eastAsia="sv-SE"/>
              </w:rPr>
              <w:t>Agree on TP 5 for SS set configuration</w:t>
            </w:r>
          </w:p>
          <w:p>
            <w:pPr>
              <w:pStyle w:val="103"/>
              <w:widowControl w:val="0"/>
              <w:spacing w:before="60" w:after="0" w:line="240" w:lineRule="auto"/>
              <w:ind w:left="0" w:firstLine="0"/>
              <w:jc w:val="both"/>
              <w:rPr>
                <w:b/>
                <w:bCs/>
              </w:rPr>
            </w:pPr>
          </w:p>
        </w:tc>
      </w:tr>
    </w:tbl>
    <w:p>
      <w:pPr>
        <w:rPr>
          <w:lang w:eastAsia="zh-CN"/>
        </w:rPr>
      </w:pPr>
    </w:p>
    <w:p>
      <w:pPr>
        <w:pStyle w:val="4"/>
      </w:pPr>
      <w:r>
        <w:t>R1-2201735 (Ericsson)</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rFonts w:cs="Arial"/>
                <w:szCs w:val="20"/>
                <w:lang w:val="en-GB" w:eastAsia="ja-JP"/>
              </w:rPr>
            </w:pPr>
            <w:r>
              <w:rPr>
                <w:rFonts w:cs="Arial"/>
                <w:szCs w:val="20"/>
                <w:lang w:val="en-GB" w:eastAsia="ja-JP"/>
              </w:rPr>
              <w:t>The following open issues from this agreement are identified:</w:t>
            </w:r>
          </w:p>
          <w:p>
            <w:pPr>
              <w:pStyle w:val="82"/>
              <w:widowControl w:val="0"/>
              <w:numPr>
                <w:ilvl w:val="0"/>
                <w:numId w:val="85"/>
              </w:numPr>
              <w:snapToGrid/>
              <w:jc w:val="both"/>
              <w:rPr>
                <w:rFonts w:ascii="Arial" w:hAnsi="Arial" w:cs="Arial"/>
                <w:sz w:val="20"/>
                <w:szCs w:val="20"/>
                <w:lang w:val="en-GB" w:eastAsia="ja-JP"/>
              </w:rPr>
            </w:pPr>
            <w:r>
              <w:rPr>
                <w:rFonts w:ascii="Arial" w:hAnsi="Arial" w:cs="Arial"/>
                <w:sz w:val="20"/>
                <w:szCs w:val="20"/>
                <w:lang w:val="en-GB" w:eastAsia="ja-JP"/>
              </w:rPr>
              <w:t>For Group (2) SSs</w:t>
            </w:r>
          </w:p>
          <w:p>
            <w:pPr>
              <w:pStyle w:val="82"/>
              <w:widowControl w:val="0"/>
              <w:numPr>
                <w:ilvl w:val="1"/>
                <w:numId w:val="85"/>
              </w:numPr>
              <w:snapToGrid/>
              <w:jc w:val="both"/>
              <w:rPr>
                <w:rFonts w:ascii="Arial" w:hAnsi="Arial" w:cs="Arial"/>
                <w:sz w:val="20"/>
                <w:szCs w:val="20"/>
                <w:lang w:val="en-GB" w:eastAsia="ja-JP"/>
              </w:rPr>
            </w:pPr>
            <w:r>
              <w:rPr>
                <w:rFonts w:ascii="Arial" w:hAnsi="Arial" w:cs="Arial"/>
                <w:sz w:val="20"/>
                <w:szCs w:val="20"/>
                <w:lang w:val="en-GB" w:eastAsia="ja-JP"/>
              </w:rPr>
              <w:t>Whether or not the monitoring periodicity and/or duration are restricted to be integer multiples of Xs slots</w:t>
            </w:r>
          </w:p>
          <w:p>
            <w:pPr>
              <w:pStyle w:val="82"/>
              <w:widowControl w:val="0"/>
              <w:numPr>
                <w:ilvl w:val="1"/>
                <w:numId w:val="85"/>
              </w:numPr>
              <w:snapToGrid/>
              <w:jc w:val="both"/>
              <w:rPr>
                <w:rFonts w:ascii="Arial" w:hAnsi="Arial" w:cs="Arial"/>
                <w:sz w:val="20"/>
                <w:szCs w:val="20"/>
                <w:lang w:val="en-GB" w:eastAsia="ja-JP"/>
              </w:rPr>
            </w:pPr>
            <w:r>
              <w:rPr>
                <w:rFonts w:ascii="Arial" w:hAnsi="Arial" w:cs="Arial"/>
                <w:sz w:val="20"/>
                <w:szCs w:val="20"/>
                <w:lang w:val="en-GB" w:eastAsia="ja-JP"/>
              </w:rPr>
              <w:t xml:space="preserve">Whether or not the slots indicated by the bitmap </w:t>
            </w:r>
            <w:r>
              <w:rPr>
                <w:rFonts w:ascii="Arial" w:hAnsi="Arial" w:eastAsia="Batang" w:cs="Arial"/>
                <w:i/>
                <w:iCs/>
                <w:color w:val="000000"/>
                <w:sz w:val="20"/>
                <w:szCs w:val="20"/>
                <w:lang w:val="en-GB"/>
              </w:rPr>
              <w:t xml:space="preserve">monitoringSlotsWithinSlotGroup-r17 </w:t>
            </w:r>
            <w:r>
              <w:rPr>
                <w:rFonts w:ascii="Arial" w:hAnsi="Arial" w:cs="Arial"/>
                <w:sz w:val="20"/>
                <w:szCs w:val="20"/>
                <w:lang w:val="en-GB" w:eastAsia="ja-JP"/>
              </w:rPr>
              <w:t>need to be consecutive</w:t>
            </w:r>
          </w:p>
          <w:p>
            <w:pPr>
              <w:pStyle w:val="82"/>
              <w:widowControl w:val="0"/>
              <w:numPr>
                <w:ilvl w:val="0"/>
                <w:numId w:val="85"/>
              </w:numPr>
              <w:snapToGrid/>
              <w:jc w:val="both"/>
              <w:rPr>
                <w:rFonts w:ascii="Arial" w:hAnsi="Arial" w:cs="Arial"/>
                <w:sz w:val="20"/>
                <w:szCs w:val="20"/>
                <w:lang w:val="en-GB" w:eastAsia="ja-JP"/>
              </w:rPr>
            </w:pPr>
            <w:r>
              <w:rPr>
                <w:rFonts w:ascii="Arial" w:hAnsi="Arial" w:cs="Arial"/>
                <w:sz w:val="20"/>
                <w:szCs w:val="20"/>
                <w:lang w:val="en-GB" w:eastAsia="ja-JP"/>
              </w:rPr>
              <w:t xml:space="preserve">Details of the offset configured by the parameter </w:t>
            </w:r>
            <w:r>
              <w:rPr>
                <w:rFonts w:ascii="Arial" w:hAnsi="Arial" w:cs="Arial"/>
                <w:i/>
                <w:iCs/>
                <w:sz w:val="20"/>
                <w:szCs w:val="20"/>
                <w:lang w:val="en-GB" w:eastAsia="ja-JP"/>
              </w:rPr>
              <w:t>monitoringPeriodicityAndOffset-r17</w:t>
            </w:r>
          </w:p>
          <w:p>
            <w:pPr>
              <w:pStyle w:val="82"/>
              <w:widowControl w:val="0"/>
              <w:numPr>
                <w:ilvl w:val="0"/>
                <w:numId w:val="85"/>
              </w:numPr>
              <w:snapToGrid/>
              <w:jc w:val="both"/>
              <w:rPr>
                <w:rFonts w:ascii="Arial" w:hAnsi="Arial" w:cs="Arial"/>
                <w:sz w:val="20"/>
                <w:szCs w:val="20"/>
                <w:lang w:val="en-GB" w:eastAsia="ja-JP"/>
              </w:rPr>
            </w:pPr>
            <w:r>
              <w:rPr>
                <w:rFonts w:ascii="Arial" w:hAnsi="Arial" w:cs="Arial"/>
                <w:sz w:val="20"/>
                <w:szCs w:val="20"/>
                <w:lang w:val="en-GB" w:eastAsia="ja-JP"/>
              </w:rPr>
              <w:t xml:space="preserve">Whether or not the definition of the parameter </w:t>
            </w:r>
            <w:r>
              <w:rPr>
                <w:rFonts w:ascii="Arial" w:hAnsi="Arial" w:cs="Arial"/>
                <w:i/>
                <w:iCs/>
                <w:sz w:val="20"/>
                <w:szCs w:val="20"/>
                <w:lang w:val="en-GB" w:eastAsia="ja-JP"/>
              </w:rPr>
              <w:t>duration</w:t>
            </w:r>
            <w:r>
              <w:rPr>
                <w:rFonts w:ascii="Arial" w:hAnsi="Arial" w:cs="Arial"/>
                <w:sz w:val="20"/>
                <w:szCs w:val="20"/>
                <w:lang w:val="en-GB" w:eastAsia="ja-JP"/>
              </w:rPr>
              <w:t xml:space="preserve"> needs to be revised</w:t>
            </w:r>
          </w:p>
          <w:p>
            <w:pPr>
              <w:widowControl w:val="0"/>
              <w:rPr>
                <w:lang w:val="en-GB" w:eastAsia="ja-JP"/>
              </w:rPr>
            </w:pPr>
          </w:p>
          <w:p>
            <w:pPr>
              <w:widowControl w:val="0"/>
              <w:rPr>
                <w:lang w:val="en-GB" w:eastAsia="ja-JP"/>
              </w:rPr>
            </w:pPr>
            <w:r>
              <w:rPr>
                <w:lang w:val="en-GB" w:eastAsia="ja-JP"/>
              </w:rPr>
              <w:t>Regarding Issue 1a, according to the agreement for mandatory Group (2) monitoring capability below, the UE shall be capable of monitoring a particular Group (2) search space in a single span within each slot of the slot group. Hence, this agreement would already preclude that the monitoring periodicity and duration are restricted to be integer mulitples of Xs slots.</w:t>
            </w:r>
          </w:p>
          <w:p>
            <w:pPr>
              <w:widowControl w:val="0"/>
              <w:spacing w:after="0" w:line="240" w:lineRule="auto"/>
              <w:ind w:left="567"/>
              <w:rPr>
                <w:rFonts w:eastAsia="Batang"/>
                <w:b/>
                <w:szCs w:val="20"/>
                <w:lang w:val="en-GB"/>
              </w:rPr>
            </w:pPr>
            <w:r>
              <w:rPr>
                <w:rFonts w:eastAsia="Batang"/>
                <w:b/>
                <w:szCs w:val="20"/>
                <w:highlight w:val="green"/>
                <w:lang w:val="en-GB"/>
              </w:rPr>
              <w:t>Agreement</w:t>
            </w:r>
          </w:p>
          <w:p>
            <w:pPr>
              <w:widowControl w:val="0"/>
              <w:spacing w:after="0" w:line="240" w:lineRule="auto"/>
              <w:ind w:left="567"/>
              <w:rPr>
                <w:rFonts w:eastAsia="Batang"/>
                <w:szCs w:val="20"/>
                <w:lang w:eastAsia="zh-CN"/>
              </w:rPr>
            </w:pPr>
            <w:r>
              <w:rPr>
                <w:rFonts w:eastAsia="Batang"/>
                <w:szCs w:val="20"/>
                <w:lang w:eastAsia="zh-CN"/>
              </w:rPr>
              <w:t>Clarify earlier agreement as follows:</w:t>
            </w:r>
          </w:p>
          <w:p>
            <w:pPr>
              <w:widowControl w:val="0"/>
              <w:numPr>
                <w:ilvl w:val="0"/>
                <w:numId w:val="30"/>
              </w:numPr>
              <w:overflowPunct w:val="0"/>
              <w:adjustRightInd/>
              <w:snapToGrid/>
              <w:spacing w:after="0" w:line="252" w:lineRule="auto"/>
              <w:ind w:left="1340"/>
              <w:rPr>
                <w:rFonts w:eastAsia="Batang"/>
                <w:szCs w:val="20"/>
                <w:lang w:eastAsia="zh-CN"/>
              </w:rPr>
            </w:pPr>
            <w:r>
              <w:rPr>
                <w:rFonts w:eastAsia="Batang"/>
                <w:szCs w:val="20"/>
                <w:lang w:eastAsia="zh-CN"/>
              </w:rPr>
              <w:t>A UE capable of multi-slot monitoring mandatorily supports monitoring Group (2) SSs according to FG 3-1 within each of the Xs slots of a slot-group, such that:</w:t>
            </w:r>
          </w:p>
          <w:p>
            <w:pPr>
              <w:widowControl w:val="0"/>
              <w:numPr>
                <w:ilvl w:val="1"/>
                <w:numId w:val="30"/>
              </w:numPr>
              <w:overflowPunct w:val="0"/>
              <w:adjustRightInd/>
              <w:snapToGrid/>
              <w:spacing w:after="0" w:line="252" w:lineRule="auto"/>
              <w:ind w:left="2060"/>
              <w:rPr>
                <w:rFonts w:eastAsia="Batang"/>
                <w:szCs w:val="20"/>
                <w:lang w:eastAsia="zh-CN"/>
              </w:rPr>
            </w:pPr>
            <w:r>
              <w:rPr>
                <w:rFonts w:eastAsia="Batang"/>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p>
          <w:p>
            <w:pPr>
              <w:widowControl w:val="0"/>
              <w:rPr>
                <w:lang w:val="en-GB" w:eastAsia="ja-JP"/>
              </w:rPr>
            </w:pPr>
          </w:p>
          <w:p>
            <w:pPr>
              <w:widowControl w:val="0"/>
              <w:rPr>
                <w:lang w:val="en-GB" w:eastAsia="ja-JP"/>
              </w:rPr>
            </w:pPr>
            <w:r>
              <w:rPr>
                <w:lang w:val="en-GB" w:eastAsia="ja-JP"/>
              </w:rPr>
              <w:t xml:space="preserve">Regarding Issue 1b, we note that the legacy monitoring behavior defined in 38.331 and 38.304 for SI acquisition and paging (i.e., Type0A/2 SSs), respectively, are defined in terms of slots not slot groups. We prefer to avoid any changes to that legacy behavior, which may be required if configuration restrictions on </w:t>
            </w:r>
            <w:r>
              <w:rPr>
                <w:rFonts w:eastAsia="Batang" w:cs="Arial"/>
                <w:i/>
                <w:iCs/>
                <w:color w:val="000000"/>
                <w:szCs w:val="20"/>
                <w:lang w:val="en-GB"/>
              </w:rPr>
              <w:t>monitoringSlotsWithinSlotGroup-r17</w:t>
            </w:r>
            <w:r>
              <w:rPr>
                <w:rFonts w:eastAsia="Batang" w:cs="Arial"/>
                <w:color w:val="000000"/>
                <w:szCs w:val="20"/>
                <w:lang w:val="en-GB"/>
              </w:rPr>
              <w:t xml:space="preserve"> are introduced. We note that even if the monitoring periodicity for Type0A/2 SSs is configured to be quite small (e.g., 1 or 2 slots), the actual monitoring occasions within the SI window/paging frame are spaced much wider than the configured periodicity due to how the MOs are associated with transmitted SSBs (see discussion in Section 2.3).</w:t>
            </w:r>
          </w:p>
          <w:p>
            <w:pPr>
              <w:widowControl w:val="0"/>
              <w:rPr>
                <w:lang w:val="en-GB" w:eastAsia="ja-JP"/>
              </w:rPr>
            </w:pPr>
            <w:r>
              <w:rPr>
                <w:lang w:val="en-GB" w:eastAsia="ja-JP"/>
              </w:rPr>
              <w:t>Based on the above we make the following pair of proposals:</w:t>
            </w:r>
          </w:p>
          <w:p>
            <w:pPr>
              <w:pStyle w:val="212"/>
              <w:widowControl w:val="0"/>
              <w:tabs>
                <w:tab w:val="clear" w:pos="2722"/>
              </w:tabs>
              <w:spacing w:after="120"/>
              <w:jc w:val="both"/>
              <w:rPr>
                <w:lang w:val="en-GB"/>
              </w:rPr>
            </w:pPr>
            <w:bookmarkStart w:id="67" w:name="_Ref95219919"/>
            <w:bookmarkStart w:id="68" w:name="_Toc95740684"/>
            <w:r>
              <w:rPr>
                <w:lang w:val="en-GB"/>
              </w:rPr>
              <w:t xml:space="preserve">For Group(2) SSs, the monitoring periodicity and duration are </w:t>
            </w:r>
            <w:r>
              <w:rPr>
                <w:u w:val="single"/>
                <w:lang w:val="en-GB"/>
              </w:rPr>
              <w:t>not</w:t>
            </w:r>
            <w:r>
              <w:rPr>
                <w:lang w:val="en-GB"/>
              </w:rPr>
              <w:t xml:space="preserve"> restricted to be integer multiples of Xs slots.</w:t>
            </w:r>
            <w:bookmarkEnd w:id="67"/>
            <w:bookmarkEnd w:id="68"/>
          </w:p>
          <w:p>
            <w:pPr>
              <w:pStyle w:val="212"/>
              <w:widowControl w:val="0"/>
              <w:tabs>
                <w:tab w:val="clear" w:pos="2722"/>
              </w:tabs>
              <w:spacing w:after="120"/>
              <w:jc w:val="both"/>
              <w:rPr>
                <w:lang w:val="en-GB"/>
              </w:rPr>
            </w:pPr>
            <w:bookmarkStart w:id="69" w:name="_Toc95740685"/>
            <w:r>
              <w:rPr>
                <w:lang w:val="en-GB"/>
              </w:rPr>
              <w:t xml:space="preserve">For Group(2) SSs, the slots indicated by the bitmap </w:t>
            </w:r>
            <w:r>
              <w:rPr>
                <w:i/>
                <w:iCs/>
                <w:lang w:val="en-GB"/>
              </w:rPr>
              <w:t>monitoringSlotsWithinSlotGroup-r17</w:t>
            </w:r>
            <w:r>
              <w:rPr>
                <w:lang w:val="en-GB"/>
              </w:rPr>
              <w:t xml:space="preserve"> are </w:t>
            </w:r>
            <w:r>
              <w:rPr>
                <w:u w:val="single"/>
                <w:lang w:val="en-GB"/>
              </w:rPr>
              <w:t>not</w:t>
            </w:r>
            <w:r>
              <w:rPr>
                <w:lang w:val="en-GB"/>
              </w:rPr>
              <w:t xml:space="preserve"> restricted to be consecutive.</w:t>
            </w:r>
            <w:bookmarkEnd w:id="69"/>
          </w:p>
          <w:p>
            <w:pPr>
              <w:widowControl w:val="0"/>
              <w:rPr>
                <w:lang w:val="en-GB"/>
              </w:rPr>
            </w:pPr>
          </w:p>
          <w:p>
            <w:pPr>
              <w:widowControl w:val="0"/>
              <w:rPr>
                <w:rFonts w:cs="Arial"/>
                <w:szCs w:val="20"/>
                <w:lang w:val="en-GB" w:eastAsia="ja-JP"/>
              </w:rPr>
            </w:pPr>
            <w:r>
              <w:rPr>
                <w:lang w:val="en-GB" w:eastAsia="ja-JP"/>
              </w:rPr>
              <w:t xml:space="preserve">According to the above agreement on search space configuration, the periodicity indicated by the parameter  </w:t>
            </w:r>
            <w:r>
              <w:rPr>
                <w:rFonts w:cs="Arial"/>
                <w:i/>
                <w:iCs/>
                <w:szCs w:val="20"/>
                <w:lang w:val="en-GB" w:eastAsia="ja-JP"/>
              </w:rPr>
              <w:t>monitoringPeriodictyAndOffset-r17</w:t>
            </w:r>
            <w:r>
              <w:rPr>
                <w:lang w:val="en-GB" w:eastAsia="ja-JP"/>
              </w:rPr>
              <w:t xml:space="preserve"> is restricted bo be an integer multiple of Xs slots for Group (1) SSs. As we discussed previously (see </w:t>
            </w:r>
            <w:r>
              <w:rPr>
                <w:lang w:val="en-GB" w:eastAsia="ja-JP"/>
              </w:rPr>
              <w:fldChar w:fldCharType="begin"/>
            </w:r>
            <w:r>
              <w:rPr>
                <w:lang w:val="en-GB" w:eastAsia="ja-JP"/>
              </w:rPr>
              <w:instrText xml:space="preserve"> REF _Ref95219919 \r \h </w:instrText>
            </w:r>
            <w:r>
              <w:rPr>
                <w:lang w:val="en-GB" w:eastAsia="ja-JP"/>
              </w:rPr>
              <w:fldChar w:fldCharType="separate"/>
            </w:r>
            <w:r>
              <w:rPr>
                <w:lang w:val="en-GB" w:eastAsia="ja-JP"/>
              </w:rPr>
              <w:t>Proposal 3</w:t>
            </w:r>
            <w:r>
              <w:rPr>
                <w:lang w:val="en-GB" w:eastAsia="ja-JP"/>
              </w:rPr>
              <w:fldChar w:fldCharType="end"/>
            </w:r>
            <w:r>
              <w:rPr>
                <w:lang w:val="en-GB" w:eastAsia="ja-JP"/>
              </w:rPr>
              <w:t xml:space="preserve">), we propose that this restriction does not apply to Group (2) SSs. As agreed last meeting, for both Group (1) and Group (2), the value range of the parameter </w:t>
            </w:r>
            <w:r>
              <w:rPr>
                <w:rFonts w:cs="Arial"/>
                <w:i/>
                <w:iCs/>
                <w:szCs w:val="20"/>
                <w:lang w:val="en-GB" w:eastAsia="ja-JP"/>
              </w:rPr>
              <w:t>monitoringPeriodictyAndOffset</w:t>
            </w:r>
            <w:r>
              <w:rPr>
                <w:rFonts w:cs="Arial"/>
                <w:szCs w:val="20"/>
                <w:lang w:val="en-GB" w:eastAsia="ja-JP"/>
              </w:rPr>
              <w:t xml:space="preserve"> is extended such that it allows for configuration of a number of slot groups that cover an equivalent time duration as the number of slots for 120 kHz. This needs to be captured in the field description of the RRC parameter. Furthermore, in the field description currently in 38.331, the allowed periodicities for monitoring for DCI formats 2_0, 2_1, and 2_4 are restricted to a certain number of slots, e.g., for DCI format 2_0 the periodicity is restricted to {1, 2, 4, 5, 8, 10, 16, or 20} slots. For the case of multi-slot PDCCH monitoring, it makes sense to extend the applicable values up to 160 slots to cover the case when either Xs = 8 or Xs = 4 is used.</w:t>
            </w:r>
          </w:p>
          <w:p>
            <w:pPr>
              <w:pStyle w:val="212"/>
              <w:widowControl w:val="0"/>
              <w:tabs>
                <w:tab w:val="clear" w:pos="2722"/>
              </w:tabs>
              <w:spacing w:after="120"/>
              <w:jc w:val="both"/>
              <w:rPr>
                <w:lang w:val="en-GB"/>
              </w:rPr>
            </w:pPr>
            <w:bookmarkStart w:id="70" w:name="_Toc95740689"/>
            <w:r>
              <w:rPr>
                <w:lang w:val="en-GB"/>
              </w:rPr>
              <w:t xml:space="preserve">In the RRC parameter spreadsheet, provide a recommendation to RAN2 to update the field description of the parameter </w:t>
            </w:r>
            <w:r>
              <w:rPr>
                <w:i/>
                <w:iCs/>
                <w:lang w:val="en-GB"/>
              </w:rPr>
              <w:t>monitoringPeriodictyAndOffset</w:t>
            </w:r>
            <w:r>
              <w:rPr>
                <w:lang w:val="en-GB"/>
              </w:rPr>
              <w:t xml:space="preserve"> as follows including additional allowed periodicities at least for DCI format 2_0 (DCI formats 2_1 and 2_4 can be separately discussed):</w:t>
            </w:r>
            <w:bookmarkEnd w:id="70"/>
          </w:p>
          <w:tbl>
            <w:tblPr>
              <w:tblStyle w:val="54"/>
              <w:tblW w:w="8280" w:type="dxa"/>
              <w:tblInd w:w="134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0" w:type="dxa"/>
                  <w:tcBorders>
                    <w:top w:val="single" w:color="auto" w:sz="4" w:space="0"/>
                    <w:left w:val="single" w:color="auto" w:sz="4" w:space="0"/>
                    <w:bottom w:val="single" w:color="auto" w:sz="4" w:space="0"/>
                    <w:right w:val="single" w:color="auto" w:sz="4" w:space="0"/>
                  </w:tcBorders>
                </w:tcPr>
                <w:p>
                  <w:pPr>
                    <w:keepNext/>
                    <w:keepLines/>
                    <w:overflowPunct w:val="0"/>
                    <w:spacing w:after="0" w:line="240" w:lineRule="auto"/>
                    <w:textAlignment w:val="baseline"/>
                    <w:rPr>
                      <w:rFonts w:eastAsia="Times New Roman"/>
                      <w:sz w:val="18"/>
                      <w:lang w:val="en-GB" w:eastAsia="sv-SE"/>
                    </w:rPr>
                  </w:pPr>
                  <w:r>
                    <w:rPr>
                      <w:rFonts w:eastAsia="Times New Roman"/>
                      <w:b/>
                      <w:i/>
                      <w:sz w:val="18"/>
                      <w:lang w:val="en-GB" w:eastAsia="sv-SE"/>
                    </w:rPr>
                    <w:t>monitoringSlotPeriodicityAndOffset</w:t>
                  </w:r>
                </w:p>
                <w:p>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 xml:space="preserve">Slots for PDCCH Monitoring configured as periodicity and offset. If the UE is configured to monitor DCI format 2_1, only the values 'sl1', 'sl2' or 'sl4' are applicable. If the UE is configured to monitor DCI format 2_0, only the values ′sl1′, ′sl2′, </w:t>
                  </w:r>
                  <w:r>
                    <w:rPr>
                      <w:rFonts w:eastAsia="Times New Roman" w:cs="Arial"/>
                      <w:sz w:val="18"/>
                      <w:lang w:val="en-GB" w:eastAsia="sv-SE"/>
                    </w:rPr>
                    <w:t>′</w:t>
                  </w:r>
                  <w:r>
                    <w:rPr>
                      <w:rFonts w:eastAsia="Times New Roman"/>
                      <w:sz w:val="18"/>
                      <w:lang w:val="en-GB" w:eastAsia="sv-SE"/>
                    </w:rPr>
                    <w:t>sl4′, ′sl5′, ′sl8′, ′sl10′, ′sl16′, and ′sl20′ are applicable (see TS 38.213 [13], clause 10)</w:t>
                  </w:r>
                  <w:r>
                    <w:rPr>
                      <w:rFonts w:eastAsia="Times New Roman"/>
                      <w:color w:val="FF0000"/>
                      <w:sz w:val="18"/>
                      <w:lang w:val="en-GB" w:eastAsia="sv-SE"/>
                    </w:rPr>
                    <w:t xml:space="preserve"> and additionally the </w:t>
                  </w:r>
                  <w:r>
                    <w:rPr>
                      <w:color w:val="FF0000"/>
                      <w:sz w:val="18"/>
                      <w:szCs w:val="18"/>
                      <w:lang w:eastAsia="sv-SE"/>
                    </w:rPr>
                    <w:t xml:space="preserve">values 'sl32', 'sl40', 'sl64', 'sl80', 'sl128', and 'sl160' are applicable if </w:t>
                  </w:r>
                  <w:r>
                    <w:rPr>
                      <w:rFonts w:eastAsia="Times New Roman"/>
                      <w:color w:val="FF0000"/>
                      <w:sz w:val="18"/>
                      <w:szCs w:val="18"/>
                      <w:lang w:val="en-GB" w:eastAsia="sv-SE"/>
                    </w:rPr>
                    <w:t xml:space="preserve">a UE monitors PDCCH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ctrlPr>
                          <w:rPr>
                            <w:rFonts w:ascii="Cambria Math" w:hAnsi="Cambria Math"/>
                            <w:i/>
                            <w:color w:val="FF0000"/>
                            <w:sz w:val="18"/>
                            <w:szCs w:val="18"/>
                            <w:lang w:eastAsia="sv-SE"/>
                          </w:rPr>
                        </m:ctrlPr>
                      </m:e>
                      <m:sub>
                        <m:r>
                          <w:rPr>
                            <w:rFonts w:ascii="Cambria Math" w:hAnsi="Cambria Math"/>
                            <w:color w:val="FF0000"/>
                            <w:sz w:val="18"/>
                            <w:szCs w:val="18"/>
                            <w:lang w:eastAsia="sv-SE"/>
                          </w:rPr>
                          <m:t>s</m:t>
                        </m:r>
                        <m:ctrlPr>
                          <w:rPr>
                            <w:rFonts w:ascii="Cambria Math" w:hAnsi="Cambria Math"/>
                            <w:i/>
                            <w:color w:val="FF0000"/>
                            <w:sz w:val="18"/>
                            <w:szCs w:val="18"/>
                            <w:lang w:eastAsia="sv-SE"/>
                          </w:rPr>
                        </m:ctrlP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ctrlPr>
                          <w:rPr>
                            <w:rFonts w:ascii="Cambria Math" w:hAnsi="Cambria Math"/>
                            <w:i/>
                            <w:color w:val="FF0000"/>
                            <w:sz w:val="18"/>
                            <w:szCs w:val="18"/>
                            <w:lang w:eastAsia="sv-SE"/>
                          </w:rPr>
                        </m:ctrlPr>
                      </m:e>
                      <m:sub>
                        <m:r>
                          <w:rPr>
                            <w:rFonts w:ascii="Cambria Math" w:hAnsi="Cambria Math"/>
                            <w:color w:val="FF0000"/>
                            <w:sz w:val="18"/>
                            <w:szCs w:val="18"/>
                            <w:lang w:eastAsia="sv-SE"/>
                          </w:rPr>
                          <m:t>s</m:t>
                        </m:r>
                        <m:ctrlPr>
                          <w:rPr>
                            <w:rFonts w:ascii="Cambria Math" w:hAnsi="Cambria Math"/>
                            <w:i/>
                            <w:color w:val="FF0000"/>
                            <w:sz w:val="18"/>
                            <w:szCs w:val="18"/>
                            <w:lang w:eastAsia="sv-SE"/>
                          </w:rPr>
                        </m:ctrlPr>
                      </m:sub>
                    </m:sSub>
                  </m:oMath>
                  <w:r>
                    <w:rPr>
                      <w:color w:val="FF0000"/>
                      <w:sz w:val="18"/>
                      <w:szCs w:val="18"/>
                      <w:lang w:eastAsia="sv-SE"/>
                    </w:rPr>
                    <w:t>) (see TS 38.213 [13], clause 10)</w:t>
                  </w:r>
                  <w:r>
                    <w:rPr>
                      <w:rFonts w:eastAsia="Times New Roman"/>
                      <w:sz w:val="18"/>
                      <w:lang w:val="en-GB" w:eastAsia="sv-SE"/>
                    </w:rPr>
                    <w:t>. If the UE is configured to monitor DCI format 2_4, only the values 'sl1', 'sl2', 'sl4', 'sl5', 'sl8' and 'sl10' are applicable.</w:t>
                  </w:r>
                </w:p>
                <w:p>
                  <w:pPr>
                    <w:keepNext/>
                    <w:keepLines/>
                    <w:overflowPunct w:val="0"/>
                    <w:spacing w:after="0" w:line="240" w:lineRule="auto"/>
                    <w:textAlignment w:val="baseline"/>
                    <w:rPr>
                      <w:color w:val="FF0000"/>
                      <w:sz w:val="18"/>
                      <w:lang w:eastAsia="sv-SE"/>
                    </w:rPr>
                  </w:pPr>
                  <w:r>
                    <w:rPr>
                      <w:rFonts w:eastAsia="Times New Roman"/>
                      <w:color w:val="FF0000"/>
                      <w:sz w:val="18"/>
                      <w:szCs w:val="18"/>
                      <w:lang w:val="en-GB" w:eastAsia="sv-SE"/>
                    </w:rPr>
                    <w:t xml:space="preserve">If a UE monitors PDCCH in a Type-1 CSS with dedicated RRC configuration, or a type 3 CSS, or a USS on a cell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ctrlPr>
                          <w:rPr>
                            <w:rFonts w:ascii="Cambria Math" w:hAnsi="Cambria Math"/>
                            <w:i/>
                            <w:color w:val="FF0000"/>
                            <w:sz w:val="18"/>
                            <w:szCs w:val="18"/>
                            <w:lang w:eastAsia="sv-SE"/>
                          </w:rPr>
                        </m:ctrlPr>
                      </m:e>
                      <m:sub>
                        <m:r>
                          <w:rPr>
                            <w:rFonts w:ascii="Cambria Math" w:hAnsi="Cambria Math"/>
                            <w:color w:val="FF0000"/>
                            <w:sz w:val="18"/>
                            <w:szCs w:val="18"/>
                            <w:lang w:eastAsia="sv-SE"/>
                          </w:rPr>
                          <m:t>s</m:t>
                        </m:r>
                        <m:ctrlPr>
                          <w:rPr>
                            <w:rFonts w:ascii="Cambria Math" w:hAnsi="Cambria Math"/>
                            <w:i/>
                            <w:color w:val="FF0000"/>
                            <w:sz w:val="18"/>
                            <w:szCs w:val="18"/>
                            <w:lang w:eastAsia="sv-SE"/>
                          </w:rPr>
                        </m:ctrlP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ctrlPr>
                          <w:rPr>
                            <w:rFonts w:ascii="Cambria Math" w:hAnsi="Cambria Math"/>
                            <w:i/>
                            <w:color w:val="FF0000"/>
                            <w:sz w:val="18"/>
                            <w:szCs w:val="18"/>
                            <w:lang w:eastAsia="sv-SE"/>
                          </w:rPr>
                        </m:ctrlPr>
                      </m:e>
                      <m:sub>
                        <m:r>
                          <w:rPr>
                            <w:rFonts w:ascii="Cambria Math" w:hAnsi="Cambria Math"/>
                            <w:color w:val="FF0000"/>
                            <w:sz w:val="18"/>
                            <w:szCs w:val="18"/>
                            <w:lang w:eastAsia="sv-SE"/>
                          </w:rPr>
                          <m:t>s</m:t>
                        </m:r>
                        <m:ctrlPr>
                          <w:rPr>
                            <w:rFonts w:ascii="Cambria Math" w:hAnsi="Cambria Math"/>
                            <w:i/>
                            <w:color w:val="FF0000"/>
                            <w:sz w:val="18"/>
                            <w:szCs w:val="18"/>
                            <w:lang w:eastAsia="sv-SE"/>
                          </w:rPr>
                        </m:ctrlPr>
                      </m:sub>
                    </m:sSub>
                  </m:oMath>
                  <w:r>
                    <w:rPr>
                      <w:color w:val="FF0000"/>
                      <w:sz w:val="18"/>
                      <w:szCs w:val="18"/>
                      <w:lang w:eastAsia="sv-SE"/>
                    </w:rPr>
                    <w:t>) (see TS 38.213 [13], clause 10), only values 'slN' are applicable where N=n*Xs and n is an integer greater than or equal to 1.</w:t>
                  </w:r>
                </w:p>
                <w:p>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For IAB-MT,</w:t>
                  </w:r>
                  <w:r>
                    <w:rPr>
                      <w:rFonts w:eastAsia="Times New Roman" w:cs="Arial"/>
                      <w:sz w:val="16"/>
                      <w:szCs w:val="16"/>
                      <w:lang w:val="en-GB" w:eastAsia="sv-SE"/>
                    </w:rPr>
                    <w:t xml:space="preserve"> </w:t>
                  </w:r>
                  <w:r>
                    <w:rPr>
                      <w:rFonts w:eastAsia="Times New Roman" w:cs="Arial"/>
                      <w:sz w:val="18"/>
                      <w:szCs w:val="16"/>
                      <w:lang w:val="en-GB" w:eastAsia="sv-SE"/>
                    </w:rPr>
                    <w:t>I</w:t>
                  </w:r>
                  <w:r>
                    <w:rPr>
                      <w:rFonts w:eastAsia="Times New Roman" w:cs="Arial"/>
                      <w:sz w:val="18"/>
                      <w:szCs w:val="18"/>
                      <w:lang w:val="en-GB"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tc>
            </w:tr>
          </w:tbl>
          <w:p>
            <w:pPr>
              <w:widowControl w:val="0"/>
              <w:rPr>
                <w:lang w:val="en-GB"/>
              </w:rPr>
            </w:pPr>
          </w:p>
          <w:p>
            <w:pPr>
              <w:widowControl w:val="0"/>
              <w:rPr>
                <w:lang w:val="en-GB"/>
              </w:rPr>
            </w:pPr>
          </w:p>
          <w:p>
            <w:pPr>
              <w:widowControl w:val="0"/>
              <w:rPr>
                <w:lang w:val="en-GB" w:eastAsia="ja-JP"/>
              </w:rPr>
            </w:pPr>
            <w:r>
              <mc:AlternateContent>
                <mc:Choice Requires="wps">
                  <w:drawing>
                    <wp:anchor distT="45720" distB="45720" distL="114300" distR="114300" simplePos="0" relativeHeight="251659264" behindDoc="0" locked="0" layoutInCell="1" allowOverlap="1">
                      <wp:simplePos x="0" y="0"/>
                      <wp:positionH relativeFrom="margin">
                        <wp:align>right</wp:align>
                      </wp:positionH>
                      <wp:positionV relativeFrom="paragraph">
                        <wp:posOffset>283210</wp:posOffset>
                      </wp:positionV>
                      <wp:extent cx="6090285" cy="770890"/>
                      <wp:effectExtent l="0" t="0" r="24765" b="10160"/>
                      <wp:wrapTopAndBottom/>
                      <wp:docPr id="4" name="Text Box 4"/>
                      <wp:cNvGraphicFramePr/>
                      <a:graphic xmlns:a="http://schemas.openxmlformats.org/drawingml/2006/main">
                        <a:graphicData uri="http://schemas.microsoft.com/office/word/2010/wordprocessingShape">
                          <wps:wsp>
                            <wps:cNvSpPr txBox="1">
                              <a:spLocks noChangeArrowheads="1"/>
                            </wps:cNvSpPr>
                            <wps:spPr bwMode="auto">
                              <a:xfrm>
                                <a:off x="0" y="0"/>
                                <a:ext cx="6090285" cy="770890"/>
                              </a:xfrm>
                              <a:prstGeom prst="rect">
                                <a:avLst/>
                              </a:prstGeom>
                              <a:solidFill>
                                <a:srgbClr val="FFFFFF"/>
                              </a:solidFill>
                              <a:ln w="9525">
                                <a:solidFill>
                                  <a:srgbClr val="000000"/>
                                </a:solidFill>
                                <a:miter lim="800000"/>
                              </a:ln>
                            </wps:spPr>
                            <wps:txbx>
                              <w:txbxContent>
                                <w:p>
                                  <w:pPr>
                                    <w:rPr>
                                      <w:rFonts w:eastAsia="宋体"/>
                                      <w:szCs w:val="20"/>
                                      <w:lang w:val="en-GB" w:eastAsia="zh-CN"/>
                                    </w:rPr>
                                  </w:pPr>
                                  <w:r>
                                    <w:rPr>
                                      <w:rFonts w:eastAsia="宋体"/>
                                      <w:szCs w:val="20"/>
                                      <w:lang w:val="en-GB" w:eastAsia="zh-CN"/>
                                    </w:rPr>
                                    <w:t xml:space="preserve">If a UE can indicate a capability to monitor PDCCH according to one or more combinations </w:t>
                                  </w:r>
                                  <m:oMath>
                                    <m:d>
                                      <m:dPr>
                                        <m:ctrlPr>
                                          <w:rPr>
                                            <w:rFonts w:ascii="Cambria Math" w:hAnsi="Cambria Math" w:eastAsia="宋体"/>
                                            <w:szCs w:val="20"/>
                                            <w:lang w:val="en-GB" w:eastAsia="zh-CN"/>
                                          </w:rPr>
                                        </m:ctrlPr>
                                      </m:dPr>
                                      <m:e>
                                        <m:sSub>
                                          <m:sSubPr>
                                            <m:ctrlPr>
                                              <w:rPr>
                                                <w:rFonts w:ascii="Cambria Math" w:hAnsi="Cambria Math" w:eastAsia="宋体"/>
                                                <w:i/>
                                                <w:szCs w:val="20"/>
                                                <w:lang w:val="en-GB" w:eastAsia="zh-CN"/>
                                              </w:rPr>
                                            </m:ctrlPr>
                                          </m:sSubPr>
                                          <m:e>
                                            <m:r>
                                              <w:rPr>
                                                <w:rFonts w:ascii="Cambria Math" w:hAnsi="Cambria Math" w:eastAsia="宋体"/>
                                                <w:szCs w:val="20"/>
                                                <w:lang w:val="en-GB" w:eastAsia="zh-CN"/>
                                              </w:rPr>
                                              <m:t>X</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r>
                                          <w:rPr>
                                            <w:rFonts w:ascii="Cambria Math" w:hAnsi="Cambria Math" w:eastAsia="宋体"/>
                                            <w:szCs w:val="20"/>
                                            <w:lang w:val="en-GB" w:eastAsia="zh-CN"/>
                                          </w:rPr>
                                          <m:t>,</m:t>
                                        </m:r>
                                        <m:sSub>
                                          <m:sSubPr>
                                            <m:ctrlPr>
                                              <w:rPr>
                                                <w:rFonts w:ascii="Cambria Math" w:hAnsi="Cambria Math" w:eastAsia="宋体"/>
                                                <w:i/>
                                                <w:szCs w:val="20"/>
                                                <w:lang w:val="en-GB" w:eastAsia="zh-CN"/>
                                              </w:rPr>
                                            </m:ctrlPr>
                                          </m:sSubPr>
                                          <m:e>
                                            <m:r>
                                              <w:rPr>
                                                <w:rFonts w:ascii="Cambria Math" w:hAnsi="Cambria Math" w:eastAsia="宋体"/>
                                                <w:szCs w:val="20"/>
                                                <w:lang w:val="en-GB" w:eastAsia="zh-CN"/>
                                              </w:rPr>
                                              <m:t>Y</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ctrlPr>
                                          <w:rPr>
                                            <w:rFonts w:ascii="Cambria Math" w:hAnsi="Cambria Math" w:eastAsia="宋体"/>
                                            <w:szCs w:val="20"/>
                                            <w:lang w:val="en-GB" w:eastAsia="zh-CN"/>
                                          </w:rPr>
                                        </m:ctrlPr>
                                      </m:e>
                                    </m:d>
                                  </m:oMath>
                                  <w:r>
                                    <w:rPr>
                                      <w:rFonts w:eastAsia="宋体"/>
                                      <w:szCs w:val="20"/>
                                      <w:lang w:val="en-GB" w:eastAsia="zh-CN"/>
                                    </w:rPr>
                                    <w:t xml:space="preserve">, where </w:t>
                                  </w:r>
                                  <m:oMath>
                                    <m:sSub>
                                      <m:sSubPr>
                                        <m:ctrlPr>
                                          <w:rPr>
                                            <w:rFonts w:ascii="Cambria Math" w:hAnsi="Cambria Math" w:eastAsia="宋体"/>
                                            <w:i/>
                                            <w:szCs w:val="20"/>
                                            <w:lang w:val="en-GB" w:eastAsia="zh-CN"/>
                                          </w:rPr>
                                        </m:ctrlPr>
                                      </m:sSubPr>
                                      <m:e>
                                        <m:r>
                                          <w:rPr>
                                            <w:rFonts w:ascii="Cambria Math" w:hAnsi="Cambria Math" w:eastAsia="宋体"/>
                                            <w:szCs w:val="20"/>
                                            <w:lang w:val="en-GB" w:eastAsia="zh-CN"/>
                                          </w:rPr>
                                          <m:t>X</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oMath>
                                  <w:r>
                                    <w:rPr>
                                      <w:rFonts w:eastAsia="宋体"/>
                                      <w:szCs w:val="20"/>
                                      <w:lang w:val="en-GB" w:eastAsia="zh-CN"/>
                                    </w:rPr>
                                    <w:t xml:space="preserve"> and </w:t>
                                  </w:r>
                                  <m:oMath>
                                    <m:sSub>
                                      <m:sSubPr>
                                        <m:ctrlPr>
                                          <w:rPr>
                                            <w:rFonts w:ascii="Cambria Math" w:hAnsi="Cambria Math" w:eastAsia="宋体"/>
                                            <w:i/>
                                            <w:szCs w:val="20"/>
                                            <w:lang w:val="en-GB" w:eastAsia="zh-CN"/>
                                          </w:rPr>
                                        </m:ctrlPr>
                                      </m:sSubPr>
                                      <m:e>
                                        <m:r>
                                          <w:rPr>
                                            <w:rFonts w:ascii="Cambria Math" w:hAnsi="Cambria Math" w:eastAsia="宋体"/>
                                            <w:szCs w:val="20"/>
                                            <w:lang w:val="en-GB" w:eastAsia="zh-CN"/>
                                          </w:rPr>
                                          <m:t>Y</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oMath>
                                  <w:r>
                                    <w:rPr>
                                      <w:rFonts w:eastAsia="宋体"/>
                                      <w:szCs w:val="20"/>
                                      <w:lang w:val="en-GB" w:eastAsia="zh-CN"/>
                                    </w:rPr>
                                    <w:t xml:space="preserve"> are numbers of consecutive slots, groups of </w:t>
                                  </w:r>
                                  <m:oMath>
                                    <m:sSub>
                                      <m:sSubPr>
                                        <m:ctrlPr>
                                          <w:rPr>
                                            <w:rFonts w:ascii="Cambria Math" w:hAnsi="Cambria Math" w:eastAsia="宋体"/>
                                            <w:i/>
                                            <w:szCs w:val="20"/>
                                            <w:lang w:val="en-GB" w:eastAsia="zh-CN"/>
                                          </w:rPr>
                                        </m:ctrlPr>
                                      </m:sSubPr>
                                      <m:e>
                                        <m:r>
                                          <w:rPr>
                                            <w:rFonts w:ascii="Cambria Math" w:hAnsi="Cambria Math" w:eastAsia="宋体"/>
                                            <w:szCs w:val="20"/>
                                            <w:lang w:val="en-GB" w:eastAsia="zh-CN"/>
                                          </w:rPr>
                                          <m:t>X</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oMath>
                                  <w:r>
                                    <w:rPr>
                                      <w:rFonts w:eastAsia="宋体"/>
                                      <w:szCs w:val="20"/>
                                      <w:lang w:val="en-GB" w:eastAsia="zh-CN"/>
                                    </w:rPr>
                                    <w:t xml:space="preserve"> slots are consecutive and non-overlapping, and the </w:t>
                                  </w:r>
                                  <m:oMath>
                                    <m:sSub>
                                      <m:sSubPr>
                                        <m:ctrlPr>
                                          <w:rPr>
                                            <w:rFonts w:ascii="Cambria Math" w:hAnsi="Cambria Math" w:eastAsia="宋体"/>
                                            <w:i/>
                                            <w:szCs w:val="20"/>
                                            <w:lang w:val="en-GB" w:eastAsia="zh-CN"/>
                                          </w:rPr>
                                        </m:ctrlPr>
                                      </m:sSubPr>
                                      <m:e>
                                        <m:r>
                                          <w:rPr>
                                            <w:rFonts w:ascii="Cambria Math" w:hAnsi="Cambria Math" w:eastAsia="宋体"/>
                                            <w:szCs w:val="20"/>
                                            <w:lang w:val="en-GB" w:eastAsia="zh-CN"/>
                                          </w:rPr>
                                          <m:t>Y</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oMath>
                                  <w:r>
                                    <w:rPr>
                                      <w:rFonts w:eastAsia="宋体"/>
                                      <w:szCs w:val="20"/>
                                      <w:lang w:val="en-GB" w:eastAsia="zh-CN"/>
                                    </w:rPr>
                                    <w:t xml:space="preserve"> slots are within the </w:t>
                                  </w:r>
                                  <m:oMath>
                                    <m:sSub>
                                      <m:sSubPr>
                                        <m:ctrlPr>
                                          <w:rPr>
                                            <w:rFonts w:ascii="Cambria Math" w:hAnsi="Cambria Math" w:eastAsia="宋体"/>
                                            <w:i/>
                                            <w:szCs w:val="20"/>
                                            <w:lang w:val="en-GB" w:eastAsia="zh-CN"/>
                                          </w:rPr>
                                        </m:ctrlPr>
                                      </m:sSubPr>
                                      <m:e>
                                        <m:r>
                                          <w:rPr>
                                            <w:rFonts w:ascii="Cambria Math" w:hAnsi="Cambria Math" w:eastAsia="宋体"/>
                                            <w:szCs w:val="20"/>
                                            <w:lang w:val="en-GB" w:eastAsia="zh-CN"/>
                                          </w:rPr>
                                          <m:t>X</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oMath>
                                  <w:r>
                                    <w:rPr>
                                      <w:rFonts w:eastAsia="宋体"/>
                                      <w:szCs w:val="20"/>
                                      <w:lang w:val="en-GB" w:eastAsia="zh-CN"/>
                                    </w:rPr>
                                    <w:t xml:space="preserve"> slots. The first group of </w:t>
                                  </w:r>
                                  <m:oMath>
                                    <m:sSub>
                                      <m:sSubPr>
                                        <m:ctrlPr>
                                          <w:rPr>
                                            <w:rFonts w:ascii="Cambria Math" w:hAnsi="Cambria Math" w:eastAsia="宋体"/>
                                            <w:i/>
                                            <w:szCs w:val="20"/>
                                            <w:lang w:val="en-GB" w:eastAsia="zh-CN"/>
                                          </w:rPr>
                                        </m:ctrlPr>
                                      </m:sSubPr>
                                      <m:e>
                                        <m:r>
                                          <w:rPr>
                                            <w:rFonts w:ascii="Cambria Math" w:hAnsi="Cambria Math" w:eastAsia="宋体"/>
                                            <w:szCs w:val="20"/>
                                            <w:lang w:val="en-GB" w:eastAsia="zh-CN"/>
                                          </w:rPr>
                                          <m:t>X</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oMath>
                                  <w:r>
                                    <w:rPr>
                                      <w:rFonts w:eastAsia="宋体"/>
                                      <w:szCs w:val="20"/>
                                      <w:lang w:val="en-GB" w:eastAsia="zh-CN"/>
                                    </w:rPr>
                                    <w:t xml:space="preserve"> slots starts from the beginning of a subframe. The start of two consecutive groups of </w:t>
                                  </w:r>
                                  <m:oMath>
                                    <m:sSub>
                                      <m:sSubPr>
                                        <m:ctrlPr>
                                          <w:rPr>
                                            <w:rFonts w:ascii="Cambria Math" w:hAnsi="Cambria Math" w:eastAsia="宋体"/>
                                            <w:i/>
                                            <w:szCs w:val="20"/>
                                            <w:lang w:val="en-GB" w:eastAsia="zh-CN"/>
                                          </w:rPr>
                                        </m:ctrlPr>
                                      </m:sSubPr>
                                      <m:e>
                                        <m:r>
                                          <w:rPr>
                                            <w:rFonts w:ascii="Cambria Math" w:hAnsi="Cambria Math" w:eastAsia="宋体"/>
                                            <w:szCs w:val="20"/>
                                            <w:lang w:val="en-GB" w:eastAsia="zh-CN"/>
                                          </w:rPr>
                                          <m:t>Y</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oMath>
                                  <w:r>
                                    <w:rPr>
                                      <w:rFonts w:eastAsia="宋体"/>
                                      <w:szCs w:val="20"/>
                                      <w:lang w:val="en-GB" w:eastAsia="zh-CN"/>
                                    </w:rPr>
                                    <w:t xml:space="preserve"> slots is separated by </w:t>
                                  </w:r>
                                  <m:oMath>
                                    <m:sSub>
                                      <m:sSubPr>
                                        <m:ctrlPr>
                                          <w:rPr>
                                            <w:rFonts w:ascii="Cambria Math" w:hAnsi="Cambria Math" w:eastAsia="宋体"/>
                                            <w:i/>
                                            <w:szCs w:val="20"/>
                                            <w:lang w:val="en-GB" w:eastAsia="zh-CN"/>
                                          </w:rPr>
                                        </m:ctrlPr>
                                      </m:sSubPr>
                                      <m:e>
                                        <m:r>
                                          <w:rPr>
                                            <w:rFonts w:ascii="Cambria Math" w:hAnsi="Cambria Math" w:eastAsia="宋体"/>
                                            <w:szCs w:val="20"/>
                                            <w:lang w:val="en-GB" w:eastAsia="zh-CN"/>
                                          </w:rPr>
                                          <m:t>X</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oMath>
                                  <w:r>
                                    <w:rPr>
                                      <w:rFonts w:eastAsia="宋体"/>
                                      <w:szCs w:val="20"/>
                                      <w:lang w:val="en-GB" w:eastAsia="zh-CN"/>
                                    </w:rPr>
                                    <w:t xml:space="preserve"> slots. </w:t>
                                  </w:r>
                                </w:p>
                                <w:p/>
                              </w:txbxContent>
                            </wps:txbx>
                            <wps:bodyPr rot="0" vert="horz" wrap="square" lIns="91440" tIns="45720" rIns="91440" bIns="45720" anchor="t" anchorCtr="0">
                              <a:noAutofit/>
                            </wps:bodyPr>
                          </wps:wsp>
                        </a:graphicData>
                      </a:graphic>
                    </wp:anchor>
                  </w:drawing>
                </mc:Choice>
                <mc:Fallback>
                  <w:pict>
                    <v:shape id="Text Box 4" o:spid="_x0000_s1026" o:spt="202" type="#_x0000_t202" style="position:absolute;left:0pt;margin-top:22.3pt;height:60.7pt;width:479.55pt;mso-position-horizontal:right;mso-position-horizontal-relative:margin;mso-wrap-distance-bottom:3.6pt;mso-wrap-distance-top:3.6pt;z-index:251659264;mso-width-relative:page;mso-height-relative:page;" fillcolor="#FFFFFF" filled="t" stroked="t" coordsize="21600,21600" o:gfxdata="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D9LjGI1gAAAAcBAAAPAAAAAAAAAAEAIAAA&#10;ACIAAABkcnMvZG93bnJldi54bWxQSwECFAAUAAAACACHTuJAp9YOrQ4CAAAsBAAADgAAAAAAAAAB&#10;ACAAAAAlAQAAZHJzL2Uyb0RvYy54bWxQSwUGAAAAAAYABgBZAQAApQUAAAAA&#10;">
                      <v:fill on="t" focussize="0,0"/>
                      <v:stroke color="#000000" miterlimit="8" joinstyle="miter"/>
                      <v:imagedata o:title=""/>
                      <o:lock v:ext="edit" aspectratio="f"/>
                      <v:textbox>
                        <w:txbxContent>
                          <w:p>
                            <w:pPr>
                              <w:rPr>
                                <w:rFonts w:eastAsia="宋体"/>
                                <w:szCs w:val="20"/>
                                <w:lang w:val="en-GB" w:eastAsia="zh-CN"/>
                              </w:rPr>
                            </w:pPr>
                            <w:r>
                              <w:rPr>
                                <w:rFonts w:eastAsia="宋体"/>
                                <w:szCs w:val="20"/>
                                <w:lang w:val="en-GB" w:eastAsia="zh-CN"/>
                              </w:rPr>
                              <w:t xml:space="preserve">If a UE can indicate a capability to monitor PDCCH according to one or more combinations </w:t>
                            </w:r>
                            <m:oMath>
                              <m:d>
                                <m:dPr>
                                  <m:ctrlPr>
                                    <w:rPr>
                                      <w:rFonts w:ascii="Cambria Math" w:hAnsi="Cambria Math" w:eastAsia="宋体"/>
                                      <w:szCs w:val="20"/>
                                      <w:lang w:val="en-GB" w:eastAsia="zh-CN"/>
                                    </w:rPr>
                                  </m:ctrlPr>
                                </m:dPr>
                                <m:e>
                                  <m:sSub>
                                    <m:sSubPr>
                                      <m:ctrlPr>
                                        <w:rPr>
                                          <w:rFonts w:ascii="Cambria Math" w:hAnsi="Cambria Math" w:eastAsia="宋体"/>
                                          <w:i/>
                                          <w:szCs w:val="20"/>
                                          <w:lang w:val="en-GB" w:eastAsia="zh-CN"/>
                                        </w:rPr>
                                      </m:ctrlPr>
                                    </m:sSubPr>
                                    <m:e>
                                      <m:r>
                                        <w:rPr>
                                          <w:rFonts w:ascii="Cambria Math" w:hAnsi="Cambria Math" w:eastAsia="宋体"/>
                                          <w:szCs w:val="20"/>
                                          <w:lang w:val="en-GB" w:eastAsia="zh-CN"/>
                                        </w:rPr>
                                        <m:t>X</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r>
                                    <w:rPr>
                                      <w:rFonts w:ascii="Cambria Math" w:hAnsi="Cambria Math" w:eastAsia="宋体"/>
                                      <w:szCs w:val="20"/>
                                      <w:lang w:val="en-GB" w:eastAsia="zh-CN"/>
                                    </w:rPr>
                                    <m:t>,</m:t>
                                  </m:r>
                                  <m:sSub>
                                    <m:sSubPr>
                                      <m:ctrlPr>
                                        <w:rPr>
                                          <w:rFonts w:ascii="Cambria Math" w:hAnsi="Cambria Math" w:eastAsia="宋体"/>
                                          <w:i/>
                                          <w:szCs w:val="20"/>
                                          <w:lang w:val="en-GB" w:eastAsia="zh-CN"/>
                                        </w:rPr>
                                      </m:ctrlPr>
                                    </m:sSubPr>
                                    <m:e>
                                      <m:r>
                                        <w:rPr>
                                          <w:rFonts w:ascii="Cambria Math" w:hAnsi="Cambria Math" w:eastAsia="宋体"/>
                                          <w:szCs w:val="20"/>
                                          <w:lang w:val="en-GB" w:eastAsia="zh-CN"/>
                                        </w:rPr>
                                        <m:t>Y</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ctrlPr>
                                    <w:rPr>
                                      <w:rFonts w:ascii="Cambria Math" w:hAnsi="Cambria Math" w:eastAsia="宋体"/>
                                      <w:szCs w:val="20"/>
                                      <w:lang w:val="en-GB" w:eastAsia="zh-CN"/>
                                    </w:rPr>
                                  </m:ctrlPr>
                                </m:e>
                              </m:d>
                            </m:oMath>
                            <w:r>
                              <w:rPr>
                                <w:rFonts w:eastAsia="宋体"/>
                                <w:szCs w:val="20"/>
                                <w:lang w:val="en-GB" w:eastAsia="zh-CN"/>
                              </w:rPr>
                              <w:t xml:space="preserve">, where </w:t>
                            </w:r>
                            <m:oMath>
                              <m:sSub>
                                <m:sSubPr>
                                  <m:ctrlPr>
                                    <w:rPr>
                                      <w:rFonts w:ascii="Cambria Math" w:hAnsi="Cambria Math" w:eastAsia="宋体"/>
                                      <w:i/>
                                      <w:szCs w:val="20"/>
                                      <w:lang w:val="en-GB" w:eastAsia="zh-CN"/>
                                    </w:rPr>
                                  </m:ctrlPr>
                                </m:sSubPr>
                                <m:e>
                                  <m:r>
                                    <w:rPr>
                                      <w:rFonts w:ascii="Cambria Math" w:hAnsi="Cambria Math" w:eastAsia="宋体"/>
                                      <w:szCs w:val="20"/>
                                      <w:lang w:val="en-GB" w:eastAsia="zh-CN"/>
                                    </w:rPr>
                                    <m:t>X</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oMath>
                            <w:r>
                              <w:rPr>
                                <w:rFonts w:eastAsia="宋体"/>
                                <w:szCs w:val="20"/>
                                <w:lang w:val="en-GB" w:eastAsia="zh-CN"/>
                              </w:rPr>
                              <w:t xml:space="preserve"> and </w:t>
                            </w:r>
                            <m:oMath>
                              <m:sSub>
                                <m:sSubPr>
                                  <m:ctrlPr>
                                    <w:rPr>
                                      <w:rFonts w:ascii="Cambria Math" w:hAnsi="Cambria Math" w:eastAsia="宋体"/>
                                      <w:i/>
                                      <w:szCs w:val="20"/>
                                      <w:lang w:val="en-GB" w:eastAsia="zh-CN"/>
                                    </w:rPr>
                                  </m:ctrlPr>
                                </m:sSubPr>
                                <m:e>
                                  <m:r>
                                    <w:rPr>
                                      <w:rFonts w:ascii="Cambria Math" w:hAnsi="Cambria Math" w:eastAsia="宋体"/>
                                      <w:szCs w:val="20"/>
                                      <w:lang w:val="en-GB" w:eastAsia="zh-CN"/>
                                    </w:rPr>
                                    <m:t>Y</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oMath>
                            <w:r>
                              <w:rPr>
                                <w:rFonts w:eastAsia="宋体"/>
                                <w:szCs w:val="20"/>
                                <w:lang w:val="en-GB" w:eastAsia="zh-CN"/>
                              </w:rPr>
                              <w:t xml:space="preserve"> are numbers of consecutive slots, groups of </w:t>
                            </w:r>
                            <m:oMath>
                              <m:sSub>
                                <m:sSubPr>
                                  <m:ctrlPr>
                                    <w:rPr>
                                      <w:rFonts w:ascii="Cambria Math" w:hAnsi="Cambria Math" w:eastAsia="宋体"/>
                                      <w:i/>
                                      <w:szCs w:val="20"/>
                                      <w:lang w:val="en-GB" w:eastAsia="zh-CN"/>
                                    </w:rPr>
                                  </m:ctrlPr>
                                </m:sSubPr>
                                <m:e>
                                  <m:r>
                                    <w:rPr>
                                      <w:rFonts w:ascii="Cambria Math" w:hAnsi="Cambria Math" w:eastAsia="宋体"/>
                                      <w:szCs w:val="20"/>
                                      <w:lang w:val="en-GB" w:eastAsia="zh-CN"/>
                                    </w:rPr>
                                    <m:t>X</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oMath>
                            <w:r>
                              <w:rPr>
                                <w:rFonts w:eastAsia="宋体"/>
                                <w:szCs w:val="20"/>
                                <w:lang w:val="en-GB" w:eastAsia="zh-CN"/>
                              </w:rPr>
                              <w:t xml:space="preserve"> slots are consecutive and non-overlapping, and the </w:t>
                            </w:r>
                            <m:oMath>
                              <m:sSub>
                                <m:sSubPr>
                                  <m:ctrlPr>
                                    <w:rPr>
                                      <w:rFonts w:ascii="Cambria Math" w:hAnsi="Cambria Math" w:eastAsia="宋体"/>
                                      <w:i/>
                                      <w:szCs w:val="20"/>
                                      <w:lang w:val="en-GB" w:eastAsia="zh-CN"/>
                                    </w:rPr>
                                  </m:ctrlPr>
                                </m:sSubPr>
                                <m:e>
                                  <m:r>
                                    <w:rPr>
                                      <w:rFonts w:ascii="Cambria Math" w:hAnsi="Cambria Math" w:eastAsia="宋体"/>
                                      <w:szCs w:val="20"/>
                                      <w:lang w:val="en-GB" w:eastAsia="zh-CN"/>
                                    </w:rPr>
                                    <m:t>Y</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oMath>
                            <w:r>
                              <w:rPr>
                                <w:rFonts w:eastAsia="宋体"/>
                                <w:szCs w:val="20"/>
                                <w:lang w:val="en-GB" w:eastAsia="zh-CN"/>
                              </w:rPr>
                              <w:t xml:space="preserve"> slots are within the </w:t>
                            </w:r>
                            <m:oMath>
                              <m:sSub>
                                <m:sSubPr>
                                  <m:ctrlPr>
                                    <w:rPr>
                                      <w:rFonts w:ascii="Cambria Math" w:hAnsi="Cambria Math" w:eastAsia="宋体"/>
                                      <w:i/>
                                      <w:szCs w:val="20"/>
                                      <w:lang w:val="en-GB" w:eastAsia="zh-CN"/>
                                    </w:rPr>
                                  </m:ctrlPr>
                                </m:sSubPr>
                                <m:e>
                                  <m:r>
                                    <w:rPr>
                                      <w:rFonts w:ascii="Cambria Math" w:hAnsi="Cambria Math" w:eastAsia="宋体"/>
                                      <w:szCs w:val="20"/>
                                      <w:lang w:val="en-GB" w:eastAsia="zh-CN"/>
                                    </w:rPr>
                                    <m:t>X</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oMath>
                            <w:r>
                              <w:rPr>
                                <w:rFonts w:eastAsia="宋体"/>
                                <w:szCs w:val="20"/>
                                <w:lang w:val="en-GB" w:eastAsia="zh-CN"/>
                              </w:rPr>
                              <w:t xml:space="preserve"> slots. The first group of </w:t>
                            </w:r>
                            <m:oMath>
                              <m:sSub>
                                <m:sSubPr>
                                  <m:ctrlPr>
                                    <w:rPr>
                                      <w:rFonts w:ascii="Cambria Math" w:hAnsi="Cambria Math" w:eastAsia="宋体"/>
                                      <w:i/>
                                      <w:szCs w:val="20"/>
                                      <w:lang w:val="en-GB" w:eastAsia="zh-CN"/>
                                    </w:rPr>
                                  </m:ctrlPr>
                                </m:sSubPr>
                                <m:e>
                                  <m:r>
                                    <w:rPr>
                                      <w:rFonts w:ascii="Cambria Math" w:hAnsi="Cambria Math" w:eastAsia="宋体"/>
                                      <w:szCs w:val="20"/>
                                      <w:lang w:val="en-GB" w:eastAsia="zh-CN"/>
                                    </w:rPr>
                                    <m:t>X</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oMath>
                            <w:r>
                              <w:rPr>
                                <w:rFonts w:eastAsia="宋体"/>
                                <w:szCs w:val="20"/>
                                <w:lang w:val="en-GB" w:eastAsia="zh-CN"/>
                              </w:rPr>
                              <w:t xml:space="preserve"> slots starts from the beginning of a subframe. The start of two consecutive groups of </w:t>
                            </w:r>
                            <m:oMath>
                              <m:sSub>
                                <m:sSubPr>
                                  <m:ctrlPr>
                                    <w:rPr>
                                      <w:rFonts w:ascii="Cambria Math" w:hAnsi="Cambria Math" w:eastAsia="宋体"/>
                                      <w:i/>
                                      <w:szCs w:val="20"/>
                                      <w:lang w:val="en-GB" w:eastAsia="zh-CN"/>
                                    </w:rPr>
                                  </m:ctrlPr>
                                </m:sSubPr>
                                <m:e>
                                  <m:r>
                                    <w:rPr>
                                      <w:rFonts w:ascii="Cambria Math" w:hAnsi="Cambria Math" w:eastAsia="宋体"/>
                                      <w:szCs w:val="20"/>
                                      <w:lang w:val="en-GB" w:eastAsia="zh-CN"/>
                                    </w:rPr>
                                    <m:t>Y</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oMath>
                            <w:r>
                              <w:rPr>
                                <w:rFonts w:eastAsia="宋体"/>
                                <w:szCs w:val="20"/>
                                <w:lang w:val="en-GB" w:eastAsia="zh-CN"/>
                              </w:rPr>
                              <w:t xml:space="preserve"> slots is separated by </w:t>
                            </w:r>
                            <m:oMath>
                              <m:sSub>
                                <m:sSubPr>
                                  <m:ctrlPr>
                                    <w:rPr>
                                      <w:rFonts w:ascii="Cambria Math" w:hAnsi="Cambria Math" w:eastAsia="宋体"/>
                                      <w:i/>
                                      <w:szCs w:val="20"/>
                                      <w:lang w:val="en-GB" w:eastAsia="zh-CN"/>
                                    </w:rPr>
                                  </m:ctrlPr>
                                </m:sSubPr>
                                <m:e>
                                  <m:r>
                                    <w:rPr>
                                      <w:rFonts w:ascii="Cambria Math" w:hAnsi="Cambria Math" w:eastAsia="宋体"/>
                                      <w:szCs w:val="20"/>
                                      <w:lang w:val="en-GB" w:eastAsia="zh-CN"/>
                                    </w:rPr>
                                    <m:t>X</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oMath>
                            <w:r>
                              <w:rPr>
                                <w:rFonts w:eastAsia="宋体"/>
                                <w:szCs w:val="20"/>
                                <w:lang w:val="en-GB" w:eastAsia="zh-CN"/>
                              </w:rPr>
                              <w:t xml:space="preserve"> slots. </w:t>
                            </w:r>
                          </w:p>
                          <w:p/>
                        </w:txbxContent>
                      </v:textbox>
                      <w10:wrap type="topAndBottom"/>
                    </v:shape>
                  </w:pict>
                </mc:Fallback>
              </mc:AlternateContent>
            </w:r>
            <w:r>
              <w:rPr>
                <w:lang w:val="en-GB" w:eastAsia="ja-JP"/>
              </w:rPr>
              <w:t>Regarding Issue 2 above, the following is already specified in 38.213 Section 10:</w:t>
            </w:r>
          </w:p>
          <w:p>
            <w:pPr>
              <w:widowControl w:val="0"/>
              <w:rPr>
                <w:lang w:val="en-GB" w:eastAsia="ja-JP"/>
              </w:rPr>
            </w:pPr>
            <w:r>
              <w:rPr>
                <w:lang w:val="en-GB" w:eastAsia="ja-JP"/>
              </w:rPr>
              <w:t xml:space="preserve">This says that the location of the slot groups is fixed and aligned from the beginning of a subframe. Given the prior agreement that the Y consecutive slots in which PDCCH is monitored in Group (1) SSs can be located anywhere within a slot group, and that the slot(s) in which the UE monitors PDCCH in Group (2) SSs can be anywhere within a slot group, it is essential that the offset configured with the parameter </w:t>
            </w:r>
            <w:r>
              <w:rPr>
                <w:i/>
                <w:iCs/>
                <w:lang w:val="en-GB" w:eastAsia="ja-JP"/>
              </w:rPr>
              <w:t>monitoringPeriodicityAndOffset</w:t>
            </w:r>
            <w:r>
              <w:rPr>
                <w:lang w:val="en-GB" w:eastAsia="ja-JP"/>
              </w:rPr>
              <w:t xml:space="preserve"> can be configured with slot level granularity, i.e., unrestricted. Based on this, we propose the following:</w:t>
            </w:r>
          </w:p>
          <w:p>
            <w:pPr>
              <w:pStyle w:val="212"/>
              <w:widowControl w:val="0"/>
              <w:tabs>
                <w:tab w:val="clear" w:pos="2722"/>
              </w:tabs>
              <w:spacing w:after="120"/>
              <w:jc w:val="both"/>
              <w:rPr>
                <w:lang w:val="en-GB"/>
              </w:rPr>
            </w:pPr>
            <w:bookmarkStart w:id="71" w:name="_Toc95740686"/>
            <w:r>
              <w:rPr>
                <w:lang w:val="en-GB"/>
              </w:rPr>
              <w:t xml:space="preserve">For both Group (1) and Group (2) SSs, the offset configured by the parameter </w:t>
            </w:r>
            <w:r>
              <w:rPr>
                <w:i/>
                <w:iCs/>
                <w:lang w:val="en-GB"/>
              </w:rPr>
              <w:t>monitoringPeriodicityandOffset-r17</w:t>
            </w:r>
            <w:r>
              <w:rPr>
                <w:lang w:val="en-GB"/>
              </w:rPr>
              <w:t xml:space="preserve"> is </w:t>
            </w:r>
            <w:r>
              <w:rPr>
                <w:u w:val="single"/>
                <w:lang w:val="en-GB"/>
              </w:rPr>
              <w:t>not</w:t>
            </w:r>
            <w:r>
              <w:rPr>
                <w:lang w:val="en-GB"/>
              </w:rPr>
              <w:t xml:space="preserve"> restricted to be an integer multiple of Xs slots.</w:t>
            </w:r>
            <w:bookmarkEnd w:id="71"/>
          </w:p>
          <w:p>
            <w:pPr>
              <w:widowControl w:val="0"/>
              <w:rPr>
                <w:lang w:val="en-GB"/>
              </w:rPr>
            </w:pPr>
          </w:p>
          <w:p>
            <w:pPr>
              <w:widowControl w:val="0"/>
              <w:rPr>
                <w:lang w:val="en-GB" w:eastAsia="ja-JP"/>
              </w:rPr>
            </w:pPr>
            <w:r>
              <w:rPr>
                <w:lang w:val="en-GB" w:eastAsia="ja-JP"/>
              </w:rPr>
              <w:t xml:space="preserve">As shown in the above agreement on search space configuration, the value range {8,12, …, 20476} for the parameter </w:t>
            </w:r>
            <w:r>
              <w:rPr>
                <w:i/>
                <w:iCs/>
                <w:lang w:val="en-GB" w:eastAsia="ja-JP"/>
              </w:rPr>
              <w:t>duration-r17</w:t>
            </w:r>
            <w:r>
              <w:rPr>
                <w:lang w:val="en-GB" w:eastAsia="ja-JP"/>
              </w:rPr>
              <w:t xml:space="preserve"> supports integer multiples of Xs both for Xs = 4 and 8 which applies to Group (1) SSs. However, as discussed above for Group (2) SSs, the periodicity and duration should not be restricted to integer multiples of Xs (see </w:t>
            </w:r>
            <w:r>
              <w:rPr>
                <w:lang w:val="en-GB" w:eastAsia="ja-JP"/>
              </w:rPr>
              <w:fldChar w:fldCharType="begin"/>
            </w:r>
            <w:r>
              <w:rPr>
                <w:lang w:val="en-GB" w:eastAsia="ja-JP"/>
              </w:rPr>
              <w:instrText xml:space="preserve"> REF _Ref95219919 \r \h </w:instrText>
            </w:r>
            <w:r>
              <w:rPr>
                <w:lang w:val="en-GB" w:eastAsia="ja-JP"/>
              </w:rPr>
              <w:fldChar w:fldCharType="separate"/>
            </w:r>
            <w:r>
              <w:rPr>
                <w:lang w:val="en-GB" w:eastAsia="ja-JP"/>
              </w:rPr>
              <w:t>Proposal 3</w:t>
            </w:r>
            <w:r>
              <w:rPr>
                <w:lang w:val="en-GB" w:eastAsia="ja-JP"/>
              </w:rPr>
              <w:fldChar w:fldCharType="end"/>
            </w:r>
            <w:r>
              <w:rPr>
                <w:lang w:val="en-GB" w:eastAsia="ja-JP"/>
              </w:rPr>
              <w:t>). Hence, for the parameter duration-r17 to be usable for both Group (1) and Group (2) search spaces, the value range should be augmented to include all integer values from 2 .. 20479. If the value range is not augmented in this way, then a separate duration parameter would be needed for Group (2) SSs, and we don’t think this is a preferrable solution.</w:t>
            </w:r>
          </w:p>
          <w:p>
            <w:pPr>
              <w:widowControl w:val="0"/>
              <w:rPr>
                <w:lang w:val="en-GB" w:eastAsia="ja-JP"/>
              </w:rPr>
            </w:pPr>
            <w:r>
              <w:rPr>
                <w:lang w:val="en-GB" w:eastAsia="ja-JP"/>
              </w:rPr>
              <w:t>Based on this discussion, we makes the following pair of proposals:</w:t>
            </w:r>
          </w:p>
          <w:p>
            <w:pPr>
              <w:pStyle w:val="212"/>
              <w:widowControl w:val="0"/>
              <w:tabs>
                <w:tab w:val="clear" w:pos="2722"/>
              </w:tabs>
              <w:spacing w:after="120"/>
              <w:jc w:val="both"/>
              <w:rPr>
                <w:lang w:val="en-GB"/>
              </w:rPr>
            </w:pPr>
            <w:bookmarkStart w:id="72" w:name="_Toc95740687"/>
            <w:r>
              <w:rPr>
                <w:lang w:val="en-GB"/>
              </w:rPr>
              <w:t xml:space="preserve">For the parameter </w:t>
            </w:r>
            <w:r>
              <w:rPr>
                <w:i/>
                <w:iCs/>
                <w:lang w:val="en-GB"/>
              </w:rPr>
              <w:t>duration-r17</w:t>
            </w:r>
            <w:r>
              <w:rPr>
                <w:lang w:val="en-GB"/>
              </w:rPr>
              <w:t>, augment the agreed value range {8, 12, …, 20476} to include all integer values in the range {2 .. 20479}. For Group (1) SSs, the configured duration is restricted to be integer multiples of Xs as previously agreed. For Group (2) SSs, the configured duration is not restricted.</w:t>
            </w:r>
            <w:bookmarkEnd w:id="72"/>
          </w:p>
          <w:p>
            <w:pPr>
              <w:pStyle w:val="212"/>
              <w:widowControl w:val="0"/>
              <w:tabs>
                <w:tab w:val="clear" w:pos="2722"/>
              </w:tabs>
              <w:spacing w:after="120"/>
              <w:jc w:val="both"/>
              <w:rPr>
                <w:lang w:val="en-GB"/>
              </w:rPr>
            </w:pPr>
            <w:bookmarkStart w:id="73" w:name="_Toc95740688"/>
            <w:r>
              <w:rPr>
                <w:lang w:val="en-GB"/>
              </w:rPr>
              <w:t xml:space="preserve">In the RRC parameter spreadsheet, provide a recommendation to RAN2 to update the field description of the parameter </w:t>
            </w:r>
            <w:r>
              <w:rPr>
                <w:i/>
                <w:iCs/>
                <w:lang w:val="en-GB"/>
              </w:rPr>
              <w:t>duration</w:t>
            </w:r>
            <w:r>
              <w:rPr>
                <w:lang w:val="en-GB"/>
              </w:rPr>
              <w:t xml:space="preserve"> as follows:</w:t>
            </w:r>
            <w:bookmarkEnd w:id="73"/>
          </w:p>
          <w:tbl>
            <w:tblPr>
              <w:tblStyle w:val="54"/>
              <w:tblW w:w="8370" w:type="dxa"/>
              <w:tblInd w:w="134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3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70" w:type="dxa"/>
                  <w:tcBorders>
                    <w:top w:val="single" w:color="auto" w:sz="4" w:space="0"/>
                    <w:left w:val="single" w:color="auto" w:sz="4" w:space="0"/>
                    <w:bottom w:val="single" w:color="auto" w:sz="4" w:space="0"/>
                    <w:right w:val="single" w:color="auto" w:sz="4" w:space="0"/>
                  </w:tcBorders>
                </w:tcPr>
                <w:p>
                  <w:pPr>
                    <w:keepNext/>
                    <w:keepLines/>
                    <w:overflowPunct w:val="0"/>
                    <w:spacing w:after="0" w:line="240" w:lineRule="auto"/>
                    <w:textAlignment w:val="baseline"/>
                    <w:rPr>
                      <w:rFonts w:eastAsia="Times New Roman"/>
                      <w:sz w:val="18"/>
                      <w:lang w:val="en-GB" w:eastAsia="sv-SE"/>
                    </w:rPr>
                  </w:pPr>
                  <w:r>
                    <w:rPr>
                      <w:rFonts w:eastAsia="Times New Roman"/>
                      <w:b/>
                      <w:i/>
                      <w:sz w:val="18"/>
                      <w:lang w:val="en-GB" w:eastAsia="sv-SE"/>
                    </w:rPr>
                    <w:t>duration</w:t>
                  </w:r>
                </w:p>
                <w:p>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 xml:space="preserve">Number of consecutive slots that a SearchSpace lasts in every occasion, i.e., upon every period as given in the </w:t>
                  </w:r>
                  <w:r>
                    <w:rPr>
                      <w:rFonts w:eastAsia="Times New Roman"/>
                      <w:i/>
                      <w:sz w:val="18"/>
                      <w:lang w:val="en-GB" w:eastAsia="sv-SE"/>
                    </w:rPr>
                    <w:t>periodicityAndOffset</w:t>
                  </w:r>
                  <w:r>
                    <w:rPr>
                      <w:rFonts w:eastAsia="Times New Roman"/>
                      <w:sz w:val="18"/>
                      <w:lang w:val="en-GB" w:eastAsia="sv-SE"/>
                    </w:rPr>
                    <w:t xml:space="preserve">. If the field is absent, the UE applies the value 1 slot, except for DCI format 2_0. The UE ignores this field for DCI format 2_0. The maximum valid duration is periodicity-1 (periodicity as given in the </w:t>
                  </w:r>
                  <w:r>
                    <w:rPr>
                      <w:rFonts w:eastAsia="Times New Roman"/>
                      <w:i/>
                      <w:sz w:val="18"/>
                      <w:lang w:val="en-GB" w:eastAsia="sv-SE"/>
                    </w:rPr>
                    <w:t>monitoringSlotPeriodicityAndOffset</w:t>
                  </w:r>
                  <w:r>
                    <w:rPr>
                      <w:rFonts w:eastAsia="Times New Roman"/>
                      <w:sz w:val="18"/>
                      <w:lang w:val="en-GB" w:eastAsia="sv-SE"/>
                    </w:rPr>
                    <w:t>).</w:t>
                  </w:r>
                </w:p>
                <w:p>
                  <w:pPr>
                    <w:keepNext/>
                    <w:keepLines/>
                    <w:overflowPunct w:val="0"/>
                    <w:spacing w:after="0" w:line="240" w:lineRule="auto"/>
                    <w:textAlignment w:val="baseline"/>
                    <w:rPr>
                      <w:rFonts w:eastAsia="Times New Roman"/>
                      <w:sz w:val="18"/>
                      <w:lang w:val="en-GB" w:eastAsia="sv-SE"/>
                    </w:rPr>
                  </w:pPr>
                  <w:r>
                    <w:rPr>
                      <w:rFonts w:eastAsia="Times New Roman"/>
                      <w:color w:val="FF0000"/>
                      <w:sz w:val="18"/>
                      <w:szCs w:val="18"/>
                      <w:lang w:val="en-GB" w:eastAsia="sv-SE"/>
                    </w:rPr>
                    <w:t xml:space="preserve">If a UE monitors PDCCH in a Type-1 CSS with dedicated RRC configuration, or a type 3 CSS, or a USS on a cell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ctrlPr>
                          <w:rPr>
                            <w:rFonts w:ascii="Cambria Math" w:hAnsi="Cambria Math"/>
                            <w:i/>
                            <w:color w:val="FF0000"/>
                            <w:sz w:val="18"/>
                            <w:szCs w:val="18"/>
                            <w:lang w:eastAsia="sv-SE"/>
                          </w:rPr>
                        </m:ctrlPr>
                      </m:e>
                      <m:sub>
                        <m:r>
                          <w:rPr>
                            <w:rFonts w:ascii="Cambria Math" w:hAnsi="Cambria Math"/>
                            <w:color w:val="FF0000"/>
                            <w:sz w:val="18"/>
                            <w:szCs w:val="18"/>
                            <w:lang w:eastAsia="sv-SE"/>
                          </w:rPr>
                          <m:t>s</m:t>
                        </m:r>
                        <m:ctrlPr>
                          <w:rPr>
                            <w:rFonts w:ascii="Cambria Math" w:hAnsi="Cambria Math"/>
                            <w:i/>
                            <w:color w:val="FF0000"/>
                            <w:sz w:val="18"/>
                            <w:szCs w:val="18"/>
                            <w:lang w:eastAsia="sv-SE"/>
                          </w:rPr>
                        </m:ctrlP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ctrlPr>
                          <w:rPr>
                            <w:rFonts w:ascii="Cambria Math" w:hAnsi="Cambria Math"/>
                            <w:i/>
                            <w:color w:val="FF0000"/>
                            <w:sz w:val="18"/>
                            <w:szCs w:val="18"/>
                            <w:lang w:eastAsia="sv-SE"/>
                          </w:rPr>
                        </m:ctrlPr>
                      </m:e>
                      <m:sub>
                        <m:r>
                          <w:rPr>
                            <w:rFonts w:ascii="Cambria Math" w:hAnsi="Cambria Math"/>
                            <w:color w:val="FF0000"/>
                            <w:sz w:val="18"/>
                            <w:szCs w:val="18"/>
                            <w:lang w:eastAsia="sv-SE"/>
                          </w:rPr>
                          <m:t>s</m:t>
                        </m:r>
                        <m:ctrlPr>
                          <w:rPr>
                            <w:rFonts w:ascii="Cambria Math" w:hAnsi="Cambria Math"/>
                            <w:i/>
                            <w:color w:val="FF0000"/>
                            <w:sz w:val="18"/>
                            <w:szCs w:val="18"/>
                            <w:lang w:eastAsia="sv-SE"/>
                          </w:rPr>
                        </m:ctrlPr>
                      </m:sub>
                    </m:sSub>
                  </m:oMath>
                  <w:r>
                    <w:rPr>
                      <w:color w:val="FF0000"/>
                      <w:sz w:val="18"/>
                      <w:szCs w:val="18"/>
                      <w:lang w:eastAsia="sv-SE"/>
                    </w:rPr>
                    <w:t xml:space="preserve">) (see TS 38.213 [13], clause 10), the duration can only be configured such that it is an integer multiple of </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ctrlPr>
                          <w:rPr>
                            <w:rFonts w:ascii="Cambria Math" w:hAnsi="Cambria Math"/>
                            <w:i/>
                            <w:color w:val="FF0000"/>
                            <w:sz w:val="18"/>
                            <w:szCs w:val="18"/>
                            <w:lang w:eastAsia="sv-SE"/>
                          </w:rPr>
                        </m:ctrlPr>
                      </m:e>
                      <m:sub>
                        <m:r>
                          <w:rPr>
                            <w:rFonts w:ascii="Cambria Math" w:hAnsi="Cambria Math"/>
                            <w:color w:val="FF0000"/>
                            <w:sz w:val="18"/>
                            <w:szCs w:val="18"/>
                            <w:lang w:eastAsia="sv-SE"/>
                          </w:rPr>
                          <m:t>s</m:t>
                        </m:r>
                        <m:ctrlPr>
                          <w:rPr>
                            <w:rFonts w:ascii="Cambria Math" w:hAnsi="Cambria Math"/>
                            <w:i/>
                            <w:color w:val="FF0000"/>
                            <w:sz w:val="18"/>
                            <w:szCs w:val="18"/>
                            <w:lang w:eastAsia="sv-SE"/>
                          </w:rPr>
                        </m:ctrlPr>
                      </m:sub>
                    </m:sSub>
                  </m:oMath>
                  <w:r>
                    <w:rPr>
                      <w:color w:val="FF0000"/>
                      <w:sz w:val="18"/>
                      <w:szCs w:val="18"/>
                      <w:lang w:eastAsia="sv-SE"/>
                    </w:rPr>
                    <w:t xml:space="preserve"> with minimum value </w:t>
                  </w:r>
                  <m:oMath>
                    <m:r>
                      <w:rPr>
                        <w:rFonts w:ascii="Cambria Math" w:hAnsi="Cambria Math"/>
                        <w:color w:val="FF0000"/>
                        <w:sz w:val="18"/>
                        <w:szCs w:val="18"/>
                        <w:lang w:eastAsia="sv-SE"/>
                      </w:rPr>
                      <m:t>2</m:t>
                    </m:r>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ctrlPr>
                          <w:rPr>
                            <w:rFonts w:ascii="Cambria Math" w:hAnsi="Cambria Math"/>
                            <w:i/>
                            <w:color w:val="FF0000"/>
                            <w:sz w:val="18"/>
                            <w:szCs w:val="18"/>
                            <w:lang w:eastAsia="sv-SE"/>
                          </w:rPr>
                        </m:ctrlPr>
                      </m:e>
                      <m:sub>
                        <m:r>
                          <w:rPr>
                            <w:rFonts w:ascii="Cambria Math" w:hAnsi="Cambria Math"/>
                            <w:color w:val="FF0000"/>
                            <w:sz w:val="18"/>
                            <w:szCs w:val="18"/>
                            <w:lang w:eastAsia="sv-SE"/>
                          </w:rPr>
                          <m:t>s</m:t>
                        </m:r>
                        <m:ctrlPr>
                          <w:rPr>
                            <w:rFonts w:ascii="Cambria Math" w:hAnsi="Cambria Math"/>
                            <w:i/>
                            <w:color w:val="FF0000"/>
                            <w:sz w:val="18"/>
                            <w:szCs w:val="18"/>
                            <w:lang w:eastAsia="sv-SE"/>
                          </w:rPr>
                        </m:ctrlPr>
                      </m:sub>
                    </m:sSub>
                  </m:oMath>
                  <w:r>
                    <w:rPr>
                      <w:color w:val="FF0000"/>
                      <w:sz w:val="18"/>
                      <w:szCs w:val="18"/>
                      <w:lang w:eastAsia="sv-SE"/>
                    </w:rPr>
                    <w:t xml:space="preserve">. If the field is absent, the UE applies the value </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ctrlPr>
                          <w:rPr>
                            <w:rFonts w:ascii="Cambria Math" w:hAnsi="Cambria Math"/>
                            <w:i/>
                            <w:color w:val="FF0000"/>
                            <w:sz w:val="18"/>
                            <w:szCs w:val="18"/>
                            <w:lang w:eastAsia="sv-SE"/>
                          </w:rPr>
                        </m:ctrlPr>
                      </m:e>
                      <m:sub>
                        <m:r>
                          <w:rPr>
                            <w:rFonts w:ascii="Cambria Math" w:hAnsi="Cambria Math"/>
                            <w:color w:val="FF0000"/>
                            <w:sz w:val="18"/>
                            <w:szCs w:val="18"/>
                            <w:lang w:eastAsia="sv-SE"/>
                          </w:rPr>
                          <m:t>s</m:t>
                        </m:r>
                        <m:ctrlPr>
                          <w:rPr>
                            <w:rFonts w:ascii="Cambria Math" w:hAnsi="Cambria Math"/>
                            <w:i/>
                            <w:color w:val="FF0000"/>
                            <w:sz w:val="18"/>
                            <w:szCs w:val="18"/>
                            <w:lang w:eastAsia="sv-SE"/>
                          </w:rPr>
                        </m:ctrlPr>
                      </m:sub>
                    </m:sSub>
                  </m:oMath>
                  <w:r>
                    <w:rPr>
                      <w:color w:val="FF0000"/>
                      <w:sz w:val="18"/>
                      <w:szCs w:val="18"/>
                      <w:lang w:eastAsia="sv-SE"/>
                    </w:rPr>
                    <w:t xml:space="preserve"> slots except for DCI format 2_0. </w:t>
                  </w:r>
                  <w:r>
                    <w:rPr>
                      <w:rFonts w:eastAsia="Times New Roman"/>
                      <w:color w:val="FF0000"/>
                      <w:sz w:val="18"/>
                      <w:lang w:val="en-GB" w:eastAsia="sv-SE"/>
                    </w:rPr>
                    <w:t>The UE ignores this field for DCI format 2_0.</w:t>
                  </w:r>
                </w:p>
                <w:p>
                  <w:pPr>
                    <w:keepNext/>
                    <w:keepLines/>
                    <w:overflowPunct w:val="0"/>
                    <w:spacing w:after="0" w:line="240" w:lineRule="auto"/>
                    <w:textAlignment w:val="baseline"/>
                    <w:rPr>
                      <w:rFonts w:eastAsia="Times New Roman"/>
                      <w:sz w:val="18"/>
                      <w:lang w:val="en-GB" w:eastAsia="sv-SE"/>
                    </w:rPr>
                  </w:pPr>
                  <w:r>
                    <w:rPr>
                      <w:rFonts w:eastAsia="Times New Roman"/>
                      <w:sz w:val="18"/>
                      <w:szCs w:val="18"/>
                      <w:lang w:val="en-GB" w:eastAsia="sv-SE"/>
                    </w:rPr>
                    <w:t>For IAB-MT, duration indicates n</w:t>
                  </w:r>
                  <w:r>
                    <w:rPr>
                      <w:rFonts w:eastAsia="Times New Roman" w:cs="Arial"/>
                      <w:sz w:val="18"/>
                      <w:szCs w:val="18"/>
                      <w:lang w:val="en-GB" w:eastAsia="sv-SE"/>
                    </w:rPr>
                    <w:t xml:space="preserve">umber of consecutive slots that a SearchSpace lasts in every occasion, i.e., upon every period as given in the </w:t>
                  </w:r>
                  <w:r>
                    <w:rPr>
                      <w:rFonts w:eastAsia="Times New Roman" w:cs="Arial"/>
                      <w:i/>
                      <w:sz w:val="18"/>
                      <w:szCs w:val="18"/>
                      <w:lang w:val="en-GB" w:eastAsia="sv-SE"/>
                    </w:rPr>
                    <w:t>periodicityAndOffset</w:t>
                  </w:r>
                  <w:r>
                    <w:rPr>
                      <w:rFonts w:eastAsia="Times New Roman" w:cs="Arial"/>
                      <w:sz w:val="18"/>
                      <w:szCs w:val="18"/>
                      <w:lang w:val="en-GB" w:eastAsia="sv-SE"/>
                    </w:rPr>
                    <w:t xml:space="preserve">. If the field is absent, the IAB-MT applies the value 1 slot, except for DCI format 2_0 and DCI format 2_5. The IAB-MT ignores this field for DCI format 2_0 and DCI format 2_5. The maximum valid duration is periodicity-1 (periodicity as given in the </w:t>
                  </w:r>
                  <w:r>
                    <w:rPr>
                      <w:rFonts w:eastAsia="Times New Roman" w:cs="Arial"/>
                      <w:i/>
                      <w:sz w:val="18"/>
                      <w:szCs w:val="18"/>
                      <w:lang w:val="en-GB" w:eastAsia="sv-SE"/>
                    </w:rPr>
                    <w:t>monitoringSlotPeriodicityAndOffset</w:t>
                  </w:r>
                  <w:r>
                    <w:rPr>
                      <w:rFonts w:eastAsia="Times New Roman" w:cs="Arial"/>
                      <w:sz w:val="18"/>
                      <w:szCs w:val="18"/>
                      <w:lang w:val="en-GB" w:eastAsia="sv-SE"/>
                    </w:rPr>
                    <w:t>).</w:t>
                  </w:r>
                </w:p>
              </w:tc>
            </w:tr>
          </w:tbl>
          <w:p>
            <w:pPr>
              <w:widowControl w:val="0"/>
            </w:pPr>
          </w:p>
          <w:p>
            <w:pPr>
              <w:widowControl w:val="0"/>
              <w:rPr>
                <w:lang w:val="en-GB" w:eastAsia="ja-JP"/>
              </w:rPr>
            </w:pPr>
          </w:p>
          <w:p>
            <w:pPr>
              <w:widowControl w:val="0"/>
            </w:pPr>
            <w:r>
              <w:rPr>
                <w:lang w:val="en-GB" w:eastAsia="ja-JP"/>
              </w:rPr>
              <w:t xml:space="preserve">Some companies expressed a concern that </w:t>
            </w:r>
            <w:r>
              <w:t>if the SSSG switch occurs early in the slot group and the new SSSG is based on a different location of the Y slots for Group (1) monitoring, then decisions on search space dropping may need to be re-evaluated. To avoid this complication, it was suggested to specify that SSSG switches are always aligned with a slot group boundary. This seems like a reasonable restriction to avoid specifying complicated UE behavior. Furthermore, it does not conflict with the conclusion above. It can be specified that upon timer expiry, the UE performs the switch at the next slot group boundary.</w:t>
            </w:r>
          </w:p>
          <w:p>
            <w:pPr>
              <w:pStyle w:val="212"/>
              <w:widowControl w:val="0"/>
              <w:tabs>
                <w:tab w:val="clear" w:pos="2722"/>
              </w:tabs>
              <w:spacing w:after="120"/>
              <w:jc w:val="both"/>
            </w:pPr>
            <w:bookmarkStart w:id="74" w:name="_Toc95740693"/>
            <w:r>
              <w:rPr>
                <w:lang w:val="en-GB" w:eastAsia="ja-JP"/>
              </w:rPr>
              <w:t xml:space="preserve">For a serving cell, if if a UE is configured with </w:t>
            </w:r>
            <w:r>
              <w:rPr>
                <w:i/>
              </w:rPr>
              <w:t>monitoringCapabilityConfig</w:t>
            </w:r>
            <w:r>
              <w:t xml:space="preserve"> = </w:t>
            </w:r>
            <w:r>
              <w:rPr>
                <w:i/>
              </w:rPr>
              <w:t>r17monitoringcapability</w:t>
            </w:r>
            <w:r>
              <w:t xml:space="preserve"> and is provided a group index for a search space by </w:t>
            </w:r>
            <w:r>
              <w:rPr>
                <w:i/>
              </w:rPr>
              <w:t>searchSpaceGroupIdList</w:t>
            </w:r>
            <w:r>
              <w:t>, the UE starts or stops monitoring search spaces in the corresponding search space set group (SSSG) not earlier than the beginning of the first symbol of the first group of Xs slots that occurs after the slot in which the UE determines that a SSSG switch should occur.</w:t>
            </w:r>
            <w:bookmarkEnd w:id="74"/>
          </w:p>
          <w:p>
            <w:pPr>
              <w:widowControl w:val="0"/>
            </w:pPr>
          </w:p>
          <w:p>
            <w:pPr>
              <w:widowControl w:val="0"/>
              <w:rPr>
                <w:lang w:val="en-GB" w:eastAsia="ja-JP"/>
              </w:rPr>
            </w:pPr>
            <w:r>
              <w:rPr>
                <w:lang w:val="en-GB" w:eastAsia="ja-JP"/>
              </w:rPr>
              <w:t>The two working assumptions</w:t>
            </w:r>
          </w:p>
          <w:p>
            <w:pPr>
              <w:widowControl w:val="0"/>
              <w:spacing w:after="240"/>
              <w:ind w:left="562"/>
              <w:rPr>
                <w:lang w:eastAsia="zh-CN"/>
              </w:rPr>
            </w:pPr>
            <w:r>
              <w:rPr>
                <w:highlight w:val="darkYellow"/>
                <w:lang w:eastAsia="zh-CN"/>
              </w:rPr>
              <w:t>Working assumption:</w:t>
            </w:r>
            <w:r>
              <w:rPr>
                <w:lang w:eastAsia="zh-CN"/>
              </w:rPr>
              <w:t xml:space="preserve"> BD/CCE budget for (4,2), (4,1) is half that of X=8</w:t>
            </w:r>
          </w:p>
          <w:p>
            <w:pPr>
              <w:widowControl w:val="0"/>
              <w:ind w:left="567"/>
              <w:rPr>
                <w:lang w:eastAsia="zh-CN"/>
              </w:rPr>
            </w:pPr>
            <w:r>
              <w:rPr>
                <w:highlight w:val="darkYellow"/>
                <w:lang w:eastAsia="zh-CN"/>
              </w:rPr>
              <w:t>Working assumption</w:t>
            </w:r>
          </w:p>
          <w:p>
            <w:pPr>
              <w:widowControl w:val="0"/>
              <w:ind w:left="567"/>
            </w:pPr>
            <w:r>
              <w:t xml:space="preserve">The following values are adopted as minimum value of </w:t>
            </w:r>
            <m:oMath>
              <m:sSub>
                <m:sSubPr>
                  <m:ctrlPr>
                    <w:rPr>
                      <w:rFonts w:ascii="Cambria Math" w:hAnsi="Cambria Math"/>
                      <w:i/>
                    </w:rPr>
                  </m:ctrlPr>
                </m:sSubPr>
                <m:e>
                  <m:r>
                    <m:rPr>
                      <m:sty m:val="bi"/>
                    </m:rPr>
                    <w:rPr>
                      <w:rFonts w:ascii="Cambria Math" w:hAnsi="Cambria Math"/>
                    </w:rPr>
                    <m:t>P</m:t>
                  </m:r>
                  <m:ctrlPr>
                    <w:rPr>
                      <w:rFonts w:ascii="Cambria Math" w:hAnsi="Cambria Math"/>
                      <w:i/>
                    </w:rPr>
                  </m:ctrlPr>
                </m:e>
                <m:sub>
                  <m:r>
                    <m:rPr>
                      <m:sty m:val="bi"/>
                    </m:rPr>
                    <w:rPr>
                      <w:rFonts w:ascii="Cambria Math" w:hAnsi="Cambria Math"/>
                    </w:rPr>
                    <m:t>switch</m:t>
                  </m:r>
                  <m:ctrlPr>
                    <w:rPr>
                      <w:rFonts w:ascii="Cambria Math" w:hAnsi="Cambria Math"/>
                      <w:i/>
                    </w:rPr>
                  </m:ctrlPr>
                </m:sub>
              </m:sSub>
            </m:oMath>
            <w:r>
              <w:t xml:space="preserve"> for 120/480/960 kHz</w:t>
            </w:r>
          </w:p>
          <w:p>
            <w:pPr>
              <w:widowControl w:val="0"/>
              <w:numPr>
                <w:ilvl w:val="0"/>
                <w:numId w:val="81"/>
              </w:numPr>
              <w:autoSpaceDE/>
              <w:autoSpaceDN/>
              <w:adjustRightInd/>
              <w:spacing w:after="0"/>
              <w:ind w:left="1287"/>
              <w:rPr>
                <w:lang w:eastAsia="zh-CN"/>
              </w:rPr>
            </w:pPr>
            <w:r>
              <w:rPr>
                <w:lang w:eastAsia="zh-CN"/>
              </w:rPr>
              <w:t>Support only search space set group switching processing capability 1 with the following values</w:t>
            </w:r>
          </w:p>
          <w:p>
            <w:pPr>
              <w:widowControl w:val="0"/>
              <w:ind w:left="2007"/>
              <w:rPr>
                <w:lang w:eastAsia="zh-CN"/>
              </w:rPr>
            </w:pPr>
          </w:p>
          <w:tbl>
            <w:tblPr>
              <w:tblStyle w:val="54"/>
              <w:tblW w:w="3685" w:type="dxa"/>
              <w:tblInd w:w="226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300"/>
              <w:gridCol w:w="33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Pr>
              <w:tc>
                <w:tcPr>
                  <w:tcW w:w="300" w:type="dxa"/>
                  <w:shd w:val="clear" w:color="auto" w:fill="E0E0E0"/>
                  <w:vAlign w:val="center"/>
                </w:tcPr>
                <w:p>
                  <w:pPr>
                    <w:keepNext/>
                    <w:keepLines/>
                    <w:overflowPunct w:val="0"/>
                    <w:jc w:val="center"/>
                    <w:textAlignment w:val="baseline"/>
                    <w:rPr>
                      <w:rFonts w:eastAsia="Times New Roman"/>
                      <w:b/>
                      <w:szCs w:val="20"/>
                      <w:lang w:eastAsia="en-GB"/>
                    </w:rPr>
                  </w:pPr>
                  <m:oMathPara>
                    <m:oMath>
                      <m:r>
                        <m:rPr>
                          <m:sty m:val="bi"/>
                        </m:rPr>
                        <w:rPr>
                          <w:rFonts w:ascii="Cambria Math" w:hAnsi="Cambria Math"/>
                        </w:rPr>
                        <m:t>μ</m:t>
                      </m:r>
                    </m:oMath>
                  </m:oMathPara>
                </w:p>
              </w:tc>
              <w:tc>
                <w:tcPr>
                  <w:tcW w:w="3385" w:type="dxa"/>
                  <w:shd w:val="clear" w:color="auto" w:fill="E0E0E0"/>
                  <w:vAlign w:val="center"/>
                </w:tcPr>
                <w:p>
                  <w:pPr>
                    <w:keepNext/>
                    <w:keepLines/>
                    <w:overflowPunct w:val="0"/>
                    <w:jc w:val="center"/>
                    <w:textAlignment w:val="baseline"/>
                    <w:rPr>
                      <w:rFonts w:eastAsia="Times New Roman" w:cs="Arial"/>
                      <w:b/>
                      <w:sz w:val="18"/>
                      <w:szCs w:val="18"/>
                      <w:lang w:eastAsia="en-GB"/>
                    </w:rPr>
                  </w:pPr>
                  <w:r>
                    <w:rPr>
                      <w:rFonts w:eastAsia="Times New Roman"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ctrlPr>
                          <w:rPr>
                            <w:rFonts w:ascii="Cambria Math" w:hAnsi="Cambria Math" w:cs="Arial"/>
                            <w:szCs w:val="18"/>
                          </w:rPr>
                        </m:ctrlPr>
                      </m:e>
                      <m:sub>
                        <m:r>
                          <m:rPr>
                            <m:sty m:val="b"/>
                          </m:rPr>
                          <w:rPr>
                            <w:rFonts w:ascii="Cambria Math" w:hAnsi="Cambria Math" w:cs="Arial"/>
                            <w:szCs w:val="18"/>
                          </w:rPr>
                          <m:t>switch</m:t>
                        </m:r>
                        <m:ctrlPr>
                          <w:rPr>
                            <w:rFonts w:ascii="Cambria Math" w:hAnsi="Cambria Math" w:cs="Arial"/>
                            <w:szCs w:val="18"/>
                          </w:rPr>
                        </m:ctrlPr>
                      </m:sub>
                    </m:sSub>
                  </m:oMath>
                  <w:r>
                    <w:rPr>
                      <w:rFonts w:eastAsia="Times New Roman" w:cs="Arial"/>
                      <w:b/>
                      <w:sz w:val="18"/>
                      <w:szCs w:val="18"/>
                      <w:lang w:eastAsia="en-GB"/>
                    </w:rPr>
                    <w:t xml:space="preserve"> value for</w:t>
                  </w:r>
                </w:p>
                <w:p>
                  <w:pPr>
                    <w:keepNext/>
                    <w:keepLines/>
                    <w:overflowPunct w:val="0"/>
                    <w:jc w:val="center"/>
                    <w:textAlignment w:val="baseline"/>
                    <w:rPr>
                      <w:rFonts w:eastAsia="Times New Roman"/>
                      <w:b/>
                      <w:szCs w:val="20"/>
                      <w:lang w:eastAsia="en-GB"/>
                    </w:rPr>
                  </w:pPr>
                  <w:r>
                    <w:rPr>
                      <w:rFonts w:eastAsia="Times New Roman" w:cs="Arial"/>
                      <w:b/>
                      <w:sz w:val="18"/>
                      <w:szCs w:val="18"/>
                      <w:lang w:eastAsia="en-GB"/>
                    </w:rPr>
                    <w:t xml:space="preserve"> UE processing </w:t>
                  </w:r>
                  <w:r>
                    <w:rPr>
                      <w:rFonts w:eastAsia="Times New Roman" w:cs="Arial"/>
                      <w:b/>
                      <w:sz w:val="18"/>
                      <w:szCs w:val="18"/>
                      <w:lang w:eastAsia="zh-CN"/>
                    </w:rPr>
                    <w:t>capability 1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Pr>
              <w:tc>
                <w:tcPr>
                  <w:tcW w:w="300" w:type="dxa"/>
                  <w:vAlign w:val="center"/>
                </w:tcPr>
                <w:p>
                  <w:pPr>
                    <w:keepLines/>
                    <w:spacing w:before="40" w:after="40"/>
                    <w:jc w:val="center"/>
                    <w:rPr>
                      <w:rFonts w:eastAsia="宋体"/>
                      <w:szCs w:val="20"/>
                      <w:lang w:eastAsia="zh-CN"/>
                    </w:rPr>
                  </w:pPr>
                  <w:r>
                    <w:rPr>
                      <w:rFonts w:eastAsia="宋体"/>
                      <w:szCs w:val="20"/>
                      <w:lang w:eastAsia="zh-CN"/>
                    </w:rPr>
                    <w:t>3</w:t>
                  </w:r>
                </w:p>
              </w:tc>
              <w:tc>
                <w:tcPr>
                  <w:tcW w:w="3385" w:type="dxa"/>
                  <w:vAlign w:val="center"/>
                </w:tcPr>
                <w:p>
                  <w:pPr>
                    <w:keepLines/>
                    <w:spacing w:before="40" w:after="40"/>
                    <w:jc w:val="center"/>
                    <w:rPr>
                      <w:rFonts w:eastAsia="宋体"/>
                      <w:szCs w:val="20"/>
                      <w:lang w:eastAsia="zh-CN"/>
                    </w:rPr>
                  </w:pPr>
                  <w:r>
                    <w:rPr>
                      <w:rFonts w:eastAsia="宋体"/>
                      <w:szCs w:val="20"/>
                      <w:lang w:eastAsia="zh-CN"/>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Pr>
              <w:tc>
                <w:tcPr>
                  <w:tcW w:w="300" w:type="dxa"/>
                  <w:vAlign w:val="center"/>
                </w:tcPr>
                <w:p>
                  <w:pPr>
                    <w:keepLines/>
                    <w:spacing w:before="40" w:after="40"/>
                    <w:jc w:val="center"/>
                    <w:rPr>
                      <w:rFonts w:eastAsia="宋体"/>
                      <w:szCs w:val="20"/>
                      <w:lang w:eastAsia="zh-CN"/>
                    </w:rPr>
                  </w:pPr>
                  <w:r>
                    <w:rPr>
                      <w:rFonts w:eastAsia="宋体"/>
                      <w:szCs w:val="20"/>
                      <w:lang w:eastAsia="zh-CN"/>
                    </w:rPr>
                    <w:t>5</w:t>
                  </w:r>
                </w:p>
              </w:tc>
              <w:tc>
                <w:tcPr>
                  <w:tcW w:w="3385" w:type="dxa"/>
                  <w:vAlign w:val="center"/>
                </w:tcPr>
                <w:p>
                  <w:pPr>
                    <w:keepLines/>
                    <w:spacing w:before="40" w:after="40"/>
                    <w:jc w:val="center"/>
                    <w:rPr>
                      <w:rFonts w:eastAsia="宋体"/>
                      <w:szCs w:val="20"/>
                      <w:lang w:eastAsia="zh-CN"/>
                    </w:rPr>
                  </w:pPr>
                  <w:r>
                    <w:rPr>
                      <w:rFonts w:eastAsia="宋体"/>
                      <w:szCs w:val="20"/>
                      <w:lang w:eastAsia="zh-CN"/>
                    </w:rPr>
                    <w:t>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Pr>
              <w:tc>
                <w:tcPr>
                  <w:tcW w:w="300" w:type="dxa"/>
                  <w:vAlign w:val="center"/>
                </w:tcPr>
                <w:p>
                  <w:pPr>
                    <w:keepLines/>
                    <w:spacing w:before="40" w:after="40"/>
                    <w:jc w:val="center"/>
                    <w:rPr>
                      <w:rFonts w:eastAsia="宋体"/>
                      <w:szCs w:val="20"/>
                      <w:lang w:eastAsia="zh-CN"/>
                    </w:rPr>
                  </w:pPr>
                  <w:r>
                    <w:rPr>
                      <w:rFonts w:eastAsia="宋体"/>
                      <w:szCs w:val="20"/>
                      <w:lang w:eastAsia="zh-CN"/>
                    </w:rPr>
                    <w:t>6</w:t>
                  </w:r>
                </w:p>
              </w:tc>
              <w:tc>
                <w:tcPr>
                  <w:tcW w:w="3385" w:type="dxa"/>
                  <w:vAlign w:val="center"/>
                </w:tcPr>
                <w:p>
                  <w:pPr>
                    <w:keepLines/>
                    <w:spacing w:before="40" w:after="40"/>
                    <w:jc w:val="center"/>
                    <w:rPr>
                      <w:rFonts w:eastAsia="宋体"/>
                      <w:szCs w:val="20"/>
                      <w:lang w:eastAsia="zh-CN"/>
                    </w:rPr>
                  </w:pPr>
                  <w:r>
                    <w:rPr>
                      <w:rFonts w:eastAsia="宋体"/>
                      <w:szCs w:val="20"/>
                      <w:lang w:eastAsia="zh-CN"/>
                    </w:rPr>
                    <w:t>320</w:t>
                  </w:r>
                </w:p>
              </w:tc>
            </w:tr>
          </w:tbl>
          <w:p>
            <w:pPr>
              <w:widowControl w:val="0"/>
              <w:rPr>
                <w:lang w:val="en-GB" w:eastAsia="ja-JP"/>
              </w:rPr>
            </w:pPr>
          </w:p>
          <w:p>
            <w:pPr>
              <w:widowControl w:val="0"/>
              <w:rPr>
                <w:lang w:val="en-GB" w:eastAsia="ja-JP"/>
              </w:rPr>
            </w:pPr>
            <w:r>
              <w:rPr>
                <w:lang w:val="en-GB" w:eastAsia="ja-JP"/>
              </w:rPr>
              <w:t xml:space="preserve">have been captured and approved in TR 38.213 </w:t>
            </w:r>
            <w:r>
              <w:rPr>
                <w:lang w:val="en-GB" w:eastAsia="ja-JP"/>
              </w:rPr>
              <w:fldChar w:fldCharType="begin"/>
            </w:r>
            <w:r>
              <w:rPr>
                <w:lang w:val="en-GB" w:eastAsia="ja-JP"/>
              </w:rPr>
              <w:instrText xml:space="preserve"> REF _Ref95490128 \r \h </w:instrText>
            </w:r>
            <w:r>
              <w:rPr>
                <w:lang w:val="en-GB" w:eastAsia="ja-JP"/>
              </w:rPr>
              <w:fldChar w:fldCharType="separate"/>
            </w:r>
            <w:r>
              <w:rPr>
                <w:lang w:val="en-GB" w:eastAsia="ja-JP"/>
              </w:rPr>
              <w:t>[3]</w:t>
            </w:r>
            <w:r>
              <w:rPr>
                <w:lang w:val="en-GB" w:eastAsia="ja-JP"/>
              </w:rPr>
              <w:fldChar w:fldCharType="end"/>
            </w:r>
            <w:r>
              <w:rPr>
                <w:lang w:val="en-GB" w:eastAsia="ja-JP"/>
              </w:rPr>
              <w:t>. In our view, both can be considered confirmed.</w:t>
            </w:r>
          </w:p>
          <w:p>
            <w:pPr>
              <w:widowControl w:val="0"/>
            </w:pPr>
          </w:p>
        </w:tc>
      </w:tr>
    </w:tbl>
    <w:p>
      <w:pPr>
        <w:rPr>
          <w:lang w:eastAsia="zh-CN"/>
        </w:rPr>
      </w:pPr>
    </w:p>
    <w:p>
      <w:pPr>
        <w:pStyle w:val="4"/>
      </w:pPr>
      <w:r>
        <w:t>R1-2201765 (Apple)</w:t>
      </w:r>
    </w:p>
    <w:tbl>
      <w:tblPr>
        <w:tblStyle w:val="55"/>
        <w:tblW w:w="14583"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widowControl w:val="0"/>
              <w:rPr>
                <w:i/>
                <w:iCs/>
                <w:lang w:val="en-GB"/>
              </w:rPr>
            </w:pPr>
            <w:r>
              <w:rPr>
                <w:b/>
                <w:bCs/>
                <w:i/>
                <w:iCs/>
              </w:rPr>
              <w:t>Proposal 6:</w:t>
            </w:r>
            <w:r>
              <w:rPr>
                <w:i/>
                <w:iCs/>
              </w:rPr>
              <w:t xml:space="preserve"> </w:t>
            </w:r>
            <w:r>
              <w:rPr>
                <w:i/>
                <w:iCs/>
                <w:lang w:val="en-GB"/>
              </w:rPr>
              <w:t>To limit the complexity based on the Group (2) SS location across multiple slot groups, one or more of the following could be considered:</w:t>
            </w:r>
          </w:p>
          <w:p>
            <w:pPr>
              <w:widowControl w:val="0"/>
              <w:numPr>
                <w:ilvl w:val="0"/>
                <w:numId w:val="86"/>
              </w:numPr>
              <w:autoSpaceDE/>
              <w:autoSpaceDN/>
              <w:adjustRightInd/>
              <w:spacing w:after="0" w:line="240" w:lineRule="auto"/>
              <w:jc w:val="both"/>
              <w:rPr>
                <w:i/>
                <w:iCs/>
                <w:lang w:val="en-GB"/>
              </w:rPr>
            </w:pPr>
            <w:r>
              <w:rPr>
                <w:i/>
                <w:iCs/>
                <w:lang w:val="en-GB"/>
              </w:rPr>
              <w:t>Group (2) SSs could be placed within the same slot group</w:t>
            </w:r>
          </w:p>
          <w:p>
            <w:pPr>
              <w:widowControl w:val="0"/>
              <w:numPr>
                <w:ilvl w:val="0"/>
                <w:numId w:val="86"/>
              </w:numPr>
              <w:autoSpaceDE/>
              <w:autoSpaceDN/>
              <w:adjustRightInd/>
              <w:spacing w:after="0" w:line="240" w:lineRule="auto"/>
              <w:jc w:val="both"/>
              <w:rPr>
                <w:i/>
                <w:iCs/>
                <w:lang w:val="en-GB"/>
              </w:rPr>
            </w:pPr>
            <w:r>
              <w:rPr>
                <w:i/>
                <w:iCs/>
                <w:lang w:val="en-GB"/>
              </w:rPr>
              <w:t xml:space="preserve">If spread across multiple slot groups, for CSSs Type 0 (SIB1), Type 0A (SIBx) and Type 2 (Paging), </w:t>
            </w:r>
            <w:r>
              <w:rPr>
                <w:i/>
                <w:iCs/>
              </w:rPr>
              <w:t>the CSS periodicity for 480 kHz and 960 kHz should not be shorter than that for 120 kHz to ensure that the wake-up period is intermittent and limit the impact on the UE’s power consumption.</w:t>
            </w:r>
          </w:p>
          <w:p>
            <w:pPr>
              <w:widowControl w:val="0"/>
              <w:numPr>
                <w:ilvl w:val="0"/>
                <w:numId w:val="86"/>
              </w:numPr>
              <w:autoSpaceDE/>
              <w:autoSpaceDN/>
              <w:adjustRightInd/>
              <w:spacing w:after="0" w:line="240" w:lineRule="auto"/>
              <w:jc w:val="both"/>
              <w:rPr>
                <w:i/>
                <w:iCs/>
                <w:lang w:val="en-GB"/>
              </w:rPr>
            </w:pPr>
            <w:r>
              <w:rPr>
                <w:i/>
                <w:iCs/>
              </w:rPr>
              <w:t>Limit the number of times a Group (2) SS may be configured within a duration of M slot groups e.g. N SSs within M slot-groups where the N SSs are in consecutive slot groups</w:t>
            </w:r>
          </w:p>
          <w:p>
            <w:pPr>
              <w:widowControl w:val="0"/>
              <w:rPr>
                <w:i/>
                <w:iCs/>
                <w:lang w:val="en-GB"/>
              </w:rPr>
            </w:pPr>
          </w:p>
          <w:p>
            <w:pPr>
              <w:widowControl w:val="0"/>
              <w:rPr>
                <w:i/>
                <w:iCs/>
              </w:rPr>
            </w:pPr>
            <w:r>
              <w:rPr>
                <w:b/>
                <w:bCs/>
                <w:i/>
                <w:iCs/>
              </w:rPr>
              <w:t>Proposal 8:</w:t>
            </w:r>
            <w:r>
              <w:rPr>
                <w:i/>
                <w:iCs/>
              </w:rPr>
              <w:t xml:space="preserve"> To finalize the design of the Search Space configuration parameters for multi-slot PDCCH monitoring , the following should be agreed upon:</w:t>
            </w:r>
          </w:p>
          <w:p>
            <w:pPr>
              <w:widowControl w:val="0"/>
              <w:numPr>
                <w:ilvl w:val="0"/>
                <w:numId w:val="87"/>
              </w:numPr>
              <w:autoSpaceDE/>
              <w:autoSpaceDN/>
              <w:adjustRightInd/>
              <w:spacing w:after="0" w:line="240" w:lineRule="auto"/>
              <w:rPr>
                <w:i/>
                <w:iCs/>
                <w:lang w:val="en-GB"/>
              </w:rPr>
            </w:pPr>
            <w:r>
              <w:rPr>
                <w:i/>
                <w:iCs/>
                <w:lang w:val="en-GB"/>
              </w:rPr>
              <w:t>The configured value of the offset at least for Group (1) SSs is restricted to be an integer multiple of Xs slots</w:t>
            </w:r>
          </w:p>
          <w:p>
            <w:pPr>
              <w:widowControl w:val="0"/>
              <w:numPr>
                <w:ilvl w:val="0"/>
                <w:numId w:val="87"/>
              </w:numPr>
              <w:autoSpaceDE/>
              <w:autoSpaceDN/>
              <w:adjustRightInd/>
              <w:spacing w:after="0" w:line="240" w:lineRule="auto"/>
              <w:rPr>
                <w:i/>
                <w:iCs/>
              </w:rPr>
            </w:pPr>
            <w:r>
              <w:rPr>
                <w:i/>
                <w:iCs/>
              </w:rPr>
              <w:t>The Working Assumption on the new parameter monitoringSlotsWithinSlotGroup-r17 should be accepted.</w:t>
            </w:r>
          </w:p>
          <w:p>
            <w:pPr>
              <w:widowControl w:val="0"/>
              <w:autoSpaceDE/>
              <w:autoSpaceDN/>
              <w:adjustRightInd/>
              <w:spacing w:after="0" w:line="240" w:lineRule="auto"/>
              <w:rPr>
                <w:i/>
                <w:iCs/>
              </w:rPr>
            </w:pPr>
          </w:p>
          <w:p>
            <w:pPr>
              <w:widowControl w:val="0"/>
              <w:jc w:val="both"/>
              <w:rPr>
                <w:i/>
                <w:iCs/>
              </w:rPr>
            </w:pPr>
            <w:r>
              <w:rPr>
                <w:b/>
                <w:bCs/>
                <w:i/>
                <w:iCs/>
              </w:rPr>
              <w:t>Proposal 12:</w:t>
            </w:r>
            <w:r>
              <w:rPr>
                <w:i/>
                <w:iCs/>
              </w:rPr>
              <w:t xml:space="preserve"> The following WA made in RAN1 #107-e should be confirmed:</w:t>
            </w:r>
          </w:p>
          <w:p>
            <w:pPr>
              <w:widowControl w:val="0"/>
              <w:jc w:val="both"/>
              <w:rPr>
                <w:i/>
                <w:iCs/>
              </w:rPr>
            </w:pPr>
          </w:p>
          <w:p>
            <w:pPr>
              <w:widowControl w:val="0"/>
              <w:rPr>
                <w:i/>
                <w:iCs/>
                <w:lang w:eastAsia="zh-CN"/>
              </w:rPr>
            </w:pPr>
            <w:r>
              <w:rPr>
                <w:i/>
                <w:iCs/>
                <w:highlight w:val="darkYellow"/>
                <w:lang w:eastAsia="zh-CN"/>
              </w:rPr>
              <w:t>Working assumption</w:t>
            </w:r>
          </w:p>
          <w:p>
            <w:pPr>
              <w:widowControl w:val="0"/>
              <w:rPr>
                <w:i/>
                <w:iCs/>
              </w:rPr>
            </w:pPr>
            <w:r>
              <w:rPr>
                <w:i/>
                <w:iCs/>
              </w:rPr>
              <w:t xml:space="preserve">The following values are adopted as minimum value of </w:t>
            </w:r>
            <w:r>
              <w:rPr>
                <w:i/>
                <w:iCs/>
              </w:rPr>
              <w:fldChar w:fldCharType="begin"/>
            </w:r>
            <w:r>
              <w:rPr>
                <w:i/>
                <w:iCs/>
              </w:rPr>
              <w:instrText xml:space="preserve"> QUOTE </w:instrText>
            </w:r>
            <w:r>
              <w:rPr>
                <w:i/>
                <w:iCs/>
                <w:position w:val="-5"/>
              </w:rPr>
              <w:drawing>
                <wp:inline distT="0" distB="0" distL="0" distR="0">
                  <wp:extent cx="381000" cy="152400"/>
                  <wp:effectExtent l="0" t="0" r="0" b="0"/>
                  <wp:docPr id="110" name="Picture 108"/>
                  <wp:cNvGraphicFramePr/>
                  <a:graphic xmlns:a="http://schemas.openxmlformats.org/drawingml/2006/main">
                    <a:graphicData uri="http://schemas.openxmlformats.org/drawingml/2006/picture">
                      <pic:pic xmlns:pic="http://schemas.openxmlformats.org/drawingml/2006/picture">
                        <pic:nvPicPr>
                          <pic:cNvPr id="110" name="Picture 108"/>
                          <pic:cNvPicPr/>
                        </pic:nvPicPr>
                        <pic:blipFill>
                          <a:blip r:embed="rId5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81000" cy="152400"/>
                          </a:xfrm>
                          <a:prstGeom prst="rect">
                            <a:avLst/>
                          </a:prstGeom>
                          <a:noFill/>
                          <a:ln>
                            <a:noFill/>
                          </a:ln>
                        </pic:spPr>
                      </pic:pic>
                    </a:graphicData>
                  </a:graphic>
                </wp:inline>
              </w:drawing>
            </w:r>
            <w:r>
              <w:rPr>
                <w:i/>
                <w:iCs/>
              </w:rPr>
              <w:instrText xml:space="preserve"> </w:instrText>
            </w:r>
            <w:r>
              <w:rPr>
                <w:i/>
                <w:iCs/>
              </w:rPr>
              <w:fldChar w:fldCharType="separate"/>
            </w:r>
            <w:r>
              <w:rPr>
                <w:i/>
                <w:iCs/>
                <w:position w:val="-5"/>
              </w:rPr>
              <w:drawing>
                <wp:inline distT="0" distB="0" distL="0" distR="0">
                  <wp:extent cx="381000" cy="152400"/>
                  <wp:effectExtent l="0" t="0" r="0" b="0"/>
                  <wp:docPr id="8" name="Picture 109"/>
                  <wp:cNvGraphicFramePr/>
                  <a:graphic xmlns:a="http://schemas.openxmlformats.org/drawingml/2006/main">
                    <a:graphicData uri="http://schemas.openxmlformats.org/drawingml/2006/picture">
                      <pic:pic xmlns:pic="http://schemas.openxmlformats.org/drawingml/2006/picture">
                        <pic:nvPicPr>
                          <pic:cNvPr id="8" name="Picture 109"/>
                          <pic:cNvPicPr/>
                        </pic:nvPicPr>
                        <pic:blipFill>
                          <a:blip r:embed="rId5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81000" cy="152400"/>
                          </a:xfrm>
                          <a:prstGeom prst="rect">
                            <a:avLst/>
                          </a:prstGeom>
                          <a:noFill/>
                          <a:ln>
                            <a:noFill/>
                          </a:ln>
                        </pic:spPr>
                      </pic:pic>
                    </a:graphicData>
                  </a:graphic>
                </wp:inline>
              </w:drawing>
            </w:r>
            <w:r>
              <w:rPr>
                <w:i/>
                <w:iCs/>
              </w:rPr>
              <w:fldChar w:fldCharType="end"/>
            </w:r>
            <w:r>
              <w:rPr>
                <w:i/>
                <w:iCs/>
              </w:rPr>
              <w:t xml:space="preserve"> for 120/480/960 kHz</w:t>
            </w:r>
          </w:p>
          <w:p>
            <w:pPr>
              <w:pStyle w:val="82"/>
              <w:widowControl w:val="0"/>
              <w:numPr>
                <w:ilvl w:val="0"/>
                <w:numId w:val="81"/>
              </w:numPr>
              <w:tabs>
                <w:tab w:val="center" w:pos="4680"/>
                <w:tab w:val="right" w:pos="9360"/>
              </w:tabs>
              <w:rPr>
                <w:i/>
                <w:iCs/>
              </w:rPr>
            </w:pPr>
            <w:r>
              <w:rPr>
                <w:i/>
                <w:iCs/>
              </w:rPr>
              <w:t>Support only search space set group switching processing capability 1 with the following values</w:t>
            </w:r>
          </w:p>
          <w:p>
            <w:pPr>
              <w:widowControl w:val="0"/>
              <w:jc w:val="both"/>
            </w:pPr>
          </w:p>
          <w:tbl>
            <w:tblPr>
              <w:tblStyle w:val="54"/>
              <w:tblW w:w="3685" w:type="dxa"/>
              <w:tblInd w:w="169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300"/>
              <w:gridCol w:w="33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Pr>
              <w:tc>
                <w:tcPr>
                  <w:tcW w:w="300" w:type="dxa"/>
                  <w:shd w:val="clear" w:color="auto" w:fill="E0E0E0"/>
                  <w:vAlign w:val="center"/>
                </w:tcPr>
                <w:p>
                  <w:pPr>
                    <w:pStyle w:val="90"/>
                    <w:rPr>
                      <w:rFonts w:ascii="Times New Roman" w:hAnsi="Times New Roman"/>
                      <w:sz w:val="20"/>
                    </w:rPr>
                  </w:pPr>
                  <w:r>
                    <w:rPr>
                      <w:rFonts w:eastAsia="Batang"/>
                      <w:lang w:val="en-US" w:eastAsia="en-US"/>
                    </w:rPr>
                    <w:drawing>
                      <wp:inline distT="0" distB="0" distL="0" distR="0">
                        <wp:extent cx="76200" cy="139700"/>
                        <wp:effectExtent l="0" t="0" r="0" b="0"/>
                        <wp:docPr id="9" name="Picture 110"/>
                        <wp:cNvGraphicFramePr/>
                        <a:graphic xmlns:a="http://schemas.openxmlformats.org/drawingml/2006/main">
                          <a:graphicData uri="http://schemas.openxmlformats.org/drawingml/2006/picture">
                            <pic:pic xmlns:pic="http://schemas.openxmlformats.org/drawingml/2006/picture">
                              <pic:nvPicPr>
                                <pic:cNvPr id="9" name="Picture 110"/>
                                <pic:cNvPicPr/>
                              </pic:nvPicPr>
                              <pic:blipFill>
                                <a:blip r:embed="rId5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76200" cy="139700"/>
                                </a:xfrm>
                                <a:prstGeom prst="rect">
                                  <a:avLst/>
                                </a:prstGeom>
                                <a:noFill/>
                                <a:ln>
                                  <a:noFill/>
                                </a:ln>
                              </pic:spPr>
                            </pic:pic>
                          </a:graphicData>
                        </a:graphic>
                      </wp:inline>
                    </w:drawing>
                  </w:r>
                </w:p>
              </w:tc>
              <w:tc>
                <w:tcPr>
                  <w:tcW w:w="3385" w:type="dxa"/>
                  <w:shd w:val="clear" w:color="auto" w:fill="E0E0E0"/>
                  <w:vAlign w:val="center"/>
                </w:tcPr>
                <w:p>
                  <w:pPr>
                    <w:pStyle w:val="90"/>
                    <w:rPr>
                      <w:rFonts w:cs="Arial"/>
                      <w:szCs w:val="18"/>
                    </w:rPr>
                  </w:pPr>
                  <w:r>
                    <w:rPr>
                      <w:rFonts w:cs="Arial"/>
                      <w:szCs w:val="18"/>
                    </w:rPr>
                    <w:t xml:space="preserve">Minimum </w:t>
                  </w:r>
                  <w:r>
                    <w:rPr>
                      <w:rFonts w:cs="Arial"/>
                      <w:szCs w:val="18"/>
                    </w:rPr>
                    <w:fldChar w:fldCharType="begin"/>
                  </w:r>
                  <w:r>
                    <w:rPr>
                      <w:rFonts w:cs="Arial"/>
                      <w:szCs w:val="18"/>
                    </w:rPr>
                    <w:instrText xml:space="preserve"> QUOTE </w:instrText>
                  </w:r>
                  <w:r>
                    <w:rPr>
                      <w:position w:val="-5"/>
                      <w:lang w:val="en-US" w:eastAsia="en-US"/>
                    </w:rPr>
                    <w:drawing>
                      <wp:inline distT="0" distB="0" distL="0" distR="0">
                        <wp:extent cx="317500" cy="139700"/>
                        <wp:effectExtent l="0" t="0" r="0" b="0"/>
                        <wp:docPr id="10" name="Picture 111"/>
                        <wp:cNvGraphicFramePr/>
                        <a:graphic xmlns:a="http://schemas.openxmlformats.org/drawingml/2006/main">
                          <a:graphicData uri="http://schemas.openxmlformats.org/drawingml/2006/picture">
                            <pic:pic xmlns:pic="http://schemas.openxmlformats.org/drawingml/2006/picture">
                              <pic:nvPicPr>
                                <pic:cNvPr id="10" name="Picture 111"/>
                                <pic:cNvPicPr/>
                              </pic:nvPicPr>
                              <pic:blipFill>
                                <a:blip r:embed="rId5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17500" cy="139700"/>
                                </a:xfrm>
                                <a:prstGeom prst="rect">
                                  <a:avLst/>
                                </a:prstGeom>
                                <a:noFill/>
                                <a:ln>
                                  <a:noFill/>
                                </a:ln>
                              </pic:spPr>
                            </pic:pic>
                          </a:graphicData>
                        </a:graphic>
                      </wp:inline>
                    </w:drawing>
                  </w:r>
                  <w:r>
                    <w:rPr>
                      <w:rFonts w:cs="Arial"/>
                      <w:szCs w:val="18"/>
                    </w:rPr>
                    <w:instrText xml:space="preserve"> </w:instrText>
                  </w:r>
                  <w:r>
                    <w:rPr>
                      <w:rFonts w:cs="Arial"/>
                      <w:szCs w:val="18"/>
                    </w:rPr>
                    <w:fldChar w:fldCharType="separate"/>
                  </w:r>
                  <w:r>
                    <w:rPr>
                      <w:position w:val="-5"/>
                      <w:lang w:val="en-US" w:eastAsia="en-US"/>
                    </w:rPr>
                    <w:drawing>
                      <wp:inline distT="0" distB="0" distL="0" distR="0">
                        <wp:extent cx="317500" cy="139700"/>
                        <wp:effectExtent l="0" t="0" r="0" b="0"/>
                        <wp:docPr id="11" name="Picture 112"/>
                        <wp:cNvGraphicFramePr/>
                        <a:graphic xmlns:a="http://schemas.openxmlformats.org/drawingml/2006/main">
                          <a:graphicData uri="http://schemas.openxmlformats.org/drawingml/2006/picture">
                            <pic:pic xmlns:pic="http://schemas.openxmlformats.org/drawingml/2006/picture">
                              <pic:nvPicPr>
                                <pic:cNvPr id="11" name="Picture 112"/>
                                <pic:cNvPicPr/>
                              </pic:nvPicPr>
                              <pic:blipFill>
                                <a:blip r:embed="rId5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17500" cy="139700"/>
                                </a:xfrm>
                                <a:prstGeom prst="rect">
                                  <a:avLst/>
                                </a:prstGeom>
                                <a:noFill/>
                                <a:ln>
                                  <a:noFill/>
                                </a:ln>
                              </pic:spPr>
                            </pic:pic>
                          </a:graphicData>
                        </a:graphic>
                      </wp:inline>
                    </w:drawing>
                  </w:r>
                  <w:r>
                    <w:rPr>
                      <w:rFonts w:cs="Arial"/>
                      <w:szCs w:val="18"/>
                    </w:rPr>
                    <w:fldChar w:fldCharType="end"/>
                  </w:r>
                  <w:r>
                    <w:rPr>
                      <w:rFonts w:cs="Arial"/>
                      <w:szCs w:val="18"/>
                    </w:rPr>
                    <w:t xml:space="preserve"> value for</w:t>
                  </w:r>
                </w:p>
                <w:p>
                  <w:pPr>
                    <w:pStyle w:val="90"/>
                    <w:rPr>
                      <w:rFonts w:ascii="Times New Roman" w:hAnsi="Times New Roman"/>
                      <w:sz w:val="20"/>
                    </w:rPr>
                  </w:pPr>
                  <w:r>
                    <w:rPr>
                      <w:rFonts w:cs="Arial"/>
                      <w:szCs w:val="18"/>
                    </w:rPr>
                    <w:t xml:space="preserve"> UE processing </w:t>
                  </w:r>
                  <w:r>
                    <w:rPr>
                      <w:rFonts w:cs="Arial"/>
                      <w:szCs w:val="18"/>
                      <w:lang w:eastAsia="zh-CN"/>
                    </w:rPr>
                    <w:t>capability 1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Pr>
              <w:tc>
                <w:tcPr>
                  <w:tcW w:w="300" w:type="dxa"/>
                  <w:vAlign w:val="center"/>
                </w:tcPr>
                <w:p>
                  <w:pPr>
                    <w:pStyle w:val="114"/>
                  </w:pPr>
                  <w:r>
                    <w:t>3</w:t>
                  </w:r>
                </w:p>
              </w:tc>
              <w:tc>
                <w:tcPr>
                  <w:tcW w:w="3385" w:type="dxa"/>
                  <w:vAlign w:val="center"/>
                </w:tcPr>
                <w:p>
                  <w:pPr>
                    <w:pStyle w:val="114"/>
                  </w:pPr>
                  <w: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Pr>
              <w:tc>
                <w:tcPr>
                  <w:tcW w:w="300" w:type="dxa"/>
                  <w:vAlign w:val="center"/>
                </w:tcPr>
                <w:p>
                  <w:pPr>
                    <w:pStyle w:val="114"/>
                  </w:pPr>
                  <w:r>
                    <w:t>5</w:t>
                  </w:r>
                </w:p>
              </w:tc>
              <w:tc>
                <w:tcPr>
                  <w:tcW w:w="3385" w:type="dxa"/>
                  <w:vAlign w:val="center"/>
                </w:tcPr>
                <w:p>
                  <w:pPr>
                    <w:pStyle w:val="114"/>
                  </w:pPr>
                  <w:r>
                    <w:t>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Pr>
              <w:tc>
                <w:tcPr>
                  <w:tcW w:w="300" w:type="dxa"/>
                  <w:vAlign w:val="center"/>
                </w:tcPr>
                <w:p>
                  <w:pPr>
                    <w:pStyle w:val="114"/>
                  </w:pPr>
                  <w:r>
                    <w:t>6</w:t>
                  </w:r>
                </w:p>
              </w:tc>
              <w:tc>
                <w:tcPr>
                  <w:tcW w:w="3385" w:type="dxa"/>
                  <w:vAlign w:val="center"/>
                </w:tcPr>
                <w:p>
                  <w:pPr>
                    <w:pStyle w:val="114"/>
                  </w:pPr>
                  <w:r>
                    <w:t>320</w:t>
                  </w:r>
                </w:p>
              </w:tc>
            </w:tr>
          </w:tbl>
          <w:p>
            <w:pPr>
              <w:widowControl w:val="0"/>
              <w:autoSpaceDE/>
              <w:autoSpaceDN/>
              <w:adjustRightInd/>
              <w:spacing w:after="0" w:line="240" w:lineRule="auto"/>
            </w:pPr>
          </w:p>
          <w:p>
            <w:pPr>
              <w:widowControl w:val="0"/>
              <w:autoSpaceDE/>
              <w:autoSpaceDN/>
              <w:adjustRightInd/>
              <w:spacing w:after="0" w:line="240" w:lineRule="auto"/>
            </w:pPr>
          </w:p>
          <w:p>
            <w:pPr>
              <w:widowControl w:val="0"/>
              <w:rPr>
                <w:b/>
                <w:bCs/>
                <w:i/>
                <w:iCs/>
              </w:rPr>
            </w:pPr>
            <w:r>
              <w:rPr>
                <w:b/>
                <w:bCs/>
                <w:i/>
                <w:iCs/>
              </w:rPr>
              <w:t xml:space="preserve">Proposal 13: </w:t>
            </w:r>
            <w:r>
              <w:rPr>
                <w:i/>
                <w:iCs/>
              </w:rPr>
              <w:t>Rel-16 and Rel-17 SSSG switching are not simultaneously configured</w:t>
            </w:r>
          </w:p>
          <w:p>
            <w:pPr>
              <w:widowControl w:val="0"/>
              <w:autoSpaceDE/>
              <w:autoSpaceDN/>
              <w:adjustRightInd/>
              <w:spacing w:after="0" w:line="240" w:lineRule="auto"/>
            </w:pPr>
          </w:p>
        </w:tc>
      </w:tr>
    </w:tbl>
    <w:p>
      <w:pPr>
        <w:rPr>
          <w:lang w:eastAsia="zh-CN"/>
        </w:rPr>
      </w:pPr>
    </w:p>
    <w:p>
      <w:pPr>
        <w:pStyle w:val="4"/>
      </w:pPr>
      <w:r>
        <w:t>R1-2201899 (NEC)</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lang w:val="en-GB"/>
              </w:rPr>
            </w:pPr>
            <w:r>
              <w:rPr>
                <w:lang w:val="en-GB"/>
              </w:rPr>
              <w:t xml:space="preserve">For operation in unlicensed band beyond 52.6GHz, in our understanding, the legacy SSSG switching can be reused for 120 kHz SCS, since it has been concluded: </w:t>
            </w:r>
            <w:r>
              <w:rPr>
                <w:lang w:eastAsia="zh-CN"/>
              </w:rPr>
              <w:t xml:space="preserve">for 120 kHz SCS, no multi-slot UE capability for PDCCH monitoring is needed. So </w:t>
            </w:r>
            <w:r>
              <w:rPr>
                <w:lang w:val="en-GB"/>
              </w:rPr>
              <w:t xml:space="preserve">the monitoring capability before and after the SSSG switch is the same, both are per-slot based. While for 480 kHz and 960 kHz SCS, it was agreed in </w:t>
            </w:r>
            <w:r>
              <w:rPr>
                <w:szCs w:val="20"/>
              </w:rPr>
              <w:t>RAN1#107-e</w:t>
            </w:r>
            <w:r>
              <w:rPr>
                <w:lang w:val="en-GB"/>
              </w:rPr>
              <w:t xml:space="preserve"> [2], there are several supported combinations of (X, Y). If a UE supports multiple (X, Y) combinations, it will be more flexible to support SSSG switching between different (X, Y) combination. For example, to </w:t>
            </w:r>
            <w:r>
              <w:t xml:space="preserve">handle those use cases with low-latency, denser PDCCH monitoring occasion may be configured in some period, then </w:t>
            </w:r>
            <w:r>
              <w:rPr>
                <w:lang w:val="en-GB"/>
              </w:rPr>
              <w:t>PDCCH monitoring capability combination will be changed along with SSSG switching, e.g. for 960 kHz SCS, there are 2 configured SSSG, PDCCH is configured to be monitored per 8-slots by the first search space set group, and the second search space set configures PDCCH to be monitored per 4-slots. In this case, the monitoring capability is different before and after the switching. In our view, SSSG switching between SSSGs that have the different (X, Y) PDCCH monitoring combination should be supported.</w:t>
            </w:r>
          </w:p>
          <w:p>
            <w:pPr>
              <w:widowControl w:val="0"/>
              <w:jc w:val="both"/>
              <w:rPr>
                <w:b/>
                <w:lang w:val="en-GB"/>
              </w:rPr>
            </w:pPr>
            <w:r>
              <w:rPr>
                <w:b/>
                <w:lang w:val="en-GB"/>
              </w:rPr>
              <w:t>Proposal 1: For operation in unlicensed band with 480 kHz and 960 kHz SCS, support SSSG switching between SSSGs that have the different (X, Y) PDCCH monitoring combination.</w:t>
            </w:r>
          </w:p>
          <w:p>
            <w:pPr>
              <w:widowControl w:val="0"/>
              <w:jc w:val="both"/>
              <w:rPr>
                <w:lang w:val="en-GB"/>
              </w:rPr>
            </w:pPr>
            <w:r>
              <w:t xml:space="preserve">In Rel-16, the switching boundary is the first slot that is at least </w:t>
            </w:r>
            <m:oMath>
              <m:sSub>
                <m:sSubPr>
                  <m:ctrlPr>
                    <w:rPr>
                      <w:rFonts w:ascii="Cambria Math" w:hAnsi="Cambria Math"/>
                    </w:rPr>
                  </m:ctrlPr>
                </m:sSubPr>
                <m:e>
                  <m:r>
                    <w:rPr>
                      <w:rFonts w:ascii="Cambria Math" w:hAnsi="Cambria Math"/>
                    </w:rPr>
                    <m:t>P</m:t>
                  </m:r>
                  <m:ctrlPr>
                    <w:rPr>
                      <w:rFonts w:ascii="Cambria Math" w:hAnsi="Cambria Math"/>
                    </w:rPr>
                  </m:ctrlPr>
                </m:e>
                <m:sub>
                  <m:r>
                    <w:rPr>
                      <w:rFonts w:ascii="Cambria Math" w:hAnsi="Cambria Math"/>
                    </w:rPr>
                    <m:t>switch</m:t>
                  </m:r>
                  <m:ctrlPr>
                    <w:rPr>
                      <w:rFonts w:ascii="Cambria Math" w:hAnsi="Cambria Math"/>
                    </w:rPr>
                  </m:ctrlPr>
                </m:sub>
              </m:sSub>
            </m:oMath>
            <w:r>
              <w:t xml:space="preserve"> symbols after some switch indication. </w:t>
            </w:r>
            <w:r>
              <w:rPr>
                <w:lang w:val="en-GB"/>
              </w:rPr>
              <w:t xml:space="preserve">For 480 kHz and 960 kHz SCS, PDCCH monitoring capability is </w:t>
            </w:r>
            <w:r>
              <w:t xml:space="preserve">multi-slot </w:t>
            </w:r>
            <w:r>
              <w:rPr>
                <w:lang w:val="en-GB"/>
              </w:rPr>
              <w:t xml:space="preserve">based, </w:t>
            </w:r>
            <w:r>
              <w:t xml:space="preserve">e.g. 4 slots for 480 kHz SCS and 4/8 slots for 960 kHz SCS, the switching boundary should be naturally extended to slot group based accordingly, and it can avoid monitoring </w:t>
            </w:r>
            <w:r>
              <w:rPr>
                <w:rFonts w:hint="eastAsia"/>
              </w:rPr>
              <w:t xml:space="preserve">two search space set groups </w:t>
            </w:r>
            <w:r>
              <w:t>in</w:t>
            </w:r>
            <w:r>
              <w:rPr>
                <w:rFonts w:hint="eastAsia"/>
              </w:rPr>
              <w:t xml:space="preserve"> </w:t>
            </w:r>
            <w:r>
              <w:t>one</w:t>
            </w:r>
            <w:r>
              <w:rPr>
                <w:rFonts w:hint="eastAsia"/>
              </w:rPr>
              <w:t xml:space="preserve"> slot group</w:t>
            </w:r>
            <w:r>
              <w:t>.</w:t>
            </w:r>
          </w:p>
          <w:p>
            <w:pPr>
              <w:widowControl w:val="0"/>
              <w:jc w:val="both"/>
              <w:rPr>
                <w:b/>
                <w:lang w:val="en-GB"/>
              </w:rPr>
            </w:pPr>
            <w:r>
              <w:rPr>
                <w:b/>
                <w:lang w:val="en-GB"/>
              </w:rPr>
              <w:t>Proposal 2: For operation in unlicensed band with 480 kHz and 960 kHz SCS, the switching boundary is aligned with the boundary of a slot group</w:t>
            </w:r>
          </w:p>
          <w:p>
            <w:pPr>
              <w:widowControl w:val="0"/>
              <w:jc w:val="both"/>
              <w:rPr>
                <w:b/>
                <w:lang w:val="en-GB"/>
              </w:rPr>
            </w:pPr>
          </w:p>
        </w:tc>
      </w:tr>
    </w:tbl>
    <w:p>
      <w:pPr>
        <w:rPr>
          <w:lang w:eastAsia="zh-CN"/>
        </w:rPr>
      </w:pPr>
    </w:p>
    <w:p>
      <w:pPr>
        <w:pStyle w:val="4"/>
      </w:pPr>
      <w:r>
        <w:t>R1-2201914 (Xiaomi)</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lang w:eastAsia="zh-CN"/>
              </w:rPr>
            </w:pPr>
            <w:r>
              <w:rPr>
                <w:lang w:eastAsia="zh-CN"/>
              </w:rPr>
              <w:t xml:space="preserve">It was agreed that for </w:t>
            </w:r>
            <w:r>
              <w:rPr>
                <w:i/>
                <w:lang w:eastAsia="zh-CN"/>
              </w:rPr>
              <w:t>duration-r17</w:t>
            </w:r>
            <w:r>
              <w:rPr>
                <w:rFonts w:hint="eastAsia"/>
                <w:lang w:eastAsia="zh-CN"/>
              </w:rPr>
              <w:t>,</w:t>
            </w:r>
            <w:r>
              <w:rPr>
                <w:lang w:eastAsia="zh-CN"/>
              </w:rPr>
              <w:t xml:space="preserve"> the value range is {8, 12, …, 20476}, and values represent slots. The configured duration is restricted to be an integer multiple of Xs slots at least for Group (1) SSs. Our understanding for</w:t>
            </w:r>
            <w:r>
              <w:rPr>
                <w:i/>
                <w:lang w:eastAsia="zh-CN"/>
              </w:rPr>
              <w:t xml:space="preserve"> duration-r17</w:t>
            </w:r>
            <w:r>
              <w:rPr>
                <w:lang w:eastAsia="zh-CN"/>
              </w:rPr>
              <w:t xml:space="preserve"> is the </w:t>
            </w:r>
            <w:r>
              <w:rPr>
                <w:lang w:eastAsia="sv-SE"/>
              </w:rPr>
              <w:t>number of consecutive slots that cover a SearchSpace in every periodicity, and search space can only exist with</w:t>
            </w:r>
            <w:r>
              <w:rPr>
                <w:rFonts w:hint="eastAsia"/>
                <w:lang w:eastAsia="zh-CN"/>
              </w:rPr>
              <w:t>in</w:t>
            </w:r>
            <w:r>
              <w:rPr>
                <w:lang w:eastAsia="sv-SE"/>
              </w:rPr>
              <w:t xml:space="preserve"> the slo</w:t>
            </w:r>
            <w:r>
              <w:rPr>
                <w:rFonts w:hint="eastAsia"/>
                <w:lang w:eastAsia="zh-CN"/>
              </w:rPr>
              <w:t>t</w:t>
            </w:r>
            <w:r>
              <w:rPr>
                <w:lang w:eastAsia="zh-CN"/>
              </w:rPr>
              <w:t xml:space="preserve">(s) that is(are) indicated as ‘1’ by </w:t>
            </w:r>
            <w:r>
              <w:rPr>
                <w:i/>
                <w:iCs/>
                <w:color w:val="000000"/>
              </w:rPr>
              <w:t>monitoringSlotsWithinSlotGroup-r17.</w:t>
            </w:r>
            <w:r>
              <w:rPr>
                <w:rFonts w:hint="eastAsia"/>
                <w:lang w:eastAsia="zh-CN"/>
              </w:rPr>
              <w:t xml:space="preserve"> </w:t>
            </w:r>
            <w:r>
              <w:rPr>
                <w:lang w:eastAsia="zh-CN"/>
              </w:rPr>
              <w:t xml:space="preserve">For example, if </w:t>
            </w:r>
            <w:r>
              <w:rPr>
                <w:i/>
                <w:lang w:eastAsia="zh-CN"/>
              </w:rPr>
              <w:t xml:space="preserve">duration-r17 </w:t>
            </w:r>
            <w:r>
              <w:rPr>
                <w:lang w:eastAsia="zh-CN"/>
              </w:rPr>
              <w:t>is configured as 8, and Xs =4,</w:t>
            </w:r>
            <w:r>
              <w:rPr>
                <w:i/>
                <w:iCs/>
                <w:color w:val="000000"/>
              </w:rPr>
              <w:t xml:space="preserve"> monitoringSlotsWithinSlotGroup-r17</w:t>
            </w:r>
            <w:r>
              <w:rPr>
                <w:lang w:eastAsia="zh-CN"/>
              </w:rPr>
              <w:t xml:space="preserve">=10001000.It is clear the intention is not to have consecutive 8 </w:t>
            </w:r>
            <w:r>
              <w:rPr>
                <w:rFonts w:hint="eastAsia"/>
                <w:lang w:eastAsia="zh-CN"/>
              </w:rPr>
              <w:t>slots</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Pr>
                <w:rFonts w:hint="eastAsia"/>
                <w:lang w:eastAsia="zh-CN"/>
              </w:rPr>
              <w:t>searchspace</w:t>
            </w:r>
            <w:r>
              <w:rPr>
                <w:lang w:eastAsia="zh-CN"/>
              </w:rPr>
              <w:t xml:space="preserve">, rather, there is only 2 slots, 1 slot out of every 4 slots, for the search space within a periodicity. </w:t>
            </w:r>
          </w:p>
          <w:p>
            <w:pPr>
              <w:widowControl w:val="0"/>
              <w:jc w:val="both"/>
              <w:rPr>
                <w:b/>
                <w:i/>
                <w:lang w:eastAsia="zh-CN"/>
              </w:rPr>
            </w:pPr>
            <w:r>
              <w:rPr>
                <w:b/>
                <w:i/>
                <w:lang w:eastAsia="zh-CN"/>
              </w:rPr>
              <w:t xml:space="preserve">Proposal 2: duration-r17 is the </w:t>
            </w:r>
            <w:r>
              <w:rPr>
                <w:b/>
                <w:i/>
                <w:lang w:eastAsia="sv-SE"/>
              </w:rPr>
              <w:t>number of consecutive slots that cover a SearchSpace in every periodicity, and search space can only exist with</w:t>
            </w:r>
            <w:r>
              <w:rPr>
                <w:rFonts w:hint="eastAsia"/>
                <w:b/>
                <w:i/>
                <w:lang w:eastAsia="zh-CN"/>
              </w:rPr>
              <w:t>in</w:t>
            </w:r>
            <w:r>
              <w:rPr>
                <w:b/>
                <w:i/>
                <w:lang w:eastAsia="sv-SE"/>
              </w:rPr>
              <w:t xml:space="preserve"> the slo</w:t>
            </w:r>
            <w:r>
              <w:rPr>
                <w:rFonts w:hint="eastAsia"/>
                <w:b/>
                <w:i/>
                <w:lang w:eastAsia="zh-CN"/>
              </w:rPr>
              <w:t>t</w:t>
            </w:r>
            <w:r>
              <w:rPr>
                <w:b/>
                <w:i/>
                <w:lang w:eastAsia="zh-CN"/>
              </w:rPr>
              <w:t xml:space="preserve">(s) that is(are) indicated as ‘1’ by </w:t>
            </w:r>
            <w:r>
              <w:rPr>
                <w:b/>
                <w:i/>
                <w:iCs/>
                <w:color w:val="000000"/>
              </w:rPr>
              <w:t>monitoringSlotsWithinSlotGroup-r17</w:t>
            </w:r>
            <w:r>
              <w:rPr>
                <w:i/>
                <w:iCs/>
                <w:color w:val="000000"/>
              </w:rPr>
              <w:t>.</w:t>
            </w:r>
          </w:p>
          <w:p>
            <w:pPr>
              <w:widowControl w:val="0"/>
              <w:rPr>
                <w:lang w:eastAsia="zh-CN"/>
              </w:rPr>
            </w:pPr>
          </w:p>
        </w:tc>
      </w:tr>
    </w:tbl>
    <w:p>
      <w:pPr>
        <w:rPr>
          <w:lang w:eastAsia="zh-CN"/>
        </w:rPr>
      </w:pPr>
    </w:p>
    <w:p>
      <w:pPr>
        <w:pStyle w:val="4"/>
      </w:pPr>
      <w:r>
        <w:t>R1-2202005 (Samsung)</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after="0"/>
              <w:jc w:val="both"/>
              <w:rPr>
                <w:lang w:eastAsia="zh-CN"/>
              </w:rPr>
            </w:pPr>
            <w:r>
              <w:rPr>
                <w:lang w:eastAsia="zh-CN"/>
              </w:rPr>
              <w:t>In the last meeting, a framework for search space configuration applicable to multi-slot based PDCCH monitoring was agreed, and there are remaining issues to be resolved based on the framework.</w:t>
            </w:r>
          </w:p>
          <w:p>
            <w:pPr>
              <w:widowControl w:val="0"/>
              <w:spacing w:after="0"/>
              <w:jc w:val="both"/>
              <w:rPr>
                <w:lang w:eastAsia="zh-CN"/>
              </w:rPr>
            </w:pPr>
          </w:p>
          <w:p>
            <w:pPr>
              <w:widowControl w:val="0"/>
              <w:spacing w:after="0"/>
              <w:jc w:val="both"/>
              <w:rPr>
                <w:lang w:eastAsia="zh-CN"/>
              </w:rPr>
            </w:pPr>
            <w:r>
              <w:rPr>
                <w:lang w:eastAsia="zh-CN"/>
              </w:rPr>
              <w:t xml:space="preserve">First, there is a FFS on the offset of search space set. Based on current framework, the periodicity and duration of the search space set are both integer multiple of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lang w:eastAsia="zh-CN"/>
              </w:rPr>
              <w:t xml:space="preserve">, and hence, the offset should also be an integer multiple of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lang w:eastAsia="zh-CN"/>
              </w:rPr>
              <w:t xml:space="preserve"> such that the duration of a search space set starts from a boundary of a group of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oMath>
            <w:r>
              <w:rPr>
                <w:lang w:eastAsia="zh-CN"/>
              </w:rPr>
              <w:t xml:space="preserve"> slots. </w:t>
            </w:r>
          </w:p>
          <w:p>
            <w:pPr>
              <w:widowControl w:val="0"/>
              <w:spacing w:after="0"/>
              <w:jc w:val="both"/>
              <w:rPr>
                <w:lang w:eastAsia="zh-CN"/>
              </w:rPr>
            </w:pPr>
          </w:p>
          <w:p>
            <w:pPr>
              <w:widowControl w:val="0"/>
              <w:spacing w:after="0"/>
              <w:jc w:val="both"/>
            </w:pPr>
            <w:r>
              <w:rPr>
                <w:lang w:eastAsia="zh-CN"/>
              </w:rPr>
              <w:t>Also, there is a FFS on the definition of duration for the search space set. For legacy search space set configuration, the field duration refers to “</w:t>
            </w:r>
            <w:r>
              <w:rPr>
                <w:lang w:eastAsia="sv-SE"/>
              </w:rPr>
              <w:t xml:space="preserve">number of consecutive slots that a </w:t>
            </w:r>
            <w:r>
              <w:rPr>
                <w:i/>
                <w:lang w:eastAsia="sv-SE"/>
              </w:rPr>
              <w:t>SearchSpace</w:t>
            </w:r>
            <w:r>
              <w:rPr>
                <w:lang w:eastAsia="sv-SE"/>
              </w:rPr>
              <w:t xml:space="preserve"> lasts in every occasion</w:t>
            </w:r>
            <w:r>
              <w:rPr>
                <w:lang w:eastAsia="zh-CN"/>
              </w:rPr>
              <w:t xml:space="preserve">”, which is obviously not applicable to </w:t>
            </w:r>
            <w:r>
              <w:t xml:space="preserve">Group (1) SSs. The description should be revised for multi-slot based PDCCH monitoring, and a UE should assume a </w:t>
            </w:r>
            <w:r>
              <w:rPr>
                <w:i/>
              </w:rPr>
              <w:t>SearchSpace</w:t>
            </w:r>
            <w:r>
              <w:t xml:space="preserve"> may last in a subset of the consecutive slots according to the newly introduced bitmap </w:t>
            </w:r>
            <w:r>
              <w:rPr>
                <w:i/>
              </w:rPr>
              <w:t>monitoringSlotsWithinSlotGroup-r17</w:t>
            </w:r>
            <w:r>
              <w:t xml:space="preserve">. </w:t>
            </w:r>
          </w:p>
          <w:p>
            <w:pPr>
              <w:widowControl w:val="0"/>
              <w:spacing w:after="0"/>
              <w:jc w:val="both"/>
            </w:pPr>
          </w:p>
          <w:p>
            <w:pPr>
              <w:widowControl w:val="0"/>
              <w:spacing w:after="0"/>
              <w:jc w:val="both"/>
            </w:pPr>
            <w:r>
              <w:t xml:space="preserve">Lastly, it was agreed to have the limitation that the bits taking value of 1 in the bitmap for indicating slots including Group (1) search space set (i.e., </w:t>
            </w:r>
            <w:r>
              <w:rPr>
                <w:i/>
                <w:iCs/>
                <w:color w:val="000000"/>
              </w:rPr>
              <w:t>monitoringSlotsWithinSlotGroup-r17</w:t>
            </w:r>
            <w:r>
              <w:t xml:space="preserve">) should be consecutive, and it should be further clarified that the number of bits taking value of 1 should be no larger than </w:t>
            </w:r>
            <m:oMath>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s</m:t>
                  </m:r>
                  <m:ctrlPr>
                    <w:rPr>
                      <w:rFonts w:ascii="Cambria Math" w:hAnsi="Cambria Math"/>
                      <w:i/>
                    </w:rPr>
                  </m:ctrlPr>
                </m:sub>
              </m:sSub>
            </m:oMath>
            <w:r>
              <w:t xml:space="preserve"> in order to be compatible with the framework for multi-slot based PDCCH monitoring. </w:t>
            </w:r>
          </w:p>
          <w:p>
            <w:pPr>
              <w:widowControl w:val="0"/>
              <w:spacing w:after="0"/>
              <w:jc w:val="both"/>
            </w:pPr>
            <w:r>
              <w:t xml:space="preserve"> </w:t>
            </w:r>
          </w:p>
          <w:p>
            <w:pPr>
              <w:widowControl w:val="0"/>
              <w:spacing w:after="0"/>
              <w:jc w:val="both"/>
              <w:rPr>
                <w:b/>
                <w:u w:val="single"/>
              </w:rPr>
            </w:pPr>
            <w:r>
              <w:rPr>
                <w:b/>
                <w:u w:val="single"/>
              </w:rPr>
              <w:t>Proposal 4: For search space set configuration of multi-slot PDCCH monitoring:</w:t>
            </w:r>
          </w:p>
          <w:p>
            <w:pPr>
              <w:pStyle w:val="82"/>
              <w:widowControl w:val="0"/>
              <w:numPr>
                <w:ilvl w:val="0"/>
                <w:numId w:val="88"/>
              </w:numPr>
              <w:snapToGrid/>
              <w:spacing w:line="240" w:lineRule="auto"/>
              <w:rPr>
                <w:b/>
                <w:u w:val="single"/>
              </w:rPr>
            </w:pPr>
            <w:r>
              <w:rPr>
                <w:b/>
                <w:u w:val="single"/>
              </w:rPr>
              <w:t xml:space="preserve">the configured offset at least for Group (1) SSs is restricted to be an integer multiple of </w:t>
            </w:r>
            <m:oMath>
              <m:sSub>
                <m:sSubPr>
                  <m:ctrlPr>
                    <w:rPr>
                      <w:rFonts w:ascii="Cambria Math" w:hAnsi="Cambria Math"/>
                      <w:b/>
                      <w:i/>
                      <w:u w:val="single"/>
                      <w:lang w:eastAsia="zh-CN"/>
                    </w:rPr>
                  </m:ctrlPr>
                </m:sSubPr>
                <m:e>
                  <m:r>
                    <m:rPr>
                      <m:sty m:val="bi"/>
                    </m:rPr>
                    <w:rPr>
                      <w:rFonts w:ascii="Cambria Math" w:hAnsi="Cambria Math"/>
                      <w:u w:val="single"/>
                      <w:lang w:eastAsia="zh-CN"/>
                    </w:rPr>
                    <m:t>X</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oMath>
            <w:r>
              <w:rPr>
                <w:b/>
                <w:u w:val="single"/>
              </w:rPr>
              <w:t xml:space="preserve"> slots;</w:t>
            </w:r>
          </w:p>
          <w:p>
            <w:pPr>
              <w:pStyle w:val="82"/>
              <w:widowControl w:val="0"/>
              <w:numPr>
                <w:ilvl w:val="0"/>
                <w:numId w:val="88"/>
              </w:numPr>
              <w:snapToGrid/>
              <w:spacing w:line="240" w:lineRule="auto"/>
              <w:jc w:val="both"/>
              <w:rPr>
                <w:b/>
                <w:u w:val="single"/>
              </w:rPr>
            </w:pPr>
            <w:r>
              <w:rPr>
                <w:b/>
                <w:u w:val="single"/>
              </w:rPr>
              <w:t>“duration-r17” refers to “</w:t>
            </w:r>
            <w:r>
              <w:rPr>
                <w:b/>
                <w:u w:val="single"/>
                <w:lang w:eastAsia="sv-SE"/>
              </w:rPr>
              <w:t xml:space="preserve">number of consecutive slots that formulates a number of groups of </w:t>
            </w:r>
            <m:oMath>
              <m:sSub>
                <m:sSubPr>
                  <m:ctrlPr>
                    <w:rPr>
                      <w:rFonts w:ascii="Cambria Math" w:hAnsi="Cambria Math"/>
                      <w:b/>
                      <w:i/>
                      <w:u w:val="single"/>
                      <w:lang w:eastAsia="zh-CN"/>
                    </w:rPr>
                  </m:ctrlPr>
                </m:sSubPr>
                <m:e>
                  <m:r>
                    <m:rPr>
                      <m:sty m:val="bi"/>
                    </m:rPr>
                    <w:rPr>
                      <w:rFonts w:ascii="Cambria Math" w:hAnsi="Cambria Math"/>
                      <w:u w:val="single"/>
                      <w:lang w:eastAsia="zh-CN"/>
                    </w:rPr>
                    <m:t>X</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oMath>
            <w:r>
              <w:rPr>
                <w:b/>
                <w:u w:val="single"/>
              </w:rPr>
              <w:t xml:space="preserve"> slots</w:t>
            </w:r>
            <w:r>
              <w:rPr>
                <w:b/>
                <w:u w:val="single"/>
                <w:lang w:eastAsia="sv-SE"/>
              </w:rPr>
              <w:t xml:space="preserve"> where a </w:t>
            </w:r>
            <w:r>
              <w:rPr>
                <w:b/>
                <w:i/>
                <w:u w:val="single"/>
                <w:lang w:eastAsia="sv-SE"/>
              </w:rPr>
              <w:t>SearchSpace</w:t>
            </w:r>
            <w:r>
              <w:rPr>
                <w:b/>
                <w:u w:val="single"/>
                <w:lang w:eastAsia="sv-SE"/>
              </w:rPr>
              <w:t xml:space="preserve"> locates according to </w:t>
            </w:r>
            <w:r>
              <w:rPr>
                <w:b/>
                <w:i/>
                <w:u w:val="single"/>
              </w:rPr>
              <w:t xml:space="preserve">monitoringSlotsWithinSlotGroup-r17 </w:t>
            </w:r>
            <w:r>
              <w:rPr>
                <w:b/>
                <w:u w:val="single"/>
              </w:rPr>
              <w:t>in each of the group of</w:t>
            </w:r>
            <w:r>
              <w:rPr>
                <w:b/>
                <w:i/>
                <w:u w:val="single"/>
              </w:rPr>
              <w:t xml:space="preserve"> </w:t>
            </w:r>
            <m:oMath>
              <m:sSub>
                <m:sSubPr>
                  <m:ctrlPr>
                    <w:rPr>
                      <w:rFonts w:ascii="Cambria Math" w:hAnsi="Cambria Math"/>
                      <w:b/>
                      <w:i/>
                      <w:u w:val="single"/>
                      <w:lang w:eastAsia="zh-CN"/>
                    </w:rPr>
                  </m:ctrlPr>
                </m:sSubPr>
                <m:e>
                  <m:r>
                    <m:rPr>
                      <m:sty m:val="bi"/>
                    </m:rPr>
                    <w:rPr>
                      <w:rFonts w:ascii="Cambria Math" w:hAnsi="Cambria Math"/>
                      <w:u w:val="single"/>
                      <w:lang w:eastAsia="zh-CN"/>
                    </w:rPr>
                    <m:t>X</m:t>
                  </m:r>
                  <m:ctrlPr>
                    <w:rPr>
                      <w:rFonts w:ascii="Cambria Math" w:hAnsi="Cambria Math"/>
                      <w:b/>
                      <w:i/>
                      <w:u w:val="single"/>
                      <w:lang w:eastAsia="zh-CN"/>
                    </w:rPr>
                  </m:ctrlPr>
                </m:e>
                <m:sub>
                  <m:r>
                    <m:rPr>
                      <m:sty m:val="bi"/>
                    </m:rPr>
                    <w:rPr>
                      <w:rFonts w:ascii="Cambria Math" w:hAnsi="Cambria Math"/>
                      <w:u w:val="single"/>
                      <w:lang w:eastAsia="zh-CN"/>
                    </w:rPr>
                    <m:t>s</m:t>
                  </m:r>
                  <m:ctrlPr>
                    <w:rPr>
                      <w:rFonts w:ascii="Cambria Math" w:hAnsi="Cambria Math"/>
                      <w:b/>
                      <w:i/>
                      <w:u w:val="single"/>
                      <w:lang w:eastAsia="zh-CN"/>
                    </w:rPr>
                  </m:ctrlPr>
                </m:sub>
              </m:sSub>
            </m:oMath>
            <w:r>
              <w:rPr>
                <w:b/>
                <w:u w:val="single"/>
              </w:rPr>
              <w:t xml:space="preserve"> slots”;</w:t>
            </w:r>
          </w:p>
          <w:p>
            <w:pPr>
              <w:pStyle w:val="82"/>
              <w:widowControl w:val="0"/>
              <w:numPr>
                <w:ilvl w:val="0"/>
                <w:numId w:val="88"/>
              </w:numPr>
              <w:snapToGrid/>
              <w:spacing w:line="240" w:lineRule="auto"/>
              <w:jc w:val="both"/>
              <w:rPr>
                <w:b/>
                <w:u w:val="single"/>
              </w:rPr>
            </w:pPr>
            <w:r>
              <w:rPr>
                <w:b/>
                <w:u w:val="single"/>
              </w:rPr>
              <w:t xml:space="preserve">The number of slots indicated by “monitoringSlotsWithinSlotGroup-r17” should be no larger than </w:t>
            </w:r>
            <m:oMath>
              <m:sSub>
                <m:sSubPr>
                  <m:ctrlPr>
                    <w:rPr>
                      <w:rFonts w:ascii="Cambria Math" w:hAnsi="Cambria Math"/>
                      <w:b/>
                      <w:i/>
                      <w:u w:val="single"/>
                    </w:rPr>
                  </m:ctrlPr>
                </m:sSubPr>
                <m:e>
                  <m:r>
                    <m:rPr>
                      <m:sty m:val="bi"/>
                    </m:rPr>
                    <w:rPr>
                      <w:rFonts w:ascii="Cambria Math" w:hAnsi="Cambria Math"/>
                      <w:u w:val="single"/>
                    </w:rPr>
                    <m:t>Y</m:t>
                  </m:r>
                  <m:ctrlPr>
                    <w:rPr>
                      <w:rFonts w:ascii="Cambria Math" w:hAnsi="Cambria Math"/>
                      <w:b/>
                      <w:i/>
                      <w:u w:val="single"/>
                    </w:rPr>
                  </m:ctrlPr>
                </m:e>
                <m:sub>
                  <m:r>
                    <m:rPr>
                      <m:sty m:val="bi"/>
                    </m:rPr>
                    <w:rPr>
                      <w:rFonts w:ascii="Cambria Math" w:hAnsi="Cambria Math"/>
                      <w:u w:val="single"/>
                    </w:rPr>
                    <m:t>s</m:t>
                  </m:r>
                  <m:ctrlPr>
                    <w:rPr>
                      <w:rFonts w:ascii="Cambria Math" w:hAnsi="Cambria Math"/>
                      <w:b/>
                      <w:i/>
                      <w:u w:val="single"/>
                    </w:rPr>
                  </m:ctrlPr>
                </m:sub>
              </m:sSub>
            </m:oMath>
            <w:r>
              <w:rPr>
                <w:b/>
                <w:u w:val="single"/>
              </w:rPr>
              <w:t>.</w:t>
            </w:r>
          </w:p>
          <w:p>
            <w:pPr>
              <w:widowControl w:val="0"/>
              <w:jc w:val="both"/>
              <w:rPr>
                <w:b/>
                <w:u w:val="single"/>
              </w:rPr>
            </w:pPr>
          </w:p>
        </w:tc>
      </w:tr>
    </w:tbl>
    <w:p>
      <w:pPr>
        <w:rPr>
          <w:lang w:eastAsia="zh-CN"/>
        </w:rPr>
      </w:pPr>
    </w:p>
    <w:p>
      <w:pPr>
        <w:pStyle w:val="4"/>
      </w:pPr>
      <w:r>
        <w:t>R1-2202072 (MediaTek)</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pPr>
            <w:r>
              <w:t xml:space="preserve">In RAN1 #107-e meeting, the framework of multi-slot PDCCH monitoring and BD/CCE limit within a slot group in a single cell has been specified. Further in RAN1 #107bis-e meeting, enhancements of search space set configuration were discussed. Two IEs are introduced, </w:t>
            </w:r>
            <w:r>
              <w:rPr>
                <w:i/>
                <w:iCs/>
              </w:rPr>
              <w:t>duration-r17</w:t>
            </w:r>
            <w:r>
              <w:t xml:space="preserve"> and </w:t>
            </w:r>
            <w:r>
              <w:rPr>
                <w:i/>
                <w:iCs/>
              </w:rPr>
              <w:t xml:space="preserve">monitoringSlotsWithinSlotGroup-r17, </w:t>
            </w:r>
            <w:r>
              <w:t xml:space="preserve">to address the flexibility of multi-slot PDCCH monitoring configuration but no clear definition is captured.  In our understanding, the purpose of </w:t>
            </w:r>
            <w:r>
              <w:rPr>
                <w:i/>
                <w:iCs/>
              </w:rPr>
              <w:t>duration-r17</w:t>
            </w:r>
            <w:r>
              <w:t xml:space="preserve"> is to specify the “duration” of slot-group and the purpose of </w:t>
            </w:r>
            <w:r>
              <w:rPr>
                <w:i/>
                <w:iCs/>
              </w:rPr>
              <w:t xml:space="preserve">monitoringSlotsWithinSlotGroup-r17 </w:t>
            </w:r>
            <w:r>
              <w:t xml:space="preserve">is to specify which slots within a slot group are configured to monitor. That is, for a search space set </w:t>
            </w:r>
            <m:oMath>
              <m:r>
                <w:rPr>
                  <w:rFonts w:ascii="Cambria Math" w:hAnsi="Cambria Math"/>
                </w:rPr>
                <m:t>s</m:t>
              </m:r>
            </m:oMath>
            <w:r>
              <w:t xml:space="preserve">, UE will monitor PDCCH in the slots indicated by </w:t>
            </w:r>
            <w:bookmarkStart w:id="75" w:name="_Hlk95216137"/>
            <w:r>
              <w:rPr>
                <w:i/>
                <w:iCs/>
              </w:rPr>
              <w:t>monitoringSlotsWithinSlotGroup-r17</w:t>
            </w:r>
            <w:bookmarkEnd w:id="75"/>
            <w:r>
              <w:t xml:space="preserve"> within a slot group of </w:t>
            </w:r>
            <m:oMath>
              <m:sSub>
                <m:sSubPr>
                  <m:ctrlPr>
                    <w:rPr>
                      <w:rFonts w:ascii="Cambria Math" w:hAnsi="Cambria Math"/>
                      <w:i/>
                    </w:rPr>
                  </m:ctrlPr>
                </m:sSubPr>
                <m:e>
                  <m:r>
                    <w:rPr>
                      <w:rFonts w:ascii="Cambria Math" w:hAnsi="Cambria Math"/>
                    </w:rPr>
                    <m:t>X</m:t>
                  </m:r>
                  <m:ctrlPr>
                    <w:rPr>
                      <w:rFonts w:ascii="Cambria Math" w:hAnsi="Cambria Math"/>
                      <w:i/>
                    </w:rPr>
                  </m:ctrlPr>
                </m:e>
                <m:sub>
                  <m:r>
                    <w:rPr>
                      <w:rFonts w:ascii="Cambria Math" w:hAnsi="Cambria Math"/>
                    </w:rPr>
                    <m:t>s</m:t>
                  </m:r>
                  <m:ctrlPr>
                    <w:rPr>
                      <w:rFonts w:ascii="Cambria Math" w:hAnsi="Cambria Math"/>
                      <w:i/>
                    </w:rPr>
                  </m:ctrlPr>
                </m:sub>
              </m:sSub>
            </m:oMath>
            <w:r>
              <w:t xml:space="preserve"> slots and the same monitoring pattern within a slot group will be performed in consecutive </w:t>
            </w:r>
            <m:oMath>
              <m:sSub>
                <m:sSubPr>
                  <m:ctrlPr>
                    <w:rPr>
                      <w:rFonts w:ascii="Cambria Math" w:hAnsi="Cambria Math"/>
                      <w:i/>
                    </w:rPr>
                  </m:ctrlPr>
                </m:sSubPr>
                <m:e>
                  <m:r>
                    <w:rPr>
                      <w:rFonts w:ascii="Cambria Math" w:hAnsi="Cambria Math"/>
                    </w:rPr>
                    <m:t>M</m:t>
                  </m:r>
                  <m:ctrlPr>
                    <w:rPr>
                      <w:rFonts w:ascii="Cambria Math" w:hAnsi="Cambria Math"/>
                      <w:i/>
                    </w:rPr>
                  </m:ctrlPr>
                </m:e>
                <m:sub>
                  <m:r>
                    <w:rPr>
                      <w:rFonts w:ascii="Cambria Math" w:hAnsi="Cambria Math"/>
                    </w:rPr>
                    <m:t>s</m:t>
                  </m:r>
                  <m:ctrlPr>
                    <w:rPr>
                      <w:rFonts w:ascii="Cambria Math" w:hAnsi="Cambria Math"/>
                      <w:i/>
                    </w:rPr>
                  </m:ctrlPr>
                </m:sub>
              </m:sSub>
            </m:oMath>
            <w:r>
              <w:t xml:space="preserve"> slot groups, where </w:t>
            </w:r>
            <w:r>
              <w:rPr>
                <w:i/>
                <w:iCs/>
              </w:rPr>
              <w:t>duration-r17</w:t>
            </w:r>
            <w:r>
              <w:t>=</w:t>
            </w:r>
            <m:oMath>
              <m:sSub>
                <m:sSubPr>
                  <m:ctrlPr>
                    <w:rPr>
                      <w:rFonts w:ascii="Cambria Math" w:hAnsi="Cambria Math"/>
                      <w:i/>
                    </w:rPr>
                  </m:ctrlPr>
                </m:sSubPr>
                <m:e>
                  <m:r>
                    <w:rPr>
                      <w:rFonts w:ascii="Cambria Math" w:hAnsi="Cambria Math"/>
                    </w:rPr>
                    <m:t>M</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m:t>
              </m:r>
              <m:sSub>
                <m:sSubPr>
                  <m:ctrlPr>
                    <w:rPr>
                      <w:rFonts w:ascii="Cambria Math" w:hAnsi="Cambria Math"/>
                      <w:i/>
                    </w:rPr>
                  </m:ctrlPr>
                </m:sSubPr>
                <m:e>
                  <m:r>
                    <w:rPr>
                      <w:rFonts w:ascii="Cambria Math" w:hAnsi="Cambria Math"/>
                    </w:rPr>
                    <m:t>X</m:t>
                  </m:r>
                  <m:ctrlPr>
                    <w:rPr>
                      <w:rFonts w:ascii="Cambria Math" w:hAnsi="Cambria Math"/>
                      <w:i/>
                    </w:rPr>
                  </m:ctrlPr>
                </m:e>
                <m:sub>
                  <m:r>
                    <w:rPr>
                      <w:rFonts w:ascii="Cambria Math" w:hAnsi="Cambria Math"/>
                    </w:rPr>
                    <m:t>s</m:t>
                  </m:r>
                  <m:ctrlPr>
                    <w:rPr>
                      <w:rFonts w:ascii="Cambria Math" w:hAnsi="Cambria Math"/>
                      <w:i/>
                    </w:rPr>
                  </m:ctrlPr>
                </m:sub>
              </m:sSub>
            </m:oMath>
            <w:r>
              <w:t xml:space="preserve">. It was also discussed that the </w:t>
            </w:r>
            <w:r>
              <w:rPr>
                <w:color w:val="000000"/>
              </w:rPr>
              <w:t>slots indicated in the bitmap should be consecutive</w:t>
            </w:r>
            <w:r>
              <w:t xml:space="preserve"> at least for Group (1) SSs. In our view, the same restriction should be applied to Group (2) SSs since it is unlikely that UE will monitor a Group (2) SS more than once in a slot group.</w:t>
            </w:r>
          </w:p>
          <w:p>
            <w:pPr>
              <w:widowControl w:val="0"/>
            </w:pPr>
          </w:p>
          <w:p>
            <w:pPr>
              <w:widowControl w:val="0"/>
              <w:rPr>
                <w:b/>
              </w:rPr>
            </w:pPr>
            <w:bookmarkStart w:id="76" w:name="_Ref9521756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xml:space="preserve">: For a search space set </w:t>
            </w:r>
            <m:oMath>
              <m:r>
                <m:rPr>
                  <m:sty m:val="bi"/>
                </m:rPr>
                <w:rPr>
                  <w:rFonts w:ascii="Cambria Math" w:hAnsi="Cambria Math"/>
                </w:rPr>
                <m:t>s</m:t>
              </m:r>
            </m:oMath>
            <w:r>
              <w:rPr>
                <w:b/>
              </w:rPr>
              <w:t xml:space="preserve"> configuration, UE is provided a PDCCH monitoring pattern within a slot group of size </w:t>
            </w:r>
            <m:oMath>
              <m:sSub>
                <m:sSubPr>
                  <m:ctrlPr>
                    <w:rPr>
                      <w:rFonts w:ascii="Cambria Math" w:hAnsi="Cambria Math"/>
                      <w:b/>
                      <w:i/>
                    </w:rPr>
                  </m:ctrlPr>
                </m:sSubPr>
                <m:e>
                  <m:r>
                    <m:rPr>
                      <m:sty m:val="bi"/>
                    </m:rPr>
                    <w:rPr>
                      <w:rFonts w:ascii="Cambria Math" w:hAnsi="Cambria Math"/>
                    </w:rPr>
                    <m:t>X</m:t>
                  </m:r>
                  <m:ctrlPr>
                    <w:rPr>
                      <w:rFonts w:ascii="Cambria Math" w:hAnsi="Cambria Math"/>
                      <w:b/>
                      <w:i/>
                    </w:rPr>
                  </m:ctrlPr>
                </m:e>
                <m:sub>
                  <m:r>
                    <m:rPr>
                      <m:sty m:val="bi"/>
                    </m:rPr>
                    <w:rPr>
                      <w:rFonts w:ascii="Cambria Math" w:hAnsi="Cambria Math"/>
                    </w:rPr>
                    <m:t>s</m:t>
                  </m:r>
                  <m:ctrlPr>
                    <w:rPr>
                      <w:rFonts w:ascii="Cambria Math" w:hAnsi="Cambria Math"/>
                      <w:b/>
                      <w:i/>
                    </w:rPr>
                  </m:ctrlPr>
                </m:sub>
              </m:sSub>
            </m:oMath>
            <w:r>
              <w:rPr>
                <w:b/>
              </w:rPr>
              <w:t xml:space="preserve"> slots indicating a duration of consecutive slots that a search set s exists by </w:t>
            </w:r>
            <w:r>
              <w:rPr>
                <w:b/>
                <w:i/>
                <w:iCs/>
              </w:rPr>
              <w:t>monitoringSlotsWithinSlotGroup-r17</w:t>
            </w:r>
            <w:r>
              <w:rPr>
                <w:b/>
              </w:rPr>
              <w:t xml:space="preserve">. The same monitoring pattern within a slot group will be performed in consecutive </w:t>
            </w:r>
            <m:oMath>
              <m:sSub>
                <m:sSubPr>
                  <m:ctrlPr>
                    <w:rPr>
                      <w:rFonts w:ascii="Cambria Math" w:hAnsi="Cambria Math"/>
                      <w:b/>
                      <w:i/>
                    </w:rPr>
                  </m:ctrlPr>
                </m:sSubPr>
                <m:e>
                  <m:r>
                    <m:rPr>
                      <m:sty m:val="bi"/>
                    </m:rPr>
                    <w:rPr>
                      <w:rFonts w:ascii="Cambria Math" w:hAnsi="Cambria Math"/>
                    </w:rPr>
                    <m:t>M</m:t>
                  </m:r>
                  <m:ctrlPr>
                    <w:rPr>
                      <w:rFonts w:ascii="Cambria Math" w:hAnsi="Cambria Math"/>
                      <w:b/>
                      <w:i/>
                    </w:rPr>
                  </m:ctrlPr>
                </m:e>
                <m:sub>
                  <m:r>
                    <m:rPr>
                      <m:sty m:val="bi"/>
                    </m:rPr>
                    <w:rPr>
                      <w:rFonts w:ascii="Cambria Math" w:hAnsi="Cambria Math"/>
                    </w:rPr>
                    <m:t>s</m:t>
                  </m:r>
                  <m:ctrlPr>
                    <w:rPr>
                      <w:rFonts w:ascii="Cambria Math" w:hAnsi="Cambria Math"/>
                      <w:b/>
                      <w:i/>
                    </w:rPr>
                  </m:ctrlPr>
                </m:sub>
              </m:sSub>
            </m:oMath>
            <w:r>
              <w:rPr>
                <w:b/>
              </w:rPr>
              <w:t xml:space="preserve"> slot groups indicated by </w:t>
            </w:r>
            <w:r>
              <w:rPr>
                <w:b/>
                <w:i/>
                <w:iCs/>
              </w:rPr>
              <w:t>duration-r17</w:t>
            </w:r>
            <w:r>
              <w:rPr>
                <w:b/>
              </w:rPr>
              <w:t>=</w:t>
            </w:r>
            <m:oMath>
              <m:sSub>
                <m:sSubPr>
                  <m:ctrlPr>
                    <w:rPr>
                      <w:rFonts w:ascii="Cambria Math" w:hAnsi="Cambria Math"/>
                      <w:b/>
                      <w:i/>
                    </w:rPr>
                  </m:ctrlPr>
                </m:sSubPr>
                <m:e>
                  <m:r>
                    <m:rPr>
                      <m:sty m:val="bi"/>
                    </m:rPr>
                    <w:rPr>
                      <w:rFonts w:ascii="Cambria Math" w:hAnsi="Cambria Math"/>
                    </w:rPr>
                    <m:t>M</m:t>
                  </m:r>
                  <m:ctrlPr>
                    <w:rPr>
                      <w:rFonts w:ascii="Cambria Math" w:hAnsi="Cambria Math"/>
                      <w:b/>
                      <w:i/>
                    </w:rPr>
                  </m:ctrlPr>
                </m:e>
                <m:sub>
                  <m:r>
                    <m:rPr>
                      <m:sty m:val="bi"/>
                    </m:rPr>
                    <w:rPr>
                      <w:rFonts w:ascii="Cambria Math" w:hAnsi="Cambria Math"/>
                    </w:rPr>
                    <m:t>s</m:t>
                  </m:r>
                  <m:ctrlPr>
                    <w:rPr>
                      <w:rFonts w:ascii="Cambria Math" w:hAnsi="Cambria Math"/>
                      <w:b/>
                      <w:i/>
                    </w:rPr>
                  </m:ctrlP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X</m:t>
                  </m:r>
                  <m:ctrlPr>
                    <w:rPr>
                      <w:rFonts w:ascii="Cambria Math" w:hAnsi="Cambria Math"/>
                      <w:b/>
                      <w:i/>
                    </w:rPr>
                  </m:ctrlPr>
                </m:e>
                <m:sub>
                  <m:r>
                    <m:rPr>
                      <m:sty m:val="bi"/>
                    </m:rPr>
                    <w:rPr>
                      <w:rFonts w:ascii="Cambria Math" w:hAnsi="Cambria Math"/>
                    </w:rPr>
                    <m:t>s</m:t>
                  </m:r>
                  <m:ctrlPr>
                    <w:rPr>
                      <w:rFonts w:ascii="Cambria Math" w:hAnsi="Cambria Math"/>
                      <w:b/>
                      <w:i/>
                    </w:rPr>
                  </m:ctrlPr>
                </m:sub>
              </m:sSub>
            </m:oMath>
            <w:r>
              <w:rPr>
                <w:b/>
              </w:rPr>
              <w:t>.</w:t>
            </w:r>
            <w:bookmarkEnd w:id="76"/>
          </w:p>
          <w:p>
            <w:pPr>
              <w:widowControl w:val="0"/>
              <w:rPr>
                <w:b/>
              </w:rPr>
            </w:pPr>
          </w:p>
        </w:tc>
      </w:tr>
    </w:tbl>
    <w:p>
      <w:pPr>
        <w:rPr>
          <w:lang w:eastAsia="zh-CN"/>
        </w:rPr>
      </w:pPr>
    </w:p>
    <w:p>
      <w:pPr>
        <w:pStyle w:val="4"/>
      </w:pPr>
      <w:r>
        <w:t>R1-2202130 (Qualcomm)</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pPr>
            <w:r>
              <w:t xml:space="preserve">Based on the agreement, associated with a SS set, slot(s) for PDCCH monitoring in a slot group is determined by the new parameter, </w:t>
            </w:r>
            <w:r>
              <w:rPr>
                <w:i/>
                <w:iCs/>
              </w:rPr>
              <w:t>monitoringSlotsWithinSlotGroup-r17</w:t>
            </w:r>
            <w:r>
              <w:t xml:space="preserve">. In the legacy SS set configuration, however, the monitored slot within a period (or with respect to SFN = 0) is determined by the offset (i.e., </w:t>
            </w:r>
            <w:r>
              <w:rPr>
                <w:rFonts w:hint="eastAsia"/>
                <w:i/>
                <w:iCs/>
                <w:lang w:eastAsia="zh-CN"/>
              </w:rPr>
              <w:t>monitoringSlotPeriodicityAndOffset</w:t>
            </w:r>
            <w:r>
              <w:rPr>
                <w:lang w:eastAsia="zh-CN"/>
              </w:rPr>
              <w:t>)</w:t>
            </w:r>
            <w:r>
              <w:t xml:space="preserve">. As such, in Rel-17, there are two distinct parameters of similar purposes. To avoid the duplication and to keep the configuration consistent, it would be fair to split the roles. That is, if </w:t>
            </w:r>
            <w:r>
              <w:rPr>
                <w:i/>
                <w:iCs/>
              </w:rPr>
              <w:t>monitoringSlotsWithinSlotGroup-r17</w:t>
            </w:r>
            <w:r>
              <w:t xml:space="preserve"> is configured to indicate a slot offset, the offset parameter (indicated by </w:t>
            </w:r>
            <w:r>
              <w:rPr>
                <w:rFonts w:hint="eastAsia"/>
                <w:i/>
                <w:iCs/>
                <w:lang w:eastAsia="zh-CN"/>
              </w:rPr>
              <w:t>monitoringSlotPeriodicityAndOffset</w:t>
            </w:r>
            <w:r>
              <w:rPr>
                <w:i/>
                <w:iCs/>
                <w:lang w:eastAsia="zh-CN"/>
              </w:rPr>
              <w:t>-r17</w:t>
            </w:r>
            <w:r>
              <w:rPr>
                <w:lang w:eastAsia="zh-CN"/>
              </w:rPr>
              <w:t>)</w:t>
            </w:r>
            <w:r>
              <w:t xml:space="preserve"> may indicate a slot group offset, i.e., the starting slot of the slot group where the first MO in a duration (indicated by </w:t>
            </w:r>
            <w:r>
              <w:rPr>
                <w:i/>
                <w:iCs/>
              </w:rPr>
              <w:t>duration-r17</w:t>
            </w:r>
            <w:r>
              <w:t xml:space="preserve">) is located. </w:t>
            </w:r>
          </w:p>
          <w:p>
            <w:pPr>
              <w:pStyle w:val="27"/>
              <w:widowControl w:val="0"/>
              <w:spacing w:after="0"/>
            </w:pPr>
            <w:bookmarkStart w:id="77" w:name="_Ref95072257"/>
            <w:bookmarkStart w:id="78" w:name="P_4"/>
            <w:r>
              <w:t xml:space="preserve">Proposal </w:t>
            </w:r>
            <w:r>
              <w:fldChar w:fldCharType="begin"/>
            </w:r>
            <w:r>
              <w:instrText xml:space="preserve"> SEQ Proposal \* ARABIC </w:instrText>
            </w:r>
            <w:r>
              <w:fldChar w:fldCharType="separate"/>
            </w:r>
            <w:r>
              <w:t>4</w:t>
            </w:r>
            <w:r>
              <w:fldChar w:fldCharType="end"/>
            </w:r>
            <w:bookmarkEnd w:id="77"/>
            <w:r>
              <w:t xml:space="preserve">: For multi-slot PDCCH monitoring, when </w:t>
            </w:r>
            <w:r>
              <w:rPr>
                <w:i/>
                <w:iCs/>
              </w:rPr>
              <w:t xml:space="preserve">monitoringSlotsWithinSlotGroup-r17 </w:t>
            </w:r>
            <w:r>
              <w:t xml:space="preserve">is provided, the offset parameter given by </w:t>
            </w:r>
            <w:r>
              <w:rPr>
                <w:rFonts w:hint="eastAsia"/>
                <w:i/>
                <w:iCs/>
                <w:lang w:eastAsia="zh-CN"/>
              </w:rPr>
              <w:t>monitoringSlotPeriodicityAndOffset</w:t>
            </w:r>
            <w:r>
              <w:rPr>
                <w:i/>
                <w:iCs/>
              </w:rPr>
              <w:t>-r17</w:t>
            </w:r>
            <w:r>
              <w:t xml:space="preserve"> of the search space set configuration is restricted to be an integer multiple of Xs slots.</w:t>
            </w:r>
          </w:p>
          <w:p>
            <w:pPr>
              <w:pStyle w:val="82"/>
              <w:widowControl w:val="0"/>
              <w:numPr>
                <w:ilvl w:val="0"/>
                <w:numId w:val="89"/>
              </w:numPr>
              <w:snapToGrid/>
              <w:spacing w:after="120" w:line="240" w:lineRule="auto"/>
              <w:jc w:val="both"/>
            </w:pPr>
            <w:r>
              <w:rPr>
                <w:b/>
                <w:bCs/>
              </w:rPr>
              <w:t>The offset parameter indicates a slot group offset, i.e., the first slot of the slot group where the first MO in a duration indicated by duration-r17 is located.</w:t>
            </w:r>
          </w:p>
          <w:bookmarkEnd w:id="78"/>
          <w:p>
            <w:pPr>
              <w:widowControl w:val="0"/>
            </w:pPr>
            <w:r>
              <w:t xml:space="preserve">For the granularity of the periodicity, since the new parameter </w:t>
            </w:r>
            <w:r>
              <w:rPr>
                <w:rFonts w:hint="eastAsia"/>
                <w:i/>
                <w:iCs/>
                <w:lang w:eastAsia="zh-CN"/>
              </w:rPr>
              <w:t>monitoringSlotPeriodicityAndOffset</w:t>
            </w:r>
            <w:r>
              <w:rPr>
                <w:i/>
                <w:iCs/>
                <w:lang w:eastAsia="zh-CN"/>
              </w:rPr>
              <w:t>-r17</w:t>
            </w:r>
            <w:r>
              <w:rPr>
                <w:lang w:eastAsia="zh-CN"/>
              </w:rPr>
              <w:t xml:space="preserve"> </w:t>
            </w:r>
            <w:r>
              <w:t>is dedicatedly used for multi-slot PDCCH monitoring configuration, any values that are not integer multiples of Xs are unnecessary. Thus, the granularity of periodicity and offset parameters may be restricted to only support integer multiples of Xs.</w:t>
            </w:r>
          </w:p>
          <w:p>
            <w:pPr>
              <w:pStyle w:val="27"/>
              <w:widowControl w:val="0"/>
              <w:spacing w:after="0"/>
            </w:pPr>
            <w:bookmarkStart w:id="79" w:name="P_5"/>
            <w:r>
              <w:t xml:space="preserve">Proposal </w:t>
            </w:r>
            <w:r>
              <w:fldChar w:fldCharType="begin"/>
            </w:r>
            <w:r>
              <w:instrText xml:space="preserve"> SEQ Proposal \* ARABIC </w:instrText>
            </w:r>
            <w:r>
              <w:fldChar w:fldCharType="separate"/>
            </w:r>
            <w:r>
              <w:t>5</w:t>
            </w:r>
            <w:r>
              <w:fldChar w:fldCharType="end"/>
            </w:r>
            <w:r>
              <w:t xml:space="preserve">: </w:t>
            </w:r>
            <w:r>
              <w:rPr>
                <w:i/>
                <w:iCs/>
              </w:rPr>
              <w:t xml:space="preserve">monitoringSlotPeriodicityAndOffset-r17 </w:t>
            </w:r>
            <w:r>
              <w:t>is dedicatedly used for multi-slot PDCCH monitoring configuration.</w:t>
            </w:r>
          </w:p>
          <w:p>
            <w:pPr>
              <w:pStyle w:val="82"/>
              <w:widowControl w:val="0"/>
              <w:numPr>
                <w:ilvl w:val="0"/>
                <w:numId w:val="89"/>
              </w:numPr>
              <w:snapToGrid/>
              <w:spacing w:line="240" w:lineRule="auto"/>
              <w:jc w:val="both"/>
              <w:rPr>
                <w:b/>
                <w:bCs/>
              </w:rPr>
            </w:pPr>
            <w:r>
              <w:rPr>
                <w:b/>
                <w:bCs/>
              </w:rPr>
              <w:t>The range of the periodicity is {</w:t>
            </w:r>
            <w:r>
              <w:rPr>
                <w:b/>
                <w:bCs/>
                <w:strike/>
                <w:color w:val="FF0000"/>
              </w:rPr>
              <w:t>1,2,</w:t>
            </w:r>
            <w:r>
              <w:rPr>
                <w:b/>
                <w:bCs/>
              </w:rPr>
              <w:t>4,</w:t>
            </w:r>
            <w:r>
              <w:rPr>
                <w:b/>
                <w:bCs/>
                <w:strike/>
                <w:color w:val="FF0000"/>
              </w:rPr>
              <w:t>5,</w:t>
            </w:r>
            <w:r>
              <w:rPr>
                <w:b/>
                <w:bCs/>
              </w:rPr>
              <w:t>8,</w:t>
            </w:r>
            <w:r>
              <w:rPr>
                <w:b/>
                <w:bCs/>
                <w:strike/>
                <w:color w:val="FF0000"/>
              </w:rPr>
              <w:t>10,</w:t>
            </w:r>
            <w:r>
              <w:rPr>
                <w:b/>
                <w:bCs/>
              </w:rPr>
              <w:t>16,20,32,40,64,80,128,160,320,640,1280,2560,5120,10240,20480}.</w:t>
            </w:r>
          </w:p>
          <w:p>
            <w:pPr>
              <w:pStyle w:val="82"/>
              <w:widowControl w:val="0"/>
              <w:numPr>
                <w:ilvl w:val="0"/>
                <w:numId w:val="89"/>
              </w:numPr>
              <w:snapToGrid/>
              <w:spacing w:after="120" w:line="240" w:lineRule="auto"/>
              <w:jc w:val="both"/>
            </w:pPr>
            <w:r>
              <w:rPr>
                <w:b/>
                <w:bCs/>
              </w:rPr>
              <w:t>For a periodicity value Xp, the range of the offset is {0,4,8,…,</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ctrlPr>
                            <w:rPr>
                              <w:rFonts w:ascii="Cambria Math" w:hAnsi="Cambria Math"/>
                              <w:b/>
                              <w:bCs/>
                              <w:i/>
                            </w:rPr>
                          </m:ctrlPr>
                        </m:e>
                        <m:sub>
                          <m:r>
                            <m:rPr>
                              <m:sty m:val="bi"/>
                            </m:rPr>
                            <w:rPr>
                              <w:rFonts w:ascii="Cambria Math" w:hAnsi="Cambria Math"/>
                            </w:rPr>
                            <m:t>p</m:t>
                          </m:r>
                          <m:ctrlPr>
                            <w:rPr>
                              <w:rFonts w:ascii="Cambria Math" w:hAnsi="Cambria Math"/>
                              <w:b/>
                              <w:bCs/>
                              <w:i/>
                            </w:rPr>
                          </m:ctrlPr>
                        </m:sub>
                      </m:sSub>
                      <m:r>
                        <m:rPr>
                          <m:sty m:val="bi"/>
                        </m:rPr>
                        <w:rPr>
                          <w:rFonts w:ascii="Cambria Math" w:hAnsi="Cambria Math"/>
                        </w:rPr>
                        <m:t>-1)</m:t>
                      </m:r>
                      <m:ctrlPr>
                        <w:rPr>
                          <w:rFonts w:ascii="Cambria Math" w:hAnsi="Cambria Math"/>
                          <w:b/>
                          <w:bCs/>
                          <w:i/>
                        </w:rPr>
                      </m:ctrlPr>
                    </m:num>
                    <m:den>
                      <m:r>
                        <m:rPr>
                          <m:sty m:val="bi"/>
                        </m:rPr>
                        <w:rPr>
                          <w:rFonts w:ascii="Cambria Math" w:hAnsi="Cambria Math"/>
                        </w:rPr>
                        <m:t>4</m:t>
                      </m:r>
                      <m:ctrlPr>
                        <w:rPr>
                          <w:rFonts w:ascii="Cambria Math" w:hAnsi="Cambria Math"/>
                          <w:b/>
                          <w:bCs/>
                          <w:i/>
                        </w:rPr>
                      </m:ctrlPr>
                    </m:den>
                  </m:f>
                  <m:ctrlPr>
                    <w:rPr>
                      <w:rFonts w:ascii="Cambria Math" w:hAnsi="Cambria Math"/>
                      <w:b/>
                      <w:bCs/>
                      <w:i/>
                    </w:rPr>
                  </m:ctrlPr>
                </m:e>
              </m:d>
            </m:oMath>
            <w:r>
              <w:rPr>
                <w:b/>
                <w:bCs/>
              </w:rPr>
              <w:t>}.</w:t>
            </w:r>
          </w:p>
          <w:bookmarkEnd w:id="79"/>
          <w:p>
            <w:pPr>
              <w:pStyle w:val="27"/>
              <w:widowControl w:val="0"/>
              <w:spacing w:after="0"/>
            </w:pPr>
          </w:p>
          <w:p>
            <w:pPr>
              <w:widowControl w:val="0"/>
            </w:pPr>
            <w:r>
              <w:t>In Rel-15/16, the periodicity configuration for some group-common DCI formats is restricted. Thus, for multi-slot PDCCH monitoring in Rel-17, similar restriction should be applied. To maintain the same level of flexibility as 120 kHz SCS in FR2-1, the restricted set of periodicities for 480/960 kHz SCSs may be determined by simple scaling.</w:t>
            </w:r>
          </w:p>
          <w:p>
            <w:pPr>
              <w:pStyle w:val="27"/>
              <w:widowControl w:val="0"/>
              <w:rPr>
                <w:b w:val="0"/>
                <w:bCs w:val="0"/>
              </w:rPr>
            </w:pPr>
            <w:r>
              <w:t xml:space="preserve">Proposal </w:t>
            </w:r>
            <w:r>
              <w:fldChar w:fldCharType="begin"/>
            </w:r>
            <w:r>
              <w:instrText xml:space="preserve"> SEQ Proposal \* ARABIC </w:instrText>
            </w:r>
            <w:r>
              <w:fldChar w:fldCharType="separate"/>
            </w:r>
            <w:r>
              <w:t>7</w:t>
            </w:r>
            <w:r>
              <w:fldChar w:fldCharType="end"/>
            </w:r>
            <w:r>
              <w:t>: For group common DCI formats, the following periodicities are only applicable:</w:t>
            </w:r>
          </w:p>
          <w:tbl>
            <w:tblPr>
              <w:tblStyle w:val="55"/>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15"/>
              <w:gridCol w:w="2782"/>
              <w:gridCol w:w="2782"/>
              <w:gridCol w:w="27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shd w:val="clear" w:color="auto" w:fill="D8D8D8" w:themeFill="background1" w:themeFillShade="D9"/>
                  <w:vAlign w:val="center"/>
                </w:tcPr>
                <w:p>
                  <w:pPr>
                    <w:widowControl w:val="0"/>
                    <w:spacing w:after="0" w:line="240" w:lineRule="atLeast"/>
                    <w:rPr>
                      <w:b/>
                      <w:bCs/>
                    </w:rPr>
                  </w:pPr>
                </w:p>
              </w:tc>
              <w:tc>
                <w:tcPr>
                  <w:tcW w:w="2782" w:type="dxa"/>
                  <w:shd w:val="clear" w:color="auto" w:fill="D8D8D8" w:themeFill="background1" w:themeFillShade="D9"/>
                  <w:vAlign w:val="center"/>
                </w:tcPr>
                <w:p>
                  <w:pPr>
                    <w:widowControl w:val="0"/>
                    <w:spacing w:after="0" w:line="240" w:lineRule="atLeast"/>
                    <w:jc w:val="center"/>
                    <w:rPr>
                      <w:b/>
                      <w:bCs/>
                    </w:rPr>
                  </w:pPr>
                  <w:r>
                    <w:rPr>
                      <w:b/>
                      <w:bCs/>
                    </w:rPr>
                    <w:t>120 kHz (same as FR2)</w:t>
                  </w:r>
                </w:p>
              </w:tc>
              <w:tc>
                <w:tcPr>
                  <w:tcW w:w="2782" w:type="dxa"/>
                  <w:shd w:val="clear" w:color="auto" w:fill="D8D8D8" w:themeFill="background1" w:themeFillShade="D9"/>
                  <w:vAlign w:val="center"/>
                </w:tcPr>
                <w:p>
                  <w:pPr>
                    <w:widowControl w:val="0"/>
                    <w:spacing w:after="0" w:line="240" w:lineRule="atLeast"/>
                    <w:jc w:val="center"/>
                    <w:rPr>
                      <w:b/>
                      <w:bCs/>
                    </w:rPr>
                  </w:pPr>
                  <w:r>
                    <w:rPr>
                      <w:b/>
                      <w:bCs/>
                    </w:rPr>
                    <w:t>480 kHz</w:t>
                  </w:r>
                </w:p>
              </w:tc>
              <w:tc>
                <w:tcPr>
                  <w:tcW w:w="2783" w:type="dxa"/>
                  <w:shd w:val="clear" w:color="auto" w:fill="D8D8D8" w:themeFill="background1" w:themeFillShade="D9"/>
                  <w:vAlign w:val="center"/>
                </w:tcPr>
                <w:p>
                  <w:pPr>
                    <w:widowControl w:val="0"/>
                    <w:spacing w:after="0" w:line="240" w:lineRule="atLeast"/>
                    <w:jc w:val="center"/>
                    <w:rPr>
                      <w:b/>
                      <w:bCs/>
                    </w:rPr>
                  </w:pPr>
                  <w:r>
                    <w:rPr>
                      <w:b/>
                      <w:bCs/>
                    </w:rPr>
                    <w:t>960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shd w:val="clear" w:color="auto" w:fill="D8D8D8" w:themeFill="background1" w:themeFillShade="D9"/>
                  <w:vAlign w:val="center"/>
                </w:tcPr>
                <w:p>
                  <w:pPr>
                    <w:widowControl w:val="0"/>
                    <w:spacing w:after="0" w:line="240" w:lineRule="atLeast"/>
                    <w:jc w:val="center"/>
                    <w:rPr>
                      <w:b/>
                      <w:bCs/>
                    </w:rPr>
                  </w:pPr>
                  <w:r>
                    <w:rPr>
                      <w:b/>
                      <w:bCs/>
                    </w:rPr>
                    <w:t>DCI format 2_0</w:t>
                  </w:r>
                </w:p>
              </w:tc>
              <w:tc>
                <w:tcPr>
                  <w:tcW w:w="2782" w:type="dxa"/>
                  <w:vAlign w:val="center"/>
                </w:tcPr>
                <w:p>
                  <w:pPr>
                    <w:widowControl w:val="0"/>
                    <w:spacing w:after="0" w:line="240" w:lineRule="atLeast"/>
                    <w:rPr>
                      <w:b/>
                      <w:bCs/>
                      <w:lang w:val="sv-SE"/>
                    </w:rPr>
                  </w:pPr>
                  <w:r>
                    <w:rPr>
                      <w:b/>
                      <w:bCs/>
                      <w:lang w:val="sv-SE"/>
                    </w:rPr>
                    <w:t>sl1, sl2, sl4, sl5, sl8, sl10, sl16, sl20</w:t>
                  </w:r>
                </w:p>
              </w:tc>
              <w:tc>
                <w:tcPr>
                  <w:tcW w:w="2782" w:type="dxa"/>
                  <w:vAlign w:val="center"/>
                </w:tcPr>
                <w:p>
                  <w:pPr>
                    <w:widowControl w:val="0"/>
                    <w:spacing w:after="0" w:line="240" w:lineRule="atLeast"/>
                    <w:rPr>
                      <w:b/>
                      <w:bCs/>
                      <w:lang w:val="sv-SE"/>
                    </w:rPr>
                  </w:pPr>
                  <w:r>
                    <w:rPr>
                      <w:b/>
                      <w:bCs/>
                      <w:lang w:val="sv-SE"/>
                    </w:rPr>
                    <w:t xml:space="preserve">sl4, sl8, sl16, sl20, </w:t>
                  </w:r>
                  <w:r>
                    <w:rPr>
                      <w:b/>
                      <w:bCs/>
                      <w:highlight w:val="yellow"/>
                      <w:lang w:val="sv-SE"/>
                    </w:rPr>
                    <w:t>sl32</w:t>
                  </w:r>
                  <w:r>
                    <w:rPr>
                      <w:b/>
                      <w:bCs/>
                      <w:lang w:val="sv-SE"/>
                    </w:rPr>
                    <w:t xml:space="preserve">, sl40, </w:t>
                  </w:r>
                  <w:r>
                    <w:rPr>
                      <w:b/>
                      <w:bCs/>
                      <w:highlight w:val="yellow"/>
                      <w:lang w:val="sv-SE"/>
                    </w:rPr>
                    <w:t>sl64</w:t>
                  </w:r>
                  <w:r>
                    <w:rPr>
                      <w:b/>
                      <w:bCs/>
                      <w:lang w:val="sv-SE"/>
                    </w:rPr>
                    <w:t>, sl80</w:t>
                  </w:r>
                </w:p>
              </w:tc>
              <w:tc>
                <w:tcPr>
                  <w:tcW w:w="2783" w:type="dxa"/>
                  <w:vAlign w:val="center"/>
                </w:tcPr>
                <w:p>
                  <w:pPr>
                    <w:widowControl w:val="0"/>
                    <w:spacing w:after="0" w:line="240" w:lineRule="atLeast"/>
                    <w:rPr>
                      <w:b/>
                      <w:bCs/>
                      <w:lang w:val="sv-SE"/>
                    </w:rPr>
                  </w:pPr>
                  <w:r>
                    <w:rPr>
                      <w:b/>
                      <w:bCs/>
                      <w:lang w:val="sv-SE"/>
                    </w:rPr>
                    <w:t xml:space="preserve">sl8, sl16, </w:t>
                  </w:r>
                  <w:r>
                    <w:rPr>
                      <w:b/>
                      <w:bCs/>
                      <w:highlight w:val="yellow"/>
                      <w:lang w:val="sv-SE"/>
                    </w:rPr>
                    <w:t>sl32</w:t>
                  </w:r>
                  <w:r>
                    <w:rPr>
                      <w:b/>
                      <w:bCs/>
                      <w:lang w:val="sv-SE"/>
                    </w:rPr>
                    <w:t xml:space="preserve">, sl40, </w:t>
                  </w:r>
                  <w:r>
                    <w:rPr>
                      <w:b/>
                      <w:bCs/>
                      <w:highlight w:val="yellow"/>
                      <w:lang w:val="sv-SE"/>
                    </w:rPr>
                    <w:t>sl64</w:t>
                  </w:r>
                  <w:r>
                    <w:rPr>
                      <w:b/>
                      <w:bCs/>
                      <w:lang w:val="sv-SE"/>
                    </w:rPr>
                    <w:t xml:space="preserve">, sl80, </w:t>
                  </w:r>
                  <w:r>
                    <w:rPr>
                      <w:b/>
                      <w:bCs/>
                      <w:highlight w:val="yellow"/>
                      <w:lang w:val="sv-SE"/>
                    </w:rPr>
                    <w:t>sl128</w:t>
                  </w:r>
                  <w:r>
                    <w:rPr>
                      <w:b/>
                      <w:bCs/>
                      <w:lang w:val="sv-SE"/>
                    </w:rPr>
                    <w:t>, sl160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shd w:val="clear" w:color="auto" w:fill="D8D8D8" w:themeFill="background1" w:themeFillShade="D9"/>
                  <w:vAlign w:val="center"/>
                </w:tcPr>
                <w:p>
                  <w:pPr>
                    <w:widowControl w:val="0"/>
                    <w:spacing w:after="0" w:line="240" w:lineRule="atLeast"/>
                    <w:jc w:val="center"/>
                    <w:rPr>
                      <w:b/>
                      <w:bCs/>
                    </w:rPr>
                  </w:pPr>
                  <w:r>
                    <w:rPr>
                      <w:b/>
                      <w:bCs/>
                    </w:rPr>
                    <w:t>DCI format 2_1</w:t>
                  </w:r>
                </w:p>
              </w:tc>
              <w:tc>
                <w:tcPr>
                  <w:tcW w:w="2782" w:type="dxa"/>
                  <w:vAlign w:val="center"/>
                </w:tcPr>
                <w:p>
                  <w:pPr>
                    <w:widowControl w:val="0"/>
                    <w:spacing w:after="0" w:line="240" w:lineRule="atLeast"/>
                    <w:rPr>
                      <w:b/>
                      <w:bCs/>
                    </w:rPr>
                  </w:pPr>
                  <w:r>
                    <w:rPr>
                      <w:b/>
                      <w:bCs/>
                    </w:rPr>
                    <w:t>sl1, sl2, sl4</w:t>
                  </w:r>
                </w:p>
              </w:tc>
              <w:tc>
                <w:tcPr>
                  <w:tcW w:w="2782" w:type="dxa"/>
                  <w:vAlign w:val="center"/>
                </w:tcPr>
                <w:p>
                  <w:pPr>
                    <w:widowControl w:val="0"/>
                    <w:spacing w:after="0" w:line="240" w:lineRule="atLeast"/>
                    <w:rPr>
                      <w:b/>
                      <w:bCs/>
                    </w:rPr>
                  </w:pPr>
                  <w:r>
                    <w:rPr>
                      <w:b/>
                      <w:bCs/>
                    </w:rPr>
                    <w:t>sl4, sl8, sl16</w:t>
                  </w:r>
                </w:p>
              </w:tc>
              <w:tc>
                <w:tcPr>
                  <w:tcW w:w="2783" w:type="dxa"/>
                  <w:vAlign w:val="center"/>
                </w:tcPr>
                <w:p>
                  <w:pPr>
                    <w:widowControl w:val="0"/>
                    <w:spacing w:after="0" w:line="240" w:lineRule="atLeast"/>
                    <w:rPr>
                      <w:b/>
                      <w:bCs/>
                    </w:rPr>
                  </w:pPr>
                  <w:r>
                    <w:rPr>
                      <w:b/>
                      <w:bCs/>
                    </w:rPr>
                    <w:t xml:space="preserve">sl8, sl16, </w:t>
                  </w:r>
                  <w:r>
                    <w:rPr>
                      <w:b/>
                      <w:bCs/>
                      <w:highlight w:val="yellow"/>
                    </w:rPr>
                    <w:t>sl32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trPr>
              <w:tc>
                <w:tcPr>
                  <w:tcW w:w="1615" w:type="dxa"/>
                  <w:shd w:val="clear" w:color="auto" w:fill="D8D8D8" w:themeFill="background1" w:themeFillShade="D9"/>
                  <w:vAlign w:val="center"/>
                </w:tcPr>
                <w:p>
                  <w:pPr>
                    <w:widowControl w:val="0"/>
                    <w:spacing w:after="0" w:line="240" w:lineRule="atLeast"/>
                    <w:jc w:val="center"/>
                    <w:rPr>
                      <w:b/>
                      <w:bCs/>
                    </w:rPr>
                  </w:pPr>
                  <w:r>
                    <w:rPr>
                      <w:b/>
                      <w:bCs/>
                    </w:rPr>
                    <w:t>DCI format 2_4</w:t>
                  </w:r>
                </w:p>
              </w:tc>
              <w:tc>
                <w:tcPr>
                  <w:tcW w:w="2782" w:type="dxa"/>
                  <w:vAlign w:val="center"/>
                </w:tcPr>
                <w:p>
                  <w:pPr>
                    <w:widowControl w:val="0"/>
                    <w:spacing w:after="0" w:line="240" w:lineRule="atLeast"/>
                    <w:rPr>
                      <w:b/>
                      <w:bCs/>
                      <w:lang w:val="sv-SE"/>
                    </w:rPr>
                  </w:pPr>
                  <w:r>
                    <w:rPr>
                      <w:b/>
                      <w:bCs/>
                      <w:lang w:val="sv-SE"/>
                    </w:rPr>
                    <w:t>sl1, sl2, sl4, sl5, sl8, sl10</w:t>
                  </w:r>
                </w:p>
              </w:tc>
              <w:tc>
                <w:tcPr>
                  <w:tcW w:w="2782" w:type="dxa"/>
                  <w:vAlign w:val="center"/>
                </w:tcPr>
                <w:p>
                  <w:pPr>
                    <w:widowControl w:val="0"/>
                    <w:spacing w:after="0" w:line="240" w:lineRule="atLeast"/>
                    <w:rPr>
                      <w:b/>
                      <w:bCs/>
                      <w:lang w:val="sv-SE"/>
                    </w:rPr>
                  </w:pPr>
                  <w:r>
                    <w:rPr>
                      <w:b/>
                      <w:bCs/>
                      <w:lang w:val="sv-SE"/>
                    </w:rPr>
                    <w:t xml:space="preserve">sl4, sl8, sl16, sl20, </w:t>
                  </w:r>
                  <w:r>
                    <w:rPr>
                      <w:b/>
                      <w:bCs/>
                      <w:highlight w:val="yellow"/>
                      <w:lang w:val="sv-SE"/>
                    </w:rPr>
                    <w:t>sl32</w:t>
                  </w:r>
                  <w:r>
                    <w:rPr>
                      <w:b/>
                      <w:bCs/>
                      <w:lang w:val="sv-SE"/>
                    </w:rPr>
                    <w:t>, sl40</w:t>
                  </w:r>
                </w:p>
              </w:tc>
              <w:tc>
                <w:tcPr>
                  <w:tcW w:w="2783" w:type="dxa"/>
                  <w:vAlign w:val="center"/>
                </w:tcPr>
                <w:p>
                  <w:pPr>
                    <w:widowControl w:val="0"/>
                    <w:spacing w:after="0" w:line="240" w:lineRule="atLeast"/>
                    <w:rPr>
                      <w:b/>
                      <w:bCs/>
                      <w:lang w:val="sv-SE"/>
                    </w:rPr>
                  </w:pPr>
                  <w:r>
                    <w:rPr>
                      <w:b/>
                      <w:bCs/>
                      <w:lang w:val="sv-SE"/>
                    </w:rPr>
                    <w:t xml:space="preserve">sl8, sl16, </w:t>
                  </w:r>
                  <w:r>
                    <w:rPr>
                      <w:b/>
                      <w:bCs/>
                      <w:highlight w:val="yellow"/>
                      <w:lang w:val="sv-SE"/>
                    </w:rPr>
                    <w:t>sl32</w:t>
                  </w:r>
                  <w:r>
                    <w:rPr>
                      <w:b/>
                      <w:bCs/>
                      <w:lang w:val="sv-SE"/>
                    </w:rPr>
                    <w:t xml:space="preserve">, sl40, </w:t>
                  </w:r>
                  <w:r>
                    <w:rPr>
                      <w:b/>
                      <w:bCs/>
                      <w:highlight w:val="yellow"/>
                      <w:lang w:val="sv-SE"/>
                    </w:rPr>
                    <w:t>sl64</w:t>
                  </w:r>
                  <w:r>
                    <w:rPr>
                      <w:b/>
                      <w:bCs/>
                      <w:lang w:val="sv-SE"/>
                    </w:rPr>
                    <w:t>, sl80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trPr>
              <w:tc>
                <w:tcPr>
                  <w:tcW w:w="9962" w:type="dxa"/>
                  <w:gridSpan w:val="4"/>
                  <w:vAlign w:val="center"/>
                </w:tcPr>
                <w:p>
                  <w:pPr>
                    <w:widowControl w:val="0"/>
                    <w:spacing w:after="0" w:line="240" w:lineRule="atLeast"/>
                    <w:rPr>
                      <w:b/>
                      <w:bCs/>
                    </w:rPr>
                  </w:pPr>
                  <w:r>
                    <w:rPr>
                      <w:b/>
                      <w:bCs/>
                    </w:rPr>
                    <w:t xml:space="preserve">* </w:t>
                  </w:r>
                  <w:r>
                    <w:rPr>
                      <w:b/>
                      <w:bCs/>
                      <w:highlight w:val="yellow"/>
                    </w:rPr>
                    <w:t>Highlighted</w:t>
                  </w:r>
                  <w:r>
                    <w:rPr>
                      <w:b/>
                      <w:bCs/>
                    </w:rPr>
                    <w:t>: New periodicity values to be introduced for 480/960 kHz SCSs</w:t>
                  </w:r>
                </w:p>
              </w:tc>
            </w:tr>
          </w:tbl>
          <w:p>
            <w:pPr>
              <w:widowControl w:val="0"/>
            </w:pPr>
          </w:p>
          <w:p>
            <w:pPr>
              <w:widowControl w:val="0"/>
              <w:spacing w:after="240"/>
            </w:pPr>
            <w:r>
              <w:t xml:space="preserve">When a UE reports more than one (Xs,Ys) values for the multi-slot PDCCH monitoring capability, the search space set configuration should comply with at least one of the reported (Xs,Ys) values. At the same time, there should be no ambiguity in the search space set configuration between the UE and the gNB. In RAN1 #107b-e, a working assumption was made that the new parameter </w:t>
            </w:r>
            <w:r>
              <w:rPr>
                <w:i/>
                <w:iCs/>
              </w:rPr>
              <w:t>monitoringSlotsWithinSlotGroup-r17</w:t>
            </w:r>
            <w:r>
              <w:t xml:space="preserve"> is given by a bitmap of a fixed size, i.e., 8 bits. For Xs = 8 slots, the bitmap can indicate the consecutive Y slots within a slot group of 8 slots. Likewise, for Xs = 4 slots, only the first 4 bits of the bitmap may be used, while the rest 4 bits are left unused. However, depending on how the unused bits are marked, there could be an ambiguity between the UE and the gNB. For example, if the unused bits are set to ‘0’, a bitmap of ‘10000000’ may results in different MO configurations depending on whether it is interpreted with Xs = 8 slots or Xs = 4 slots, as illustrated in </w:t>
            </w:r>
            <w:r>
              <w:fldChar w:fldCharType="begin"/>
            </w:r>
            <w:r>
              <w:instrText xml:space="preserve"> REF _Ref95172346 \h </w:instrText>
            </w:r>
            <w:r>
              <w:fldChar w:fldCharType="separate"/>
            </w:r>
            <w:r>
              <w:t>Figure 1</w:t>
            </w:r>
            <w:r>
              <w:fldChar w:fldCharType="end"/>
            </w:r>
            <w:r>
              <w:t>.</w:t>
            </w:r>
          </w:p>
          <w:p>
            <w:pPr>
              <w:widowControl w:val="0"/>
            </w:pPr>
            <w:r>
              <w:object>
                <v:shape id="_x0000_i1047" o:spt="75" type="#_x0000_t75" style="height:64.5pt;width:495.75pt;" o:ole="t" filled="f" o:preferrelative="t" stroked="f" coordsize="21600,21600">
                  <v:path/>
                  <v:fill on="f" focussize="0,0"/>
                  <v:stroke on="f" joinstyle="miter"/>
                  <v:imagedata r:id="rId36" o:title=""/>
                  <o:lock v:ext="edit" aspectratio="t"/>
                  <w10:wrap type="none"/>
                  <w10:anchorlock/>
                </v:shape>
                <o:OLEObject Type="Embed" ProgID="Visio.Drawing.15" ShapeID="_x0000_i1047" DrawAspect="Content" ObjectID="_1468075744" r:id="rId56">
                  <o:LockedField>false</o:LockedField>
                </o:OLEObject>
              </w:object>
            </w:r>
          </w:p>
          <w:p>
            <w:pPr>
              <w:pStyle w:val="27"/>
              <w:widowControl w:val="0"/>
              <w:jc w:val="center"/>
            </w:pPr>
            <w:bookmarkStart w:id="80" w:name="_Ref95172346"/>
            <w:r>
              <w:t xml:space="preserve">Figure </w:t>
            </w:r>
            <w:r>
              <w:fldChar w:fldCharType="begin"/>
            </w:r>
            <w:r>
              <w:instrText xml:space="preserve"> SEQ Figure \* ARABIC </w:instrText>
            </w:r>
            <w:r>
              <w:fldChar w:fldCharType="separate"/>
            </w:r>
            <w:r>
              <w:t>1</w:t>
            </w:r>
            <w:r>
              <w:fldChar w:fldCharType="end"/>
            </w:r>
            <w:bookmarkEnd w:id="80"/>
            <w:r>
              <w:t xml:space="preserve">: PDCCH MO configuration ambiguity for </w:t>
            </w:r>
            <w:r>
              <w:rPr>
                <w:i/>
                <w:iCs/>
              </w:rPr>
              <w:t xml:space="preserve">monitoringSlotsWithinSlotGroup-r17 </w:t>
            </w:r>
            <w:r>
              <w:t>= 10000000.</w:t>
            </w:r>
          </w:p>
          <w:p>
            <w:pPr>
              <w:widowControl w:val="0"/>
            </w:pPr>
            <w:r>
              <w:t xml:space="preserve">To address the ambiguity issue, the bitmap, </w:t>
            </w:r>
            <w:r>
              <w:rPr>
                <w:i/>
                <w:iCs/>
              </w:rPr>
              <w:t>monitoringSlotsWithinSlotGroup-r17</w:t>
            </w:r>
            <w:r>
              <w:t>, can have a variable size, e.g., 4 bits or 8 bits. The size of the configured bitmap can implicitly indicate the selected Xs value by the gNB, among the multiple values supported by the UE.</w:t>
            </w:r>
          </w:p>
          <w:p>
            <w:pPr>
              <w:pStyle w:val="27"/>
              <w:widowControl w:val="0"/>
              <w:rPr>
                <w:sz w:val="22"/>
                <w:szCs w:val="22"/>
              </w:rPr>
            </w:pPr>
            <w:bookmarkStart w:id="81" w:name="P_6"/>
            <w:r>
              <w:t xml:space="preserve">Proposal </w:t>
            </w:r>
            <w:r>
              <w:fldChar w:fldCharType="begin"/>
            </w:r>
            <w:r>
              <w:instrText xml:space="preserve"> SEQ Proposal \* ARABIC </w:instrText>
            </w:r>
            <w:r>
              <w:fldChar w:fldCharType="separate"/>
            </w:r>
            <w:r>
              <w:t>6</w:t>
            </w:r>
            <w:r>
              <w:fldChar w:fldCharType="end"/>
            </w:r>
            <w:r>
              <w:t xml:space="preserve">: The bitmap size of the new parameter, </w:t>
            </w:r>
            <w:r>
              <w:rPr>
                <w:i/>
                <w:iCs/>
              </w:rPr>
              <w:t>monitoringSlotsWithinSlotGroup-r17</w:t>
            </w:r>
            <w:r>
              <w:rPr>
                <w:sz w:val="22"/>
                <w:szCs w:val="22"/>
              </w:rPr>
              <w:t>, is Xs bits, where Xs is either 4 or 8.</w:t>
            </w:r>
          </w:p>
          <w:bookmarkEnd w:id="81"/>
          <w:p>
            <w:pPr>
              <w:widowControl w:val="0"/>
            </w:pPr>
          </w:p>
          <w:p>
            <w:pPr>
              <w:widowControl w:val="0"/>
              <w:rPr>
                <w:lang w:val="en-GB"/>
              </w:rPr>
            </w:pPr>
            <w:r>
              <w:rPr>
                <w:lang w:val="en-GB"/>
              </w:rPr>
              <w:t>In RAN1 #107b-e, the following has been agreed:</w:t>
            </w:r>
          </w:p>
          <w:tbl>
            <w:tblPr>
              <w:tblStyle w:val="55"/>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vAlign w:val="center"/>
                </w:tcPr>
                <w:p>
                  <w:pPr>
                    <w:widowControl w:val="0"/>
                    <w:spacing w:before="60" w:after="0" w:line="240" w:lineRule="auto"/>
                    <w:rPr>
                      <w:b/>
                    </w:rPr>
                  </w:pPr>
                  <w:r>
                    <w:rPr>
                      <w:b/>
                      <w:highlight w:val="green"/>
                    </w:rPr>
                    <w:t>Agreement</w:t>
                  </w:r>
                </w:p>
                <w:p>
                  <w:pPr>
                    <w:widowControl w:val="0"/>
                    <w:spacing w:after="0" w:line="240" w:lineRule="auto"/>
                    <w:rPr>
                      <w:lang w:eastAsia="zh-CN"/>
                    </w:rPr>
                  </w:pPr>
                  <w:r>
                    <w:rPr>
                      <w:lang w:eastAsia="zh-CN"/>
                    </w:rPr>
                    <w:t>Clarify earlier agreement as follows:</w:t>
                  </w:r>
                </w:p>
                <w:p>
                  <w:pPr>
                    <w:widowControl w:val="0"/>
                    <w:numPr>
                      <w:ilvl w:val="0"/>
                      <w:numId w:val="90"/>
                    </w:numPr>
                    <w:overflowPunct w:val="0"/>
                    <w:adjustRightInd/>
                    <w:snapToGrid/>
                    <w:spacing w:after="0" w:line="240" w:lineRule="auto"/>
                    <w:jc w:val="both"/>
                    <w:rPr>
                      <w:lang w:eastAsia="zh-CN"/>
                    </w:rPr>
                  </w:pPr>
                  <w:r>
                    <w:rPr>
                      <w:lang w:eastAsia="zh-CN"/>
                    </w:rPr>
                    <w:t>A UE capable of multi-slot monitoring mandatorily supports monitoring Group (2) SSs according to FG 3-1 within each of the Xs slots of a slot-group, such that:</w:t>
                  </w:r>
                </w:p>
                <w:p>
                  <w:pPr>
                    <w:widowControl w:val="0"/>
                    <w:numPr>
                      <w:ilvl w:val="1"/>
                      <w:numId w:val="90"/>
                    </w:numPr>
                    <w:overflowPunct w:val="0"/>
                    <w:adjustRightInd/>
                    <w:snapToGrid/>
                    <w:spacing w:after="0" w:line="240" w:lineRule="auto"/>
                    <w:jc w:val="both"/>
                    <w:rPr>
                      <w:lang w:eastAsia="zh-CN"/>
                    </w:rPr>
                  </w:pPr>
                  <w:r>
                    <w:rPr>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p>
                <w:p>
                  <w:pPr>
                    <w:widowControl w:val="0"/>
                    <w:numPr>
                      <w:ilvl w:val="0"/>
                      <w:numId w:val="90"/>
                    </w:numPr>
                    <w:overflowPunct w:val="0"/>
                    <w:adjustRightInd/>
                    <w:snapToGrid/>
                    <w:spacing w:line="240" w:lineRule="auto"/>
                    <w:jc w:val="both"/>
                    <w:rPr>
                      <w:lang w:eastAsia="zh-CN"/>
                    </w:rPr>
                  </w:pPr>
                  <w:r>
                    <w:rPr>
                      <w:highlight w:val="yellow"/>
                      <w:lang w:eastAsia="zh-CN"/>
                    </w:rPr>
                    <w:t>Continue discussion on whether or not introducing other limitation for Group (2) SSs in RAN1#108-e.</w:t>
                  </w:r>
                </w:p>
              </w:tc>
            </w:tr>
          </w:tbl>
          <w:p>
            <w:pPr>
              <w:widowControl w:val="0"/>
              <w:spacing w:before="120"/>
            </w:pPr>
            <w:r>
              <w:t xml:space="preserve">FG 3-1, which is the basic slot-based PDCCH monitoring capability, restricts the MOs for Type1 CSS without dedicated RRC configuration and Type0/0A/2 CSSs within a slot. However, for multi-slot PDCCH monitoring, since it does not restrict the overall CSS MOs within a slot group, it may run into the same issues that we confronted with the design of SS set #0 in RAN1 #107-e: If a UE is required to monitor more than one MO for different types of CSS sets within a slot group, the BD/CCE budget may get exhausted. Thus, similar to the new design of SS set #0 (i.e., monitoring slot </w:t>
            </w:r>
            <w:r>
              <w:rPr>
                <w:i/>
                <w:iCs/>
              </w:rPr>
              <w:t>n</w:t>
            </w:r>
            <w:r>
              <w:rPr>
                <w:vertAlign w:val="subscript"/>
              </w:rPr>
              <w:t>0</w:t>
            </w:r>
            <w:r>
              <w:t xml:space="preserve"> and </w:t>
            </w:r>
            <w:r>
              <w:rPr>
                <w:i/>
                <w:iCs/>
              </w:rPr>
              <w:t>n</w:t>
            </w:r>
            <w:r>
              <w:rPr>
                <w:vertAlign w:val="subscript"/>
              </w:rPr>
              <w:t>0</w:t>
            </w:r>
            <w:r>
              <w:t>+</w:t>
            </w:r>
            <w:r>
              <w:rPr>
                <w:i/>
                <w:iCs/>
              </w:rPr>
              <w:t>X</w:t>
            </w:r>
            <w:r>
              <w:rPr>
                <w:vertAlign w:val="subscript"/>
              </w:rPr>
              <w:t>0</w:t>
            </w:r>
            <w:r>
              <w:t>), it would be desirable to limit the number of MOs for any of different types of CSSs within a slot group.</w:t>
            </w:r>
          </w:p>
          <w:p>
            <w:pPr>
              <w:widowControl w:val="0"/>
            </w:pPr>
            <w:r>
              <w:t xml:space="preserve">During the RAN1 #107b-e discussion, it was argued that, at least for Type2 CSS, the MO is determined by the association with SSBs and, thus, the number of Type2 CSS MO per slot group is intrinsically limited without any explicit restriction. For example, if a MO for Type2 CSS is configured in every slot (i.e., </w:t>
            </w:r>
            <w:r>
              <w:rPr>
                <w:i/>
                <w:iCs/>
              </w:rPr>
              <w:t>searchSpaceId</w:t>
            </w:r>
            <w:r>
              <w:t xml:space="preserve"> ≠ 0 for Type2 CSS) and the number of actually transmitted SSBs is </w:t>
            </w:r>
            <w:r>
              <w:rPr>
                <w:i/>
                <w:iCs/>
              </w:rPr>
              <w:t>N</w:t>
            </w:r>
            <w:r>
              <w:t xml:space="preserve">, the UE shall monitor the Type2 CSS only in a slot out of the </w:t>
            </w:r>
            <w:r>
              <w:rPr>
                <w:i/>
                <w:iCs/>
              </w:rPr>
              <w:t>N</w:t>
            </w:r>
            <w:r>
              <w:t xml:space="preserve"> consecutive slots within a paging occasion, associated with the measured/preferred SSB. However, in some cases, the number of SSBs may be small, e.g., less than 4, and the UE may be required to monitor more than one Type2 CSS MO within a slot group. Furthermore, for Type1 CSS, when </w:t>
            </w:r>
            <w:r>
              <w:rPr>
                <w:i/>
                <w:iCs/>
              </w:rPr>
              <w:t>searchSpaceId</w:t>
            </w:r>
            <w:r>
              <w:t xml:space="preserve"> ≠ 0, the UE can still be configured to monitor more than one MO per slot group. </w:t>
            </w:r>
          </w:p>
          <w:p>
            <w:pPr>
              <w:pStyle w:val="27"/>
              <w:widowControl w:val="0"/>
              <w:spacing w:after="0"/>
            </w:pPr>
            <w:r>
              <w:t xml:space="preserve">Proposal </w:t>
            </w:r>
            <w:r>
              <w:fldChar w:fldCharType="begin"/>
            </w:r>
            <w:r>
              <w:instrText xml:space="preserve"> SEQ Proposal \* ARABIC </w:instrText>
            </w:r>
            <w:r>
              <w:fldChar w:fldCharType="separate"/>
            </w:r>
            <w:r>
              <w:t>2</w:t>
            </w:r>
            <w:r>
              <w:fldChar w:fldCharType="end"/>
            </w:r>
            <w:r>
              <w:t>: For Type1 CSS without dedicated RRC configuration and for Type0, 0A, and 2 CSS, the monitoring occasion can be any OFDM symbol(s) within a slot, with the monitoring occasions for any of Type1 CSS without dedicated RRC configuration, or Types0, 0A, or 2 CSS configurations within a single span of three consecutive OFDM symbols within a slot group of X0 slots.</w:t>
            </w:r>
          </w:p>
          <w:p>
            <w:pPr>
              <w:pStyle w:val="82"/>
              <w:widowControl w:val="0"/>
              <w:numPr>
                <w:ilvl w:val="0"/>
                <w:numId w:val="91"/>
              </w:numPr>
              <w:snapToGrid/>
              <w:spacing w:after="120" w:line="240" w:lineRule="auto"/>
              <w:jc w:val="both"/>
              <w:rPr>
                <w:b/>
                <w:bCs/>
              </w:rPr>
            </w:pPr>
            <w:r>
              <w:rPr>
                <w:b/>
                <w:bCs/>
              </w:rPr>
              <w:t>X0 = 4 for 480 kHz SCS and X0 = 8 for 960 kHz SCS</w:t>
            </w:r>
          </w:p>
          <w:p>
            <w:pPr>
              <w:widowControl w:val="0"/>
              <w:rPr>
                <w:highlight w:val="yellow"/>
              </w:rPr>
            </w:pPr>
          </w:p>
          <w:p>
            <w:pPr>
              <w:widowControl w:val="0"/>
            </w:pPr>
            <w:r>
              <w:t>When a UE reports more than one (Xs,Ys) combinations for its multi-slot PDCCH monitoring capability, the two SSSGs may be associated with different (Xs,Ys) values. For example, when a UE with 960 kHz SCS supports (4,1) and (8,1), SSSG#0 may be configured according to (4,1), and SSSG#1 may be configured according to (8,1). SSSG#0 may provide more frequent PDCCH MOs, once in 4 slots, although the BD and CCE budgets are limited (i.e., 10 BD and 16 CCEs). On the other hand, SSSG#1 may be configured with PDCCH MOs with a periodicity larger than or equal to 8 slots and provide improved power efficiency and scheduling flexibility (i.e., 20 BD and 32 CCEs). In the same situation, on the contrary, if the two SSSGs are restricted to have the same (Xs,Ys) value, (4,1) should be applied for both SSSGs. This will limit the BD and CCE budgets of both SSSGs to 10 BD and 16 CCEs and, as a results, may harm the scheduling flexibility of SSSG#1. Thus, it is beneficial to allow different (Xs,Ys) values, if supported, for different SSSGs.</w:t>
            </w:r>
          </w:p>
          <w:p>
            <w:pPr>
              <w:pStyle w:val="27"/>
              <w:widowControl w:val="0"/>
            </w:pPr>
            <w:bookmarkStart w:id="82" w:name="_Ref95172954"/>
            <w:bookmarkStart w:id="83" w:name="P_8"/>
            <w:r>
              <w:t xml:space="preserve">Proposal </w:t>
            </w:r>
            <w:r>
              <w:fldChar w:fldCharType="begin"/>
            </w:r>
            <w:r>
              <w:instrText xml:space="preserve"> SEQ Proposal \* ARABIC </w:instrText>
            </w:r>
            <w:r>
              <w:fldChar w:fldCharType="separate"/>
            </w:r>
            <w:r>
              <w:t>8</w:t>
            </w:r>
            <w:r>
              <w:fldChar w:fldCharType="end"/>
            </w:r>
            <w:bookmarkEnd w:id="82"/>
            <w:r>
              <w:t>: When a UE supports more than one (Xs,Ys) combinations for multi-slot PDCCH monitoring, the applied (Xs,Ys) value is determined per SSSG.</w:t>
            </w:r>
          </w:p>
          <w:bookmarkEnd w:id="83"/>
          <w:p>
            <w:pPr>
              <w:widowControl w:val="0"/>
            </w:pPr>
          </w:p>
          <w:p>
            <w:pPr>
              <w:widowControl w:val="0"/>
            </w:pPr>
            <w:r>
              <w:t xml:space="preserve">In the legacy design of search space set group (SSSG) switching, the switching boundary is aligned with a slot boundary. However, when SSSG switching and multi-slot PDCCH monitoring are jointly applied, the legacy SSSG switching design may lead to a complicated transient behavior. For example, </w:t>
            </w:r>
            <w:r>
              <w:rPr>
                <w:lang w:eastAsia="zh-CN"/>
              </w:rPr>
              <w:t xml:space="preserve">if the SSSG switching occurs in the middle of a slot group and, as a result, if SS sets from both SSSG#0 and SSSG#1 are included in the same slot group, BD/CCE counting, overbooking, and dropping should be re-calculated. Therefore, </w:t>
            </w:r>
            <w:r>
              <w:t>it would be desirable to always align the SSSG switching boundary with the slot group boundary.</w:t>
            </w:r>
          </w:p>
          <w:p>
            <w:pPr>
              <w:widowControl w:val="0"/>
            </w:pPr>
            <w:r>
              <w:t>In RAN1 #107b-e, it was concluded that the SSSG timer operates in a slot unit, which implies that the expiration of the timer may not always aligned with the slot group boundary. Thus, once the timer expires at a slot in the middle of a slot group, the actual SSSG switching can occur at the next slot group boundary. If the UE supports more than one (Xs,Ys) values, and the two SSSGs are associated with different Xs values, the slot group boundary would be determined by the largest Xs value between the two SSSGs.</w:t>
            </w:r>
          </w:p>
          <w:p>
            <w:pPr>
              <w:pStyle w:val="27"/>
              <w:widowControl w:val="0"/>
              <w:spacing w:after="0"/>
            </w:pPr>
            <w:bookmarkStart w:id="84" w:name="_Ref95162462"/>
            <w:r>
              <w:t xml:space="preserve">Proposal </w:t>
            </w:r>
            <w:r>
              <w:fldChar w:fldCharType="begin"/>
            </w:r>
            <w:r>
              <w:instrText xml:space="preserve"> SEQ Proposal \* ARABIC </w:instrText>
            </w:r>
            <w:r>
              <w:fldChar w:fldCharType="separate"/>
            </w:r>
            <w:r>
              <w:t>9</w:t>
            </w:r>
            <w:r>
              <w:fldChar w:fldCharType="end"/>
            </w:r>
            <w:bookmarkEnd w:id="84"/>
            <w:r>
              <w:t>: For multi-slot PDCCH monitoring for 480/960 kHz SCSs, a boundary of SSSG switching is always aligned with a boundary of a slot group.</w:t>
            </w:r>
          </w:p>
          <w:p>
            <w:pPr>
              <w:pStyle w:val="82"/>
              <w:widowControl w:val="0"/>
              <w:numPr>
                <w:ilvl w:val="0"/>
                <w:numId w:val="91"/>
              </w:numPr>
              <w:snapToGrid/>
              <w:spacing w:after="120" w:line="240" w:lineRule="auto"/>
              <w:jc w:val="both"/>
              <w:rPr>
                <w:b/>
                <w:bCs/>
              </w:rPr>
            </w:pPr>
            <w:r>
              <w:rPr>
                <w:b/>
                <w:bCs/>
              </w:rPr>
              <w:t>When the SSSGs are associated with different slot group sizes Xs, the slot group boundary is determined by the largest Xs value between the two SSSGs.</w:t>
            </w:r>
          </w:p>
          <w:p>
            <w:pPr>
              <w:widowControl w:val="0"/>
            </w:pPr>
          </w:p>
          <w:p>
            <w:pPr>
              <w:widowControl w:val="0"/>
            </w:pPr>
            <w:r>
              <w:t xml:space="preserve">Further related to the joint configuration of multi-slot PDCCH monitoring and SSSG switching, a situation shown in </w:t>
            </w:r>
            <w:r>
              <w:fldChar w:fldCharType="begin"/>
            </w:r>
            <w:r>
              <w:instrText xml:space="preserve"> REF _Ref91699228 \h </w:instrText>
            </w:r>
            <w:r>
              <w:fldChar w:fldCharType="separate"/>
            </w:r>
            <w:r>
              <w:t>Figure 2</w:t>
            </w:r>
            <w:r>
              <w:fldChar w:fldCharType="end"/>
            </w:r>
            <w:r>
              <w:t xml:space="preserve"> may be considered. That is, SSSG switching occurs from the first SSSG to the second SSSG. Then, at the boundary of SSSG switching, the locations of the two Y consecutive slots in the slot groups before and after the switching boundary may be different. In another case, the two SSSGs may be associated with different (Xs,Ys) values according to </w:t>
            </w:r>
            <w:r>
              <w:fldChar w:fldCharType="begin"/>
            </w:r>
            <w:r>
              <w:instrText xml:space="preserve"> REF _Ref95172954 \h </w:instrText>
            </w:r>
            <w:r>
              <w:fldChar w:fldCharType="separate"/>
            </w:r>
            <w:r>
              <w:t>Proposal 8</w:t>
            </w:r>
            <w:r>
              <w:fldChar w:fldCharType="end"/>
            </w:r>
            <w:r>
              <w:t xml:space="preserve">. Thus, in such cases, the separation between the two Y consecutive slots may be less than Xs slots. </w:t>
            </w:r>
          </w:p>
          <w:p>
            <w:pPr>
              <w:widowControl w:val="0"/>
            </w:pPr>
            <w:r>
              <w:t xml:space="preserve">To avoid such a situation in </w:t>
            </w:r>
            <w:r>
              <w:fldChar w:fldCharType="begin"/>
            </w:r>
            <w:r>
              <w:instrText xml:space="preserve"> REF _Ref91699228 \h </w:instrText>
            </w:r>
            <w:r>
              <w:fldChar w:fldCharType="separate"/>
            </w:r>
            <w:r>
              <w:t>Figure 2</w:t>
            </w:r>
            <w:r>
              <w:fldChar w:fldCharType="end"/>
            </w:r>
            <w:r>
              <w:t>, a rule for dropping PDCCH MOs may be considered. For example, when the separation between the two Ys consecutive slots before and after the switching boundary is less than Xs slots, where Xs is according to the first (source) SSSG, some or all of the MOs in the Ys consecutive slots in the second (target) SSSG after the switching boundary may be dropped.</w:t>
            </w:r>
          </w:p>
          <w:p>
            <w:pPr>
              <w:pStyle w:val="27"/>
              <w:widowControl w:val="0"/>
            </w:pPr>
            <w:bookmarkStart w:id="85" w:name="P_10"/>
            <w:r>
              <w:t xml:space="preserve">Proposal </w:t>
            </w:r>
            <w:r>
              <w:fldChar w:fldCharType="begin"/>
            </w:r>
            <w:r>
              <w:instrText xml:space="preserve"> SEQ Proposal \* ARABIC </w:instrText>
            </w:r>
            <w:r>
              <w:fldChar w:fldCharType="separate"/>
            </w:r>
            <w:r>
              <w:t>10</w:t>
            </w:r>
            <w:r>
              <w:fldChar w:fldCharType="end"/>
            </w:r>
            <w:r>
              <w:t>: A dropping rule for PDCCH MOs may be applied for the first Ys consecutive slots after SSSG switching, if the separation between the two Ys consecutive slots before and after the SSSG switching boundary is less than Xs slots.</w:t>
            </w:r>
          </w:p>
          <w:bookmarkEnd w:id="85"/>
          <w:p>
            <w:pPr>
              <w:widowControl w:val="0"/>
            </w:pPr>
            <w:r>
              <w:object>
                <v:shape id="_x0000_i1048" o:spt="75" type="#_x0000_t75" style="height:109.5pt;width:495.75pt;" o:ole="t" filled="f" o:preferrelative="t" stroked="f" coordsize="21600,21600">
                  <v:path/>
                  <v:fill on="f" focussize="0,0"/>
                  <v:stroke on="f" joinstyle="miter"/>
                  <v:imagedata r:id="rId58" o:title=""/>
                  <o:lock v:ext="edit" aspectratio="t"/>
                  <w10:wrap type="none"/>
                  <w10:anchorlock/>
                </v:shape>
                <o:OLEObject Type="Embed" ProgID="Visio.Drawing.15" ShapeID="_x0000_i1048" DrawAspect="Content" ObjectID="_1468075745" r:id="rId57">
                  <o:LockedField>false</o:LockedField>
                </o:OLEObject>
              </w:object>
            </w:r>
          </w:p>
          <w:p>
            <w:pPr>
              <w:widowControl w:val="0"/>
            </w:pPr>
            <w:r>
              <w:t xml:space="preserve">Figure </w:t>
            </w:r>
            <w:r>
              <w:fldChar w:fldCharType="begin"/>
            </w:r>
            <w:r>
              <w:instrText xml:space="preserve"> SEQ Figure \* ARABIC </w:instrText>
            </w:r>
            <w:r>
              <w:fldChar w:fldCharType="separate"/>
            </w:r>
            <w:r>
              <w:t>2</w:t>
            </w:r>
            <w:r>
              <w:fldChar w:fldCharType="end"/>
            </w:r>
            <w:r>
              <w:t>: An example of SSSG switching for multi-slot PDCCH monitoring.</w:t>
            </w:r>
          </w:p>
          <w:p>
            <w:pPr>
              <w:widowControl w:val="0"/>
            </w:pPr>
          </w:p>
        </w:tc>
      </w:tr>
    </w:tbl>
    <w:p>
      <w:pPr>
        <w:rPr>
          <w:lang w:eastAsia="zh-CN"/>
        </w:rPr>
      </w:pPr>
    </w:p>
    <w:p>
      <w:pPr>
        <w:pStyle w:val="4"/>
      </w:pPr>
      <w:r>
        <w:t>R1-2202190 (Sharp)</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lang w:eastAsia="zh-CN"/>
              </w:rPr>
            </w:pPr>
            <w:r>
              <w:rPr>
                <w:lang w:eastAsia="zh-CN"/>
              </w:rPr>
              <w:t xml:space="preserve">In RAN1#107-e meeting, </w:t>
            </w:r>
            <w:r>
              <w:t xml:space="preserve">the working assumption for SSSG switching at 120/480/960kHz is achieved. The working assumption was directly described in 38.213, and the minimum switching time </w:t>
            </w:r>
            <w:r>
              <w:rPr>
                <w:i/>
                <w:lang w:eastAsia="zh-CN"/>
              </w:rPr>
              <w:t>P</w:t>
            </w:r>
            <w:r>
              <w:rPr>
                <w:i/>
                <w:vertAlign w:val="subscript"/>
                <w:lang w:eastAsia="zh-CN"/>
              </w:rPr>
              <w:t>switch</w:t>
            </w:r>
            <w:r>
              <w:t xml:space="preserve"> was defined as one value for each SCS. Here, </w:t>
            </w:r>
            <w:r>
              <w:rPr>
                <w:lang w:eastAsia="zh-CN"/>
              </w:rPr>
              <w:t xml:space="preserve">we have one concern about the SSSG switching at 480kHz/960kHz, which is that it may cause a back-to-back problem when switching. It is important to avoid this problem, which we have been considering for a long time in past meetings. In the current specification, SSSG-related monitoring is stopped and started at the same time in the first slot after the </w:t>
            </w:r>
            <w:r>
              <w:rPr>
                <w:i/>
                <w:lang w:eastAsia="zh-CN"/>
              </w:rPr>
              <w:t>P</w:t>
            </w:r>
            <w:r>
              <w:rPr>
                <w:i/>
                <w:vertAlign w:val="subscript"/>
                <w:lang w:eastAsia="zh-CN"/>
              </w:rPr>
              <w:t>switch</w:t>
            </w:r>
            <w:r>
              <w:rPr>
                <w:lang w:eastAsia="zh-CN"/>
              </w:rPr>
              <w:t xml:space="preserve">. However, in multi-slot monitoring, SSSG switching may be performed after the UE has monitored in a later slot of the slot group, and monitoring may start in the slot immediately after. In this case, a back-to-back problem occurs. To avoid this situation, it is possible to not monitor the </w:t>
            </w:r>
            <w:r>
              <w:rPr>
                <w:i/>
                <w:lang w:eastAsia="zh-CN"/>
              </w:rPr>
              <w:t>X</w:t>
            </w:r>
            <w:r>
              <w:rPr>
                <w:i/>
                <w:vertAlign w:val="subscript"/>
                <w:lang w:eastAsia="zh-CN"/>
              </w:rPr>
              <w:t>s</w:t>
            </w:r>
            <w:r>
              <w:rPr>
                <w:lang w:eastAsia="zh-CN"/>
              </w:rPr>
              <w:t xml:space="preserve"> slots before and after the SSSG boundary. This can be achieved by dropping PDCCH candidates in the </w:t>
            </w:r>
            <w:r>
              <w:rPr>
                <w:i/>
                <w:lang w:eastAsia="zh-CN"/>
              </w:rPr>
              <w:t>X</w:t>
            </w:r>
            <w:r>
              <w:rPr>
                <w:i/>
                <w:vertAlign w:val="subscript"/>
                <w:lang w:eastAsia="zh-CN"/>
              </w:rPr>
              <w:t>s</w:t>
            </w:r>
            <w:r>
              <w:rPr>
                <w:lang w:eastAsia="zh-CN"/>
              </w:rPr>
              <w:t xml:space="preserve"> slots before or after the switchover, or by setting different </w:t>
            </w:r>
            <w:r>
              <w:rPr>
                <w:i/>
                <w:lang w:eastAsia="zh-CN"/>
              </w:rPr>
              <w:t>P</w:t>
            </w:r>
            <w:r>
              <w:rPr>
                <w:i/>
                <w:vertAlign w:val="subscript"/>
                <w:lang w:eastAsia="zh-CN"/>
              </w:rPr>
              <w:t>switch</w:t>
            </w:r>
            <w:r>
              <w:rPr>
                <w:lang w:eastAsia="zh-CN"/>
              </w:rPr>
              <w:t xml:space="preserve"> values to stagger the stop and start of monitoring.</w:t>
            </w:r>
          </w:p>
          <w:p>
            <w:pPr>
              <w:widowControl w:val="0"/>
              <w:jc w:val="center"/>
              <w:rPr>
                <w:lang w:eastAsia="zh-CN"/>
              </w:rPr>
            </w:pPr>
            <w:r>
              <w:drawing>
                <wp:inline distT="0" distB="0" distL="0" distR="0">
                  <wp:extent cx="5410200" cy="1535430"/>
                  <wp:effectExtent l="0" t="0" r="0" b="0"/>
                  <wp:docPr id="405"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図 1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5439780" cy="1543929"/>
                          </a:xfrm>
                          <a:prstGeom prst="rect">
                            <a:avLst/>
                          </a:prstGeom>
                          <a:noFill/>
                          <a:ln>
                            <a:noFill/>
                          </a:ln>
                        </pic:spPr>
                      </pic:pic>
                    </a:graphicData>
                  </a:graphic>
                </wp:inline>
              </w:drawing>
            </w:r>
            <w:r>
              <w:br w:type="textWrapping"/>
            </w:r>
            <w:r>
              <w:rPr>
                <w:b/>
                <w:szCs w:val="24"/>
              </w:rPr>
              <w:t>Figure 1:</w:t>
            </w:r>
            <w:r>
              <w:rPr>
                <w:b/>
              </w:rPr>
              <w:t>Possible problem with SSSG switching with multi-slot monitoring.</w:t>
            </w:r>
          </w:p>
          <w:p>
            <w:pPr>
              <w:widowControl w:val="0"/>
              <w:rPr>
                <w:b/>
                <w:bCs/>
              </w:rPr>
            </w:pPr>
            <w:r>
              <w:rPr>
                <w:rFonts w:hint="eastAsia"/>
                <w:b/>
                <w:bCs/>
              </w:rPr>
              <w:t>P</w:t>
            </w:r>
            <w:r>
              <w:rPr>
                <w:b/>
                <w:bCs/>
              </w:rPr>
              <w:t>roposal 3: To avoid the back-to-back problem, monitoring should not be done in the Xs slots before and after the SSSG boundary.</w:t>
            </w:r>
          </w:p>
          <w:p>
            <w:pPr>
              <w:widowControl w:val="0"/>
              <w:rPr>
                <w:b/>
                <w:bCs/>
              </w:rPr>
            </w:pPr>
            <w:r>
              <w:rPr>
                <w:rFonts w:hint="eastAsia"/>
                <w:b/>
                <w:bCs/>
              </w:rPr>
              <w:t>P</w:t>
            </w:r>
            <w:r>
              <w:rPr>
                <w:b/>
                <w:bCs/>
              </w:rPr>
              <w:t>roposal 4: Adopt Text proposal #2-1 or #2-2.</w:t>
            </w:r>
          </w:p>
          <w:p>
            <w:pPr>
              <w:widowControl w:val="0"/>
              <w:rPr>
                <w:b/>
                <w:bCs/>
              </w:rPr>
            </w:pPr>
          </w:p>
          <w:p>
            <w:pPr>
              <w:widowControl w:val="0"/>
              <w:jc w:val="both"/>
              <w:rPr>
                <w:b/>
                <w:u w:val="single"/>
                <w:lang w:val="en-GB"/>
              </w:rPr>
            </w:pPr>
          </w:p>
        </w:tc>
      </w:tr>
    </w:tbl>
    <w:p>
      <w:pPr>
        <w:rPr>
          <w:lang w:eastAsia="zh-CN"/>
        </w:rPr>
      </w:pPr>
    </w:p>
    <w:p>
      <w:pPr>
        <w:pStyle w:val="4"/>
      </w:pPr>
      <w:r>
        <w:t>R1-2202234 (Transsion Holdings)</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rFonts w:eastAsia="宋体"/>
                <w:lang w:eastAsia="zh-CN"/>
              </w:rPr>
            </w:pPr>
            <w:r>
              <w:rPr>
                <w:rFonts w:hint="eastAsia"/>
                <w:lang w:eastAsia="zh-CN"/>
              </w:rPr>
              <w:t xml:space="preserve">In </w:t>
            </w:r>
            <w:r>
              <w:rPr>
                <w:rFonts w:hint="eastAsia"/>
                <w:bCs/>
                <w:iCs/>
                <w:szCs w:val="20"/>
                <w:lang w:eastAsia="zh-CN"/>
              </w:rPr>
              <w:t xml:space="preserve">RAN1#107-e meeting, it was agreed that the same units for parameters </w:t>
            </w:r>
            <w:r>
              <w:rPr>
                <w:rFonts w:hint="eastAsia"/>
                <w:lang w:eastAsia="zh-CN"/>
              </w:rPr>
              <w:t xml:space="preserve"> </w:t>
            </w:r>
            <w:r>
              <w:rPr>
                <w:rFonts w:hint="eastAsia"/>
                <w:i/>
                <w:iCs/>
                <w:lang w:eastAsia="zh-CN"/>
              </w:rPr>
              <w:t>monitoringSlotPeriodicityAndOffset</w:t>
            </w:r>
            <w:r>
              <w:rPr>
                <w:rFonts w:hint="eastAsia"/>
                <w:i/>
                <w:iCs/>
                <w:szCs w:val="20"/>
                <w:lang w:eastAsia="zh-CN"/>
              </w:rPr>
              <w:t xml:space="preserve">, </w:t>
            </w:r>
            <w:r>
              <w:rPr>
                <w:rFonts w:hint="eastAsia"/>
                <w:i/>
                <w:iCs/>
                <w:lang w:eastAsia="zh-CN"/>
              </w:rPr>
              <w:t>duration</w:t>
            </w:r>
            <w:r>
              <w:rPr>
                <w:rFonts w:hint="eastAsia"/>
                <w:i/>
                <w:iCs/>
                <w:szCs w:val="20"/>
                <w:lang w:eastAsia="zh-CN"/>
              </w:rPr>
              <w:t xml:space="preserve"> </w:t>
            </w:r>
            <w:r>
              <w:rPr>
                <w:rFonts w:hint="eastAsia"/>
                <w:szCs w:val="20"/>
                <w:lang w:eastAsia="zh-CN"/>
              </w:rPr>
              <w:t>and</w:t>
            </w:r>
            <w:r>
              <w:rPr>
                <w:rFonts w:hint="eastAsia"/>
                <w:i/>
                <w:iCs/>
                <w:szCs w:val="20"/>
                <w:lang w:eastAsia="zh-CN"/>
              </w:rPr>
              <w:t xml:space="preserve"> </w:t>
            </w:r>
            <w:r>
              <w:rPr>
                <w:i/>
                <w:iCs/>
              </w:rPr>
              <w:t>monitoringSymbolsWithinSlot</w:t>
            </w:r>
            <w:r>
              <w:t xml:space="preserve"> </w:t>
            </w:r>
            <w:r>
              <w:rPr>
                <w:rFonts w:hint="eastAsia"/>
                <w:lang w:eastAsia="zh-CN"/>
              </w:rPr>
              <w:t xml:space="preserve">are reused in FR 2-2.  Regarding the </w:t>
            </w:r>
            <w:r>
              <w:t>mechanism to determine monitoring slots within a slot group</w:t>
            </w:r>
            <w:r>
              <w:rPr>
                <w:rFonts w:hint="eastAsia"/>
                <w:lang w:eastAsia="zh-CN"/>
              </w:rPr>
              <w:t>, sine the three parameters have been reused, a simple approach is to introduce a new parameter to indicate which slots within a slot group can be used to monitor the PDCCH instead of modifying the existing three parameters.</w:t>
            </w:r>
          </w:p>
          <w:p>
            <w:pPr>
              <w:widowControl w:val="0"/>
              <w:rPr>
                <w:b/>
                <w:i/>
                <w:szCs w:val="20"/>
                <w:lang w:eastAsia="zh-CN"/>
              </w:rPr>
            </w:pPr>
            <w:r>
              <w:rPr>
                <w:b/>
                <w:i/>
                <w:szCs w:val="20"/>
                <w:lang w:eastAsia="zh-CN"/>
              </w:rPr>
              <w:t xml:space="preserve">Proposal </w:t>
            </w:r>
            <w:r>
              <w:rPr>
                <w:rFonts w:hint="eastAsia"/>
                <w:b/>
                <w:i/>
                <w:szCs w:val="20"/>
                <w:lang w:eastAsia="zh-CN"/>
              </w:rPr>
              <w:t>3</w:t>
            </w:r>
            <w:r>
              <w:rPr>
                <w:b/>
                <w:i/>
                <w:szCs w:val="20"/>
                <w:lang w:eastAsia="zh-CN"/>
              </w:rPr>
              <w:t xml:space="preserve">: </w:t>
            </w:r>
            <w:r>
              <w:rPr>
                <w:rFonts w:hint="eastAsia"/>
                <w:b/>
                <w:i/>
                <w:szCs w:val="20"/>
                <w:lang w:eastAsia="zh-CN"/>
              </w:rPr>
              <w:t>Confirm the working assumption that a new parameter monitoringSlotsWithinSlotGroup-r17 should be introduced.</w:t>
            </w:r>
          </w:p>
          <w:p>
            <w:pPr>
              <w:widowControl w:val="0"/>
              <w:rPr>
                <w:bCs/>
                <w:iCs/>
                <w:szCs w:val="20"/>
                <w:lang w:eastAsia="zh-CN"/>
              </w:rPr>
            </w:pPr>
          </w:p>
          <w:p>
            <w:pPr>
              <w:widowControl/>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w:t>
            </w:r>
          </w:p>
          <w:p>
            <w:pPr>
              <w:widowControl/>
              <w:rPr>
                <w:bCs/>
                <w:iCs/>
                <w:szCs w:val="20"/>
                <w:lang w:eastAsia="zh-CN"/>
              </w:rPr>
            </w:pPr>
            <w:r>
              <w:rPr>
                <w:rFonts w:hint="eastAsia"/>
                <w:bCs/>
                <w:iCs/>
                <w:szCs w:val="20"/>
                <w:lang w:eastAsia="zh-CN"/>
              </w:rPr>
              <w:t xml:space="preserve">Regarding the parameter </w:t>
            </w:r>
            <m:oMath>
              <m:sSub>
                <m:sSubPr>
                  <m:ctrlPr>
                    <w:rPr>
                      <w:rFonts w:ascii="Cambria Math" w:hAnsi="Cambria Math"/>
                      <w:bCs/>
                      <w:szCs w:val="18"/>
                    </w:rPr>
                  </m:ctrlPr>
                </m:sSubPr>
                <m:e>
                  <m:r>
                    <w:rPr>
                      <w:rFonts w:ascii="Cambria Math" w:hAnsi="Cambria Math"/>
                      <w:szCs w:val="18"/>
                    </w:rPr>
                    <m:t>P</m:t>
                  </m:r>
                  <m:ctrlPr>
                    <w:rPr>
                      <w:rFonts w:ascii="Cambria Math" w:hAnsi="Cambria Math"/>
                      <w:bCs/>
                      <w:szCs w:val="18"/>
                    </w:rPr>
                  </m:ctrlPr>
                </m:e>
                <m:sub>
                  <m:r>
                    <w:rPr>
                      <w:rFonts w:ascii="Cambria Math" w:hAnsi="Cambria Math"/>
                      <w:szCs w:val="18"/>
                    </w:rPr>
                    <m:t>switch</m:t>
                  </m:r>
                  <m:ctrlPr>
                    <w:rPr>
                      <w:rFonts w:ascii="Cambria Math" w:hAnsi="Cambria Math"/>
                      <w:bCs/>
                      <w:szCs w:val="18"/>
                    </w:rPr>
                  </m:ctrlPr>
                </m:sub>
              </m:sSub>
            </m:oMath>
            <w:r>
              <w:rPr>
                <w:rFonts w:hint="eastAsia"/>
                <w:bCs/>
                <w:iCs/>
                <w:szCs w:val="20"/>
                <w:lang w:eastAsia="zh-CN"/>
              </w:rPr>
              <w:t xml:space="preserve">, in NR-U the value of </w:t>
            </w:r>
            <m:oMath>
              <m:sSub>
                <m:sSubPr>
                  <m:ctrlPr>
                    <w:rPr>
                      <w:rFonts w:ascii="Cambria Math" w:hAnsi="Cambria Math"/>
                      <w:bCs/>
                      <w:szCs w:val="18"/>
                    </w:rPr>
                  </m:ctrlPr>
                </m:sSubPr>
                <m:e>
                  <m:r>
                    <w:rPr>
                      <w:rFonts w:ascii="Cambria Math" w:hAnsi="Cambria Math"/>
                      <w:szCs w:val="18"/>
                    </w:rPr>
                    <m:t>P</m:t>
                  </m:r>
                  <m:ctrlPr>
                    <w:rPr>
                      <w:rFonts w:ascii="Cambria Math" w:hAnsi="Cambria Math"/>
                      <w:bCs/>
                      <w:szCs w:val="18"/>
                    </w:rPr>
                  </m:ctrlPr>
                </m:e>
                <m:sub>
                  <m:r>
                    <w:rPr>
                      <w:rFonts w:ascii="Cambria Math" w:hAnsi="Cambria Math"/>
                      <w:szCs w:val="18"/>
                    </w:rPr>
                    <m:t>switch</m:t>
                  </m:r>
                  <m:ctrlPr>
                    <w:rPr>
                      <w:rFonts w:ascii="Cambria Math" w:hAnsi="Cambria Math"/>
                      <w:bCs/>
                      <w:szCs w:val="18"/>
                    </w:rPr>
                  </m:ctrlPr>
                </m:sub>
              </m:sSub>
            </m:oMath>
            <w:r>
              <w:rPr>
                <w:rFonts w:hint="eastAsia"/>
                <w:bCs/>
                <w:iCs/>
                <w:szCs w:val="20"/>
                <w:lang w:eastAsia="zh-CN"/>
              </w:rPr>
              <w:t xml:space="preserve"> is based on SPS release timeline. For 120kHz SCS, the value of  SPS release timeline is 25 symbols. Considering the implementation margin, 40 symbols is reasonable for 120kHz SCS. Then, the values for 480/960kHz SCS can be directly scaled by a factor of 4/8.</w:t>
            </w:r>
          </w:p>
          <w:p>
            <w:pPr>
              <w:widowControl/>
              <w:rPr>
                <w:bCs/>
                <w:iCs/>
                <w:szCs w:val="20"/>
                <w:lang w:eastAsia="zh-CN"/>
              </w:rPr>
            </w:pPr>
            <w:r>
              <w:rPr>
                <w:rFonts w:hint="eastAsia"/>
                <w:lang w:eastAsia="zh-CN"/>
              </w:rPr>
              <w:t>Furthermore</w:t>
            </w:r>
            <w:r>
              <w:rPr>
                <w:lang w:eastAsia="zh-CN"/>
              </w:rPr>
              <w:t>, when SSSG switching operates on a slot</w:t>
            </w:r>
            <w:r>
              <w:rPr>
                <w:rFonts w:hint="eastAsia"/>
                <w:lang w:eastAsia="zh-CN"/>
              </w:rPr>
              <w:t xml:space="preserve"> </w:t>
            </w:r>
            <w:r>
              <w:rPr>
                <w:lang w:eastAsia="zh-CN"/>
              </w:rPr>
              <w:t>group basis, it is also necessary to determine</w:t>
            </w:r>
            <w:r>
              <w:rPr>
                <w:rFonts w:hint="eastAsia"/>
                <w:lang w:eastAsia="zh-CN"/>
              </w:rPr>
              <w:t xml:space="preserve"> to</w:t>
            </w:r>
            <w:r>
              <w:rPr>
                <w:lang w:eastAsia="zh-CN"/>
              </w:rPr>
              <w:t xml:space="preserve"> which slot the switching operation appli</w:t>
            </w:r>
            <w:r>
              <w:rPr>
                <w:rFonts w:hint="eastAsia"/>
                <w:lang w:eastAsia="zh-CN"/>
              </w:rPr>
              <w:t>es</w:t>
            </w:r>
            <w:r>
              <w:rPr>
                <w:lang w:eastAsia="zh-CN"/>
              </w:rPr>
              <w:t>. When</w:t>
            </w:r>
            <w:r>
              <w:rPr>
                <w:rFonts w:hint="eastAsia"/>
                <w:lang w:eastAsia="zh-CN"/>
              </w:rPr>
              <w:t xml:space="preserve"> reusing</w:t>
            </w:r>
            <w:r>
              <w:rPr>
                <w:lang w:eastAsia="zh-CN"/>
              </w:rPr>
              <w:t xml:space="preserve"> the Rel</w:t>
            </w:r>
            <w:r>
              <w:rPr>
                <w:rFonts w:hint="eastAsia"/>
                <w:lang w:eastAsia="zh-CN"/>
              </w:rPr>
              <w:t xml:space="preserve"> </w:t>
            </w:r>
            <w:r>
              <w:rPr>
                <w:lang w:eastAsia="zh-CN"/>
              </w:rPr>
              <w:t>1</w:t>
            </w:r>
            <w:r>
              <w:rPr>
                <w:rFonts w:hint="eastAsia"/>
                <w:lang w:eastAsia="zh-CN"/>
              </w:rPr>
              <w:t>6</w:t>
            </w:r>
            <w:r>
              <w:rPr>
                <w:lang w:eastAsia="zh-CN"/>
              </w:rPr>
              <w:t xml:space="preserve"> rule, if the</w:t>
            </w:r>
            <w:r>
              <w:rPr>
                <w:rFonts w:hint="eastAsia"/>
                <w:lang w:eastAsia="zh-CN"/>
              </w:rPr>
              <w:t xml:space="preserve"> first</w:t>
            </w:r>
            <w:r>
              <w:rPr>
                <w:lang w:eastAsia="zh-CN"/>
              </w:rPr>
              <w:t xml:space="preserve"> slot after the time of </w:t>
            </w:r>
            <m:oMath>
              <m:sSub>
                <m:sSubPr>
                  <m:ctrlPr>
                    <w:rPr>
                      <w:rFonts w:ascii="Cambria Math" w:hAnsi="Cambria Math"/>
                      <w:bCs/>
                      <w:szCs w:val="18"/>
                    </w:rPr>
                  </m:ctrlPr>
                </m:sSubPr>
                <m:e>
                  <m:r>
                    <w:rPr>
                      <w:rFonts w:ascii="Cambria Math" w:hAnsi="Cambria Math"/>
                      <w:szCs w:val="18"/>
                    </w:rPr>
                    <m:t>P</m:t>
                  </m:r>
                  <m:ctrlPr>
                    <w:rPr>
                      <w:rFonts w:ascii="Cambria Math" w:hAnsi="Cambria Math"/>
                      <w:bCs/>
                      <w:szCs w:val="18"/>
                    </w:rPr>
                  </m:ctrlPr>
                </m:e>
                <m:sub>
                  <m:r>
                    <w:rPr>
                      <w:rFonts w:ascii="Cambria Math" w:hAnsi="Cambria Math"/>
                      <w:szCs w:val="18"/>
                    </w:rPr>
                    <m:t>switch</m:t>
                  </m:r>
                  <m:ctrlPr>
                    <w:rPr>
                      <w:rFonts w:ascii="Cambria Math" w:hAnsi="Cambria Math"/>
                      <w:bCs/>
                      <w:szCs w:val="18"/>
                    </w:rPr>
                  </m:ctrlPr>
                </m:sub>
              </m:sSub>
            </m:oMath>
            <w:r>
              <w:rPr>
                <w:lang w:eastAsia="zh-CN"/>
              </w:rPr>
              <w:t xml:space="preserve"> symbols is in the middle of the slot</w:t>
            </w:r>
            <w:r>
              <w:rPr>
                <w:rFonts w:hint="eastAsia"/>
                <w:lang w:eastAsia="zh-CN"/>
              </w:rPr>
              <w:t xml:space="preserve"> </w:t>
            </w:r>
            <w:r>
              <w:rPr>
                <w:lang w:eastAsia="zh-CN"/>
              </w:rPr>
              <w:t xml:space="preserve">group, some potential issues may </w:t>
            </w:r>
            <w:r>
              <w:rPr>
                <w:rFonts w:hint="eastAsia"/>
                <w:lang w:eastAsia="zh-CN"/>
              </w:rPr>
              <w:t>arise.</w:t>
            </w:r>
            <w:r>
              <w:rPr>
                <w:lang w:eastAsia="zh-CN"/>
              </w:rPr>
              <w:t xml:space="preserve"> </w:t>
            </w:r>
            <w:r>
              <w:rPr>
                <w:rFonts w:hint="eastAsia"/>
                <w:lang w:eastAsia="zh-CN"/>
              </w:rPr>
              <w:t>Considering</w:t>
            </w:r>
            <w:r>
              <w:rPr>
                <w:lang w:eastAsia="zh-CN"/>
              </w:rPr>
              <w:t xml:space="preserve"> the SS set configuration can be switched in </w:t>
            </w:r>
            <w:r>
              <w:rPr>
                <w:rFonts w:hint="eastAsia"/>
                <w:lang w:eastAsia="zh-CN"/>
              </w:rPr>
              <w:t>a</w:t>
            </w:r>
            <w:r>
              <w:rPr>
                <w:lang w:eastAsia="zh-CN"/>
              </w:rPr>
              <w:t xml:space="preserve"> slot</w:t>
            </w:r>
            <w:r>
              <w:rPr>
                <w:rFonts w:hint="eastAsia"/>
                <w:lang w:eastAsia="zh-CN"/>
              </w:rPr>
              <w:t xml:space="preserve"> </w:t>
            </w:r>
            <w:r>
              <w:rPr>
                <w:lang w:eastAsia="zh-CN"/>
              </w:rPr>
              <w:t>group,</w:t>
            </w:r>
            <w:r>
              <w:rPr>
                <w:rFonts w:hint="eastAsia"/>
                <w:lang w:eastAsia="zh-CN"/>
              </w:rPr>
              <w:t xml:space="preserve"> the UE may be required to monitor two search space set groups during a slot group, in that case</w:t>
            </w:r>
            <w:r>
              <w:rPr>
                <w:lang w:eastAsia="zh-CN"/>
              </w:rPr>
              <w:t xml:space="preserve"> </w:t>
            </w:r>
            <w:r>
              <w:rPr>
                <w:rFonts w:hint="eastAsia"/>
                <w:lang w:eastAsia="zh-CN"/>
              </w:rPr>
              <w:t>the BD/CCE budget may exceed the the limitation of the UE</w:t>
            </w:r>
            <w:r>
              <w:rPr>
                <w:lang w:eastAsia="zh-CN"/>
              </w:rPr>
              <w:t xml:space="preserve">. </w:t>
            </w:r>
            <w:r>
              <w:rPr>
                <w:rFonts w:hint="eastAsia"/>
                <w:lang w:eastAsia="zh-CN"/>
              </w:rPr>
              <w:t xml:space="preserve">As a result, unnecessary search space dropping occurs. </w:t>
            </w:r>
            <w:r>
              <w:rPr>
                <w:lang w:eastAsia="zh-CN"/>
              </w:rPr>
              <w:t xml:space="preserve">Therefore, SSSG switching </w:t>
            </w:r>
            <w:r>
              <w:rPr>
                <w:rFonts w:hint="eastAsia"/>
                <w:lang w:eastAsia="zh-CN"/>
              </w:rPr>
              <w:t xml:space="preserve">mechanism </w:t>
            </w:r>
            <w:r>
              <w:rPr>
                <w:lang w:eastAsia="zh-CN"/>
              </w:rPr>
              <w:t xml:space="preserve">should </w:t>
            </w:r>
            <w:r>
              <w:rPr>
                <w:rFonts w:hint="eastAsia"/>
                <w:lang w:eastAsia="zh-CN"/>
              </w:rPr>
              <w:t>take the slot group as the</w:t>
            </w:r>
            <w:r>
              <w:rPr>
                <w:lang w:eastAsia="zh-CN"/>
              </w:rPr>
              <w:t xml:space="preserve"> unit. </w:t>
            </w:r>
          </w:p>
          <w:p>
            <w:pPr>
              <w:widowControl w:val="0"/>
              <w:rPr>
                <w:b/>
                <w:i/>
                <w:szCs w:val="20"/>
                <w:lang w:eastAsia="zh-CN"/>
              </w:rPr>
            </w:pPr>
            <w:r>
              <w:rPr>
                <w:rFonts w:hint="eastAsia"/>
                <w:b/>
                <w:i/>
                <w:szCs w:val="20"/>
                <w:lang w:eastAsia="zh-CN"/>
              </w:rPr>
              <w:t xml:space="preserve">Proposal 4: Confirm the working assumption that the value of </w:t>
            </w:r>
            <m:oMath>
              <m:sSub>
                <m:sSubPr>
                  <m:ctrlPr>
                    <w:rPr>
                      <w:rFonts w:ascii="Cambria Math" w:hAnsi="Cambria Math"/>
                      <w:b/>
                      <w:szCs w:val="18"/>
                    </w:rPr>
                  </m:ctrlPr>
                </m:sSubPr>
                <m:e>
                  <m:r>
                    <m:rPr>
                      <m:sty m:val="bi"/>
                    </m:rPr>
                    <w:rPr>
                      <w:rFonts w:ascii="Cambria Math" w:hAnsi="Cambria Math"/>
                      <w:szCs w:val="18"/>
                    </w:rPr>
                    <m:t>P</m:t>
                  </m:r>
                  <m:ctrlPr>
                    <w:rPr>
                      <w:rFonts w:ascii="Cambria Math" w:hAnsi="Cambria Math"/>
                      <w:b/>
                      <w:szCs w:val="18"/>
                    </w:rPr>
                  </m:ctrlPr>
                </m:e>
                <m:sub>
                  <m:r>
                    <m:rPr>
                      <m:sty m:val="bi"/>
                    </m:rPr>
                    <w:rPr>
                      <w:rFonts w:ascii="Cambria Math" w:hAnsi="Cambria Math"/>
                      <w:szCs w:val="18"/>
                    </w:rPr>
                    <m:t>switch</m:t>
                  </m:r>
                  <m:ctrlPr>
                    <w:rPr>
                      <w:rFonts w:ascii="Cambria Math" w:hAnsi="Cambria Math"/>
                      <w:b/>
                      <w:szCs w:val="18"/>
                    </w:rPr>
                  </m:ctrlPr>
                </m:sub>
              </m:sSub>
            </m:oMath>
            <w:r>
              <w:rPr>
                <w:rFonts w:hint="eastAsia"/>
                <w:b/>
                <w:i/>
                <w:szCs w:val="20"/>
                <w:lang w:eastAsia="zh-CN"/>
              </w:rPr>
              <w:t xml:space="preserve"> should be 40, 160, 320 respectively for 120/480/960 kHz SCS.</w:t>
            </w:r>
          </w:p>
          <w:p>
            <w:pPr>
              <w:widowControl w:val="0"/>
              <w:rPr>
                <w:bCs/>
                <w:iCs/>
                <w:szCs w:val="20"/>
                <w:lang w:eastAsia="zh-CN"/>
              </w:rPr>
            </w:pPr>
          </w:p>
          <w:p>
            <w:pPr>
              <w:widowControl w:val="0"/>
              <w:rPr>
                <w:b/>
                <w:i/>
                <w:szCs w:val="20"/>
                <w:lang w:eastAsia="zh-CN"/>
              </w:rPr>
            </w:pPr>
            <w:r>
              <w:rPr>
                <w:rFonts w:hint="eastAsia"/>
                <w:b/>
                <w:i/>
                <w:szCs w:val="20"/>
                <w:lang w:eastAsia="zh-CN"/>
              </w:rPr>
              <w:t>Proposal 5: SSSG switching mechanism should take the slot group as the unit.</w:t>
            </w:r>
          </w:p>
          <w:p>
            <w:pPr>
              <w:widowControl w:val="0"/>
              <w:rPr>
                <w:bCs/>
                <w:iCs/>
                <w:szCs w:val="20"/>
                <w:lang w:eastAsia="zh-CN"/>
              </w:rPr>
            </w:pPr>
          </w:p>
        </w:tc>
      </w:tr>
    </w:tbl>
    <w:p>
      <w:pPr>
        <w:rPr>
          <w:lang w:val="en-GB" w:eastAsia="zh-CN"/>
        </w:rPr>
      </w:pPr>
    </w:p>
    <w:p>
      <w:pPr>
        <w:pStyle w:val="4"/>
      </w:pPr>
      <w:r>
        <w:t>R1-2202336 (LG)</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line="240" w:lineRule="auto"/>
              <w:ind w:firstLine="220" w:firstLineChars="100"/>
              <w:rPr>
                <w:rFonts w:eastAsia="Batang"/>
                <w:bCs/>
                <w:lang w:eastAsia="ko-KR"/>
              </w:rPr>
            </w:pPr>
            <w:r>
              <w:rPr>
                <w:rFonts w:eastAsia="Batang"/>
                <w:bCs/>
                <w:lang w:eastAsia="ko-KR"/>
              </w:rPr>
              <w:t xml:space="preserve">In Rel-15, the definition of </w:t>
            </w:r>
            <w:r>
              <w:rPr>
                <w:rFonts w:eastAsia="Batang"/>
                <w:bCs/>
                <w:i/>
                <w:lang w:eastAsia="ko-KR"/>
              </w:rPr>
              <w:t>duration</w:t>
            </w:r>
            <w:r>
              <w:rPr>
                <w:rFonts w:eastAsia="Batang"/>
                <w:bCs/>
                <w:lang w:eastAsia="ko-KR"/>
              </w:rPr>
              <w:t xml:space="preserve"> is the number of consecutive slots in which the SS set exists within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t xml:space="preserve"> </w:t>
            </w:r>
            <w:r>
              <w:rPr>
                <w:rFonts w:eastAsia="Batang"/>
                <w:bCs/>
                <w:lang w:eastAsia="ko-KR"/>
              </w:rPr>
              <w:t xml:space="preserve"> (i.e., the configured period). However, for multi-slot monitoring in Rel-17,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rPr>
                <w:rFonts w:eastAsia="Batang"/>
                <w:bCs/>
                <w:lang w:eastAsia="ko-KR"/>
              </w:rPr>
              <w:t xml:space="preserve"> can be set across multiple slot-groups and UE can monitor Group (1) SS only in limited number of slots within a slot-group, so the slots in which the SS set exists within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rPr>
                <w:rFonts w:eastAsia="Batang"/>
                <w:bCs/>
                <w:lang w:eastAsia="ko-KR"/>
              </w:rPr>
              <w:t xml:space="preserve"> may be non-consecutive. In order to indicate such non-consecutive monitoring slots within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rPr>
                <w:rFonts w:eastAsia="Batang"/>
                <w:bCs/>
                <w:lang w:eastAsia="ko-KR"/>
              </w:rPr>
              <w:t xml:space="preserve">, it is required to configure two different parameters jointly. One is the </w:t>
            </w:r>
            <w:r>
              <w:rPr>
                <w:rFonts w:eastAsia="Batang"/>
                <w:bCs/>
                <w:i/>
                <w:lang w:eastAsia="ko-KR"/>
              </w:rPr>
              <w:t>duration-r17</w:t>
            </w:r>
            <w:r>
              <w:rPr>
                <w:rFonts w:eastAsia="Batang"/>
                <w:bCs/>
                <w:lang w:eastAsia="ko-KR"/>
              </w:rPr>
              <w:t xml:space="preserve"> indicating the number of consecutive slots in which MO may exist within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rPr>
                <w:rFonts w:eastAsia="Batang"/>
                <w:bCs/>
                <w:lang w:eastAsia="ko-KR"/>
              </w:rPr>
              <w:t xml:space="preserve"> (which is a parameter similar to </w:t>
            </w:r>
            <w:r>
              <w:rPr>
                <w:rFonts w:eastAsia="Batang"/>
                <w:bCs/>
                <w:i/>
                <w:lang w:eastAsia="ko-KR"/>
              </w:rPr>
              <w:t>duration</w:t>
            </w:r>
            <w:r>
              <w:rPr>
                <w:rFonts w:eastAsia="Batang"/>
                <w:bCs/>
                <w:lang w:eastAsia="ko-KR"/>
              </w:rPr>
              <w:t xml:space="preserve"> for Rel-15 except that MO does not always need to exist in the slot indicated by </w:t>
            </w:r>
            <w:r>
              <w:rPr>
                <w:rFonts w:eastAsia="Batang"/>
                <w:bCs/>
                <w:i/>
                <w:lang w:eastAsia="ko-KR"/>
              </w:rPr>
              <w:t>duration</w:t>
            </w:r>
            <w:r>
              <w:rPr>
                <w:rFonts w:eastAsia="Batang"/>
                <w:bCs/>
                <w:lang w:eastAsia="ko-KR"/>
              </w:rPr>
              <w:t xml:space="preserve">), and the other is </w:t>
            </w:r>
            <w:r>
              <w:rPr>
                <w:rFonts w:eastAsia="Batang"/>
                <w:bCs/>
                <w:i/>
                <w:lang w:eastAsia="ko-KR"/>
              </w:rPr>
              <w:t>monitoringSlotsWithinSlotGroup-r17</w:t>
            </w:r>
            <w:r>
              <w:rPr>
                <w:rFonts w:eastAsia="Batang"/>
                <w:bCs/>
                <w:lang w:eastAsia="ko-KR"/>
              </w:rPr>
              <w:t xml:space="preserve"> indicating the monitoring slots within each slot-group. With these two parameters, UE can determine the exact monitoring occasions within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rPr>
                <w:rFonts w:eastAsia="Batang"/>
                <w:bCs/>
                <w:lang w:eastAsia="ko-KR"/>
              </w:rPr>
              <w:t xml:space="preserve">. Therefore, for multi-slot monitoring, </w:t>
            </w:r>
            <w:r>
              <w:rPr>
                <w:rFonts w:eastAsia="Batang"/>
                <w:bCs/>
                <w:i/>
                <w:lang w:eastAsia="ko-KR"/>
              </w:rPr>
              <w:t>duration-r17</w:t>
            </w:r>
            <w:r>
              <w:rPr>
                <w:rFonts w:eastAsia="Batang"/>
                <w:bCs/>
                <w:lang w:eastAsia="ko-KR"/>
              </w:rPr>
              <w:t xml:space="preserve"> can be defined as “the number of consecutive slots that a monitoring occasion may exist within periodicity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rPr>
                <w:rFonts w:eastAsia="Batang"/>
                <w:bCs/>
                <w:lang w:eastAsia="ko-KR"/>
              </w:rPr>
              <w:t xml:space="preserve"> indicated by </w:t>
            </w:r>
            <w:r>
              <w:rPr>
                <w:rFonts w:eastAsia="Batang"/>
                <w:bCs/>
                <w:i/>
                <w:lang w:eastAsia="ko-KR"/>
              </w:rPr>
              <w:t>monitoringSlotPeriodicityAndOffset-r17</w:t>
            </w:r>
            <w:r>
              <w:rPr>
                <w:rFonts w:eastAsia="Batang"/>
                <w:bCs/>
                <w:lang w:eastAsia="ko-KR"/>
              </w:rPr>
              <w:t xml:space="preserve">”. It is noted that not all slots indicated by </w:t>
            </w:r>
            <w:r>
              <w:rPr>
                <w:rFonts w:eastAsia="Batang"/>
                <w:bCs/>
                <w:i/>
                <w:lang w:eastAsia="ko-KR"/>
              </w:rPr>
              <w:t>duration-r17</w:t>
            </w:r>
            <w:r>
              <w:rPr>
                <w:rFonts w:eastAsia="Batang"/>
                <w:bCs/>
                <w:lang w:eastAsia="ko-KR"/>
              </w:rPr>
              <w:t xml:space="preserve"> need a valid monitoring occasion to exist.</w:t>
            </w:r>
          </w:p>
          <w:p>
            <w:pPr>
              <w:widowControl w:val="0"/>
              <w:spacing w:before="120" w:line="240" w:lineRule="auto"/>
              <w:ind w:firstLine="220" w:firstLineChars="100"/>
              <w:rPr>
                <w:rFonts w:eastAsia="Batang"/>
                <w:bCs/>
                <w:lang w:eastAsia="ko-KR"/>
              </w:rPr>
            </w:pPr>
            <w:r>
              <w:rPr>
                <w:rFonts w:eastAsia="Batang"/>
                <w:b/>
                <w:lang w:eastAsia="ko-KR"/>
              </w:rPr>
              <w:t xml:space="preserve">Proposal #5: For Group (1) SS, </w:t>
            </w:r>
            <w:r>
              <w:rPr>
                <w:rFonts w:eastAsia="Batang"/>
                <w:b/>
                <w:i/>
                <w:lang w:eastAsia="ko-KR"/>
              </w:rPr>
              <w:t>duration-r17</w:t>
            </w:r>
            <w:r>
              <w:rPr>
                <w:rFonts w:eastAsia="Batang"/>
                <w:b/>
                <w:lang w:eastAsia="ko-KR"/>
              </w:rPr>
              <w:t xml:space="preserve"> should indicate the number of consecutive slots (within periodicity </w:t>
            </w:r>
            <m:oMath>
              <m:sSub>
                <m:sSubPr>
                  <m:ctrlPr>
                    <w:rPr>
                      <w:rFonts w:ascii="Cambria Math" w:hAnsi="Cambria Math"/>
                      <w:b/>
                      <w:i/>
                    </w:rPr>
                  </m:ctrlPr>
                </m:sSubPr>
                <m:e>
                  <m:r>
                    <m:rPr>
                      <m:sty m:val="bi"/>
                    </m:rPr>
                    <w:rPr>
                      <w:rFonts w:ascii="Cambria Math" w:hAnsi="Cambria Math"/>
                    </w:rPr>
                    <m:t>k</m:t>
                  </m:r>
                  <m:ctrlPr>
                    <w:rPr>
                      <w:rFonts w:ascii="Cambria Math" w:hAnsi="Cambria Math"/>
                      <w:b/>
                      <w:i/>
                    </w:rPr>
                  </m:ctrlPr>
                </m:e>
                <m:sub>
                  <m:r>
                    <m:rPr>
                      <m:sty m:val="bi"/>
                    </m:rPr>
                    <w:rPr>
                      <w:rFonts w:ascii="Cambria Math" w:hAnsi="Cambria Math"/>
                    </w:rPr>
                    <m:t>s</m:t>
                  </m:r>
                  <m:ctrlPr>
                    <w:rPr>
                      <w:rFonts w:ascii="Cambria Math" w:hAnsi="Cambria Math"/>
                      <w:b/>
                      <w:i/>
                    </w:rPr>
                  </m:ctrlPr>
                </m:sub>
              </m:sSub>
            </m:oMath>
            <w:r>
              <w:rPr>
                <w:rFonts w:eastAsia="Batang"/>
                <w:b/>
              </w:rPr>
              <w:t xml:space="preserve"> </w:t>
            </w:r>
            <w:r>
              <w:rPr>
                <w:rFonts w:eastAsia="Batang"/>
                <w:b/>
                <w:lang w:eastAsia="ko-KR"/>
              </w:rPr>
              <w:t xml:space="preserve">indicated by </w:t>
            </w:r>
            <w:r>
              <w:rPr>
                <w:rFonts w:eastAsia="Batang"/>
                <w:b/>
                <w:i/>
                <w:lang w:eastAsia="ko-KR"/>
              </w:rPr>
              <w:t>monitoringSlotPeriodicityAndOffset-r17</w:t>
            </w:r>
            <w:r>
              <w:rPr>
                <w:rFonts w:eastAsia="Batang"/>
                <w:bCs/>
                <w:lang w:eastAsia="ko-KR"/>
              </w:rPr>
              <w:t>)</w:t>
            </w:r>
            <w:r>
              <w:rPr>
                <w:rFonts w:eastAsia="Batang"/>
                <w:b/>
                <w:lang w:eastAsia="ko-KR"/>
              </w:rPr>
              <w:t xml:space="preserve"> in which a monitoring occasion can exist. Among these slots, a slot whose corresponding bit in </w:t>
            </w:r>
            <w:r>
              <w:rPr>
                <w:rFonts w:eastAsia="Batang"/>
                <w:b/>
                <w:bCs/>
                <w:i/>
                <w:lang w:eastAsia="ko-KR"/>
              </w:rPr>
              <w:t>monitoringSlotsWithinSlotGroup-r17</w:t>
            </w:r>
            <w:r>
              <w:rPr>
                <w:rFonts w:eastAsia="Batang"/>
                <w:b/>
                <w:bCs/>
                <w:lang w:eastAsia="ko-KR"/>
              </w:rPr>
              <w:t xml:space="preserve"> is set to ‘1’</w:t>
            </w:r>
            <w:r>
              <w:rPr>
                <w:rFonts w:eastAsia="Batang"/>
                <w:b/>
                <w:lang w:eastAsia="ko-KR"/>
              </w:rPr>
              <w:t xml:space="preserve"> can be a valid monitoring slot.</w:t>
            </w:r>
          </w:p>
          <w:p>
            <w:pPr>
              <w:widowControl w:val="0"/>
              <w:spacing w:before="120" w:line="240" w:lineRule="auto"/>
              <w:ind w:firstLine="220" w:firstLineChars="100"/>
              <w:rPr>
                <w:rFonts w:eastAsia="Batang"/>
                <w:bCs/>
                <w:i/>
                <w:lang w:eastAsia="ko-KR"/>
              </w:rPr>
            </w:pPr>
          </w:p>
          <w:p>
            <w:pPr>
              <w:widowControl w:val="0"/>
              <w:spacing w:before="120" w:line="240" w:lineRule="auto"/>
              <w:rPr>
                <w:rFonts w:eastAsia="Batang"/>
                <w:bCs/>
                <w:lang w:eastAsia="ko-KR"/>
              </w:rPr>
            </w:pPr>
            <w:r>
              <w:rPr>
                <w:rFonts w:eastAsia="Batang"/>
                <w:bCs/>
                <w:lang w:eastAsia="ko-KR"/>
              </w:rPr>
              <w:t xml:space="preserve">In addition, the default value of </w:t>
            </w:r>
            <w:r>
              <w:rPr>
                <w:rFonts w:eastAsia="Batang"/>
                <w:bCs/>
                <w:i/>
                <w:lang w:eastAsia="ko-KR"/>
              </w:rPr>
              <w:t>duration-r17</w:t>
            </w:r>
            <w:r>
              <w:rPr>
                <w:rFonts w:eastAsia="Batang"/>
                <w:bCs/>
                <w:lang w:eastAsia="ko-KR"/>
              </w:rPr>
              <w:t xml:space="preserve"> for Group (1) SS sets should be discussed. According to the agreement above, the configured duration is restricted to be an integer multiple of Xs slots at least for Group (1) SS. So, the default value for Group (1) SS should be defined differently for each SCS. Considering that the default value of Rel-15 </w:t>
            </w:r>
            <w:r>
              <w:rPr>
                <w:rFonts w:eastAsia="Batang"/>
                <w:bCs/>
                <w:i/>
                <w:lang w:eastAsia="ko-KR"/>
              </w:rPr>
              <w:t>duration</w:t>
            </w:r>
            <w:r>
              <w:rPr>
                <w:rFonts w:eastAsia="Batang"/>
                <w:bCs/>
                <w:lang w:eastAsia="ko-KR"/>
              </w:rPr>
              <w:t xml:space="preserve"> is 1 slot (which is the minimum value for </w:t>
            </w:r>
            <w:r>
              <w:rPr>
                <w:rFonts w:eastAsia="Batang"/>
                <w:bCs/>
                <w:i/>
                <w:lang w:eastAsia="ko-KR"/>
              </w:rPr>
              <w:t>duration</w:t>
            </w:r>
            <w:r>
              <w:rPr>
                <w:rFonts w:eastAsia="Batang"/>
                <w:bCs/>
                <w:lang w:eastAsia="ko-KR"/>
              </w:rPr>
              <w:t xml:space="preserve">), the default value of </w:t>
            </w:r>
            <w:r>
              <w:rPr>
                <w:rFonts w:eastAsia="Batang"/>
                <w:bCs/>
                <w:i/>
                <w:lang w:eastAsia="ko-KR"/>
              </w:rPr>
              <w:t>duration-r17</w:t>
            </w:r>
            <w:r>
              <w:rPr>
                <w:rFonts w:eastAsia="Batang"/>
                <w:bCs/>
                <w:lang w:eastAsia="ko-KR"/>
              </w:rPr>
              <w:t xml:space="preserve"> can be defined as 4/8 slots for 480/960 kHz, respectively. </w:t>
            </w:r>
          </w:p>
          <w:p>
            <w:pPr>
              <w:widowControl w:val="0"/>
              <w:spacing w:before="120" w:line="240" w:lineRule="auto"/>
              <w:ind w:firstLine="220" w:firstLineChars="100"/>
              <w:rPr>
                <w:rFonts w:eastAsia="Batang"/>
                <w:bCs/>
                <w:lang w:eastAsia="ko-KR"/>
              </w:rPr>
            </w:pPr>
            <w:r>
              <w:rPr>
                <w:rFonts w:eastAsia="Batang"/>
                <w:b/>
                <w:lang w:eastAsia="ko-KR"/>
              </w:rPr>
              <w:t xml:space="preserve">Proposal #6: For Group (1) SS, define the default value of </w:t>
            </w:r>
            <w:r>
              <w:rPr>
                <w:rFonts w:eastAsia="Batang"/>
                <w:b/>
                <w:i/>
                <w:lang w:eastAsia="ko-KR"/>
              </w:rPr>
              <w:t>duration-r17</w:t>
            </w:r>
            <w:r>
              <w:rPr>
                <w:rFonts w:eastAsia="Batang"/>
                <w:b/>
                <w:lang w:eastAsia="ko-KR"/>
              </w:rPr>
              <w:t xml:space="preserve"> as 4 slots for 480 kHz or 8 slots for 960 kHz.</w:t>
            </w:r>
          </w:p>
          <w:p>
            <w:pPr>
              <w:widowControl w:val="0"/>
              <w:spacing w:before="120" w:line="240" w:lineRule="auto"/>
              <w:rPr>
                <w:rFonts w:eastAsia="Batang"/>
                <w:bCs/>
                <w:lang w:eastAsia="ko-KR"/>
              </w:rPr>
            </w:pPr>
          </w:p>
          <w:p>
            <w:pPr>
              <w:widowControl w:val="0"/>
              <w:spacing w:before="120" w:line="240" w:lineRule="auto"/>
              <w:rPr>
                <w:rFonts w:eastAsia="Batang"/>
                <w:bCs/>
                <w:lang w:eastAsia="ko-KR"/>
              </w:rPr>
            </w:pPr>
            <w:r>
              <w:rPr>
                <w:rFonts w:eastAsia="Batang"/>
                <w:bCs/>
                <w:lang w:eastAsia="ko-KR"/>
              </w:rPr>
              <w:t xml:space="preserve">The parameter </w:t>
            </w:r>
            <w:r>
              <w:rPr>
                <w:rFonts w:eastAsia="Batang"/>
                <w:bCs/>
                <w:i/>
                <w:lang w:eastAsia="ko-KR"/>
              </w:rPr>
              <w:t>monitoringSlotsWithinSlotGroup-r17</w:t>
            </w:r>
            <w:r>
              <w:rPr>
                <w:rFonts w:eastAsia="Batang"/>
                <w:bCs/>
                <w:lang w:eastAsia="ko-KR"/>
              </w:rPr>
              <w:t xml:space="preserve"> is newly defined for multi-slot monitoring. As a working assumption, 8-bit bitmap was agreed to indicate the monitoring slots within a slot-group for 480 kHz or 960 kHz. Each bit in this parameter represents a slot in a slot-group and each bit is set to ‘1’ if MO exists in the corresponding slot. One thing to emphasize is that the monitoring slots configured by this parameter should be valid only for slots indicated by </w:t>
            </w:r>
            <w:r>
              <w:rPr>
                <w:rFonts w:eastAsia="Batang"/>
                <w:bCs/>
                <w:i/>
                <w:lang w:eastAsia="ko-KR"/>
              </w:rPr>
              <w:t>duration-r17</w:t>
            </w:r>
            <w:r>
              <w:rPr>
                <w:rFonts w:eastAsia="Batang"/>
                <w:bCs/>
                <w:lang w:eastAsia="ko-KR"/>
              </w:rPr>
              <w:t xml:space="preserve">. </w:t>
            </w:r>
          </w:p>
          <w:p>
            <w:pPr>
              <w:widowControl w:val="0"/>
              <w:spacing w:before="120" w:line="240" w:lineRule="auto"/>
              <w:ind w:firstLine="220" w:firstLineChars="100"/>
              <w:rPr>
                <w:rFonts w:eastAsia="Batang"/>
                <w:bCs/>
                <w:lang w:eastAsia="ko-KR"/>
              </w:rPr>
            </w:pPr>
            <w:r>
              <w:rPr>
                <w:rFonts w:eastAsia="Batang"/>
                <w:b/>
                <w:lang w:eastAsia="ko-KR"/>
              </w:rPr>
              <w:t xml:space="preserve">Proposal #7: </w:t>
            </w:r>
            <w:r>
              <w:rPr>
                <w:rFonts w:eastAsia="Batang"/>
                <w:b/>
                <w:bCs/>
                <w:i/>
                <w:lang w:eastAsia="ko-KR"/>
              </w:rPr>
              <w:t>monitoringSlotsWithinSlotGroup-r17</w:t>
            </w:r>
            <w:r>
              <w:rPr>
                <w:rFonts w:eastAsia="Batang"/>
                <w:b/>
                <w:lang w:eastAsia="ko-KR"/>
              </w:rPr>
              <w:t xml:space="preserve"> should be valid only for slots indicated by </w:t>
            </w:r>
            <w:r>
              <w:rPr>
                <w:rFonts w:eastAsia="Batang"/>
                <w:b/>
                <w:i/>
                <w:lang w:eastAsia="ko-KR"/>
              </w:rPr>
              <w:t>duration-r17</w:t>
            </w:r>
            <w:r>
              <w:rPr>
                <w:rFonts w:eastAsia="Batang"/>
                <w:b/>
                <w:lang w:eastAsia="ko-KR"/>
              </w:rPr>
              <w:t>.</w:t>
            </w:r>
          </w:p>
          <w:p>
            <w:pPr>
              <w:widowControl w:val="0"/>
              <w:spacing w:before="120" w:line="240" w:lineRule="auto"/>
              <w:rPr>
                <w:rFonts w:eastAsia="Batang"/>
                <w:bCs/>
                <w:lang w:eastAsia="ko-KR"/>
              </w:rPr>
            </w:pPr>
            <w:r>
              <w:rPr>
                <w:rFonts w:eastAsia="Batang"/>
                <w:bCs/>
                <w:lang w:eastAsia="ko-KR"/>
              </w:rPr>
              <w:t xml:space="preserve">Among the supported (X,Y) combinations, </w:t>
            </w:r>
            <w:r>
              <w:rPr>
                <w:rFonts w:eastAsia="Batang"/>
                <w:bCs/>
                <w:i/>
                <w:lang w:eastAsia="ko-KR"/>
              </w:rPr>
              <w:t>monitoringSlotsWithinSlotGroup-r17</w:t>
            </w:r>
            <w:r>
              <w:rPr>
                <w:rFonts w:eastAsia="Batang"/>
                <w:b/>
                <w:bCs/>
                <w:lang w:eastAsia="ko-KR"/>
              </w:rPr>
              <w:t xml:space="preserve"> </w:t>
            </w:r>
            <w:r>
              <w:rPr>
                <w:rFonts w:eastAsia="Batang"/>
                <w:bCs/>
                <w:lang w:eastAsia="ko-KR"/>
              </w:rPr>
              <w:t xml:space="preserve">does not need to be set for the (X,Y) combinations that are mandatorily supported. This is because, for these combinations, a UE monitors PDCCH candidates only in one slot per slot-group, and the corresponding slot can be indicated by </w:t>
            </w:r>
            <w:r>
              <w:rPr>
                <w:rFonts w:eastAsia="Batang"/>
                <w:bCs/>
                <w:i/>
                <w:lang w:eastAsia="ko-KR"/>
              </w:rPr>
              <w:t>monitoringSlotPeriodicityAndOffset-r17</w:t>
            </w:r>
            <w:r>
              <w:rPr>
                <w:rFonts w:eastAsia="Batang"/>
                <w:bCs/>
                <w:lang w:eastAsia="ko-KR"/>
              </w:rPr>
              <w:t xml:space="preserve">. That is, even if this parameter is not set for the mandatorily supported (X,Y) combinations, the UE may recognize one slot for each X slots as a monitoring slot. Of course, the corresponding monitoring slot is only valid for slots indicated by </w:t>
            </w:r>
            <w:r>
              <w:rPr>
                <w:rFonts w:eastAsia="Batang"/>
                <w:bCs/>
                <w:i/>
                <w:lang w:eastAsia="ko-KR"/>
              </w:rPr>
              <w:t>duration-r17</w:t>
            </w:r>
            <w:r>
              <w:rPr>
                <w:rFonts w:eastAsia="Batang"/>
                <w:bCs/>
                <w:lang w:eastAsia="ko-KR"/>
              </w:rPr>
              <w:t xml:space="preserve">. Alternatively, default value of </w:t>
            </w:r>
            <w:r>
              <w:rPr>
                <w:rFonts w:eastAsia="Batang"/>
                <w:bCs/>
                <w:i/>
                <w:lang w:eastAsia="ko-KR"/>
              </w:rPr>
              <w:t>monitoringSlotsWithinSlotGroup-r17</w:t>
            </w:r>
            <w:r>
              <w:rPr>
                <w:rFonts w:eastAsia="Batang"/>
                <w:bCs/>
                <w:lang w:eastAsia="ko-KR"/>
              </w:rPr>
              <w:t xml:space="preserve"> can be used for the mandatorily supported (X,Y) combinations. For instance, the default value can be defined as '10000000'. If </w:t>
            </w:r>
            <w:r>
              <w:rPr>
                <w:rFonts w:eastAsia="Batang"/>
                <w:bCs/>
                <w:i/>
                <w:lang w:eastAsia="ko-KR"/>
              </w:rPr>
              <w:t>monitoringSlotsWithinSlotGroup-r17</w:t>
            </w:r>
            <w:r>
              <w:rPr>
                <w:rFonts w:eastAsia="Batang"/>
                <w:bCs/>
                <w:lang w:eastAsia="ko-KR"/>
              </w:rPr>
              <w:t xml:space="preserve"> is not configured when multi-slot monitoring is based on mandatorily supported (X,Y) combination, the first slot of each slot-group (only for slots indicated by </w:t>
            </w:r>
            <w:r>
              <w:rPr>
                <w:rFonts w:eastAsia="Batang"/>
                <w:bCs/>
                <w:i/>
                <w:lang w:eastAsia="ko-KR"/>
              </w:rPr>
              <w:t>duration-r17</w:t>
            </w:r>
            <w:r>
              <w:rPr>
                <w:rFonts w:eastAsia="Batang"/>
                <w:bCs/>
                <w:lang w:eastAsia="ko-KR"/>
              </w:rPr>
              <w:t>) can be determined as the monitoring slot according to the default value.</w:t>
            </w:r>
          </w:p>
          <w:p>
            <w:pPr>
              <w:widowControl w:val="0"/>
              <w:spacing w:before="120" w:line="240" w:lineRule="auto"/>
              <w:ind w:firstLine="220" w:firstLineChars="100"/>
              <w:rPr>
                <w:rFonts w:eastAsia="Batang"/>
                <w:bCs/>
                <w:lang w:eastAsia="ko-KR"/>
              </w:rPr>
            </w:pPr>
            <w:r>
              <w:rPr>
                <w:rFonts w:eastAsia="Batang"/>
                <w:b/>
                <w:lang w:eastAsia="ko-KR"/>
              </w:rPr>
              <w:t xml:space="preserve">Proposal #8: </w:t>
            </w:r>
            <w:r>
              <w:rPr>
                <w:rFonts w:eastAsia="Batang"/>
                <w:b/>
                <w:bCs/>
                <w:i/>
                <w:lang w:eastAsia="ko-KR"/>
              </w:rPr>
              <w:t>monitoringSlotsWithinSlotGroup-r17</w:t>
            </w:r>
            <w:r>
              <w:rPr>
                <w:rFonts w:eastAsia="Batang"/>
                <w:b/>
                <w:lang w:eastAsia="ko-KR"/>
              </w:rPr>
              <w:t xml:space="preserve"> </w:t>
            </w:r>
            <w:r>
              <w:rPr>
                <w:rFonts w:hint="eastAsia" w:eastAsia="Batang"/>
                <w:b/>
                <w:lang w:eastAsia="ko-KR"/>
              </w:rPr>
              <w:t>d</w:t>
            </w:r>
            <w:r>
              <w:rPr>
                <w:rFonts w:eastAsia="Batang"/>
                <w:b/>
                <w:lang w:eastAsia="ko-KR"/>
              </w:rPr>
              <w:t>oesn’t need to be configured for the mandatorily supported (X,Y) combinations.</w:t>
            </w:r>
          </w:p>
          <w:p>
            <w:pPr>
              <w:widowControl w:val="0"/>
              <w:spacing w:before="120" w:line="240" w:lineRule="auto"/>
              <w:ind w:firstLine="220" w:firstLineChars="100"/>
              <w:rPr>
                <w:rFonts w:eastAsia="Batang"/>
                <w:bCs/>
                <w:lang w:eastAsia="ko-KR"/>
              </w:rPr>
            </w:pPr>
            <w:r>
              <w:rPr>
                <w:rFonts w:eastAsia="Batang"/>
                <w:b/>
                <w:lang w:eastAsia="ko-KR"/>
              </w:rPr>
              <w:t xml:space="preserve">Proposal #9: Define the default value of </w:t>
            </w:r>
            <w:r>
              <w:rPr>
                <w:rFonts w:eastAsia="Batang"/>
                <w:b/>
                <w:bCs/>
                <w:i/>
                <w:lang w:eastAsia="ko-KR"/>
              </w:rPr>
              <w:t>monitoringSlotsWithinSlotGroup-r17</w:t>
            </w:r>
            <w:r>
              <w:rPr>
                <w:rFonts w:eastAsia="Batang"/>
                <w:b/>
                <w:lang w:eastAsia="ko-KR"/>
              </w:rPr>
              <w:t xml:space="preserve"> as ‘10000000’ for 480 kHz or 960 kHz.</w:t>
            </w:r>
          </w:p>
          <w:p>
            <w:pPr>
              <w:widowControl w:val="0"/>
              <w:spacing w:before="120" w:line="240" w:lineRule="auto"/>
              <w:rPr>
                <w:rFonts w:eastAsia="Batang"/>
                <w:bCs/>
                <w:lang w:eastAsia="ko-KR"/>
              </w:rPr>
            </w:pPr>
          </w:p>
          <w:p>
            <w:pPr>
              <w:widowControl w:val="0"/>
              <w:spacing w:before="120" w:line="240" w:lineRule="auto"/>
              <w:ind w:firstLine="220" w:firstLineChars="100"/>
              <w:rPr>
                <w:rFonts w:eastAsia="Batang"/>
                <w:bCs/>
                <w:lang w:eastAsia="ko-KR"/>
              </w:rPr>
            </w:pPr>
            <w:r>
              <w:rPr>
                <w:rFonts w:eastAsia="Batang"/>
                <w:bCs/>
                <w:lang w:eastAsia="ko-KR"/>
              </w:rPr>
              <w:t xml:space="preserve">Regarding SSSG switching, in Rel-15/16 NR, one SSSG could be switched to another SSSG at the slot boundary after at least P_switch symbols from the switching triggering. However, for the multi-slot monitoring, if SSSG switching occurs at the slot boundary inside the slot-group rather than the slot-group boundary, the complexity of the UE may increase. For example, when a switch occurs within the X slot-group, it may operate as SSSG#0 before the switching and may operate as SSSG#1 after that. At this time, since the </w:t>
            </w:r>
            <w:r>
              <w:rPr>
                <w:rFonts w:hint="eastAsia" w:eastAsia="Batang"/>
                <w:bCs/>
                <w:lang w:eastAsia="ko-KR"/>
              </w:rPr>
              <w:t>B</w:t>
            </w:r>
            <w:r>
              <w:rPr>
                <w:rFonts w:eastAsia="Batang"/>
                <w:bCs/>
                <w:lang w:eastAsia="ko-KR"/>
              </w:rPr>
              <w:t xml:space="preserve">D/CCE budget for 480/960 kHz SCS is checked in units of slot-group, SSSG change in the middle of slot-group may cause to increase UE complexity compared to that for the SSSG switching at slot-group boundary. In addition, given that the boundaries of slot-groups and SSSG switching are aligned and the location of Y within the X slot is maintained across slot-groups even if SSSG is switched, back-to-back monitoring issue would be avoided. In this regard, SSSG switching should be performed at the slot-group boundary. </w:t>
            </w:r>
          </w:p>
          <w:p>
            <w:pPr>
              <w:widowControl w:val="0"/>
              <w:spacing w:before="120" w:line="240" w:lineRule="auto"/>
              <w:ind w:firstLine="220" w:firstLineChars="100"/>
              <w:rPr>
                <w:rFonts w:eastAsia="Batang"/>
                <w:bCs/>
                <w:lang w:eastAsia="ko-KR"/>
              </w:rPr>
            </w:pPr>
            <w:r>
              <w:rPr>
                <w:rFonts w:eastAsia="Batang"/>
                <w:b/>
                <w:lang w:eastAsia="ko-KR"/>
              </w:rPr>
              <w:t>Proposal #11: For 480 kHz or 960 kHz multi-slot monitoring, SSSG switching should be performed at the slot-group boundary</w:t>
            </w:r>
            <w:r>
              <w:rPr>
                <w:rFonts w:eastAsia="Batang"/>
                <w:bCs/>
                <w:lang w:eastAsia="ko-KR"/>
              </w:rPr>
              <w:t xml:space="preserve"> </w:t>
            </w:r>
            <w:r>
              <w:rPr>
                <w:rFonts w:eastAsia="Batang"/>
                <w:b/>
                <w:bCs/>
                <w:lang w:eastAsia="ko-KR"/>
              </w:rPr>
              <w:t>after at least P_switch symbols from the switching triggering</w:t>
            </w:r>
            <w:r>
              <w:rPr>
                <w:rFonts w:eastAsia="Batang"/>
                <w:b/>
                <w:lang w:eastAsia="ko-KR"/>
              </w:rPr>
              <w:t>.</w:t>
            </w:r>
          </w:p>
          <w:p>
            <w:pPr>
              <w:widowControl w:val="0"/>
              <w:spacing w:before="120" w:line="240" w:lineRule="auto"/>
              <w:rPr>
                <w:rFonts w:eastAsia="Batang"/>
                <w:bCs/>
                <w:lang w:eastAsia="ko-KR"/>
              </w:rPr>
            </w:pPr>
          </w:p>
          <w:p>
            <w:pPr>
              <w:widowControl w:val="0"/>
              <w:spacing w:before="120" w:line="240" w:lineRule="auto"/>
              <w:ind w:firstLine="220" w:firstLineChars="100"/>
              <w:rPr>
                <w:rFonts w:eastAsia="Batang"/>
                <w:bCs/>
                <w:lang w:eastAsia="ko-KR"/>
              </w:rPr>
            </w:pPr>
            <w:r>
              <w:rPr>
                <w:rFonts w:eastAsia="Batang"/>
                <w:bCs/>
                <w:lang w:eastAsia="ko-KR"/>
              </w:rPr>
              <w:t xml:space="preserve">In Rel-16 NR-U, timer-based SSSG switching was introduced. A UE sets the timer value to the number of slots provided by </w:t>
            </w:r>
            <w:r>
              <w:rPr>
                <w:rFonts w:eastAsia="Batang"/>
                <w:bCs/>
                <w:i/>
                <w:lang w:eastAsia="ko-KR"/>
              </w:rPr>
              <w:t>searchSpaceSwitchTimer</w:t>
            </w:r>
            <w:r>
              <w:rPr>
                <w:rFonts w:eastAsia="Batang"/>
                <w:bCs/>
                <w:lang w:eastAsia="ko-KR"/>
              </w:rPr>
              <w:t xml:space="preserve"> when SSSG switching is triggered from the default SS group (SSSG#0) to the other one (SSSG#1). The UE decrements the timer value by one after each slot based on the smallest SCS among all configured DL BWPs in the serving cell. The maximum value of </w:t>
            </w:r>
            <w:r>
              <w:rPr>
                <w:rFonts w:eastAsia="Batang"/>
                <w:bCs/>
                <w:i/>
                <w:lang w:eastAsia="ko-KR"/>
              </w:rPr>
              <w:t>searchSpaceSwitchTimer</w:t>
            </w:r>
            <w:r>
              <w:rPr>
                <w:rFonts w:eastAsia="Batang"/>
                <w:bCs/>
                <w:lang w:eastAsia="ko-KR"/>
              </w:rPr>
              <w:t xml:space="preserve"> is 20/40/80 for 15/30/60 kHz, respectively. These are values derived from the maximum COT duration, 20 msec, for the NR-U in Rel-16. However, the maximum COT duration in FR2-2 was determined to be 5 msec, therefore the maximum value of </w:t>
            </w:r>
            <w:r>
              <w:rPr>
                <w:rFonts w:eastAsia="Batang"/>
                <w:bCs/>
                <w:i/>
                <w:lang w:eastAsia="ko-KR"/>
              </w:rPr>
              <w:t>searchSpaceSwitchTimer</w:t>
            </w:r>
            <w:r>
              <w:rPr>
                <w:rFonts w:eastAsia="Batang"/>
                <w:bCs/>
                <w:lang w:eastAsia="ko-KR"/>
              </w:rPr>
              <w:t xml:space="preserve"> can be defined as the number of slots corresponding to that time for each SCS, at least for operation with shared spectrum channel access. </w:t>
            </w:r>
          </w:p>
          <w:p>
            <w:pPr>
              <w:widowControl w:val="0"/>
              <w:spacing w:before="120" w:line="240" w:lineRule="auto"/>
              <w:ind w:firstLine="220" w:firstLineChars="100"/>
              <w:rPr>
                <w:rFonts w:eastAsia="Batang"/>
                <w:bCs/>
                <w:lang w:eastAsia="ko-KR"/>
              </w:rPr>
            </w:pPr>
            <w:r>
              <w:rPr>
                <w:rFonts w:eastAsia="Batang"/>
                <w:b/>
                <w:lang w:eastAsia="ko-KR"/>
              </w:rPr>
              <w:t xml:space="preserve">Proposal #12: For operation with shared spectrum channel access, define 40/160/320 slots as the maximum value of </w:t>
            </w:r>
            <w:r>
              <w:rPr>
                <w:rFonts w:eastAsia="Batang"/>
                <w:b/>
                <w:i/>
                <w:lang w:eastAsia="ko-KR"/>
              </w:rPr>
              <w:t>searchSpaceSwitchTimer</w:t>
            </w:r>
            <w:r>
              <w:rPr>
                <w:rFonts w:eastAsia="Batang"/>
                <w:b/>
                <w:lang w:eastAsia="ko-KR"/>
              </w:rPr>
              <w:t xml:space="preserve"> for 120/480/960 kHz SCS, respectively.</w:t>
            </w:r>
          </w:p>
          <w:p>
            <w:pPr>
              <w:widowControl w:val="0"/>
              <w:spacing w:before="120" w:line="240" w:lineRule="auto"/>
              <w:rPr>
                <w:rFonts w:eastAsia="Batang"/>
                <w:b/>
                <w:lang w:eastAsia="ko-KR"/>
              </w:rPr>
            </w:pPr>
          </w:p>
        </w:tc>
      </w:tr>
    </w:tbl>
    <w:p>
      <w:pPr>
        <w:rPr>
          <w:lang w:eastAsia="zh-CN"/>
        </w:rPr>
      </w:pPr>
    </w:p>
    <w:p>
      <w:pPr>
        <w:pStyle w:val="4"/>
      </w:pPr>
      <w:r>
        <w:t>R1-2202409 (Lenovo, Motorola Mobility)</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pPr>
            <w:r>
              <w:t xml:space="preserve">According to the working assumption, the size of the new </w:t>
            </w:r>
            <w:r>
              <w:rPr>
                <w:color w:val="000000"/>
              </w:rPr>
              <w:t xml:space="preserve">parameter </w:t>
            </w:r>
            <w:r>
              <w:rPr>
                <w:i/>
                <w:iCs/>
                <w:color w:val="000000"/>
              </w:rPr>
              <w:t>monitoringSlotsWithinSlotGroup-r17</w:t>
            </w:r>
            <w:r>
              <w:rPr>
                <w:color w:val="000000"/>
              </w:rPr>
              <w:t xml:space="preserve"> is 8 bits regardless of the slot group size. In our opinion, the size of the parameter can be aligned with the slot group size for the corresponding search space configuration, so that for X=4 the bitmap is 4 bits wide and for X=8 the bitmap is 8 bits wide. This can be efficiently implemented in RRC.</w:t>
            </w:r>
          </w:p>
          <w:p>
            <w:pPr>
              <w:pStyle w:val="82"/>
              <w:widowControl w:val="0"/>
              <w:spacing w:after="160"/>
              <w:ind w:left="0"/>
              <w:jc w:val="both"/>
              <w:rPr>
                <w:b/>
                <w:bCs/>
                <w:i/>
                <w:iCs/>
              </w:rPr>
            </w:pPr>
            <w:r>
              <w:rPr>
                <w:b/>
                <w:bCs/>
                <w:i/>
                <w:iCs/>
                <w:lang w:eastAsia="zh-CN"/>
              </w:rPr>
              <w:t xml:space="preserve">Proposal 2: </w:t>
            </w:r>
            <w:r>
              <w:rPr>
                <w:b/>
                <w:bCs/>
                <w:i/>
                <w:iCs/>
              </w:rPr>
              <w:t>Confirm the working assumption from RAN1#107bis-e with the following modification:</w:t>
            </w:r>
          </w:p>
          <w:p>
            <w:pPr>
              <w:pStyle w:val="82"/>
              <w:widowControl w:val="0"/>
              <w:numPr>
                <w:ilvl w:val="0"/>
                <w:numId w:val="92"/>
              </w:numPr>
              <w:overflowPunct w:val="0"/>
              <w:autoSpaceDE w:val="0"/>
              <w:autoSpaceDN w:val="0"/>
              <w:adjustRightInd w:val="0"/>
              <w:snapToGrid/>
              <w:spacing w:after="160" w:line="240" w:lineRule="auto"/>
              <w:contextualSpacing/>
              <w:jc w:val="both"/>
              <w:textAlignment w:val="baseline"/>
              <w:rPr>
                <w:b/>
                <w:bCs/>
                <w:i/>
                <w:iCs/>
              </w:rPr>
            </w:pPr>
            <w:r>
              <w:rPr>
                <w:b/>
                <w:bCs/>
                <w:i/>
                <w:iCs/>
              </w:rPr>
              <w:t>The size of monitoringSlotsWithinSlotGroup-r17 is equal to the number of slots per slot group (i.e. X).</w:t>
            </w:r>
          </w:p>
        </w:tc>
      </w:tr>
    </w:tbl>
    <w:p>
      <w:pPr>
        <w:rPr>
          <w:lang w:eastAsia="zh-CN"/>
        </w:rPr>
      </w:pPr>
    </w:p>
    <w:p>
      <w:pPr>
        <w:pStyle w:val="3"/>
      </w:pPr>
      <w:r>
        <w:t>Topic A3: BD Budget/Dropping</w:t>
      </w:r>
    </w:p>
    <w:p>
      <w:pPr>
        <w:pStyle w:val="4"/>
      </w:pPr>
      <w:r>
        <w:t>R1-2200953 (Huawei, HiSilicon)</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beforeLines="50" w:afterLines="50"/>
              <w:rPr>
                <w:szCs w:val="21"/>
              </w:rPr>
            </w:pPr>
            <w:r>
              <w:rPr>
                <w:szCs w:val="21"/>
              </w:rPr>
              <w:t>The discussion on monitoring capability for multiple serving cells in RAN1#107b-e lead to the the formulation of the following two alternatives [1]:</w:t>
            </w:r>
          </w:p>
          <w:p>
            <w:pPr>
              <w:widowControl/>
              <w:numPr>
                <w:ilvl w:val="0"/>
                <w:numId w:val="28"/>
              </w:numPr>
              <w:rPr>
                <w:color w:val="000000"/>
                <w:szCs w:val="21"/>
              </w:rPr>
            </w:pPr>
            <w:r>
              <w:rPr>
                <w:color w:val="000000"/>
                <w:szCs w:val="21"/>
              </w:rPr>
              <w:t>Alt 1: Serving cells with the same PDCCH monitoring type including multi-slot-based capability are grouped together for further BD/CCE budget calculation</w:t>
            </w:r>
          </w:p>
          <w:p>
            <w:pPr>
              <w:widowControl/>
              <w:numPr>
                <w:ilvl w:val="1"/>
                <w:numId w:val="28"/>
              </w:numPr>
              <w:rPr>
                <w:color w:val="000000"/>
                <w:szCs w:val="21"/>
              </w:rPr>
            </w:pPr>
            <w:r>
              <w:rPr>
                <w:color w:val="000000"/>
                <w:szCs w:val="21"/>
              </w:rPr>
              <w:t xml:space="preserve">Alt 1-1: Within a group of serving cells with multi-slot-based capability, the serving cells with the same SCS and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ctrlPr>
                        <w:rPr>
                          <w:rFonts w:ascii="Cambria Math" w:hAnsi="Cambria Math"/>
                          <w:szCs w:val="21"/>
                        </w:rPr>
                      </m:ctrlP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ctrlPr>
                        <w:rPr>
                          <w:rFonts w:ascii="Cambria Math" w:hAnsi="Cambria Math"/>
                          <w:i/>
                          <w:szCs w:val="21"/>
                        </w:rPr>
                      </m:ctrlPr>
                    </m:e>
                    <m:sub>
                      <m:r>
                        <w:rPr>
                          <w:rFonts w:ascii="Cambria Math" w:hAnsi="Cambria Math"/>
                          <w:szCs w:val="21"/>
                        </w:rPr>
                        <m:t>s</m:t>
                      </m:r>
                      <m:ctrlPr>
                        <w:rPr>
                          <w:rFonts w:ascii="Cambria Math" w:hAnsi="Cambria Math"/>
                          <w:i/>
                          <w:szCs w:val="21"/>
                        </w:rPr>
                      </m:ctrlPr>
                    </m:sub>
                  </m:sSub>
                  <m:ctrlPr>
                    <w:rPr>
                      <w:rFonts w:ascii="Cambria Math" w:hAnsi="Cambria Math"/>
                      <w:i/>
                      <w:szCs w:val="21"/>
                    </w:rPr>
                  </m:ctrlPr>
                </m:e>
              </m:d>
            </m:oMath>
            <w:r>
              <w:rPr>
                <w:color w:val="000000"/>
                <w:szCs w:val="21"/>
              </w:rPr>
              <w:t xml:space="preserve"> value are grouped together to follow a total BD/CCE budget</w:t>
            </w:r>
          </w:p>
          <w:p>
            <w:pPr>
              <w:widowControl/>
              <w:numPr>
                <w:ilvl w:val="1"/>
                <w:numId w:val="28"/>
              </w:numPr>
              <w:rPr>
                <w:color w:val="000000"/>
                <w:szCs w:val="21"/>
              </w:rPr>
            </w:pPr>
            <w:r>
              <w:rPr>
                <w:color w:val="000000"/>
                <w:szCs w:val="21"/>
              </w:rPr>
              <w:t xml:space="preserve">Alt 1-2: Within a group of serving cells with multi-slot-based capability, the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ctrlPr>
                    <w:rPr>
                      <w:rFonts w:ascii="Cambria Math" w:hAnsi="Cambria Math"/>
                      <w:szCs w:val="21"/>
                    </w:rPr>
                  </m:ctrlPr>
                </m:sub>
              </m:sSub>
            </m:oMath>
            <w:r>
              <w:rPr>
                <w:color w:val="000000"/>
                <w:szCs w:val="21"/>
              </w:rPr>
              <w:t xml:space="preserve"> value are grouped together to follow a total BD/CCE budget</w:t>
            </w:r>
          </w:p>
          <w:p>
            <w:pPr>
              <w:widowControl/>
              <w:numPr>
                <w:ilvl w:val="0"/>
                <w:numId w:val="28"/>
              </w:numPr>
              <w:rPr>
                <w:color w:val="000000"/>
                <w:szCs w:val="21"/>
              </w:rPr>
            </w:pPr>
            <w:r>
              <w:rPr>
                <w:color w:val="000000"/>
                <w:szCs w:val="21"/>
              </w:rPr>
              <w:t>Alt 2: Transform the serving cell with multi-slot-based capability to equivalent serving cell with slot-based capability for further BD/CCE budget calculation</w:t>
            </w:r>
          </w:p>
          <w:p>
            <w:pPr>
              <w:widowControl/>
              <w:numPr>
                <w:ilvl w:val="1"/>
                <w:numId w:val="28"/>
              </w:numPr>
              <w:rPr>
                <w:color w:val="000000"/>
                <w:szCs w:val="21"/>
              </w:rPr>
            </w:pPr>
            <w:r>
              <w:rPr>
                <w:color w:val="000000"/>
                <w:szCs w:val="21"/>
              </w:rPr>
              <w:t xml:space="preserve">Alt 2-1: A serving cell with SCS </w:t>
            </w:r>
            <m:oMath>
              <m:r>
                <w:rPr>
                  <w:rFonts w:ascii="Cambria Math" w:hAnsi="Cambria Math"/>
                  <w:color w:val="000000"/>
                  <w:szCs w:val="21"/>
                </w:rPr>
                <m:t>μ</m:t>
              </m:r>
            </m:oMath>
            <w:r>
              <w:rPr>
                <w:color w:val="000000"/>
                <w:szCs w:val="21"/>
              </w:rPr>
              <w:t xml:space="preserve"> and multi-slot-based capability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ctrlPr>
                        <w:rPr>
                          <w:rFonts w:ascii="Cambria Math" w:hAnsi="Cambria Math"/>
                          <w:szCs w:val="21"/>
                        </w:rPr>
                      </m:ctrlP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ctrlPr>
                        <w:rPr>
                          <w:rFonts w:ascii="Cambria Math" w:hAnsi="Cambria Math"/>
                          <w:i/>
                          <w:szCs w:val="21"/>
                        </w:rPr>
                      </m:ctrlPr>
                    </m:e>
                    <m:sub>
                      <m:r>
                        <w:rPr>
                          <w:rFonts w:ascii="Cambria Math" w:hAnsi="Cambria Math"/>
                          <w:szCs w:val="21"/>
                        </w:rPr>
                        <m:t>s</m:t>
                      </m:r>
                      <m:ctrlPr>
                        <w:rPr>
                          <w:rFonts w:ascii="Cambria Math" w:hAnsi="Cambria Math"/>
                          <w:i/>
                          <w:szCs w:val="21"/>
                        </w:rPr>
                      </m:ctrlPr>
                    </m:sub>
                  </m:sSub>
                  <m:ctrlPr>
                    <w:rPr>
                      <w:rFonts w:ascii="Cambria Math" w:hAnsi="Cambria Math"/>
                      <w:i/>
                      <w:szCs w:val="21"/>
                    </w:rPr>
                  </m:ctrlPr>
                </m:e>
              </m:d>
            </m:oMath>
            <w:r>
              <w:rPr>
                <w:color w:val="000000"/>
                <w:szCs w:val="21"/>
              </w:rPr>
              <w:t xml:space="preserve">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m:t>
              </m:r>
              <m:func>
                <m:funcPr>
                  <m:ctrlPr>
                    <w:rPr>
                      <w:rFonts w:ascii="Cambria Math" w:hAnsi="Cambria Math"/>
                      <w:color w:val="000000"/>
                      <w:szCs w:val="21"/>
                    </w:rPr>
                  </m:ctrlPr>
                </m:funcPr>
                <m:fName>
                  <m:sSub>
                    <m:sSubPr>
                      <m:ctrlPr>
                        <w:rPr>
                          <w:rFonts w:ascii="Cambria Math" w:hAnsi="Cambria Math"/>
                          <w:color w:val="000000"/>
                          <w:szCs w:val="21"/>
                        </w:rPr>
                      </m:ctrlPr>
                    </m:sSubPr>
                    <m:e>
                      <m:r>
                        <m:rPr>
                          <m:sty m:val="p"/>
                        </m:rPr>
                        <w:rPr>
                          <w:rFonts w:ascii="Cambria Math" w:hAnsi="Cambria Math"/>
                          <w:color w:val="000000"/>
                          <w:szCs w:val="21"/>
                        </w:rPr>
                        <m:t>log</m:t>
                      </m:r>
                      <m:ctrlPr>
                        <w:rPr>
                          <w:rFonts w:ascii="Cambria Math" w:hAnsi="Cambria Math"/>
                          <w:color w:val="000000"/>
                          <w:szCs w:val="21"/>
                        </w:rPr>
                      </m:ctrlPr>
                    </m:e>
                    <m:sub>
                      <m:r>
                        <w:rPr>
                          <w:rFonts w:ascii="Cambria Math" w:hAnsi="Cambria Math"/>
                          <w:color w:val="000000"/>
                          <w:szCs w:val="21"/>
                        </w:rPr>
                        <m:t>2</m:t>
                      </m:r>
                      <m:ctrlPr>
                        <w:rPr>
                          <w:rFonts w:ascii="Cambria Math" w:hAnsi="Cambria Math"/>
                          <w:color w:val="000000"/>
                          <w:szCs w:val="21"/>
                        </w:rPr>
                      </m:ctrlPr>
                    </m:sub>
                  </m:sSub>
                  <m:ctrlPr>
                    <w:rPr>
                      <w:rFonts w:ascii="Cambria Math" w:hAnsi="Cambria Math"/>
                      <w:color w:val="000000"/>
                      <w:szCs w:val="21"/>
                    </w:rPr>
                  </m:ctrlPr>
                </m:fName>
                <m:e>
                  <m:d>
                    <m:dPr>
                      <m:ctrlPr>
                        <w:rPr>
                          <w:rFonts w:ascii="Cambria Math" w:hAnsi="Cambria Math"/>
                          <w:i/>
                          <w:color w:val="000000"/>
                          <w:szCs w:val="21"/>
                        </w:rPr>
                      </m:ctrlPr>
                    </m:dPr>
                    <m:e>
                      <m:sSub>
                        <m:sSubPr>
                          <m:ctrlPr>
                            <w:rPr>
                              <w:rFonts w:ascii="Cambria Math" w:hAnsi="Cambria Math"/>
                              <w:i/>
                              <w:color w:val="000000"/>
                              <w:szCs w:val="21"/>
                            </w:rPr>
                          </m:ctrlPr>
                        </m:sSubPr>
                        <m:e>
                          <m:r>
                            <w:rPr>
                              <w:rFonts w:ascii="Cambria Math" w:hAnsi="Cambria Math"/>
                              <w:color w:val="000000"/>
                              <w:szCs w:val="21"/>
                            </w:rPr>
                            <m:t>X</m:t>
                          </m:r>
                          <m:ctrlPr>
                            <w:rPr>
                              <w:rFonts w:ascii="Cambria Math" w:hAnsi="Cambria Math"/>
                              <w:i/>
                              <w:color w:val="000000"/>
                              <w:szCs w:val="21"/>
                            </w:rPr>
                          </m:ctrlPr>
                        </m:e>
                        <m:sub>
                          <m:r>
                            <w:rPr>
                              <w:rFonts w:ascii="Cambria Math" w:hAnsi="Cambria Math"/>
                              <w:color w:val="000000"/>
                              <w:szCs w:val="21"/>
                            </w:rPr>
                            <m:t>s</m:t>
                          </m:r>
                          <m:ctrlPr>
                            <w:rPr>
                              <w:rFonts w:ascii="Cambria Math" w:hAnsi="Cambria Math"/>
                              <w:i/>
                              <w:color w:val="000000"/>
                              <w:szCs w:val="21"/>
                            </w:rPr>
                          </m:ctrlPr>
                        </m:sub>
                      </m:sSub>
                      <m:ctrlPr>
                        <w:rPr>
                          <w:rFonts w:ascii="Cambria Math" w:hAnsi="Cambria Math"/>
                          <w:i/>
                          <w:color w:val="000000"/>
                          <w:szCs w:val="21"/>
                        </w:rPr>
                      </m:ctrlPr>
                    </m:e>
                  </m:d>
                  <m:ctrlPr>
                    <w:rPr>
                      <w:rFonts w:ascii="Cambria Math" w:hAnsi="Cambria Math"/>
                      <w:color w:val="000000"/>
                      <w:szCs w:val="21"/>
                    </w:rPr>
                  </m:ctrlPr>
                </m:e>
              </m:func>
            </m:oMath>
            <w:r>
              <w:rPr>
                <w:color w:val="000000"/>
                <w:szCs w:val="21"/>
              </w:rPr>
              <w:t xml:space="preserve"> and slot-based capability, where a slot group for the serving cell is considered as a slot for the virtual cell</w:t>
            </w:r>
          </w:p>
          <w:p>
            <w:pPr>
              <w:widowControl/>
              <w:numPr>
                <w:ilvl w:val="1"/>
                <w:numId w:val="28"/>
              </w:numPr>
              <w:rPr>
                <w:color w:val="000000"/>
                <w:szCs w:val="21"/>
              </w:rPr>
            </w:pPr>
            <w:r>
              <w:rPr>
                <w:color w:val="000000"/>
                <w:szCs w:val="21"/>
              </w:rPr>
              <w:t xml:space="preserve">Alt 2-2: A serving cell with SCS </w:t>
            </w:r>
            <m:oMath>
              <m:r>
                <w:rPr>
                  <w:rFonts w:ascii="Cambria Math" w:hAnsi="Cambria Math"/>
                  <w:color w:val="000000"/>
                  <w:szCs w:val="21"/>
                </w:rPr>
                <m:t>μ</m:t>
              </m:r>
            </m:oMath>
            <w:r>
              <w:rPr>
                <w:color w:val="000000"/>
                <w:szCs w:val="21"/>
              </w:rPr>
              <w:t xml:space="preserve"> and multi-slot-based capability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=3</m:t>
              </m:r>
            </m:oMath>
            <w:r>
              <w:rPr>
                <w:color w:val="000000"/>
                <w:szCs w:val="21"/>
              </w:rPr>
              <w:t xml:space="preserve"> and slot-based capability, where 4/8 slots for the serving cell with SCS </w:t>
            </w:r>
            <m:oMath>
              <m:r>
                <w:rPr>
                  <w:rFonts w:ascii="Cambria Math" w:hAnsi="Cambria Math"/>
                  <w:color w:val="000000"/>
                  <w:szCs w:val="21"/>
                </w:rPr>
                <m:t>μ</m:t>
              </m:r>
              <m:r>
                <m:rPr>
                  <m:sty m:val="p"/>
                </m:rPr>
                <w:rPr>
                  <w:rFonts w:ascii="Cambria Math" w:hAnsi="Cambria Math"/>
                  <w:color w:val="000000"/>
                  <w:szCs w:val="21"/>
                </w:rPr>
                <m:t>=5/6</m:t>
              </m:r>
            </m:oMath>
            <w:r>
              <w:rPr>
                <w:color w:val="000000"/>
                <w:szCs w:val="21"/>
              </w:rPr>
              <w:t xml:space="preserve"> is considered as a slot for the virtual cell</w:t>
            </w:r>
          </w:p>
          <w:p>
            <w:pPr>
              <w:widowControl w:val="0"/>
              <w:spacing w:before="120" w:beforeLines="50" w:afterLines="50"/>
              <w:rPr>
                <w:szCs w:val="21"/>
              </w:rPr>
            </w:pPr>
            <w:r>
              <w:rPr>
                <w:szCs w:val="21"/>
              </w:rPr>
              <w:t xml:space="preserve">Alt 1 is similar to the </w:t>
            </w:r>
            <w:r>
              <w:rPr>
                <w:color w:val="000000"/>
                <w:szCs w:val="21"/>
              </w:rPr>
              <w:t>BD/CCE budget calculation</w:t>
            </w:r>
            <w:r>
              <w:rPr>
                <w:szCs w:val="21"/>
              </w:rPr>
              <w:t xml:space="preserve"> for per-span PDCCH monitoring in Rel-16 and is straightforward. However, since the value of </w:t>
            </w:r>
            <m:oMath>
              <m:sSub>
                <m:sSubPr>
                  <m:ctrlPr>
                    <w:rPr>
                      <w:rFonts w:ascii="Cambria Math" w:hAnsi="Cambria Math"/>
                      <w:i/>
                      <w:szCs w:val="21"/>
                    </w:rPr>
                  </m:ctrlPr>
                </m:sSubPr>
                <m:e>
                  <m:r>
                    <w:rPr>
                      <w:rFonts w:ascii="Cambria Math" w:hAnsi="Cambria Math"/>
                      <w:szCs w:val="21"/>
                    </w:rPr>
                    <m:t>Y</m:t>
                  </m:r>
                  <m:ctrlPr>
                    <w:rPr>
                      <w:rFonts w:ascii="Cambria Math" w:hAnsi="Cambria Math"/>
                      <w:i/>
                      <w:szCs w:val="21"/>
                    </w:rPr>
                  </m:ctrlPr>
                </m:e>
                <m:sub>
                  <m:r>
                    <w:rPr>
                      <w:rFonts w:ascii="Cambria Math" w:hAnsi="Cambria Math"/>
                      <w:szCs w:val="21"/>
                    </w:rPr>
                    <m:t>s</m:t>
                  </m:r>
                  <m:ctrlPr>
                    <w:rPr>
                      <w:rFonts w:ascii="Cambria Math" w:hAnsi="Cambria Math"/>
                      <w:i/>
                      <w:szCs w:val="21"/>
                    </w:rPr>
                  </m:ctrlPr>
                </m:sub>
              </m:sSub>
            </m:oMath>
            <w:r>
              <w:rPr>
                <w:szCs w:val="21"/>
              </w:rPr>
              <w:t xml:space="preserve"> in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ctrlPr>
                        <w:rPr>
                          <w:rFonts w:ascii="Cambria Math" w:hAnsi="Cambria Math"/>
                          <w:szCs w:val="21"/>
                        </w:rPr>
                      </m:ctrlP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ctrlPr>
                        <w:rPr>
                          <w:rFonts w:ascii="Cambria Math" w:hAnsi="Cambria Math"/>
                          <w:i/>
                          <w:szCs w:val="21"/>
                        </w:rPr>
                      </m:ctrlPr>
                    </m:e>
                    <m:sub>
                      <m:r>
                        <w:rPr>
                          <w:rFonts w:ascii="Cambria Math" w:hAnsi="Cambria Math"/>
                          <w:szCs w:val="21"/>
                        </w:rPr>
                        <m:t>s</m:t>
                      </m:r>
                      <m:ctrlPr>
                        <w:rPr>
                          <w:rFonts w:ascii="Cambria Math" w:hAnsi="Cambria Math"/>
                          <w:i/>
                          <w:szCs w:val="21"/>
                        </w:rPr>
                      </m:ctrlPr>
                    </m:sub>
                  </m:sSub>
                  <m:ctrlPr>
                    <w:rPr>
                      <w:rFonts w:ascii="Cambria Math" w:hAnsi="Cambria Math"/>
                      <w:i/>
                      <w:szCs w:val="21"/>
                    </w:rPr>
                  </m:ctrlPr>
                </m:e>
              </m:d>
            </m:oMath>
            <w:r>
              <w:rPr>
                <w:szCs w:val="21"/>
              </w:rPr>
              <w:t xml:space="preserve"> does not impact the maximum BD/CCE budget, there is no need to calculate the BD/CCE budgets of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ctrlPr>
                    <w:rPr>
                      <w:rFonts w:ascii="Cambria Math" w:hAnsi="Cambria Math"/>
                      <w:szCs w:val="21"/>
                    </w:rPr>
                  </m:ctrlPr>
                </m:sub>
              </m:sSub>
            </m:oMath>
            <w:r>
              <w:rPr>
                <w:szCs w:val="21"/>
              </w:rPr>
              <w:t xml:space="preserve"> yet different </w:t>
            </w:r>
            <m:oMath>
              <m:sSub>
                <m:sSubPr>
                  <m:ctrlPr>
                    <w:rPr>
                      <w:rFonts w:ascii="Cambria Math" w:hAnsi="Cambria Math"/>
                      <w:i/>
                      <w:szCs w:val="21"/>
                    </w:rPr>
                  </m:ctrlPr>
                </m:sSubPr>
                <m:e>
                  <m:r>
                    <w:rPr>
                      <w:rFonts w:ascii="Cambria Math" w:hAnsi="Cambria Math"/>
                      <w:szCs w:val="21"/>
                    </w:rPr>
                    <m:t>Y</m:t>
                  </m:r>
                  <m:ctrlPr>
                    <w:rPr>
                      <w:rFonts w:ascii="Cambria Math" w:hAnsi="Cambria Math"/>
                      <w:i/>
                      <w:szCs w:val="21"/>
                    </w:rPr>
                  </m:ctrlPr>
                </m:e>
                <m:sub>
                  <m:r>
                    <w:rPr>
                      <w:rFonts w:ascii="Cambria Math" w:hAnsi="Cambria Math"/>
                      <w:szCs w:val="21"/>
                    </w:rPr>
                    <m:t>s</m:t>
                  </m:r>
                  <m:ctrlPr>
                    <w:rPr>
                      <w:rFonts w:ascii="Cambria Math" w:hAnsi="Cambria Math"/>
                      <w:i/>
                      <w:szCs w:val="21"/>
                    </w:rPr>
                  </m:ctrlPr>
                </m:sub>
              </m:sSub>
            </m:oMath>
            <w:r>
              <w:rPr>
                <w:szCs w:val="21"/>
              </w:rPr>
              <w:t xml:space="preserve"> separately. Hence, Alt 1-2 is least preferred.</w:t>
            </w:r>
          </w:p>
          <w:p>
            <w:pPr>
              <w:widowControl w:val="0"/>
              <w:spacing w:before="120" w:beforeLines="50" w:afterLines="50"/>
              <w:rPr>
                <w:szCs w:val="21"/>
              </w:rPr>
            </w:pPr>
            <w:r>
              <w:rPr>
                <w:szCs w:val="21"/>
              </w:rPr>
              <w:t xml:space="preserve">As pointed out by some companies in </w:t>
            </w:r>
            <w:r>
              <w:rPr>
                <w:szCs w:val="21"/>
              </w:rPr>
              <w:fldChar w:fldCharType="begin"/>
            </w:r>
            <w:r>
              <w:rPr>
                <w:szCs w:val="21"/>
              </w:rPr>
              <w:instrText xml:space="preserve"> REF _Ref94343016 \n \h  \* MERGEFORMAT </w:instrText>
            </w:r>
            <w:r>
              <w:rPr>
                <w:szCs w:val="21"/>
              </w:rPr>
              <w:fldChar w:fldCharType="separate"/>
            </w:r>
            <w:r>
              <w:rPr>
                <w:szCs w:val="21"/>
              </w:rPr>
              <w:t>[1]</w:t>
            </w:r>
            <w:r>
              <w:rPr>
                <w:szCs w:val="21"/>
              </w:rPr>
              <w:fldChar w:fldCharType="end"/>
            </w:r>
            <w:r>
              <w:rPr>
                <w:szCs w:val="21"/>
              </w:rPr>
              <w:t xml:space="preserve">, </w:t>
            </w:r>
            <w:r>
              <w:t>there are the following 3 cell types in NR Rel-17: serving cells with slot-based PDCCH monitoring capability, serving cells with span-based PDCCH monitoring capability, and serving cells with multi-slot PDCCH monitoring capability. I</w:t>
            </w:r>
            <w:r>
              <w:rPr>
                <w:szCs w:val="21"/>
              </w:rPr>
              <w:t xml:space="preserve">f Alt. 1 is adopted, i.e., the MOs of different </w:t>
            </w:r>
            <w:r>
              <w:t>PDCCH monitoring capabilities for each numerology</w:t>
            </w:r>
            <w:r>
              <w:rPr>
                <w:szCs w:val="21"/>
              </w:rPr>
              <w:t xml:space="preserve"> are counted separately, it might be a burden on the UE side. Therefore, Alt 2 seems a better solution to us. </w:t>
            </w:r>
          </w:p>
          <w:p>
            <w:pPr>
              <w:widowControl w:val="0"/>
              <w:spacing w:before="120" w:beforeLines="50" w:afterLines="50"/>
            </w:pPr>
            <w:r>
              <w:rPr>
                <w:b/>
                <w:i/>
                <w:color w:val="000000"/>
                <w:szCs w:val="21"/>
              </w:rPr>
              <w:t>Proposal 14: Support to transform the serving cell with multi-slot-based capability to an equivalent serving cell with slot-based capability for further BD/CCE budget calculation.</w:t>
            </w:r>
          </w:p>
        </w:tc>
      </w:tr>
    </w:tbl>
    <w:p>
      <w:pPr>
        <w:rPr>
          <w:lang w:eastAsia="zh-CN"/>
        </w:rPr>
      </w:pPr>
    </w:p>
    <w:p>
      <w:pPr>
        <w:pStyle w:val="4"/>
      </w:pPr>
      <w:r>
        <w:t>R1-2201086 (vivo)</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jc w:val="both"/>
              <w:rPr>
                <w:szCs w:val="20"/>
                <w:lang w:eastAsia="zh-CN"/>
              </w:rPr>
            </w:pPr>
            <w:r>
              <w:rPr>
                <w:szCs w:val="20"/>
                <w:lang w:eastAsia="zh-CN"/>
              </w:rPr>
              <w:t>Therefore, in multi-cell operation scenario, BD/CCE budget calculation becomes more complex by introducing such multi-slot-based BD/CCE budget definition, i.e. more additional cases as described above. The following alternatives could be considered:</w:t>
            </w:r>
          </w:p>
          <w:p>
            <w:pPr>
              <w:widowControl w:val="0"/>
              <w:spacing w:before="120"/>
              <w:jc w:val="both"/>
              <w:rPr>
                <w:lang w:eastAsia="zh-CN"/>
              </w:rPr>
            </w:pPr>
            <w:r>
              <w:rPr>
                <w:b/>
                <w:szCs w:val="20"/>
                <w:lang w:eastAsia="zh-CN"/>
              </w:rPr>
              <w:t>Alt. 1</w:t>
            </w:r>
            <w:r>
              <w:rPr>
                <w:szCs w:val="20"/>
                <w:lang w:eastAsia="zh-CN"/>
              </w:rPr>
              <w:t xml:space="preserve">: </w:t>
            </w:r>
            <w:r>
              <w:rPr>
                <w:rFonts w:hint="eastAsia"/>
                <w:lang w:eastAsia="zh-CN"/>
              </w:rPr>
              <w:t>S</w:t>
            </w:r>
            <w:r>
              <w:rPr>
                <w:lang w:eastAsia="zh-CN"/>
              </w:rPr>
              <w:t>erving cells with the same PDCCH monitoring type including multi-slot-based capability are grouped together for further BD/CCE budget calculation</w:t>
            </w:r>
          </w:p>
          <w:p>
            <w:pPr>
              <w:pStyle w:val="82"/>
              <w:widowControl w:val="0"/>
              <w:numPr>
                <w:ilvl w:val="0"/>
                <w:numId w:val="93"/>
              </w:numPr>
              <w:snapToGrid/>
              <w:spacing w:line="240" w:lineRule="auto"/>
              <w:jc w:val="both"/>
              <w:rPr>
                <w:rFonts w:ascii="Times New Roman" w:hAnsi="Times New Roman"/>
              </w:rPr>
            </w:pPr>
            <w:r>
              <w:rPr>
                <w:rFonts w:hint="eastAsia" w:ascii="Times New Roman" w:hAnsi="Times New Roman"/>
              </w:rPr>
              <w:t>A</w:t>
            </w:r>
            <w:r>
              <w:rPr>
                <w:rFonts w:ascii="Times New Roman" w:hAnsi="Times New Roman"/>
              </w:rPr>
              <w:t>lt. 1-1: Within a group of serving cells with multi-slot-based capability, the serving cells with the same SCS and (Xs, Ys) value are grouped together to follow a total BD/CCE budget</w:t>
            </w:r>
          </w:p>
          <w:p>
            <w:pPr>
              <w:pStyle w:val="82"/>
              <w:widowControl w:val="0"/>
              <w:numPr>
                <w:ilvl w:val="0"/>
                <w:numId w:val="93"/>
              </w:numPr>
              <w:snapToGrid/>
              <w:spacing w:line="240" w:lineRule="auto"/>
              <w:jc w:val="both"/>
              <w:rPr>
                <w:rFonts w:ascii="Times New Roman" w:hAnsi="Times New Roman"/>
              </w:rPr>
            </w:pPr>
            <w:r>
              <w:rPr>
                <w:rFonts w:hint="eastAsia" w:ascii="Times New Roman" w:hAnsi="Times New Roman"/>
              </w:rPr>
              <w:t>A</w:t>
            </w:r>
            <w:r>
              <w:rPr>
                <w:rFonts w:ascii="Times New Roman" w:hAnsi="Times New Roman"/>
              </w:rPr>
              <w:t>lt. 1-2: Within a group of serving cells with multi-slot-based capability, the serving cells with the same SCS and Xs value are grouped together to follow a total BD/CCE budget</w:t>
            </w:r>
          </w:p>
          <w:p>
            <w:pPr>
              <w:widowControl w:val="0"/>
              <w:spacing w:before="120"/>
              <w:jc w:val="both"/>
              <w:rPr>
                <w:szCs w:val="20"/>
                <w:lang w:eastAsia="zh-CN"/>
              </w:rPr>
            </w:pPr>
            <w:r>
              <w:rPr>
                <w:szCs w:val="20"/>
                <w:lang w:eastAsia="zh-CN"/>
              </w:rPr>
              <w:t>As a straightforward alternative, the BD/CCE budget calculation adopts the same way for NR Rel-16, i.e. serving cells with the same PDCCH monitoring type are grouped together for further handling.  Particularly, the follows steps apply:</w:t>
            </w:r>
          </w:p>
          <w:p>
            <w:pPr>
              <w:pStyle w:val="82"/>
              <w:widowControl w:val="0"/>
              <w:numPr>
                <w:ilvl w:val="0"/>
                <w:numId w:val="94"/>
              </w:numPr>
              <w:snapToGrid/>
              <w:spacing w:line="240" w:lineRule="auto"/>
              <w:jc w:val="both"/>
              <w:rPr>
                <w:rFonts w:ascii="Times New Roman" w:hAnsi="Times New Roman"/>
                <w:sz w:val="20"/>
                <w:szCs w:val="20"/>
              </w:rPr>
            </w:pPr>
            <w:r>
              <w:rPr>
                <w:rFonts w:hint="eastAsia" w:ascii="Times New Roman" w:hAnsi="Times New Roman"/>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ctrlPr>
                    <w:rPr>
                      <w:rFonts w:ascii="Cambria Math" w:hAnsi="Cambria Math"/>
                      <w:sz w:val="20"/>
                      <w:szCs w:val="20"/>
                    </w:rPr>
                  </m:ctrlPr>
                </m:e>
                <m:sub>
                  <m:r>
                    <w:rPr>
                      <w:rFonts w:ascii="Cambria Math" w:hAnsi="Cambria Math"/>
                      <w:sz w:val="20"/>
                      <w:szCs w:val="20"/>
                    </w:rPr>
                    <m:t>c</m:t>
                  </m:r>
                  <m:r>
                    <m:rPr>
                      <m:sty m:val="p"/>
                    </m:rPr>
                    <w:rPr>
                      <w:rFonts w:ascii="Cambria Math" w:hAnsi="Cambria Math"/>
                      <w:sz w:val="20"/>
                      <w:szCs w:val="20"/>
                    </w:rPr>
                    <m:t>ells</m:t>
                  </m:r>
                  <m:ctrlPr>
                    <w:rPr>
                      <w:rFonts w:ascii="Cambria Math" w:hAnsi="Cambria Math"/>
                      <w:sz w:val="20"/>
                      <w:szCs w:val="20"/>
                    </w:rPr>
                  </m:ctrlPr>
                </m:sub>
                <m:sup>
                  <m:r>
                    <m:rPr>
                      <m:sty m:val="p"/>
                    </m:rPr>
                    <w:rPr>
                      <w:rFonts w:ascii="Cambria Math" w:hAnsi="Cambria Math"/>
                      <w:sz w:val="20"/>
                      <w:szCs w:val="20"/>
                    </w:rPr>
                    <m:t>Cap</m:t>
                  </m:r>
                  <m:ctrlPr>
                    <w:rPr>
                      <w:rFonts w:ascii="Cambria Math" w:hAnsi="Cambria Math"/>
                      <w:sz w:val="20"/>
                      <w:szCs w:val="20"/>
                    </w:rPr>
                  </m:ctrlPr>
                </m:sup>
              </m:sSubSup>
            </m:oMath>
            <w:r>
              <w:rPr>
                <w:rFonts w:hint="eastAsia" w:ascii="Times New Roman" w:hAnsi="Times New Roman"/>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ctrlPr>
                    <w:rPr>
                      <w:rFonts w:ascii="Cambria Math" w:hAnsi="Cambria Math"/>
                      <w:sz w:val="20"/>
                      <w:szCs w:val="20"/>
                    </w:rPr>
                  </m:ctrlPr>
                </m:e>
                <m:sub>
                  <m:r>
                    <w:rPr>
                      <w:rFonts w:ascii="Cambria Math" w:hAnsi="Cambria Math"/>
                      <w:sz w:val="20"/>
                      <w:szCs w:val="20"/>
                    </w:rPr>
                    <m:t>c</m:t>
                  </m:r>
                  <m:r>
                    <m:rPr>
                      <m:sty m:val="p"/>
                    </m:rPr>
                    <w:rPr>
                      <w:rFonts w:ascii="Cambria Math" w:hAnsi="Cambria Math"/>
                      <w:sz w:val="20"/>
                      <w:szCs w:val="20"/>
                    </w:rPr>
                    <m:t>ells</m:t>
                  </m:r>
                  <m:ctrlPr>
                    <w:rPr>
                      <w:rFonts w:ascii="Cambria Math" w:hAnsi="Cambria Math"/>
                      <w:sz w:val="20"/>
                      <w:szCs w:val="20"/>
                    </w:rPr>
                  </m:ctrlPr>
                </m:sub>
                <m:sup>
                  <m:r>
                    <m:rPr>
                      <m:sty m:val="p"/>
                    </m:rPr>
                    <w:rPr>
                      <w:rFonts w:ascii="Cambria Math" w:hAnsi="Cambria Math"/>
                      <w:sz w:val="20"/>
                      <w:szCs w:val="20"/>
                    </w:rPr>
                    <m:t>Cap</m:t>
                  </m:r>
                  <m:ctrlPr>
                    <w:rPr>
                      <w:rFonts w:ascii="Cambria Math" w:hAnsi="Cambria Math"/>
                      <w:sz w:val="20"/>
                      <w:szCs w:val="20"/>
                    </w:rPr>
                  </m:ctrlPr>
                </m:sup>
              </m:sSubSup>
            </m:oMath>
            <w:r>
              <w:rPr>
                <w:rFonts w:hint="eastAsia" w:ascii="Times New Roman" w:hAnsi="Times New Roman"/>
                <w:sz w:val="20"/>
                <w:szCs w:val="20"/>
              </w:rPr>
              <w:t xml:space="preserve"> </w:t>
            </w:r>
            <w:r>
              <w:rPr>
                <w:rFonts w:ascii="Times New Roman" w:hAnsi="Times New Roman"/>
                <w:sz w:val="20"/>
                <w:szCs w:val="20"/>
              </w:rPr>
              <w:t xml:space="preserve">for different cases, i.e. Case 1-7 as described above.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ctrlPr>
                    <w:rPr>
                      <w:rFonts w:ascii="Cambria Math" w:hAnsi="Cambria Math"/>
                      <w:sz w:val="20"/>
                      <w:szCs w:val="20"/>
                    </w:rPr>
                  </m:ctrlPr>
                </m:e>
                <m:sub>
                  <m:r>
                    <w:rPr>
                      <w:rFonts w:ascii="Cambria Math" w:hAnsi="Cambria Math"/>
                      <w:sz w:val="20"/>
                      <w:szCs w:val="20"/>
                    </w:rPr>
                    <m:t>c</m:t>
                  </m:r>
                  <m:r>
                    <m:rPr>
                      <m:sty m:val="p"/>
                    </m:rPr>
                    <w:rPr>
                      <w:rFonts w:ascii="Cambria Math" w:hAnsi="Cambria Math"/>
                      <w:sz w:val="20"/>
                      <w:szCs w:val="20"/>
                    </w:rPr>
                    <m:t>ells</m:t>
                  </m:r>
                  <m:ctrlPr>
                    <w:rPr>
                      <w:rFonts w:ascii="Cambria Math" w:hAnsi="Cambria Math"/>
                      <w:sz w:val="20"/>
                      <w:szCs w:val="20"/>
                    </w:rPr>
                  </m:ctrlPr>
                </m:sub>
                <m:sup>
                  <m:r>
                    <m:rPr>
                      <m:sty m:val="p"/>
                    </m:rPr>
                    <w:rPr>
                      <w:rFonts w:ascii="Cambria Math" w:hAnsi="Cambria Math"/>
                      <w:sz w:val="20"/>
                      <w:szCs w:val="20"/>
                    </w:rPr>
                    <m:t>Cap</m:t>
                  </m:r>
                  <m:ctrlPr>
                    <w:rPr>
                      <w:rFonts w:ascii="Cambria Math" w:hAnsi="Cambria Math"/>
                      <w:sz w:val="20"/>
                      <w:szCs w:val="20"/>
                    </w:rPr>
                  </m:ctrlPr>
                </m:sup>
              </m:sSubSup>
            </m:oMath>
            <w:r>
              <w:rPr>
                <w:rFonts w:hint="eastAsia" w:ascii="Times New Roman" w:hAnsi="Times New Roman"/>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pPr>
              <w:pStyle w:val="82"/>
              <w:widowControl w:val="0"/>
              <w:numPr>
                <w:ilvl w:val="0"/>
                <w:numId w:val="94"/>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pPr>
              <w:pStyle w:val="82"/>
              <w:widowControl w:val="0"/>
              <w:numPr>
                <w:ilvl w:val="1"/>
                <w:numId w:val="94"/>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pPr>
              <w:pStyle w:val="82"/>
              <w:widowControl w:val="0"/>
              <w:numPr>
                <w:ilvl w:val="1"/>
                <w:numId w:val="94"/>
              </w:numPr>
              <w:snapToGrid/>
              <w:spacing w:after="120" w:afterLines="5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pPr>
              <w:widowControl w:val="0"/>
              <w:spacing w:before="120"/>
              <w:jc w:val="both"/>
              <w:rPr>
                <w:lang w:eastAsia="zh-CN"/>
              </w:rPr>
            </w:pPr>
            <w:r>
              <w:rPr>
                <w:b/>
                <w:szCs w:val="20"/>
                <w:lang w:eastAsia="zh-CN"/>
              </w:rPr>
              <w:t>Alt. 2</w:t>
            </w:r>
            <w:r>
              <w:rPr>
                <w:szCs w:val="20"/>
                <w:lang w:eastAsia="zh-CN"/>
              </w:rPr>
              <w:t xml:space="preserve">: </w:t>
            </w:r>
            <w:r>
              <w:rPr>
                <w:lang w:eastAsia="zh-CN"/>
              </w:rPr>
              <w:t>Transform the serving cell with multi-slot-based capability to equivalent serving cell with slot-based capability for further BD/CCE budget calculation</w:t>
            </w:r>
          </w:p>
          <w:p>
            <w:pPr>
              <w:pStyle w:val="82"/>
              <w:widowControl w:val="0"/>
              <w:numPr>
                <w:ilvl w:val="0"/>
                <w:numId w:val="93"/>
              </w:numPr>
              <w:snapToGrid/>
              <w:spacing w:line="240" w:lineRule="auto"/>
              <w:jc w:val="both"/>
              <w:rPr>
                <w:rFonts w:ascii="Times New Roman" w:hAnsi="Times New Roman"/>
              </w:rPr>
            </w:pPr>
            <w:r>
              <w:rPr>
                <w:rFonts w:hint="eastAsia" w:ascii="Times New Roman" w:hAnsi="Times New Roman"/>
              </w:rPr>
              <w:t>A</w:t>
            </w:r>
            <w:r>
              <w:rPr>
                <w:rFonts w:ascii="Times New Roman" w:hAnsi="Times New Roman"/>
              </w:rPr>
              <w:t xml:space="preserve">lt. 2-1: A serving cell with SCS </w:t>
            </w:r>
            <m:oMath>
              <m:r>
                <w:rPr>
                  <w:rFonts w:ascii="Cambria Math" w:cs="Calibri"/>
                </w:rPr>
                <m:t>μ</m:t>
              </m:r>
            </m:oMath>
            <w:r>
              <w:rPr>
                <w:rFonts w:ascii="Times New Roman" w:hAnsi="Times New Roman"/>
              </w:rPr>
              <w:t xml:space="preserve"> and multi-slot-based capability (Xs, Ys) is considered as an equivalent virtual cell with SCS </w:t>
            </w:r>
            <m:oMath>
              <m:r>
                <w:rPr>
                  <w:rFonts w:ascii="Cambria Math" w:cs="Calibri"/>
                </w:rPr>
                <m:t>μ-log2</m:t>
              </m:r>
            </m:oMath>
            <w:r>
              <w:rPr>
                <w:rFonts w:hint="eastAsia" w:ascii="Times New Roman" w:hAnsi="Times New Roman"/>
              </w:rPr>
              <w:t>(</w:t>
            </w:r>
            <w:r>
              <w:rPr>
                <w:rFonts w:ascii="Times New Roman" w:hAnsi="Times New Roman"/>
              </w:rPr>
              <w:t>Xs) and slot-based capability, where a slot group for the serving cell is considered as a slot for the virtual cell</w:t>
            </w:r>
          </w:p>
          <w:p>
            <w:pPr>
              <w:pStyle w:val="82"/>
              <w:widowControl w:val="0"/>
              <w:numPr>
                <w:ilvl w:val="0"/>
                <w:numId w:val="93"/>
              </w:numPr>
              <w:snapToGrid/>
              <w:spacing w:line="240" w:lineRule="auto"/>
              <w:jc w:val="both"/>
              <w:rPr>
                <w:rFonts w:ascii="Times New Roman" w:hAnsi="Times New Roman"/>
              </w:rPr>
            </w:pPr>
            <w:r>
              <w:rPr>
                <w:rFonts w:hint="eastAsia" w:ascii="Times New Roman" w:hAnsi="Times New Roman"/>
              </w:rPr>
              <w:t>A</w:t>
            </w:r>
            <w:r>
              <w:rPr>
                <w:rFonts w:ascii="Times New Roman" w:hAnsi="Times New Roman"/>
              </w:rPr>
              <w:t xml:space="preserve">lt. 2-2: A serving cell with SCS </w:t>
            </w:r>
            <m:oMath>
              <m:r>
                <w:rPr>
                  <w:rFonts w:ascii="Cambria Math" w:cs="Calibri"/>
                </w:rPr>
                <m:t>μ</m:t>
              </m:r>
            </m:oMath>
            <w:r>
              <w:rPr>
                <w:rFonts w:ascii="Times New Roman" w:hAnsi="Times New Roman"/>
              </w:rPr>
              <w:t xml:space="preserve"> and multi-slot-based capability is considered as an equivalent virtual cell with SCS </w:t>
            </w:r>
            <m:oMath>
              <m:r>
                <w:rPr>
                  <w:rFonts w:ascii="Cambria Math" w:cs="Calibri"/>
                </w:rPr>
                <m:t>μ=3</m:t>
              </m:r>
            </m:oMath>
            <w:r>
              <w:rPr>
                <w:rFonts w:ascii="Times New Roman" w:hAnsi="Times New Roman"/>
              </w:rPr>
              <w:t xml:space="preserve"> and slot-based capability, where 4/8 slots for the serving cell with SCS </w:t>
            </w:r>
            <m:oMath>
              <m:r>
                <w:rPr>
                  <w:rFonts w:ascii="Cambria Math" w:cs="Calibri"/>
                </w:rPr>
                <m:t>μ=5/6</m:t>
              </m:r>
            </m:oMath>
            <w:r>
              <w:rPr>
                <w:rFonts w:ascii="Times New Roman" w:hAnsi="Times New Roman"/>
              </w:rPr>
              <w:t xml:space="preserve"> is considered as a slot for the virtual cell</w:t>
            </w:r>
          </w:p>
          <w:p>
            <w:pPr>
              <w:widowControl w:val="0"/>
              <w:spacing w:before="120"/>
              <w:jc w:val="both"/>
              <w:rPr>
                <w:szCs w:val="20"/>
                <w:lang w:eastAsia="zh-CN"/>
              </w:rPr>
            </w:pPr>
            <w:r>
              <w:rPr>
                <w:szCs w:val="20"/>
                <w:lang w:eastAsia="zh-CN"/>
              </w:rPr>
              <w:t xml:space="preserve">As another alternative, the serving cell with SCS </w:t>
            </w:r>
            <w:r>
              <w:rPr>
                <w:rFonts w:hint="eastAsia"/>
                <w:szCs w:val="20"/>
                <w:lang w:eastAsia="zh-CN"/>
              </w:rPr>
              <w:t>µ</w:t>
            </w:r>
            <w:r>
              <w:rPr>
                <w:szCs w:val="20"/>
                <w:lang w:eastAsia="zh-CN"/>
              </w:rPr>
              <w:t xml:space="preserve"> and multi-slot-based capability can be transformed to an equivalent virtual serving cell with SCS </w:t>
            </w:r>
            <w:r>
              <w:rPr>
                <w:rFonts w:hint="eastAsia"/>
                <w:szCs w:val="20"/>
                <w:lang w:eastAsia="zh-CN"/>
              </w:rPr>
              <w:t>µ</w:t>
            </w:r>
            <w:r>
              <w:rPr>
                <w:szCs w:val="20"/>
                <w:lang w:eastAsia="zh-CN"/>
              </w:rPr>
              <w:t>’ and slot-based capability, e.g. e.g. cell A with 480KHz SCS and BD/CCE budget per 4 slots is equivalent to a virtual cell A’ with 120KHz and BD/CCE budget per slot. After this, legacy operation as NR Rel-16 could be reused to calculate the BD/CCE budget.</w:t>
            </w:r>
          </w:p>
          <w:p>
            <w:pPr>
              <w:widowControl w:val="0"/>
              <w:spacing w:before="120"/>
              <w:jc w:val="both"/>
              <w:rPr>
                <w:szCs w:val="20"/>
                <w:lang w:eastAsia="zh-CN"/>
              </w:rPr>
            </w:pPr>
            <w:r>
              <w:rPr>
                <w:rFonts w:hint="eastAsia"/>
                <w:szCs w:val="20"/>
                <w:lang w:eastAsia="zh-CN"/>
              </w:rPr>
              <w:t>B</w:t>
            </w:r>
            <w:r>
              <w:rPr>
                <w:szCs w:val="20"/>
                <w:lang w:eastAsia="zh-CN"/>
              </w:rPr>
              <w:t>y comparing the above alternatives, Alt. 2 works well with less spec impact. Thus, Alt. 2 is preferred to handle multi-slot PDCCH monitoring capability for multi-serving cell case.</w:t>
            </w:r>
          </w:p>
          <w:p>
            <w:pPr>
              <w:widowControl w:val="0"/>
              <w:spacing w:before="120"/>
              <w:jc w:val="both"/>
              <w:rPr>
                <w:b/>
                <w:lang w:eastAsia="zh-CN"/>
              </w:rPr>
            </w:pPr>
            <w:bookmarkStart w:id="86" w:name="_Ref92376971"/>
            <w:r>
              <w:rPr>
                <w:b/>
              </w:rPr>
              <w:t xml:space="preserve">Proposal </w:t>
            </w:r>
            <w:r>
              <w:rPr>
                <w:b/>
              </w:rPr>
              <w:fldChar w:fldCharType="begin"/>
            </w:r>
            <w:r>
              <w:rPr>
                <w:b/>
              </w:rPr>
              <w:instrText xml:space="preserve"> SEQ Proposal \* ARABIC </w:instrText>
            </w:r>
            <w:r>
              <w:rPr>
                <w:b/>
              </w:rPr>
              <w:fldChar w:fldCharType="separate"/>
            </w:r>
            <w:r>
              <w:rPr>
                <w:b/>
              </w:rPr>
              <w:t>3</w:t>
            </w:r>
            <w:r>
              <w:rPr>
                <w:b/>
              </w:rPr>
              <w:fldChar w:fldCharType="end"/>
            </w:r>
            <w:r>
              <w:rPr>
                <w:b/>
              </w:rPr>
              <w:t xml:space="preserve">: For multi-cell operation, support the following method to handle multi-slot PDCCH monitoring capability for multi-serving cell case, i.e. </w:t>
            </w:r>
            <w:r>
              <w:rPr>
                <w:b/>
                <w:lang w:eastAsia="zh-CN"/>
              </w:rPr>
              <w:t>transform the serving cell with multi-slot-based capability to equivalent serving cell with slot-based capability for further BD/CCE budget calculation.</w:t>
            </w:r>
            <w:bookmarkEnd w:id="86"/>
          </w:p>
          <w:p>
            <w:pPr>
              <w:widowControl w:val="0"/>
              <w:spacing w:before="120"/>
              <w:jc w:val="both"/>
              <w:rPr>
                <w:b/>
                <w:lang w:eastAsia="zh-CN"/>
              </w:rPr>
            </w:pPr>
          </w:p>
        </w:tc>
      </w:tr>
    </w:tbl>
    <w:p>
      <w:pPr>
        <w:rPr>
          <w:lang w:eastAsia="zh-CN"/>
        </w:rPr>
      </w:pPr>
    </w:p>
    <w:p>
      <w:pPr>
        <w:pStyle w:val="4"/>
      </w:pPr>
      <w:r>
        <w:t>R1-2201352 (CATT)</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1"/>
              <w:widowControl w:val="0"/>
              <w:rPr>
                <w:lang w:eastAsia="zh-CN"/>
              </w:rPr>
            </w:pPr>
            <w:r>
              <w:rPr>
                <w:lang w:eastAsia="zh-CN"/>
              </w:rPr>
              <w:t>In RAN1#107-e meeting, the definition for multi-slot PDCCH monitoring capability was agreed. The remaining issue on SS overbooking across different slot groups requires further study. Since Group (2) SS monitoring locations can be anywhere within a slot group, the total number of BD/ CCE for those Group(2) SSs within the current slot group and SSs within the next slot group may exceed the BD/ CCE budgets for a slot group, as shown in</w:t>
            </w:r>
            <w:r>
              <w:rPr>
                <w:rFonts w:hint="eastAsia"/>
                <w:lang w:eastAsia="zh-CN"/>
              </w:rPr>
              <w:t xml:space="preserve"> </w:t>
            </w:r>
            <w:r>
              <w:rPr>
                <w:lang w:eastAsia="zh-CN"/>
              </w:rPr>
              <w:fldChar w:fldCharType="begin"/>
            </w:r>
            <w:r>
              <w:rPr>
                <w:lang w:eastAsia="zh-CN"/>
              </w:rPr>
              <w:instrText xml:space="preserve"> REF _Ref95506499 \h  \* MERGEFORMAT </w:instrText>
            </w:r>
            <w:r>
              <w:rPr>
                <w:lang w:eastAsia="zh-CN"/>
              </w:rPr>
              <w:fldChar w:fldCharType="separate"/>
            </w:r>
            <w:r>
              <w:t>Figure 3</w:t>
            </w:r>
            <w:r>
              <w:rPr>
                <w:lang w:eastAsia="zh-CN"/>
              </w:rPr>
              <w:fldChar w:fldCharType="end"/>
            </w:r>
            <w:r>
              <w:rPr>
                <w:lang w:eastAsia="zh-CN"/>
              </w:rPr>
              <w:t>. In our view, the SS overbooking across different slot groups can be avoided by gNB implementation. No additional dropping rule is needed.</w:t>
            </w:r>
          </w:p>
          <w:p>
            <w:pPr>
              <w:pStyle w:val="31"/>
              <w:keepNext/>
              <w:widowControl w:val="0"/>
              <w:jc w:val="center"/>
            </w:pPr>
            <w:r>
              <w:object>
                <v:shape id="_x0000_i1049" o:spt="75" type="#_x0000_t75" style="height:79.5pt;width:401.25pt;" o:ole="t" filled="f" o:preferrelative="t" stroked="f" coordsize="21600,21600">
                  <v:path/>
                  <v:fill on="f" focussize="0,0"/>
                  <v:stroke on="f" joinstyle="miter"/>
                  <v:imagedata r:id="rId61" o:title=""/>
                  <o:lock v:ext="edit" aspectratio="t"/>
                  <w10:wrap type="none"/>
                  <w10:anchorlock/>
                </v:shape>
                <o:OLEObject Type="Embed" ProgID="Visio.Drawing.11" ShapeID="_x0000_i1049" DrawAspect="Content" ObjectID="_1468075746" r:id="rId60">
                  <o:LockedField>false</o:LockedField>
                </o:OLEObject>
              </w:object>
            </w:r>
          </w:p>
          <w:p>
            <w:pPr>
              <w:pStyle w:val="27"/>
              <w:widowControl w:val="0"/>
              <w:jc w:val="center"/>
              <w:rPr>
                <w:lang w:eastAsia="zh-CN"/>
              </w:rPr>
            </w:pPr>
            <w:bookmarkStart w:id="87" w:name="_Ref95506499"/>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87"/>
            <w:r>
              <w:rPr>
                <w:b w:val="0"/>
              </w:rPr>
              <w:t>: SS overbooking across different slot group</w:t>
            </w:r>
            <w:r>
              <w:rPr>
                <w:rFonts w:hint="eastAsia"/>
                <w:b w:val="0"/>
                <w:lang w:eastAsia="zh-CN"/>
              </w:rPr>
              <w:t>s</w:t>
            </w:r>
          </w:p>
          <w:p>
            <w:pPr>
              <w:pStyle w:val="31"/>
              <w:widowControl w:val="0"/>
              <w:spacing w:after="0"/>
              <w:rPr>
                <w:sz w:val="21"/>
                <w:lang w:eastAsia="zh-CN"/>
              </w:rPr>
            </w:pPr>
            <w:r>
              <w:rPr>
                <w:b/>
                <w:i/>
                <w:lang w:eastAsia="zh-CN"/>
              </w:rPr>
              <w:t xml:space="preserve">Proposal </w:t>
            </w:r>
            <w:r>
              <w:rPr>
                <w:rFonts w:hint="eastAsia"/>
                <w:b/>
                <w:i/>
                <w:lang w:eastAsia="zh-CN"/>
              </w:rPr>
              <w:t>3</w:t>
            </w:r>
            <w:r>
              <w:rPr>
                <w:b/>
                <w:i/>
                <w:lang w:eastAsia="zh-CN"/>
              </w:rPr>
              <w:t>:</w:t>
            </w:r>
            <w:r>
              <w:rPr>
                <w:b/>
                <w:i/>
              </w:rPr>
              <w:t xml:space="preserve"> </w:t>
            </w:r>
            <w:r>
              <w:rPr>
                <w:rFonts w:hint="eastAsia"/>
                <w:b/>
                <w:i/>
                <w:lang w:eastAsia="zh-CN"/>
              </w:rPr>
              <w:t>It can be up to gNB implementation to avoid the overbooking issue across different slot groups.</w:t>
            </w:r>
          </w:p>
          <w:p>
            <w:pPr>
              <w:pStyle w:val="31"/>
              <w:widowControl w:val="0"/>
              <w:ind w:left="600" w:hanging="600"/>
              <w:rPr>
                <w:i/>
                <w:lang w:eastAsia="zh-CN"/>
              </w:rPr>
            </w:pPr>
          </w:p>
        </w:tc>
      </w:tr>
    </w:tbl>
    <w:p>
      <w:pPr>
        <w:rPr>
          <w:lang w:eastAsia="zh-CN"/>
        </w:rPr>
      </w:pPr>
    </w:p>
    <w:p>
      <w:pPr>
        <w:pStyle w:val="4"/>
      </w:pPr>
      <w:r>
        <w:t>R1-2201389 (ZTE, Sanechips)</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numPr>
                <w:ilvl w:val="1"/>
                <w:numId w:val="0"/>
              </w:numPr>
              <w:spacing w:line="260" w:lineRule="auto"/>
              <w:jc w:val="both"/>
              <w:rPr>
                <w:rFonts w:eastAsia="宋体"/>
                <w:b/>
                <w:bCs/>
                <w:lang w:eastAsia="zh-CN"/>
              </w:rPr>
            </w:pPr>
            <w:r>
              <w:rPr>
                <w:rFonts w:hint="eastAsia" w:eastAsia="宋体"/>
                <w:b/>
                <w:bCs/>
                <w:lang w:eastAsia="zh-CN"/>
              </w:rPr>
              <w:t>Proposal 3: Confirm the working assumption: BD/CCE budget of 960 kHz for (4,2), (4,1) is half that of X=8.</w:t>
            </w:r>
          </w:p>
          <w:p>
            <w:pPr>
              <w:pStyle w:val="120"/>
              <w:widowControl w:val="0"/>
            </w:pPr>
            <w:r>
              <w:t xml:space="preserve">Table 1: Maximum number </w:t>
            </w:r>
            <m:oMath>
              <m:sSubSup>
                <m:sSubSupPr>
                  <m:ctrlPr>
                    <w:rPr>
                      <w:rFonts w:ascii="Cambria Math" w:hAnsi="Cambria Math"/>
                      <w:i/>
                      <w:lang w:eastAsia="zh-CN"/>
                    </w:rPr>
                  </m:ctrlPr>
                </m:sSubSupPr>
                <m:e>
                  <m:r>
                    <m:rPr>
                      <m:sty m:val="bi"/>
                    </m:rPr>
                    <w:rPr>
                      <w:rFonts w:ascii="Cambria Math" w:hAnsi="Cambria Math"/>
                      <w:lang w:eastAsia="zh-CN"/>
                    </w:rPr>
                    <m:t>M</m:t>
                  </m:r>
                  <m:ctrlPr>
                    <w:rPr>
                      <w:rFonts w:ascii="Cambria Math" w:hAnsi="Cambria Math"/>
                      <w:i/>
                      <w:lang w:eastAsia="zh-CN"/>
                    </w:rPr>
                  </m:ctrlPr>
                </m:e>
                <m:sub>
                  <m:r>
                    <m:rPr>
                      <m:sty m:val="b"/>
                    </m:rPr>
                    <w:rPr>
                      <w:rFonts w:ascii="Cambria Math" w:hAnsi="Cambria Math"/>
                      <w:lang w:eastAsia="zh-CN"/>
                    </w:rPr>
                    <m:t>PDCCH</m:t>
                  </m:r>
                  <m:ctrlPr>
                    <w:rPr>
                      <w:rFonts w:ascii="Cambria Math" w:hAnsi="Cambria Math"/>
                      <w:i/>
                      <w:lang w:eastAsia="zh-CN"/>
                    </w:rPr>
                  </m:ctrlP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),μ</m:t>
                  </m:r>
                  <m:ctrlPr>
                    <w:rPr>
                      <w:rFonts w:ascii="Cambria Math" w:hAnsi="Cambria Math"/>
                      <w:i/>
                      <w:lang w:eastAsia="zh-CN"/>
                    </w:rPr>
                  </m:ctrlPr>
                </m:sup>
              </m:sSubSup>
            </m:oMath>
            <w:r>
              <w:t xml:space="preserve"> of monitored PDCCH candidates per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ctrlPr>
                    <w:rPr>
                      <w:rFonts w:ascii="Cambria Math" w:hAnsi="Cambria Math"/>
                      <w:i/>
                      <w:lang w:eastAsia="zh-CN"/>
                    </w:rPr>
                  </m:ctrlPr>
                </m:e>
              </m:d>
            </m:oMath>
            <w:r>
              <w:t xml:space="preserve"> for a single serving cell</w:t>
            </w:r>
          </w:p>
          <w:tbl>
            <w:tblPr>
              <w:tblStyle w:val="54"/>
              <w:tblW w:w="66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794"/>
              <w:gridCol w:w="1451"/>
              <w:gridCol w:w="1530"/>
              <w:gridCol w:w="1440"/>
              <w:gridCol w:w="14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794" w:type="dxa"/>
                  <w:shd w:val="clear" w:color="auto" w:fill="E0E0E0"/>
                  <w:vAlign w:val="center"/>
                </w:tcPr>
                <w:p>
                  <w:pPr>
                    <w:pStyle w:val="90"/>
                    <w:rPr>
                      <w:rFonts w:ascii="Times New Roman" w:hAnsi="Times New Roman"/>
                      <w:sz w:val="20"/>
                    </w:rPr>
                  </w:pPr>
                </w:p>
              </w:tc>
              <w:tc>
                <w:tcPr>
                  <w:tcW w:w="5861" w:type="dxa"/>
                  <w:gridSpan w:val="4"/>
                  <w:shd w:val="clear" w:color="auto" w:fill="E0E0E0"/>
                  <w:vAlign w:val="center"/>
                </w:tcPr>
                <w:p>
                  <w:pPr>
                    <w:pStyle w:val="120"/>
                    <w:spacing w:before="0" w:after="0"/>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ctrlPr>
                          <w:rPr>
                            <w:rFonts w:ascii="Cambria Math" w:hAnsi="Cambria Math"/>
                            <w:i/>
                            <w:lang w:eastAsia="zh-CN"/>
                          </w:rPr>
                        </m:ctrlPr>
                      </m:e>
                      <m:sub>
                        <m:r>
                          <m:rPr>
                            <m:sty m:val="b"/>
                          </m:rPr>
                          <w:rPr>
                            <w:rFonts w:ascii="Cambria Math" w:hAnsi="Cambria Math"/>
                            <w:lang w:eastAsia="zh-CN"/>
                          </w:rPr>
                          <m:t>PDCCH</m:t>
                        </m:r>
                        <m:ctrlPr>
                          <w:rPr>
                            <w:rFonts w:ascii="Cambria Math" w:hAnsi="Cambria Math"/>
                            <w:i/>
                            <w:lang w:eastAsia="zh-CN"/>
                          </w:rPr>
                        </m:ctrlPr>
                      </m:sub>
                      <m:sup>
                        <m:r>
                          <m:rPr>
                            <m:sty m:val="bi"/>
                          </m:rP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ctrlPr>
                              <w:rPr>
                                <w:rFonts w:ascii="Cambria Math" w:hAnsi="Cambria Math"/>
                                <w:i/>
                                <w:lang w:eastAsia="zh-CN"/>
                              </w:rPr>
                            </m:ctrlPr>
                          </m:e>
                        </m:d>
                        <m:r>
                          <m:rPr>
                            <m:sty m:val="bi"/>
                          </m:rPr>
                          <w:rPr>
                            <w:rFonts w:ascii="Cambria Math" w:hAnsi="Cambria Math"/>
                            <w:lang w:eastAsia="zh-CN"/>
                          </w:rPr>
                          <m:t>,μ</m:t>
                        </m:r>
                        <m:ctrlPr>
                          <w:rPr>
                            <w:rFonts w:ascii="Cambria Math" w:hAnsi="Cambria Math"/>
                            <w:i/>
                            <w:lang w:eastAsia="zh-CN"/>
                          </w:rPr>
                        </m:ctrlPr>
                      </m:sup>
                    </m:sSubSup>
                  </m:oMath>
                  <w:r>
                    <w:rPr>
                      <w:lang w:eastAsia="zh-CN"/>
                    </w:rPr>
                    <w:t xml:space="preserve"> </w:t>
                  </w:r>
                  <w:r>
                    <w:t xml:space="preserve">of monitored PDCCH candidates per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t xml:space="preserve"> and per serving cell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794" w:type="dxa"/>
                  <w:shd w:val="clear" w:color="auto" w:fill="E0E0E0"/>
                  <w:vAlign w:val="center"/>
                </w:tcPr>
                <w:p>
                  <w:pPr>
                    <w:pStyle w:val="114"/>
                    <w:rPr>
                      <w:b/>
                      <w:sz w:val="20"/>
                    </w:rPr>
                  </w:pPr>
                  <m:oMathPara>
                    <m:oMath>
                      <m:r>
                        <m:rPr>
                          <m:sty m:val="bi"/>
                        </m:rPr>
                        <w:rPr>
                          <w:rFonts w:ascii="Cambria Math" w:hAnsi="Cambria Math"/>
                          <w:sz w:val="20"/>
                          <w:lang w:eastAsia="zh-CN"/>
                        </w:rPr>
                        <m:t>μ</m:t>
                      </m:r>
                    </m:oMath>
                  </m:oMathPara>
                </w:p>
              </w:tc>
              <w:tc>
                <w:tcPr>
                  <w:tcW w:w="1451" w:type="dxa"/>
                  <w:vAlign w:val="center"/>
                </w:tcPr>
                <w:p>
                  <w:pPr>
                    <w:pStyle w:val="114"/>
                    <w:rPr>
                      <w:b/>
                      <w:sz w:val="20"/>
                    </w:rPr>
                  </w:pPr>
                  <w:r>
                    <w:rPr>
                      <w:b/>
                      <w:sz w:val="20"/>
                    </w:rPr>
                    <w:t>(4, 1)</w:t>
                  </w:r>
                </w:p>
              </w:tc>
              <w:tc>
                <w:tcPr>
                  <w:tcW w:w="1530" w:type="dxa"/>
                </w:tcPr>
                <w:p>
                  <w:pPr>
                    <w:pStyle w:val="114"/>
                    <w:rPr>
                      <w:b/>
                      <w:sz w:val="20"/>
                    </w:rPr>
                  </w:pPr>
                  <w:r>
                    <w:rPr>
                      <w:b/>
                      <w:sz w:val="20"/>
                    </w:rPr>
                    <w:t>(4, 2)</w:t>
                  </w:r>
                </w:p>
              </w:tc>
              <w:tc>
                <w:tcPr>
                  <w:tcW w:w="1440" w:type="dxa"/>
                </w:tcPr>
                <w:p>
                  <w:pPr>
                    <w:pStyle w:val="114"/>
                    <w:rPr>
                      <w:b/>
                      <w:sz w:val="20"/>
                    </w:rPr>
                  </w:pPr>
                  <w:r>
                    <w:rPr>
                      <w:b/>
                      <w:sz w:val="20"/>
                    </w:rPr>
                    <w:t>(8, 1)</w:t>
                  </w:r>
                </w:p>
              </w:tc>
              <w:tc>
                <w:tcPr>
                  <w:tcW w:w="1440" w:type="dxa"/>
                </w:tcPr>
                <w:p>
                  <w:pPr>
                    <w:pStyle w:val="114"/>
                    <w:rPr>
                      <w:b/>
                      <w:sz w:val="20"/>
                    </w:rPr>
                  </w:pPr>
                  <w:r>
                    <w:rPr>
                      <w:b/>
                      <w:sz w:val="20"/>
                    </w:rPr>
                    <w:t>(8, 4)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794" w:type="dxa"/>
                  <w:vAlign w:val="center"/>
                </w:tcPr>
                <w:p>
                  <w:pPr>
                    <w:pStyle w:val="114"/>
                    <w:rPr>
                      <w:b/>
                      <w:sz w:val="20"/>
                    </w:rPr>
                  </w:pPr>
                  <w:r>
                    <w:rPr>
                      <w:b/>
                      <w:sz w:val="20"/>
                    </w:rPr>
                    <w:t>5</w:t>
                  </w:r>
                </w:p>
              </w:tc>
              <w:tc>
                <w:tcPr>
                  <w:tcW w:w="1451" w:type="dxa"/>
                  <w:vAlign w:val="center"/>
                </w:tcPr>
                <w:p>
                  <w:pPr>
                    <w:pStyle w:val="114"/>
                    <w:rPr>
                      <w:b/>
                      <w:sz w:val="20"/>
                    </w:rPr>
                  </w:pPr>
                  <w:r>
                    <w:rPr>
                      <w:b/>
                      <w:sz w:val="20"/>
                    </w:rPr>
                    <w:t>20</w:t>
                  </w:r>
                </w:p>
              </w:tc>
              <w:tc>
                <w:tcPr>
                  <w:tcW w:w="1530" w:type="dxa"/>
                </w:tcPr>
                <w:p>
                  <w:pPr>
                    <w:pStyle w:val="114"/>
                    <w:rPr>
                      <w:b/>
                      <w:sz w:val="20"/>
                    </w:rPr>
                  </w:pPr>
                  <w:r>
                    <w:rPr>
                      <w:b/>
                      <w:sz w:val="20"/>
                    </w:rPr>
                    <w:t>20</w:t>
                  </w:r>
                </w:p>
              </w:tc>
              <w:tc>
                <w:tcPr>
                  <w:tcW w:w="1440" w:type="dxa"/>
                </w:tcPr>
                <w:p>
                  <w:pPr>
                    <w:pStyle w:val="114"/>
                    <w:rPr>
                      <w:b/>
                      <w:sz w:val="20"/>
                    </w:rPr>
                  </w:pPr>
                  <w:r>
                    <w:rPr>
                      <w:b/>
                      <w:sz w:val="20"/>
                    </w:rPr>
                    <w:t>-</w:t>
                  </w:r>
                </w:p>
              </w:tc>
              <w:tc>
                <w:tcPr>
                  <w:tcW w:w="1440" w:type="dxa"/>
                </w:tcPr>
                <w:p>
                  <w:pPr>
                    <w:pStyle w:val="114"/>
                    <w:rPr>
                      <w:b/>
                      <w:sz w:val="20"/>
                    </w:rPr>
                  </w:pPr>
                  <w:r>
                    <w:rPr>
                      <w:b/>
                      <w:sz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794" w:type="dxa"/>
                  <w:vAlign w:val="center"/>
                </w:tcPr>
                <w:p>
                  <w:pPr>
                    <w:pStyle w:val="114"/>
                    <w:rPr>
                      <w:b/>
                      <w:sz w:val="20"/>
                    </w:rPr>
                  </w:pPr>
                  <w:r>
                    <w:rPr>
                      <w:b/>
                      <w:sz w:val="20"/>
                    </w:rPr>
                    <w:t>6</w:t>
                  </w:r>
                </w:p>
              </w:tc>
              <w:tc>
                <w:tcPr>
                  <w:tcW w:w="1451" w:type="dxa"/>
                  <w:vAlign w:val="center"/>
                </w:tcPr>
                <w:p>
                  <w:pPr>
                    <w:pStyle w:val="114"/>
                    <w:rPr>
                      <w:b/>
                      <w:sz w:val="20"/>
                    </w:rPr>
                  </w:pPr>
                  <w:r>
                    <w:rPr>
                      <w:b/>
                      <w:sz w:val="20"/>
                    </w:rPr>
                    <w:t>10</w:t>
                  </w:r>
                </w:p>
              </w:tc>
              <w:tc>
                <w:tcPr>
                  <w:tcW w:w="1530" w:type="dxa"/>
                </w:tcPr>
                <w:p>
                  <w:pPr>
                    <w:pStyle w:val="114"/>
                    <w:rPr>
                      <w:b/>
                      <w:sz w:val="20"/>
                    </w:rPr>
                  </w:pPr>
                  <w:r>
                    <w:rPr>
                      <w:b/>
                      <w:sz w:val="20"/>
                    </w:rPr>
                    <w:t>10</w:t>
                  </w:r>
                </w:p>
              </w:tc>
              <w:tc>
                <w:tcPr>
                  <w:tcW w:w="1440" w:type="dxa"/>
                </w:tcPr>
                <w:p>
                  <w:pPr>
                    <w:pStyle w:val="114"/>
                    <w:rPr>
                      <w:b/>
                      <w:sz w:val="20"/>
                    </w:rPr>
                  </w:pPr>
                  <w:r>
                    <w:rPr>
                      <w:b/>
                      <w:sz w:val="20"/>
                    </w:rPr>
                    <w:t>20</w:t>
                  </w:r>
                </w:p>
              </w:tc>
              <w:tc>
                <w:tcPr>
                  <w:tcW w:w="1440" w:type="dxa"/>
                </w:tcPr>
                <w:p>
                  <w:pPr>
                    <w:pStyle w:val="114"/>
                    <w:rPr>
                      <w:b/>
                      <w:sz w:val="20"/>
                    </w:rPr>
                  </w:pPr>
                  <w:r>
                    <w:rPr>
                      <w:b/>
                      <w:sz w:val="20"/>
                    </w:rPr>
                    <w:t>20</w:t>
                  </w:r>
                </w:p>
              </w:tc>
            </w:tr>
          </w:tbl>
          <w:p>
            <w:pPr>
              <w:widowControl w:val="0"/>
              <w:numPr>
                <w:ilvl w:val="1"/>
                <w:numId w:val="0"/>
              </w:numPr>
              <w:spacing w:after="240" w:line="260" w:lineRule="auto"/>
              <w:jc w:val="both"/>
              <w:rPr>
                <w:rFonts w:eastAsia="宋体"/>
                <w:b/>
                <w:lang w:eastAsia="zh-CN"/>
              </w:rPr>
            </w:pPr>
          </w:p>
          <w:p>
            <w:pPr>
              <w:pStyle w:val="120"/>
              <w:widowControl w:val="0"/>
            </w:pPr>
            <w:r>
              <w:t xml:space="preserve">Table </w:t>
            </w:r>
            <w:r>
              <w:rPr>
                <w:rFonts w:hint="eastAsia"/>
                <w:lang w:val="en-US" w:eastAsia="zh-CN"/>
              </w:rPr>
              <w:t>2</w:t>
            </w:r>
            <w:r>
              <w:t xml:space="preserve">: Maximum number </w:t>
            </w:r>
            <m:oMath>
              <m:sSubSup>
                <m:sSubSupPr>
                  <m:ctrlPr>
                    <w:rPr>
                      <w:rFonts w:ascii="Cambria Math" w:hAnsi="Cambria Math"/>
                      <w:i/>
                      <w:lang w:eastAsia="zh-CN"/>
                    </w:rPr>
                  </m:ctrlPr>
                </m:sSubSupPr>
                <m:e>
                  <m:r>
                    <m:rPr>
                      <m:sty m:val="bi"/>
                    </m:rPr>
                    <w:rPr>
                      <w:rFonts w:ascii="Cambria Math" w:hAnsi="Cambria Math"/>
                      <w:lang w:eastAsia="zh-CN"/>
                    </w:rPr>
                    <m:t>C</m:t>
                  </m:r>
                  <m:ctrlPr>
                    <w:rPr>
                      <w:rFonts w:ascii="Cambria Math" w:hAnsi="Cambria Math"/>
                      <w:i/>
                      <w:lang w:eastAsia="zh-CN"/>
                    </w:rPr>
                  </m:ctrlPr>
                </m:e>
                <m:sub>
                  <m:r>
                    <m:rPr>
                      <m:sty m:val="b"/>
                    </m:rPr>
                    <w:rPr>
                      <w:rFonts w:ascii="Cambria Math" w:hAnsi="Cambria Math"/>
                      <w:lang w:eastAsia="zh-CN"/>
                    </w:rPr>
                    <m:t>PDCCH</m:t>
                  </m:r>
                  <m:ctrlPr>
                    <w:rPr>
                      <w:rFonts w:ascii="Cambria Math" w:hAnsi="Cambria Math"/>
                      <w:i/>
                      <w:lang w:eastAsia="zh-CN"/>
                    </w:rPr>
                  </m:ctrlP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),μ</m:t>
                  </m:r>
                  <m:ctrlPr>
                    <w:rPr>
                      <w:rFonts w:ascii="Cambria Math" w:hAnsi="Cambria Math"/>
                      <w:i/>
                      <w:lang w:eastAsia="zh-CN"/>
                    </w:rPr>
                  </m:ctrlP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ctrlPr>
                    <w:rPr>
                      <w:rFonts w:ascii="Cambria Math" w:hAnsi="Cambria Math"/>
                      <w:i/>
                      <w:lang w:eastAsia="zh-CN"/>
                    </w:rPr>
                  </m:ctrlPr>
                </m:e>
              </m:d>
            </m:oMath>
            <w:r>
              <w:t xml:space="preserve"> for a single serving cell</w:t>
            </w:r>
          </w:p>
          <w:tbl>
            <w:tblPr>
              <w:tblStyle w:val="54"/>
              <w:tblW w:w="66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794"/>
              <w:gridCol w:w="1451"/>
              <w:gridCol w:w="1530"/>
              <w:gridCol w:w="1440"/>
              <w:gridCol w:w="14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794" w:type="dxa"/>
                  <w:shd w:val="clear" w:color="auto" w:fill="E0E0E0"/>
                  <w:vAlign w:val="center"/>
                </w:tcPr>
                <w:p>
                  <w:pPr>
                    <w:pStyle w:val="90"/>
                    <w:rPr>
                      <w:rFonts w:ascii="Times New Roman" w:hAnsi="Times New Roman"/>
                      <w:sz w:val="20"/>
                    </w:rPr>
                  </w:pPr>
                </w:p>
              </w:tc>
              <w:tc>
                <w:tcPr>
                  <w:tcW w:w="5861" w:type="dxa"/>
                  <w:gridSpan w:val="4"/>
                  <w:shd w:val="clear" w:color="auto" w:fill="E0E0E0"/>
                  <w:vAlign w:val="center"/>
                </w:tcPr>
                <w:p>
                  <w:pPr>
                    <w:pStyle w:val="120"/>
                    <w:spacing w:before="0" w:after="0"/>
                  </w:pPr>
                  <w:r>
                    <w:t xml:space="preserve">Maximum number of non-overlapped CCEs per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t xml:space="preserve"> and per serving cell </w:t>
                  </w:r>
                  <m:oMath>
                    <m:sSubSup>
                      <m:sSubSupPr>
                        <m:ctrlPr>
                          <w:rPr>
                            <w:rFonts w:ascii="Cambria Math" w:hAnsi="Cambria Math"/>
                            <w:i/>
                            <w:lang w:eastAsia="zh-CN"/>
                          </w:rPr>
                        </m:ctrlPr>
                      </m:sSubSupPr>
                      <m:e>
                        <m:r>
                          <m:rPr>
                            <m:sty m:val="bi"/>
                          </m:rPr>
                          <w:rPr>
                            <w:rFonts w:ascii="Cambria Math" w:hAnsi="Cambria Math"/>
                            <w:lang w:eastAsia="zh-CN"/>
                          </w:rPr>
                          <m:t>C</m:t>
                        </m:r>
                        <m:ctrlPr>
                          <w:rPr>
                            <w:rFonts w:ascii="Cambria Math" w:hAnsi="Cambria Math"/>
                            <w:i/>
                            <w:lang w:eastAsia="zh-CN"/>
                          </w:rPr>
                        </m:ctrlPr>
                      </m:e>
                      <m:sub>
                        <m:r>
                          <m:rPr>
                            <m:sty m:val="b"/>
                          </m:rPr>
                          <w:rPr>
                            <w:rFonts w:ascii="Cambria Math" w:hAnsi="Cambria Math"/>
                            <w:lang w:eastAsia="zh-CN"/>
                          </w:rPr>
                          <m:t>PDCCH</m:t>
                        </m:r>
                        <m:ctrlPr>
                          <w:rPr>
                            <w:rFonts w:ascii="Cambria Math" w:hAnsi="Cambria Math"/>
                            <w:i/>
                            <w:lang w:eastAsia="zh-CN"/>
                          </w:rPr>
                        </m:ctrlP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),μ</m:t>
                        </m:r>
                        <m:ctrlPr>
                          <w:rPr>
                            <w:rFonts w:ascii="Cambria Math" w:hAnsi="Cambria Math"/>
                            <w:i/>
                            <w:lang w:eastAsia="zh-CN"/>
                          </w:rPr>
                        </m:ctrlPr>
                      </m:sup>
                    </m:sSubSup>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794" w:type="dxa"/>
                  <w:shd w:val="clear" w:color="auto" w:fill="E0E0E0"/>
                  <w:vAlign w:val="center"/>
                </w:tcPr>
                <w:p>
                  <w:pPr>
                    <w:pStyle w:val="114"/>
                    <w:rPr>
                      <w:b/>
                      <w:sz w:val="20"/>
                    </w:rPr>
                  </w:pPr>
                  <m:oMathPara>
                    <m:oMath>
                      <m:r>
                        <m:rPr>
                          <m:sty m:val="bi"/>
                        </m:rPr>
                        <w:rPr>
                          <w:rFonts w:ascii="Cambria Math" w:hAnsi="Cambria Math"/>
                          <w:sz w:val="20"/>
                          <w:lang w:eastAsia="zh-CN"/>
                        </w:rPr>
                        <m:t>μ</m:t>
                      </m:r>
                    </m:oMath>
                  </m:oMathPara>
                </w:p>
              </w:tc>
              <w:tc>
                <w:tcPr>
                  <w:tcW w:w="1451" w:type="dxa"/>
                  <w:vAlign w:val="center"/>
                </w:tcPr>
                <w:p>
                  <w:pPr>
                    <w:pStyle w:val="114"/>
                    <w:rPr>
                      <w:b/>
                      <w:sz w:val="20"/>
                    </w:rPr>
                  </w:pPr>
                  <w:r>
                    <w:rPr>
                      <w:b/>
                      <w:sz w:val="20"/>
                    </w:rPr>
                    <w:t>(4, 1)</w:t>
                  </w:r>
                </w:p>
              </w:tc>
              <w:tc>
                <w:tcPr>
                  <w:tcW w:w="1530" w:type="dxa"/>
                </w:tcPr>
                <w:p>
                  <w:pPr>
                    <w:pStyle w:val="114"/>
                    <w:rPr>
                      <w:b/>
                      <w:sz w:val="20"/>
                    </w:rPr>
                  </w:pPr>
                  <w:r>
                    <w:rPr>
                      <w:b/>
                      <w:sz w:val="20"/>
                    </w:rPr>
                    <w:t>(4, 2)</w:t>
                  </w:r>
                </w:p>
              </w:tc>
              <w:tc>
                <w:tcPr>
                  <w:tcW w:w="1440" w:type="dxa"/>
                </w:tcPr>
                <w:p>
                  <w:pPr>
                    <w:pStyle w:val="114"/>
                    <w:rPr>
                      <w:b/>
                      <w:sz w:val="20"/>
                    </w:rPr>
                  </w:pPr>
                  <w:r>
                    <w:rPr>
                      <w:b/>
                      <w:sz w:val="20"/>
                    </w:rPr>
                    <w:t>(8, 1)</w:t>
                  </w:r>
                </w:p>
              </w:tc>
              <w:tc>
                <w:tcPr>
                  <w:tcW w:w="1440" w:type="dxa"/>
                </w:tcPr>
                <w:p>
                  <w:pPr>
                    <w:pStyle w:val="114"/>
                    <w:rPr>
                      <w:b/>
                      <w:sz w:val="20"/>
                    </w:rPr>
                  </w:pPr>
                  <w:r>
                    <w:rPr>
                      <w:b/>
                      <w:sz w:val="20"/>
                    </w:rPr>
                    <w:t>(8, 4)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794" w:type="dxa"/>
                  <w:vAlign w:val="center"/>
                </w:tcPr>
                <w:p>
                  <w:pPr>
                    <w:pStyle w:val="114"/>
                    <w:rPr>
                      <w:b/>
                      <w:sz w:val="20"/>
                    </w:rPr>
                  </w:pPr>
                  <w:r>
                    <w:rPr>
                      <w:b/>
                      <w:sz w:val="20"/>
                    </w:rPr>
                    <w:t>5</w:t>
                  </w:r>
                </w:p>
              </w:tc>
              <w:tc>
                <w:tcPr>
                  <w:tcW w:w="1451" w:type="dxa"/>
                </w:tcPr>
                <w:p>
                  <w:pPr>
                    <w:pStyle w:val="114"/>
                    <w:rPr>
                      <w:b/>
                      <w:sz w:val="20"/>
                    </w:rPr>
                  </w:pPr>
                  <w:r>
                    <w:rPr>
                      <w:b/>
                      <w:sz w:val="20"/>
                    </w:rPr>
                    <w:t>32</w:t>
                  </w:r>
                </w:p>
              </w:tc>
              <w:tc>
                <w:tcPr>
                  <w:tcW w:w="1530" w:type="dxa"/>
                </w:tcPr>
                <w:p>
                  <w:pPr>
                    <w:pStyle w:val="114"/>
                    <w:rPr>
                      <w:b/>
                      <w:sz w:val="20"/>
                    </w:rPr>
                  </w:pPr>
                  <w:r>
                    <w:rPr>
                      <w:b/>
                      <w:sz w:val="20"/>
                    </w:rPr>
                    <w:t>32</w:t>
                  </w:r>
                </w:p>
              </w:tc>
              <w:tc>
                <w:tcPr>
                  <w:tcW w:w="1440" w:type="dxa"/>
                </w:tcPr>
                <w:p>
                  <w:pPr>
                    <w:pStyle w:val="114"/>
                    <w:rPr>
                      <w:b/>
                      <w:sz w:val="20"/>
                    </w:rPr>
                  </w:pPr>
                  <w:r>
                    <w:rPr>
                      <w:b/>
                      <w:sz w:val="20"/>
                    </w:rPr>
                    <w:t>-</w:t>
                  </w:r>
                </w:p>
              </w:tc>
              <w:tc>
                <w:tcPr>
                  <w:tcW w:w="1440" w:type="dxa"/>
                </w:tcPr>
                <w:p>
                  <w:pPr>
                    <w:pStyle w:val="114"/>
                    <w:rPr>
                      <w:b/>
                      <w:sz w:val="20"/>
                    </w:rPr>
                  </w:pPr>
                  <w:r>
                    <w:rPr>
                      <w:b/>
                      <w:sz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794" w:type="dxa"/>
                  <w:vAlign w:val="center"/>
                </w:tcPr>
                <w:p>
                  <w:pPr>
                    <w:pStyle w:val="114"/>
                    <w:rPr>
                      <w:b/>
                      <w:sz w:val="20"/>
                    </w:rPr>
                  </w:pPr>
                  <w:r>
                    <w:rPr>
                      <w:b/>
                      <w:sz w:val="20"/>
                    </w:rPr>
                    <w:t>6</w:t>
                  </w:r>
                </w:p>
              </w:tc>
              <w:tc>
                <w:tcPr>
                  <w:tcW w:w="1451" w:type="dxa"/>
                </w:tcPr>
                <w:p>
                  <w:pPr>
                    <w:pStyle w:val="114"/>
                    <w:rPr>
                      <w:b/>
                      <w:sz w:val="20"/>
                    </w:rPr>
                  </w:pPr>
                  <w:r>
                    <w:rPr>
                      <w:b/>
                      <w:sz w:val="20"/>
                    </w:rPr>
                    <w:t>16</w:t>
                  </w:r>
                </w:p>
              </w:tc>
              <w:tc>
                <w:tcPr>
                  <w:tcW w:w="1530" w:type="dxa"/>
                </w:tcPr>
                <w:p>
                  <w:pPr>
                    <w:pStyle w:val="114"/>
                    <w:rPr>
                      <w:b/>
                      <w:sz w:val="20"/>
                    </w:rPr>
                  </w:pPr>
                  <w:r>
                    <w:rPr>
                      <w:b/>
                      <w:sz w:val="20"/>
                    </w:rPr>
                    <w:t>16</w:t>
                  </w:r>
                </w:p>
              </w:tc>
              <w:tc>
                <w:tcPr>
                  <w:tcW w:w="1440" w:type="dxa"/>
                </w:tcPr>
                <w:p>
                  <w:pPr>
                    <w:pStyle w:val="114"/>
                    <w:rPr>
                      <w:b/>
                      <w:sz w:val="20"/>
                    </w:rPr>
                  </w:pPr>
                  <w:r>
                    <w:rPr>
                      <w:b/>
                      <w:sz w:val="20"/>
                    </w:rPr>
                    <w:t>32</w:t>
                  </w:r>
                </w:p>
              </w:tc>
              <w:tc>
                <w:tcPr>
                  <w:tcW w:w="1440" w:type="dxa"/>
                </w:tcPr>
                <w:p>
                  <w:pPr>
                    <w:pStyle w:val="114"/>
                    <w:rPr>
                      <w:b/>
                      <w:sz w:val="20"/>
                    </w:rPr>
                  </w:pPr>
                  <w:r>
                    <w:rPr>
                      <w:b/>
                      <w:sz w:val="20"/>
                    </w:rPr>
                    <w:t>32</w:t>
                  </w:r>
                </w:p>
              </w:tc>
            </w:tr>
          </w:tbl>
          <w:p>
            <w:pPr>
              <w:widowControl w:val="0"/>
              <w:autoSpaceDE/>
              <w:autoSpaceDN/>
              <w:adjustRightInd/>
              <w:spacing w:after="40" w:line="240" w:lineRule="auto"/>
              <w:jc w:val="both"/>
              <w:rPr>
                <w:rFonts w:eastAsia="宋体"/>
                <w:b/>
                <w:bCs/>
                <w:lang w:eastAsia="zh-CN"/>
              </w:rPr>
            </w:pPr>
          </w:p>
          <w:p>
            <w:pPr>
              <w:widowControl w:val="0"/>
              <w:spacing w:line="240" w:lineRule="auto"/>
              <w:jc w:val="both"/>
              <w:rPr>
                <w:rFonts w:eastAsia="宋体"/>
                <w:lang w:eastAsia="zh-CN"/>
              </w:rPr>
            </w:pPr>
            <w:r>
              <w:rPr>
                <w:rFonts w:hint="eastAsia"/>
                <w:sz w:val="21"/>
                <w:szCs w:val="21"/>
                <w:lang w:eastAsia="zh-CN"/>
              </w:rPr>
              <w:t xml:space="preserve">In principle, we think serving cells with the same PDCCH monitoring type including multi-slot-based capability should be grouped together for further BD/CCE budget calculation. Since the value of </w:t>
            </w:r>
            <w:r>
              <w:rPr>
                <w:lang w:eastAsia="zh-CN"/>
              </w:rPr>
              <w:t>Ys</w:t>
            </w:r>
            <w:r>
              <w:rPr>
                <w:rFonts w:hint="eastAsia"/>
                <w:sz w:val="21"/>
                <w:szCs w:val="21"/>
                <w:lang w:eastAsia="zh-CN"/>
              </w:rPr>
              <w:t xml:space="preserve"> in </w:t>
            </w:r>
            <w:r>
              <w:rPr>
                <w:lang w:eastAsia="zh-CN"/>
              </w:rPr>
              <w:t>(Xs, Ys)</w:t>
            </w:r>
            <w:r>
              <w:rPr>
                <w:rFonts w:hint="eastAsia"/>
                <w:sz w:val="21"/>
                <w:szCs w:val="21"/>
                <w:lang w:eastAsia="zh-CN"/>
              </w:rPr>
              <w:t xml:space="preserve"> does not impact the maximum BD/CCE budget, </w:t>
            </w:r>
            <w:r>
              <w:rPr>
                <w:lang w:eastAsia="zh-CN"/>
              </w:rPr>
              <w:t>the serving cells with the same SCS and Xs value are grouped together to follow a total BD/CCE budget</w:t>
            </w:r>
            <w:r>
              <w:rPr>
                <w:rFonts w:hint="eastAsia"/>
                <w:lang w:eastAsia="zh-CN"/>
              </w:rPr>
              <w:t>.</w:t>
            </w:r>
          </w:p>
          <w:p>
            <w:pPr>
              <w:widowControl w:val="0"/>
              <w:spacing w:after="0" w:line="240" w:lineRule="auto"/>
              <w:jc w:val="both"/>
              <w:rPr>
                <w:b/>
                <w:i/>
                <w:szCs w:val="20"/>
                <w:lang w:eastAsia="zh-CN"/>
              </w:rPr>
            </w:pPr>
            <w:r>
              <w:rPr>
                <w:rFonts w:hint="eastAsia"/>
                <w:b/>
                <w:lang w:eastAsia="zh-CN"/>
              </w:rPr>
              <w:t xml:space="preserve">Proposal 10: For a group of serving cells with multi-slot PDCCH monitoring capability, the serving cells with the same SCS and </w:t>
            </w:r>
            <w:r>
              <w:rPr>
                <w:b/>
                <w:bCs/>
                <w:lang w:eastAsia="zh-CN"/>
              </w:rPr>
              <w:t>Xs</w:t>
            </w:r>
            <w:r>
              <w:rPr>
                <w:rFonts w:hint="eastAsia"/>
                <w:b/>
                <w:lang w:eastAsia="zh-CN"/>
              </w:rPr>
              <w:t xml:space="preserve"> value are grouped together to follow a total BD/CCE budget.</w:t>
            </w:r>
          </w:p>
        </w:tc>
      </w:tr>
    </w:tbl>
    <w:p>
      <w:pPr>
        <w:rPr>
          <w:lang w:eastAsia="zh-CN"/>
        </w:rPr>
      </w:pPr>
    </w:p>
    <w:p>
      <w:pPr>
        <w:pStyle w:val="4"/>
      </w:pPr>
      <w:r>
        <w:t>R1-2201471 (NTT DOCOMO)</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pPr>
            <w:r>
              <w:t>Since RAN1 has agreed that overbooking is not allowed for CSS even for multi-slot PDCCH monitoring, by defining the maximum number of CCEs as 16, the available configurations for CSS monitoring are restricted.</w:t>
            </w:r>
            <w:r>
              <w:rPr>
                <w:rFonts w:hint="eastAsia"/>
              </w:rPr>
              <w:t xml:space="preserve"> </w:t>
            </w:r>
            <w:r>
              <w:t xml:space="preserve">Since type0-PDCCH monitoring can consume all the </w:t>
            </w:r>
            <w:r>
              <w:rPr>
                <w:rFonts w:hint="eastAsia"/>
              </w:rPr>
              <w:t>B</w:t>
            </w:r>
            <w:r>
              <w:t>D/CCE budgets in a slot group with Xs=4, a UE cannot monitor other SSs including other CSSs than type0-PDCCH CSS in the same slot group</w:t>
            </w:r>
            <w:r>
              <w:rPr>
                <w:rFonts w:hint="eastAsia"/>
              </w:rPr>
              <w:t>,</w:t>
            </w:r>
            <w:r>
              <w:t xml:space="preserve"> or configurations, e.g., number of CCEs or aggregation level for other SSs would be limited.</w:t>
            </w:r>
          </w:p>
          <w:p>
            <w:pPr>
              <w:widowControl w:val="0"/>
            </w:pPr>
            <w:r>
              <w:t>In addition, at RAN1#107-e  meeting, it was pointed out by companies that if two consecutive slots in the same slot group are monitored for type0-PDCCH CSS of SSB/CORESET#0 multiplexing pattern 1, the required number of BD/CCE would be at most 14/56 considering the above requirement for type0-PDCCH CSS monitoring, and thus UE may not be able to monitor the CSS with the BD/CCE budget for Xs=4/8 slots for SCS 480/960 kHz (i.e., 20 BD and 32 CCE). As a result, it was agreed that the monitored slots for type0-PDCCH CSS is n0 and n0+X0 slots to distribute the monitoring occasions for the CSS into different slot groups.</w:t>
            </w:r>
          </w:p>
          <w:p>
            <w:pPr>
              <w:widowControl w:val="0"/>
            </w:pPr>
            <w:r>
              <w:t xml:space="preserve">In that sense, it seems fair to ensure enough PDCCH candidates/CCEs configuration flexibility even for Xs=4 slots for 960 kHz SCS which is </w:t>
            </w:r>
            <w:r>
              <w:rPr>
                <w:szCs w:val="18"/>
              </w:rPr>
              <w:t>supported as an optional UE capability.</w:t>
            </w:r>
          </w:p>
          <w:p>
            <w:pPr>
              <w:widowControl w:val="0"/>
            </w:pPr>
            <w:r>
              <w:rPr>
                <w:szCs w:val="18"/>
              </w:rPr>
              <w:t>Therefore, regarding maximum number of CCE for 960 kHz SCS, we suggest considering larger value for Xs=4 slots, e.g., 28 CCE as maximum, than the simply halved value from that for Xs=8 slots.</w:t>
            </w:r>
          </w:p>
          <w:p>
            <w:pPr>
              <w:widowControl w:val="0"/>
            </w:pPr>
          </w:p>
          <w:p>
            <w:pPr>
              <w:widowControl w:val="0"/>
            </w:pPr>
          </w:p>
          <w:p>
            <w:pPr>
              <w:widowControl w:val="0"/>
              <w:rPr>
                <w:b/>
                <w:bCs/>
                <w:u w:val="single"/>
              </w:rPr>
            </w:pPr>
            <w:r>
              <w:rPr>
                <w:rFonts w:hint="eastAsia"/>
                <w:b/>
                <w:bCs/>
                <w:u w:val="single"/>
              </w:rPr>
              <w:t>T</w:t>
            </w:r>
            <w:r>
              <w:rPr>
                <w:b/>
                <w:bCs/>
                <w:u w:val="single"/>
              </w:rPr>
              <w:t>ext Proposal #1</w:t>
            </w:r>
          </w:p>
          <w:tbl>
            <w:tblPr>
              <w:tblStyle w:val="55"/>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vAlign w:val="center"/>
                </w:tcPr>
                <w:p>
                  <w:pPr>
                    <w:widowControl w:val="0"/>
                    <w:spacing w:after="0"/>
                    <w:jc w:val="center"/>
                    <w:rPr>
                      <w:b/>
                      <w:color w:val="FF0000"/>
                    </w:rPr>
                  </w:pPr>
                  <w:bookmarkStart w:id="88" w:name="_Toc36498213"/>
                  <w:bookmarkStart w:id="89" w:name="_Toc29899602"/>
                  <w:bookmarkStart w:id="90" w:name="_Toc29899184"/>
                  <w:bookmarkStart w:id="91" w:name="_Toc45699242"/>
                  <w:bookmarkStart w:id="92" w:name="_Toc29894885"/>
                  <w:bookmarkStart w:id="93" w:name="_Toc29917338"/>
                  <w:r>
                    <w:rPr>
                      <w:b/>
                      <w:color w:val="FF0000"/>
                    </w:rPr>
                    <w:t>-------------------------- Start of Text Proposal for TS 38.213 --------------------------</w:t>
                  </w:r>
                </w:p>
                <w:p>
                  <w:pPr>
                    <w:widowControl w:val="0"/>
                    <w:spacing w:before="240" w:after="0"/>
                    <w:jc w:val="center"/>
                    <w:rPr>
                      <w:b/>
                      <w:color w:val="FF0000"/>
                    </w:rPr>
                  </w:pPr>
                  <w:r>
                    <w:rPr>
                      <w:b/>
                      <w:color w:val="FF0000"/>
                    </w:rPr>
                    <w:t>&lt;Unchanged parts omitted&gt;</w:t>
                  </w:r>
                </w:p>
                <w:bookmarkEnd w:id="88"/>
                <w:bookmarkEnd w:id="89"/>
                <w:bookmarkEnd w:id="90"/>
                <w:bookmarkEnd w:id="91"/>
                <w:bookmarkEnd w:id="92"/>
                <w:bookmarkEnd w:id="93"/>
                <w:p>
                  <w:pPr>
                    <w:keepNext/>
                    <w:keepLines/>
                    <w:widowControl w:val="0"/>
                    <w:spacing w:before="120" w:after="0"/>
                    <w:ind w:left="1701" w:hanging="1701"/>
                    <w:outlineLvl w:val="4"/>
                    <w:rPr>
                      <w:rFonts w:ascii="Arial" w:hAnsi="Arial" w:eastAsia="Malgun Gothic"/>
                      <w:sz w:val="32"/>
                      <w:szCs w:val="32"/>
                    </w:rPr>
                  </w:pPr>
                  <w:r>
                    <w:rPr>
                      <w:rFonts w:ascii="Arial" w:hAnsi="Arial" w:eastAsia="Malgun Gothic"/>
                      <w:sz w:val="32"/>
                      <w:szCs w:val="32"/>
                    </w:rPr>
                    <w:t>10.1          UE procedure for determining physical downlink control channel assignment</w:t>
                  </w:r>
                </w:p>
                <w:p>
                  <w:pPr>
                    <w:widowControl w:val="0"/>
                    <w:spacing w:before="180"/>
                    <w:rPr>
                      <w:b/>
                      <w:sz w:val="20"/>
                    </w:rPr>
                  </w:pPr>
                  <w:r>
                    <w:rPr>
                      <w:b/>
                      <w:sz w:val="20"/>
                    </w:rPr>
                    <w:t>…</w:t>
                  </w:r>
                </w:p>
                <w:p>
                  <w:pPr>
                    <w:widowControl w:val="0"/>
                    <w:spacing w:before="180"/>
                    <w:rPr>
                      <w:sz w:val="20"/>
                    </w:rPr>
                  </w:pPr>
                  <w:r>
                    <w:rPr>
                      <w:sz w:val="20"/>
                    </w:rPr>
                    <w:t xml:space="preserve">Table 10.1-3B provides the maximum number of non-overlapped CCEs, </w:t>
                  </w:r>
                  <m:oMath>
                    <m:sSubSup>
                      <m:sSubSupPr>
                        <m:ctrlPr>
                          <w:rPr>
                            <w:rFonts w:ascii="Cambria Math" w:hAnsi="Cambria Math"/>
                            <w:i/>
                            <w:sz w:val="20"/>
                            <w:lang w:eastAsia="zh-CN"/>
                          </w:rPr>
                        </m:ctrlPr>
                      </m:sSubSupPr>
                      <m:e>
                        <m:r>
                          <w:rPr>
                            <w:rFonts w:ascii="Cambria Math" w:hAnsi="Cambria Math"/>
                            <w:sz w:val="20"/>
                            <w:lang w:eastAsia="zh-CN"/>
                          </w:rPr>
                          <m:t>C</m:t>
                        </m:r>
                        <m:ctrlPr>
                          <w:rPr>
                            <w:rFonts w:ascii="Cambria Math" w:hAnsi="Cambria Math"/>
                            <w:i/>
                            <w:sz w:val="20"/>
                            <w:lang w:eastAsia="zh-CN"/>
                          </w:rPr>
                        </m:ctrlPr>
                      </m:e>
                      <m:sub>
                        <m:r>
                          <m:rPr>
                            <m:sty m:val="p"/>
                          </m:rPr>
                          <w:rPr>
                            <w:rFonts w:ascii="Cambria Math" w:hAnsi="Cambria Math"/>
                            <w:sz w:val="20"/>
                            <w:lang w:eastAsia="zh-CN"/>
                          </w:rPr>
                          <m:t>PDCCH</m:t>
                        </m:r>
                        <m:ctrlPr>
                          <w:rPr>
                            <w:rFonts w:ascii="Cambria Math" w:hAnsi="Cambria Math"/>
                            <w:i/>
                            <w:sz w:val="20"/>
                            <w:lang w:eastAsia="zh-CN"/>
                          </w:rPr>
                        </m:ctrlPr>
                      </m:sub>
                      <m:sup>
                        <m:r>
                          <w:rPr>
                            <w:rFonts w:ascii="Cambria Math" w:hAnsi="Cambria Math"/>
                            <w:sz w:val="20"/>
                            <w:lang w:eastAsia="zh-CN"/>
                          </w:rPr>
                          <m:t>max,</m:t>
                        </m:r>
                        <m:d>
                          <m:dPr>
                            <m:ctrlPr>
                              <w:rPr>
                                <w:rFonts w:ascii="Cambria Math" w:hAnsi="Cambria Math"/>
                                <w:i/>
                                <w:sz w:val="20"/>
                                <w:lang w:eastAsia="zh-CN"/>
                              </w:rPr>
                            </m:ctrlPr>
                          </m:dPr>
                          <m:e>
                            <m:sSub>
                              <m:sSubPr>
                                <m:ctrlPr>
                                  <w:rPr>
                                    <w:rFonts w:ascii="Cambria Math" w:hAnsi="Cambria Math"/>
                                    <w:i/>
                                    <w:sz w:val="20"/>
                                    <w:lang w:eastAsia="zh-CN"/>
                                  </w:rPr>
                                </m:ctrlPr>
                              </m:sSubPr>
                              <m:e>
                                <m:r>
                                  <w:rPr>
                                    <w:rFonts w:ascii="Cambria Math" w:hAnsi="Cambria Math"/>
                                    <w:sz w:val="20"/>
                                    <w:lang w:eastAsia="zh-CN"/>
                                  </w:rPr>
                                  <m:t>X</m:t>
                                </m:r>
                                <m:ctrlPr>
                                  <w:rPr>
                                    <w:rFonts w:ascii="Cambria Math" w:hAnsi="Cambria Math"/>
                                    <w:i/>
                                    <w:sz w:val="20"/>
                                    <w:lang w:eastAsia="zh-CN"/>
                                  </w:rPr>
                                </m:ctrlPr>
                              </m:e>
                              <m:sub>
                                <m:r>
                                  <w:rPr>
                                    <w:rFonts w:ascii="Cambria Math" w:hAnsi="Cambria Math"/>
                                    <w:sz w:val="20"/>
                                    <w:lang w:eastAsia="zh-CN"/>
                                  </w:rPr>
                                  <m:t>s</m:t>
                                </m:r>
                                <m:ctrlPr>
                                  <w:rPr>
                                    <w:rFonts w:ascii="Cambria Math" w:hAnsi="Cambria Math"/>
                                    <w:i/>
                                    <w:sz w:val="20"/>
                                    <w:lang w:eastAsia="zh-CN"/>
                                  </w:rPr>
                                </m:ctrlPr>
                              </m:sub>
                            </m:sSub>
                            <m:r>
                              <w:rPr>
                                <w:rFonts w:ascii="Cambria Math" w:hAnsi="Cambria Math"/>
                                <w:sz w:val="20"/>
                                <w:lang w:eastAsia="zh-CN"/>
                              </w:rPr>
                              <m:t>,</m:t>
                            </m:r>
                            <m:sSub>
                              <m:sSubPr>
                                <m:ctrlPr>
                                  <w:rPr>
                                    <w:rFonts w:ascii="Cambria Math" w:hAnsi="Cambria Math"/>
                                    <w:i/>
                                    <w:sz w:val="20"/>
                                    <w:lang w:eastAsia="zh-CN"/>
                                  </w:rPr>
                                </m:ctrlPr>
                              </m:sSubPr>
                              <m:e>
                                <m:r>
                                  <w:rPr>
                                    <w:rFonts w:ascii="Cambria Math" w:hAnsi="Cambria Math"/>
                                    <w:sz w:val="20"/>
                                    <w:lang w:eastAsia="zh-CN"/>
                                  </w:rPr>
                                  <m:t>Y</m:t>
                                </m:r>
                                <m:ctrlPr>
                                  <w:rPr>
                                    <w:rFonts w:ascii="Cambria Math" w:hAnsi="Cambria Math"/>
                                    <w:i/>
                                    <w:sz w:val="20"/>
                                    <w:lang w:eastAsia="zh-CN"/>
                                  </w:rPr>
                                </m:ctrlPr>
                              </m:e>
                              <m:sub>
                                <m:r>
                                  <w:rPr>
                                    <w:rFonts w:ascii="Cambria Math" w:hAnsi="Cambria Math"/>
                                    <w:sz w:val="20"/>
                                    <w:lang w:eastAsia="zh-CN"/>
                                  </w:rPr>
                                  <m:t>s</m:t>
                                </m:r>
                                <m:ctrlPr>
                                  <w:rPr>
                                    <w:rFonts w:ascii="Cambria Math" w:hAnsi="Cambria Math"/>
                                    <w:i/>
                                    <w:sz w:val="20"/>
                                    <w:lang w:eastAsia="zh-CN"/>
                                  </w:rPr>
                                </m:ctrlPr>
                              </m:sub>
                            </m:sSub>
                            <m:ctrlPr>
                              <w:rPr>
                                <w:rFonts w:ascii="Cambria Math" w:hAnsi="Cambria Math"/>
                                <w:i/>
                                <w:sz w:val="20"/>
                                <w:lang w:eastAsia="zh-CN"/>
                              </w:rPr>
                            </m:ctrlPr>
                          </m:e>
                        </m:d>
                        <m:r>
                          <w:rPr>
                            <w:rFonts w:ascii="Cambria Math" w:hAnsi="Cambria Math"/>
                            <w:sz w:val="20"/>
                            <w:lang w:eastAsia="zh-CN"/>
                          </w:rPr>
                          <m:t>,μ</m:t>
                        </m:r>
                        <m:ctrlPr>
                          <w:rPr>
                            <w:rFonts w:ascii="Cambria Math" w:hAnsi="Cambria Math"/>
                            <w:i/>
                            <w:sz w:val="20"/>
                            <w:lang w:eastAsia="zh-CN"/>
                          </w:rPr>
                        </m:ctrlPr>
                      </m:sup>
                    </m:sSubSup>
                  </m:oMath>
                  <w:r>
                    <w:rPr>
                      <w:sz w:val="20"/>
                    </w:rPr>
                    <w:t xml:space="preserve">, for a DL BWP with SCS configuration </w:t>
                  </w:r>
                  <m:oMath>
                    <m:r>
                      <w:rPr>
                        <w:rFonts w:ascii="Cambria Math" w:hAnsi="Cambria Math"/>
                        <w:sz w:val="20"/>
                        <w:lang w:eastAsia="zh-CN"/>
                      </w:rPr>
                      <m:t>μ</m:t>
                    </m:r>
                  </m:oMath>
                  <w:r>
                    <w:rPr>
                      <w:sz w:val="20"/>
                    </w:rPr>
                    <w:t xml:space="preserve"> that a UE is expected to monitor corresponding PDCCH candidates for combination </w:t>
                  </w:r>
                  <m:oMath>
                    <m:d>
                      <m:dPr>
                        <m:ctrlPr>
                          <w:rPr>
                            <w:rFonts w:ascii="Cambria Math" w:hAnsi="Cambria Math"/>
                            <w:i/>
                            <w:sz w:val="20"/>
                          </w:rPr>
                        </m:ctrlPr>
                      </m:dPr>
                      <m:e>
                        <m:sSub>
                          <m:sSubPr>
                            <m:ctrlPr>
                              <w:rPr>
                                <w:rFonts w:ascii="Cambria Math" w:hAnsi="Cambria Math"/>
                                <w:i/>
                                <w:sz w:val="20"/>
                                <w:lang w:eastAsia="zh-CN"/>
                              </w:rPr>
                            </m:ctrlPr>
                          </m:sSubPr>
                          <m:e>
                            <m:r>
                              <w:rPr>
                                <w:rFonts w:ascii="Cambria Math" w:hAnsi="Cambria Math"/>
                                <w:sz w:val="20"/>
                                <w:lang w:eastAsia="zh-CN"/>
                              </w:rPr>
                              <m:t>X</m:t>
                            </m:r>
                            <m:ctrlPr>
                              <w:rPr>
                                <w:rFonts w:ascii="Cambria Math" w:hAnsi="Cambria Math"/>
                                <w:i/>
                                <w:sz w:val="20"/>
                                <w:lang w:eastAsia="zh-CN"/>
                              </w:rPr>
                            </m:ctrlPr>
                          </m:e>
                          <m:sub>
                            <m:r>
                              <w:rPr>
                                <w:rFonts w:ascii="Cambria Math" w:hAnsi="Cambria Math"/>
                                <w:sz w:val="20"/>
                                <w:lang w:eastAsia="zh-CN"/>
                              </w:rPr>
                              <m:t>s</m:t>
                            </m:r>
                            <m:ctrlPr>
                              <w:rPr>
                                <w:rFonts w:ascii="Cambria Math" w:hAnsi="Cambria Math"/>
                                <w:i/>
                                <w:sz w:val="20"/>
                                <w:lang w:eastAsia="zh-CN"/>
                              </w:rPr>
                            </m:ctrlPr>
                          </m:sub>
                        </m:sSub>
                        <m:r>
                          <w:rPr>
                            <w:rFonts w:ascii="Cambria Math" w:hAnsi="Cambria Math"/>
                            <w:sz w:val="20"/>
                            <w:lang w:eastAsia="zh-CN"/>
                          </w:rPr>
                          <m:t>,</m:t>
                        </m:r>
                        <m:sSub>
                          <m:sSubPr>
                            <m:ctrlPr>
                              <w:rPr>
                                <w:rFonts w:ascii="Cambria Math" w:hAnsi="Cambria Math"/>
                                <w:i/>
                                <w:sz w:val="20"/>
                                <w:lang w:eastAsia="zh-CN"/>
                              </w:rPr>
                            </m:ctrlPr>
                          </m:sSubPr>
                          <m:e>
                            <m:r>
                              <w:rPr>
                                <w:rFonts w:ascii="Cambria Math" w:hAnsi="Cambria Math"/>
                                <w:sz w:val="20"/>
                                <w:lang w:eastAsia="zh-CN"/>
                              </w:rPr>
                              <m:t>Y</m:t>
                            </m:r>
                            <m:ctrlPr>
                              <w:rPr>
                                <w:rFonts w:ascii="Cambria Math" w:hAnsi="Cambria Math"/>
                                <w:i/>
                                <w:sz w:val="20"/>
                                <w:lang w:eastAsia="zh-CN"/>
                              </w:rPr>
                            </m:ctrlPr>
                          </m:e>
                          <m:sub>
                            <m:r>
                              <w:rPr>
                                <w:rFonts w:ascii="Cambria Math" w:hAnsi="Cambria Math"/>
                                <w:sz w:val="20"/>
                                <w:lang w:eastAsia="zh-CN"/>
                              </w:rPr>
                              <m:t>s</m:t>
                            </m:r>
                            <m:ctrlPr>
                              <w:rPr>
                                <w:rFonts w:ascii="Cambria Math" w:hAnsi="Cambria Math"/>
                                <w:i/>
                                <w:sz w:val="20"/>
                                <w:lang w:eastAsia="zh-CN"/>
                              </w:rPr>
                            </m:ctrlPr>
                          </m:sub>
                        </m:sSub>
                        <m:ctrlPr>
                          <w:rPr>
                            <w:rFonts w:ascii="Cambria Math" w:hAnsi="Cambria Math"/>
                            <w:i/>
                            <w:sz w:val="20"/>
                          </w:rPr>
                        </m:ctrlPr>
                      </m:e>
                    </m:d>
                  </m:oMath>
                  <w:r>
                    <w:rPr>
                      <w:sz w:val="20"/>
                    </w:rPr>
                    <w:t xml:space="preserve"> for operation with a single serving cell.</w:t>
                  </w:r>
                </w:p>
                <w:p>
                  <w:pPr>
                    <w:pStyle w:val="120"/>
                    <w:widowControl w:val="0"/>
                  </w:pPr>
                  <w:r>
                    <w:t xml:space="preserve">Table 10.1-3B: Maximum number </w:t>
                  </w:r>
                  <m:oMath>
                    <m:sSubSup>
                      <m:sSubSupPr>
                        <m:ctrlPr>
                          <w:rPr>
                            <w:rFonts w:ascii="Cambria Math" w:hAnsi="Cambria Math"/>
                            <w:i/>
                            <w:lang w:eastAsia="zh-CN"/>
                          </w:rPr>
                        </m:ctrlPr>
                      </m:sSubSupPr>
                      <m:e>
                        <m:r>
                          <m:rPr>
                            <m:sty m:val="bi"/>
                          </m:rPr>
                          <w:rPr>
                            <w:rFonts w:ascii="Cambria Math" w:hAnsi="Cambria Math"/>
                            <w:lang w:eastAsia="zh-CN"/>
                          </w:rPr>
                          <m:t>C</m:t>
                        </m:r>
                        <m:ctrlPr>
                          <w:rPr>
                            <w:rFonts w:ascii="Cambria Math" w:hAnsi="Cambria Math"/>
                            <w:i/>
                            <w:lang w:eastAsia="zh-CN"/>
                          </w:rPr>
                        </m:ctrlPr>
                      </m:e>
                      <m:sub>
                        <m:r>
                          <m:rPr>
                            <m:sty m:val="b"/>
                          </m:rPr>
                          <w:rPr>
                            <w:rFonts w:ascii="Cambria Math" w:hAnsi="Cambria Math"/>
                            <w:lang w:eastAsia="zh-CN"/>
                          </w:rPr>
                          <m:t>PDCCH</m:t>
                        </m:r>
                        <m:ctrlPr>
                          <w:rPr>
                            <w:rFonts w:ascii="Cambria Math" w:hAnsi="Cambria Math"/>
                            <w:i/>
                            <w:lang w:eastAsia="zh-CN"/>
                          </w:rPr>
                        </m:ctrlP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),μ</m:t>
                        </m:r>
                        <m:ctrlPr>
                          <w:rPr>
                            <w:rFonts w:ascii="Cambria Math" w:hAnsi="Cambria Math"/>
                            <w:i/>
                            <w:lang w:eastAsia="zh-CN"/>
                          </w:rPr>
                        </m:ctrlP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ctrlPr>
                          <w:rPr>
                            <w:rFonts w:ascii="Cambria Math" w:hAnsi="Cambria Math"/>
                            <w:i/>
                            <w:lang w:eastAsia="zh-CN"/>
                          </w:rPr>
                        </m:ctrlPr>
                      </m:e>
                    </m:d>
                  </m:oMath>
                  <w:r>
                    <w:t xml:space="preserve"> for a single serving cell</w:t>
                  </w:r>
                </w:p>
                <w:tbl>
                  <w:tblPr>
                    <w:tblStyle w:val="54"/>
                    <w:tblW w:w="66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794"/>
                    <w:gridCol w:w="1451"/>
                    <w:gridCol w:w="1530"/>
                    <w:gridCol w:w="1440"/>
                    <w:gridCol w:w="14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794" w:type="dxa"/>
                        <w:shd w:val="clear" w:color="auto" w:fill="E0E0E0"/>
                        <w:vAlign w:val="center"/>
                      </w:tcPr>
                      <w:p>
                        <w:pPr>
                          <w:pStyle w:val="90"/>
                          <w:rPr>
                            <w:rFonts w:ascii="Times New Roman" w:hAnsi="Times New Roman"/>
                            <w:sz w:val="20"/>
                          </w:rPr>
                        </w:pPr>
                      </w:p>
                    </w:tc>
                    <w:tc>
                      <w:tcPr>
                        <w:tcW w:w="5861" w:type="dxa"/>
                        <w:gridSpan w:val="4"/>
                        <w:shd w:val="clear" w:color="auto" w:fill="E0E0E0"/>
                        <w:vAlign w:val="center"/>
                      </w:tcPr>
                      <w:p>
                        <w:pPr>
                          <w:pStyle w:val="120"/>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ctrlPr>
                                <w:rPr>
                                  <w:rFonts w:ascii="Cambria Math" w:hAnsi="Cambria Math"/>
                                  <w:i/>
                                  <w:sz w:val="18"/>
                                  <w:szCs w:val="18"/>
                                  <w:lang w:eastAsia="zh-CN"/>
                                </w:rPr>
                              </m:ctrlPr>
                            </m:e>
                            <m:sub>
                              <m:r>
                                <m:rPr>
                                  <m:sty m:val="b"/>
                                </m:rPr>
                                <w:rPr>
                                  <w:rFonts w:ascii="Cambria Math" w:hAnsi="Cambria Math"/>
                                  <w:sz w:val="18"/>
                                  <w:szCs w:val="18"/>
                                  <w:lang w:eastAsia="zh-CN"/>
                                </w:rPr>
                                <m:t>PDCCH</m:t>
                              </m:r>
                              <m:ctrlPr>
                                <w:rPr>
                                  <w:rFonts w:ascii="Cambria Math" w:hAnsi="Cambria Math"/>
                                  <w:i/>
                                  <w:sz w:val="18"/>
                                  <w:szCs w:val="18"/>
                                  <w:lang w:eastAsia="zh-CN"/>
                                </w:rPr>
                              </m:ctrlP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),μ</m:t>
                              </m:r>
                              <m:ctrlPr>
                                <w:rPr>
                                  <w:rFonts w:ascii="Cambria Math" w:hAnsi="Cambria Math"/>
                                  <w:i/>
                                  <w:sz w:val="18"/>
                                  <w:szCs w:val="18"/>
                                  <w:lang w:eastAsia="zh-CN"/>
                                </w:rPr>
                              </m:ctrlPr>
                            </m:sup>
                          </m:sSubSup>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794" w:type="dxa"/>
                        <w:shd w:val="clear" w:color="auto" w:fill="E0E0E0"/>
                        <w:vAlign w:val="center"/>
                      </w:tcPr>
                      <w:p>
                        <w:pPr>
                          <w:pStyle w:val="114"/>
                        </w:pPr>
                        <m:oMathPara>
                          <m:oMath>
                            <m:r>
                              <m:rPr>
                                <m:sty m:val="bi"/>
                              </m:rPr>
                              <w:rPr>
                                <w:rFonts w:ascii="Cambria Math" w:hAnsi="Cambria Math"/>
                                <w:lang w:eastAsia="zh-CN"/>
                              </w:rPr>
                              <m:t>μ</m:t>
                            </m:r>
                          </m:oMath>
                        </m:oMathPara>
                      </w:p>
                    </w:tc>
                    <w:tc>
                      <w:tcPr>
                        <w:tcW w:w="1451" w:type="dxa"/>
                        <w:vAlign w:val="center"/>
                      </w:tcPr>
                      <w:p>
                        <w:pPr>
                          <w:pStyle w:val="114"/>
                        </w:pPr>
                        <w:r>
                          <w:t>(4, 1)</w:t>
                        </w:r>
                      </w:p>
                    </w:tc>
                    <w:tc>
                      <w:tcPr>
                        <w:tcW w:w="1530" w:type="dxa"/>
                      </w:tcPr>
                      <w:p>
                        <w:pPr>
                          <w:pStyle w:val="114"/>
                        </w:pPr>
                        <w:r>
                          <w:t>(4, 2)</w:t>
                        </w:r>
                      </w:p>
                    </w:tc>
                    <w:tc>
                      <w:tcPr>
                        <w:tcW w:w="1440" w:type="dxa"/>
                      </w:tcPr>
                      <w:p>
                        <w:pPr>
                          <w:pStyle w:val="114"/>
                        </w:pPr>
                        <w:r>
                          <w:t>(8, 1)</w:t>
                        </w:r>
                      </w:p>
                    </w:tc>
                    <w:tc>
                      <w:tcPr>
                        <w:tcW w:w="1440" w:type="dxa"/>
                      </w:tcPr>
                      <w:p>
                        <w:pPr>
                          <w:pStyle w:val="114"/>
                        </w:pPr>
                        <w:r>
                          <w:t>(8, 4)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794" w:type="dxa"/>
                        <w:vAlign w:val="center"/>
                      </w:tcPr>
                      <w:p>
                        <w:pPr>
                          <w:pStyle w:val="114"/>
                        </w:pPr>
                        <w:r>
                          <w:t>5</w:t>
                        </w:r>
                      </w:p>
                    </w:tc>
                    <w:tc>
                      <w:tcPr>
                        <w:tcW w:w="1451" w:type="dxa"/>
                      </w:tcPr>
                      <w:p>
                        <w:pPr>
                          <w:pStyle w:val="114"/>
                        </w:pPr>
                        <w:r>
                          <w:t>32</w:t>
                        </w:r>
                      </w:p>
                    </w:tc>
                    <w:tc>
                      <w:tcPr>
                        <w:tcW w:w="1530" w:type="dxa"/>
                      </w:tcPr>
                      <w:p>
                        <w:pPr>
                          <w:pStyle w:val="114"/>
                        </w:pPr>
                        <w:r>
                          <w:t>32</w:t>
                        </w:r>
                      </w:p>
                    </w:tc>
                    <w:tc>
                      <w:tcPr>
                        <w:tcW w:w="1440" w:type="dxa"/>
                      </w:tcPr>
                      <w:p>
                        <w:pPr>
                          <w:pStyle w:val="114"/>
                        </w:pPr>
                        <w:r>
                          <w:t>-</w:t>
                        </w:r>
                      </w:p>
                    </w:tc>
                    <w:tc>
                      <w:tcPr>
                        <w:tcW w:w="1440" w:type="dxa"/>
                      </w:tcPr>
                      <w:p>
                        <w:pPr>
                          <w:pStyle w:val="114"/>
                        </w:pP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794" w:type="dxa"/>
                        <w:vAlign w:val="center"/>
                      </w:tcPr>
                      <w:p>
                        <w:pPr>
                          <w:pStyle w:val="114"/>
                        </w:pPr>
                        <w:r>
                          <w:t>6</w:t>
                        </w:r>
                      </w:p>
                    </w:tc>
                    <w:tc>
                      <w:tcPr>
                        <w:tcW w:w="1451" w:type="dxa"/>
                      </w:tcPr>
                      <w:p>
                        <w:pPr>
                          <w:pStyle w:val="114"/>
                          <w:rPr>
                            <w:strike/>
                            <w:color w:val="FF0000"/>
                          </w:rPr>
                        </w:pPr>
                        <w:r>
                          <w:rPr>
                            <w:strike/>
                            <w:color w:val="FF0000"/>
                          </w:rPr>
                          <w:t xml:space="preserve">16 </w:t>
                        </w:r>
                        <w:r>
                          <w:rPr>
                            <w:color w:val="FF0000"/>
                          </w:rPr>
                          <w:t>[28]</w:t>
                        </w:r>
                      </w:p>
                    </w:tc>
                    <w:tc>
                      <w:tcPr>
                        <w:tcW w:w="1530" w:type="dxa"/>
                      </w:tcPr>
                      <w:p>
                        <w:pPr>
                          <w:pStyle w:val="114"/>
                          <w:rPr>
                            <w:strike/>
                            <w:color w:val="FF0000"/>
                          </w:rPr>
                        </w:pPr>
                        <w:r>
                          <w:rPr>
                            <w:strike/>
                            <w:color w:val="FF0000"/>
                          </w:rPr>
                          <w:t>16</w:t>
                        </w:r>
                        <w:r>
                          <w:rPr>
                            <w:color w:val="FF0000"/>
                          </w:rPr>
                          <w:t>[28]</w:t>
                        </w:r>
                      </w:p>
                    </w:tc>
                    <w:tc>
                      <w:tcPr>
                        <w:tcW w:w="1440" w:type="dxa"/>
                      </w:tcPr>
                      <w:p>
                        <w:pPr>
                          <w:pStyle w:val="114"/>
                        </w:pPr>
                        <w:r>
                          <w:t>32</w:t>
                        </w:r>
                      </w:p>
                    </w:tc>
                    <w:tc>
                      <w:tcPr>
                        <w:tcW w:w="1440" w:type="dxa"/>
                      </w:tcPr>
                      <w:p>
                        <w:pPr>
                          <w:pStyle w:val="114"/>
                        </w:pPr>
                        <w:r>
                          <w:t>32</w:t>
                        </w:r>
                      </w:p>
                    </w:tc>
                  </w:tr>
                </w:tbl>
                <w:p>
                  <w:pPr>
                    <w:widowControl w:val="0"/>
                    <w:spacing w:before="240" w:after="0"/>
                    <w:jc w:val="center"/>
                    <w:rPr>
                      <w:b/>
                      <w:color w:val="FF0000"/>
                    </w:rPr>
                  </w:pPr>
                  <w:r>
                    <w:rPr>
                      <w:b/>
                      <w:color w:val="FF0000"/>
                    </w:rPr>
                    <w:t>&lt;Unchanged parts omitted&gt;</w:t>
                  </w:r>
                </w:p>
                <w:p>
                  <w:pPr>
                    <w:widowControl w:val="0"/>
                    <w:jc w:val="center"/>
                  </w:pPr>
                  <w:r>
                    <w:rPr>
                      <w:b/>
                      <w:color w:val="FF0000"/>
                    </w:rPr>
                    <w:t>-------------------------- End of Text Proposal for TS 38.213 --------------------------</w:t>
                  </w:r>
                </w:p>
              </w:tc>
            </w:tr>
          </w:tbl>
          <w:p>
            <w:pPr>
              <w:widowControl w:val="0"/>
              <w:rPr>
                <w:b/>
                <w:bCs/>
                <w:szCs w:val="18"/>
              </w:rPr>
            </w:pPr>
          </w:p>
          <w:p>
            <w:pPr>
              <w:widowControl w:val="0"/>
              <w:rPr>
                <w:szCs w:val="18"/>
              </w:rPr>
            </w:pPr>
            <w:r>
              <w:rPr>
                <w:szCs w:val="18"/>
              </w:rPr>
              <w:t xml:space="preserve">At the last RAN1 meeting, some companies pointed out that BD/CCE budget for multi-cell operation,  </w:t>
            </w:r>
            <m:oMath>
              <m:sSubSup>
                <m:sSubSupPr>
                  <m:ctrlPr>
                    <w:rPr>
                      <w:rFonts w:ascii="Cambria Math" w:hAnsi="Cambria Math"/>
                      <w:iCs/>
                    </w:rPr>
                  </m:ctrlPr>
                </m:sSubSupPr>
                <m:e>
                  <m:r>
                    <w:rPr>
                      <w:rFonts w:ascii="Cambria Math" w:hAnsi="Cambria Math"/>
                    </w:rPr>
                    <m:t>M</m:t>
                  </m:r>
                  <m:ctrlPr>
                    <w:rPr>
                      <w:rFonts w:ascii="Cambria Math" w:hAnsi="Cambria Math"/>
                      <w:iCs/>
                    </w:rPr>
                  </m:ctrlPr>
                </m:e>
                <m:sub>
                  <m:r>
                    <m:rPr>
                      <m:nor/>
                      <m:sty m:val="p"/>
                    </m:rPr>
                    <w:rPr>
                      <w:iCs/>
                    </w:rPr>
                    <m:t>PDCCH</m:t>
                  </m:r>
                  <m:ctrlPr>
                    <w:rPr>
                      <w:rFonts w:ascii="Cambria Math" w:hAnsi="Cambria Math"/>
                      <w:iCs/>
                    </w:rPr>
                  </m:ctrlPr>
                </m:sub>
                <m:sup>
                  <m:r>
                    <m:rPr>
                      <m:nor/>
                      <m:sty m:val="p"/>
                    </m:rPr>
                    <w:rPr>
                      <w:iCs/>
                    </w:rPr>
                    <m:t>total,(</m:t>
                  </m:r>
                  <m:sSub>
                    <m:sSubPr>
                      <m:ctrlPr>
                        <w:rPr>
                          <w:rFonts w:ascii="Cambria Math" w:hAnsi="Cambria Math"/>
                          <w:iCs/>
                        </w:rPr>
                      </m:ctrlPr>
                    </m:sSubPr>
                    <m:e>
                      <m:r>
                        <m:rPr>
                          <m:sty m:val="p"/>
                        </m:rPr>
                        <w:rPr>
                          <w:rFonts w:ascii="Cambria Math" w:hAnsi="Cambria Math"/>
                        </w:rPr>
                        <m:t>X</m:t>
                      </m:r>
                      <m:ctrlPr>
                        <w:rPr>
                          <w:rFonts w:ascii="Cambria Math" w:hAnsi="Cambria Math"/>
                          <w:iCs/>
                        </w:rPr>
                      </m:ctrlPr>
                    </m:e>
                    <m:sub>
                      <m:r>
                        <m:rPr>
                          <m:sty m:val="p"/>
                        </m:rPr>
                        <w:rPr>
                          <w:rFonts w:ascii="Cambria Math" w:hAnsi="Cambria Math"/>
                        </w:rPr>
                        <m:t>s</m:t>
                      </m:r>
                      <m:ctrlPr>
                        <w:rPr>
                          <w:rFonts w:ascii="Cambria Math" w:hAnsi="Cambria Math"/>
                          <w:iCs/>
                        </w:rPr>
                      </m:ctrlP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Y</m:t>
                      </m:r>
                      <m:ctrlPr>
                        <w:rPr>
                          <w:rFonts w:ascii="Cambria Math" w:hAnsi="Cambria Math"/>
                          <w:iCs/>
                        </w:rPr>
                      </m:ctrlPr>
                    </m:e>
                    <m:sub>
                      <m:r>
                        <m:rPr>
                          <m:sty m:val="p"/>
                        </m:rPr>
                        <w:rPr>
                          <w:rFonts w:ascii="Cambria Math" w:hAnsi="Cambria Math"/>
                        </w:rPr>
                        <m:t>s</m:t>
                      </m:r>
                      <m:ctrlPr>
                        <w:rPr>
                          <w:rFonts w:ascii="Cambria Math" w:hAnsi="Cambria Math"/>
                          <w:iCs/>
                        </w:rPr>
                      </m:ctrlPr>
                    </m:sub>
                  </m:sSub>
                  <m:r>
                    <m:rPr>
                      <m:nor/>
                      <m:sty m:val="p"/>
                    </m:rPr>
                    <w:rPr>
                      <w:iCs/>
                    </w:rPr>
                    <m:t>),</m:t>
                  </m:r>
                  <m:r>
                    <m:rPr>
                      <m:sty m:val="p"/>
                    </m:rPr>
                    <w:rPr>
                      <w:rFonts w:ascii="Cambria Math" w:hAnsi="Cambria Math"/>
                    </w:rPr>
                    <m:t>μ</m:t>
                  </m:r>
                  <m:ctrlPr>
                    <w:rPr>
                      <w:rFonts w:ascii="Cambria Math" w:hAnsi="Cambria Math"/>
                      <w:iCs/>
                    </w:rPr>
                  </m:ctrlPr>
                </m:sup>
              </m:sSubSup>
              <m:r>
                <w:rPr>
                  <w:rFonts w:ascii="Cambria Math" w:hAnsi="Cambria Math"/>
                </w:rPr>
                <m:t xml:space="preserve"> </m:t>
              </m:r>
            </m:oMath>
            <w:r>
              <w:t xml:space="preserve">and </w:t>
            </w:r>
            <m:oMath>
              <m:sSubSup>
                <m:sSubSupPr>
                  <m:ctrlPr>
                    <w:rPr>
                      <w:rFonts w:ascii="Cambria Math" w:hAnsi="Cambria Math"/>
                      <w:iCs/>
                    </w:rPr>
                  </m:ctrlPr>
                </m:sSubSupPr>
                <m:e>
                  <m:r>
                    <w:rPr>
                      <w:rFonts w:ascii="Cambria Math" w:hAnsi="Cambria Math"/>
                    </w:rPr>
                    <m:t>C</m:t>
                  </m:r>
                  <m:ctrlPr>
                    <w:rPr>
                      <w:rFonts w:ascii="Cambria Math" w:hAnsi="Cambria Math"/>
                      <w:iCs/>
                    </w:rPr>
                  </m:ctrlPr>
                </m:e>
                <m:sub>
                  <m:r>
                    <m:rPr>
                      <m:nor/>
                      <m:sty m:val="p"/>
                    </m:rPr>
                    <w:rPr>
                      <w:iCs/>
                    </w:rPr>
                    <m:t>PDCCH</m:t>
                  </m:r>
                  <m:ctrlPr>
                    <w:rPr>
                      <w:rFonts w:ascii="Cambria Math" w:hAnsi="Cambria Math"/>
                      <w:iCs/>
                    </w:rPr>
                  </m:ctrlPr>
                </m:sub>
                <m:sup>
                  <m:r>
                    <m:rPr>
                      <m:nor/>
                      <m:sty m:val="p"/>
                    </m:rPr>
                    <w:rPr>
                      <w:iCs/>
                    </w:rPr>
                    <m:t>total,(</m:t>
                  </m:r>
                  <m:sSub>
                    <m:sSubPr>
                      <m:ctrlPr>
                        <w:rPr>
                          <w:rFonts w:ascii="Cambria Math" w:hAnsi="Cambria Math"/>
                          <w:iCs/>
                        </w:rPr>
                      </m:ctrlPr>
                    </m:sSubPr>
                    <m:e>
                      <m:r>
                        <m:rPr>
                          <m:sty m:val="p"/>
                        </m:rPr>
                        <w:rPr>
                          <w:rFonts w:ascii="Cambria Math" w:hAnsi="Cambria Math"/>
                        </w:rPr>
                        <m:t>X</m:t>
                      </m:r>
                      <m:ctrlPr>
                        <w:rPr>
                          <w:rFonts w:ascii="Cambria Math" w:hAnsi="Cambria Math"/>
                          <w:iCs/>
                        </w:rPr>
                      </m:ctrlPr>
                    </m:e>
                    <m:sub>
                      <m:r>
                        <m:rPr>
                          <m:sty m:val="p"/>
                        </m:rPr>
                        <w:rPr>
                          <w:rFonts w:ascii="Cambria Math" w:hAnsi="Cambria Math"/>
                        </w:rPr>
                        <m:t>s</m:t>
                      </m:r>
                      <m:ctrlPr>
                        <w:rPr>
                          <w:rFonts w:ascii="Cambria Math" w:hAnsi="Cambria Math"/>
                          <w:iCs/>
                        </w:rPr>
                      </m:ctrlP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Y</m:t>
                      </m:r>
                      <m:ctrlPr>
                        <w:rPr>
                          <w:rFonts w:ascii="Cambria Math" w:hAnsi="Cambria Math"/>
                          <w:iCs/>
                        </w:rPr>
                      </m:ctrlPr>
                    </m:e>
                    <m:sub>
                      <m:r>
                        <m:rPr>
                          <m:sty m:val="p"/>
                        </m:rPr>
                        <w:rPr>
                          <w:rFonts w:ascii="Cambria Math" w:hAnsi="Cambria Math"/>
                        </w:rPr>
                        <m:t>s</m:t>
                      </m:r>
                      <m:ctrlPr>
                        <w:rPr>
                          <w:rFonts w:ascii="Cambria Math" w:hAnsi="Cambria Math"/>
                          <w:iCs/>
                        </w:rPr>
                      </m:ctrlPr>
                    </m:sub>
                  </m:sSub>
                  <m:r>
                    <m:rPr>
                      <m:nor/>
                      <m:sty m:val="p"/>
                    </m:rPr>
                    <w:rPr>
                      <w:iCs/>
                    </w:rPr>
                    <m:t>),</m:t>
                  </m:r>
                  <m:r>
                    <m:rPr>
                      <m:sty m:val="p"/>
                    </m:rPr>
                    <w:rPr>
                      <w:rFonts w:ascii="Cambria Math" w:hAnsi="Cambria Math"/>
                    </w:rPr>
                    <m:t>μ</m:t>
                  </m:r>
                  <m:ctrlPr>
                    <w:rPr>
                      <w:rFonts w:ascii="Cambria Math" w:hAnsi="Cambria Math"/>
                      <w:iCs/>
                    </w:rPr>
                  </m:ctrlPr>
                </m:sup>
              </m:sSubSup>
            </m:oMath>
            <w:r>
              <w:rPr>
                <w:rFonts w:hint="eastAsia"/>
                <w:iCs/>
              </w:rPr>
              <w:t>,</w:t>
            </w:r>
            <w:r>
              <w:rPr>
                <w:iCs/>
              </w:rPr>
              <w:t xml:space="preserve"> </w:t>
            </w:r>
            <w:r>
              <w:rPr>
                <w:szCs w:val="18"/>
              </w:rPr>
              <w:t>need to be specified since the definitions are unclear while they are used in TS 38.213.</w:t>
            </w:r>
          </w:p>
          <w:p>
            <w:pPr>
              <w:widowControl w:val="0"/>
              <w:rPr>
                <w:szCs w:val="18"/>
              </w:rPr>
            </w:pPr>
            <w:r>
              <w:rPr>
                <w:szCs w:val="18"/>
              </w:rPr>
              <w:t xml:space="preserve">According to the specification, for Rel-16 URLLC, the total number of BD/CCE budget </w:t>
            </w:r>
            <m:oMath>
              <m:sSubSup>
                <m:sSubSupPr>
                  <m:ctrlPr>
                    <w:rPr>
                      <w:rFonts w:ascii="Cambria Math" w:hAnsi="Cambria Math"/>
                      <w:iCs/>
                    </w:rPr>
                  </m:ctrlPr>
                </m:sSubSupPr>
                <m:e>
                  <m:r>
                    <w:rPr>
                      <w:rFonts w:ascii="Cambria Math" w:hAnsi="Cambria Math"/>
                    </w:rPr>
                    <m:t>M</m:t>
                  </m:r>
                  <m:ctrlPr>
                    <w:rPr>
                      <w:rFonts w:ascii="Cambria Math" w:hAnsi="Cambria Math"/>
                      <w:iCs/>
                    </w:rPr>
                  </m:ctrlPr>
                </m:e>
                <m:sub>
                  <m:r>
                    <m:rPr>
                      <m:nor/>
                      <m:sty m:val="p"/>
                    </m:rPr>
                    <w:rPr>
                      <w:iCs/>
                    </w:rPr>
                    <m:t>PDCCH</m:t>
                  </m:r>
                  <m:ctrlPr>
                    <w:rPr>
                      <w:rFonts w:ascii="Cambria Math" w:hAnsi="Cambria Math"/>
                      <w:iCs/>
                    </w:rPr>
                  </m:ctrlPr>
                </m:sub>
                <m:sup>
                  <m:r>
                    <m:rPr>
                      <m:nor/>
                      <m:sty m:val="p"/>
                    </m:rPr>
                    <w:rPr>
                      <w:iCs/>
                    </w:rPr>
                    <m:t>total,(</m:t>
                  </m:r>
                  <m:r>
                    <w:rPr>
                      <w:rFonts w:ascii="Cambria Math" w:hAnsi="Cambria Math"/>
                    </w:rPr>
                    <m:t>X</m:t>
                  </m:r>
                  <m:r>
                    <m:rPr>
                      <m:sty m:val="p"/>
                    </m:rPr>
                    <w:rPr>
                      <w:rFonts w:ascii="Cambria Math" w:hAnsi="Cambria Math"/>
                    </w:rPr>
                    <m:t>,</m:t>
                  </m:r>
                  <m:r>
                    <w:rPr>
                      <w:rFonts w:ascii="Cambria Math" w:hAnsi="Cambria Math"/>
                    </w:rPr>
                    <m:t>Y</m:t>
                  </m:r>
                  <m:r>
                    <m:rPr>
                      <m:nor/>
                      <m:sty m:val="p"/>
                    </m:rPr>
                    <w:rPr>
                      <w:iCs/>
                    </w:rPr>
                    <m:t>),</m:t>
                  </m:r>
                  <m:r>
                    <m:rPr>
                      <m:sty m:val="p"/>
                    </m:rPr>
                    <w:rPr>
                      <w:rFonts w:ascii="Cambria Math" w:hAnsi="Cambria Math"/>
                    </w:rPr>
                    <m:t>μ</m:t>
                  </m:r>
                  <m:ctrlPr>
                    <w:rPr>
                      <w:rFonts w:ascii="Cambria Math" w:hAnsi="Cambria Math"/>
                      <w:iCs/>
                    </w:rPr>
                  </m:ctrlPr>
                </m:sup>
              </m:sSubSup>
              <m:r>
                <w:rPr>
                  <w:rFonts w:ascii="Cambria Math" w:hAnsi="Cambria Math"/>
                </w:rPr>
                <m:t xml:space="preserve"> </m:t>
              </m:r>
            </m:oMath>
            <w:r>
              <w:t xml:space="preserve">and </w:t>
            </w:r>
            <m:oMath>
              <m:sSubSup>
                <m:sSubSupPr>
                  <m:ctrlPr>
                    <w:rPr>
                      <w:rFonts w:ascii="Cambria Math" w:hAnsi="Cambria Math"/>
                      <w:iCs/>
                    </w:rPr>
                  </m:ctrlPr>
                </m:sSubSupPr>
                <m:e>
                  <m:r>
                    <w:rPr>
                      <w:rFonts w:ascii="Cambria Math" w:hAnsi="Cambria Math"/>
                    </w:rPr>
                    <m:t>C</m:t>
                  </m:r>
                  <m:ctrlPr>
                    <w:rPr>
                      <w:rFonts w:ascii="Cambria Math" w:hAnsi="Cambria Math"/>
                      <w:iCs/>
                    </w:rPr>
                  </m:ctrlPr>
                </m:e>
                <m:sub>
                  <m:r>
                    <m:rPr>
                      <m:nor/>
                      <m:sty m:val="p"/>
                    </m:rPr>
                    <w:rPr>
                      <w:iCs/>
                    </w:rPr>
                    <m:t>PDCCH</m:t>
                  </m:r>
                  <m:ctrlPr>
                    <w:rPr>
                      <w:rFonts w:ascii="Cambria Math" w:hAnsi="Cambria Math"/>
                      <w:iCs/>
                    </w:rPr>
                  </m:ctrlPr>
                </m:sub>
                <m:sup>
                  <m:r>
                    <m:rPr>
                      <m:nor/>
                      <m:sty m:val="p"/>
                    </m:rPr>
                    <w:rPr>
                      <w:iCs/>
                    </w:rPr>
                    <m:t>total,(</m:t>
                  </m:r>
                  <m:r>
                    <w:rPr>
                      <w:rFonts w:ascii="Cambria Math" w:hAnsi="Cambria Math"/>
                    </w:rPr>
                    <m:t>X</m:t>
                  </m:r>
                  <m:r>
                    <m:rPr>
                      <m:sty m:val="p"/>
                    </m:rPr>
                    <w:rPr>
                      <w:rFonts w:ascii="Cambria Math" w:hAnsi="Cambria Math"/>
                    </w:rPr>
                    <m:t>,Y</m:t>
                  </m:r>
                  <m:r>
                    <m:rPr>
                      <m:nor/>
                      <m:sty m:val="p"/>
                    </m:rPr>
                    <w:rPr>
                      <w:iCs/>
                    </w:rPr>
                    <m:t>),</m:t>
                  </m:r>
                  <m:r>
                    <m:rPr>
                      <m:sty m:val="p"/>
                    </m:rPr>
                    <w:rPr>
                      <w:rFonts w:ascii="Cambria Math" w:hAnsi="Cambria Math"/>
                    </w:rPr>
                    <m:t>μ</m:t>
                  </m:r>
                  <m:ctrlPr>
                    <w:rPr>
                      <w:rFonts w:ascii="Cambria Math" w:hAnsi="Cambria Math"/>
                      <w:iCs/>
                    </w:rPr>
                  </m:ctrlPr>
                </m:sup>
              </m:sSubSup>
            </m:oMath>
            <w:r>
              <w:rPr>
                <w:rFonts w:hint="eastAsia"/>
                <w:iCs/>
              </w:rPr>
              <w:t xml:space="preserve"> </w:t>
            </w:r>
            <w:r>
              <w:rPr>
                <w:szCs w:val="18"/>
              </w:rPr>
              <w:t>is determined to be shared for the cells which are configured with same SCS and same (X, Y) value for span PDCCH monitoring, which should be considered as a baseline.</w:t>
            </w:r>
          </w:p>
          <w:p>
            <w:pPr>
              <w:widowControl w:val="0"/>
              <w:rPr>
                <w:szCs w:val="18"/>
              </w:rPr>
            </w:pPr>
            <w:r>
              <w:rPr>
                <w:szCs w:val="18"/>
              </w:rPr>
              <w:t>For multi-slot PDCCH monitoring in Rel-17, considering that Ys does not have any impact on maximum BD/CCE budget for multi-slot PDCCH monitoring, the total number of BD/CCE can be shared for the cells which have same Xs configuration for multi-slot PDCCH monitoring. In addition, some companies proposed that the total BD/CCE budget can be shared for the cells which have same duration for BD/CCE budget, i.e., 1 slot for 120 kHz SCS and 4/8/ slots for 480/960 kHz SCS. However, it means that the total BD/CCE budget can be shared between the cells which have different SCSs (i.e., slot based PDCCH monitoring for 120 kHz SCS and multi-slot based PDCCH monitoring for 480/960 kHz SCS may share the BD/CCE budget) and may result additional complexity.</w:t>
            </w:r>
          </w:p>
          <w:p>
            <w:pPr>
              <w:widowControl w:val="0"/>
              <w:rPr>
                <w:szCs w:val="18"/>
              </w:rPr>
            </w:pPr>
          </w:p>
          <w:p>
            <w:pPr>
              <w:widowControl w:val="0"/>
              <w:jc w:val="both"/>
              <w:rPr>
                <w:b/>
                <w:u w:val="single"/>
              </w:rPr>
            </w:pPr>
            <w:r>
              <w:rPr>
                <w:rFonts w:hint="eastAsia"/>
                <w:b/>
                <w:bCs/>
              </w:rPr>
              <w:t>P</w:t>
            </w:r>
            <w:r>
              <w:rPr>
                <w:b/>
                <w:bCs/>
              </w:rPr>
              <w:t xml:space="preserve">roposal 2: The total number of BD/CCE for multi-cell operation </w:t>
            </w:r>
            <m:oMath>
              <m:sSubSup>
                <m:sSubSupPr>
                  <m:ctrlPr>
                    <w:rPr>
                      <w:rFonts w:ascii="Cambria Math" w:hAnsi="Cambria Math"/>
                      <w:b/>
                      <w:bCs/>
                      <w:iCs/>
                    </w:rPr>
                  </m:ctrlPr>
                </m:sSubSupPr>
                <m:e>
                  <m:r>
                    <m:rPr>
                      <m:sty m:val="bi"/>
                    </m:rPr>
                    <w:rPr>
                      <w:rFonts w:ascii="Cambria Math" w:hAnsi="Cambria Math"/>
                    </w:rPr>
                    <m:t>M</m:t>
                  </m:r>
                  <m:ctrlPr>
                    <w:rPr>
                      <w:rFonts w:ascii="Cambria Math" w:hAnsi="Cambria Math"/>
                      <w:b/>
                      <w:bCs/>
                      <w:iCs/>
                    </w:rPr>
                  </m:ctrlPr>
                </m:e>
                <m:sub>
                  <m:r>
                    <m:rPr>
                      <m:nor/>
                      <m:sty m:val="b"/>
                    </m:rPr>
                    <w:rPr>
                      <w:b/>
                      <w:bCs/>
                      <w:iCs/>
                    </w:rPr>
                    <m:t>PDCCH</m:t>
                  </m:r>
                  <m:ctrlPr>
                    <w:rPr>
                      <w:rFonts w:ascii="Cambria Math" w:hAnsi="Cambria Math"/>
                      <w:b/>
                      <w:bCs/>
                      <w:iCs/>
                    </w:rPr>
                  </m:ctrlPr>
                </m:sub>
                <m:sup>
                  <m:r>
                    <m:rPr>
                      <m:nor/>
                      <m:sty m:val="b"/>
                    </m:rPr>
                    <w:rPr>
                      <w:b/>
                      <w:bCs/>
                      <w:iCs/>
                    </w:rPr>
                    <m:t>total,(</m:t>
                  </m:r>
                  <m:sSub>
                    <m:sSubPr>
                      <m:ctrlPr>
                        <w:rPr>
                          <w:rFonts w:ascii="Cambria Math" w:hAnsi="Cambria Math"/>
                          <w:b/>
                          <w:bCs/>
                          <w:iCs/>
                        </w:rPr>
                      </m:ctrlPr>
                    </m:sSubPr>
                    <m:e>
                      <m:r>
                        <m:rPr>
                          <m:sty m:val="b"/>
                        </m:rPr>
                        <w:rPr>
                          <w:rFonts w:ascii="Cambria Math" w:hAnsi="Cambria Math"/>
                        </w:rPr>
                        <m:t>X</m:t>
                      </m:r>
                      <m:ctrlPr>
                        <w:rPr>
                          <w:rFonts w:ascii="Cambria Math" w:hAnsi="Cambria Math"/>
                          <w:b/>
                          <w:bCs/>
                          <w:iCs/>
                        </w:rPr>
                      </m:ctrlPr>
                    </m:e>
                    <m:sub>
                      <m:r>
                        <m:rPr>
                          <m:sty m:val="b"/>
                        </m:rPr>
                        <w:rPr>
                          <w:rFonts w:ascii="Cambria Math" w:hAnsi="Cambria Math"/>
                        </w:rPr>
                        <m:t>s</m:t>
                      </m:r>
                      <m:ctrlPr>
                        <w:rPr>
                          <w:rFonts w:ascii="Cambria Math" w:hAnsi="Cambria Math"/>
                          <w:b/>
                          <w:bCs/>
                          <w:iCs/>
                        </w:rPr>
                      </m:ctrlPr>
                    </m:sub>
                  </m:sSub>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Y</m:t>
                      </m:r>
                      <m:ctrlPr>
                        <w:rPr>
                          <w:rFonts w:ascii="Cambria Math" w:hAnsi="Cambria Math"/>
                          <w:b/>
                          <w:bCs/>
                          <w:iCs/>
                        </w:rPr>
                      </m:ctrlPr>
                    </m:e>
                    <m:sub>
                      <m:r>
                        <m:rPr>
                          <m:sty m:val="b"/>
                        </m:rPr>
                        <w:rPr>
                          <w:rFonts w:ascii="Cambria Math" w:hAnsi="Cambria Math"/>
                        </w:rPr>
                        <m:t>s</m:t>
                      </m:r>
                      <m:ctrlPr>
                        <w:rPr>
                          <w:rFonts w:ascii="Cambria Math" w:hAnsi="Cambria Math"/>
                          <w:b/>
                          <w:bCs/>
                          <w:iCs/>
                        </w:rPr>
                      </m:ctrlPr>
                    </m:sub>
                  </m:sSub>
                  <m:r>
                    <m:rPr>
                      <m:nor/>
                      <m:sty m:val="b"/>
                    </m:rPr>
                    <w:rPr>
                      <w:b/>
                      <w:bCs/>
                      <w:iCs/>
                    </w:rPr>
                    <m:t>),</m:t>
                  </m:r>
                  <m:r>
                    <m:rPr>
                      <m:sty m:val="b"/>
                    </m:rPr>
                    <w:rPr>
                      <w:rFonts w:ascii="Cambria Math" w:hAnsi="Cambria Math"/>
                    </w:rPr>
                    <m:t>μ</m:t>
                  </m:r>
                  <m:ctrlPr>
                    <w:rPr>
                      <w:rFonts w:ascii="Cambria Math" w:hAnsi="Cambria Math"/>
                      <w:b/>
                      <w:bCs/>
                      <w:iCs/>
                    </w:rPr>
                  </m:ctrlPr>
                </m:sup>
              </m:sSubSup>
              <m:r>
                <m:rPr>
                  <m:sty m:val="bi"/>
                </m:rPr>
                <w:rPr>
                  <w:rFonts w:ascii="Cambria Math" w:hAnsi="Cambria Math"/>
                </w:rPr>
                <m:t xml:space="preserve"> </m:t>
              </m:r>
            </m:oMath>
            <w:r>
              <w:rPr>
                <w:b/>
                <w:bCs/>
              </w:rPr>
              <w:t xml:space="preserve">and </w:t>
            </w:r>
            <m:oMath>
              <m:sSubSup>
                <m:sSubSupPr>
                  <m:ctrlPr>
                    <w:rPr>
                      <w:rFonts w:ascii="Cambria Math" w:hAnsi="Cambria Math"/>
                      <w:b/>
                      <w:bCs/>
                      <w:iCs/>
                    </w:rPr>
                  </m:ctrlPr>
                </m:sSubSupPr>
                <m:e>
                  <m:r>
                    <m:rPr>
                      <m:sty m:val="bi"/>
                    </m:rPr>
                    <w:rPr>
                      <w:rFonts w:ascii="Cambria Math" w:hAnsi="Cambria Math"/>
                    </w:rPr>
                    <m:t>C</m:t>
                  </m:r>
                  <m:ctrlPr>
                    <w:rPr>
                      <w:rFonts w:ascii="Cambria Math" w:hAnsi="Cambria Math"/>
                      <w:b/>
                      <w:bCs/>
                      <w:iCs/>
                    </w:rPr>
                  </m:ctrlPr>
                </m:e>
                <m:sub>
                  <m:r>
                    <m:rPr>
                      <m:nor/>
                      <m:sty m:val="b"/>
                    </m:rPr>
                    <w:rPr>
                      <w:b/>
                      <w:bCs/>
                      <w:iCs/>
                    </w:rPr>
                    <m:t>PDCCH</m:t>
                  </m:r>
                  <m:ctrlPr>
                    <w:rPr>
                      <w:rFonts w:ascii="Cambria Math" w:hAnsi="Cambria Math"/>
                      <w:b/>
                      <w:bCs/>
                      <w:iCs/>
                    </w:rPr>
                  </m:ctrlPr>
                </m:sub>
                <m:sup>
                  <m:r>
                    <m:rPr>
                      <m:nor/>
                      <m:sty m:val="b"/>
                    </m:rPr>
                    <w:rPr>
                      <w:b/>
                      <w:bCs/>
                      <w:iCs/>
                    </w:rPr>
                    <m:t>total,(</m:t>
                  </m:r>
                  <m:sSub>
                    <m:sSubPr>
                      <m:ctrlPr>
                        <w:rPr>
                          <w:rFonts w:ascii="Cambria Math" w:hAnsi="Cambria Math"/>
                          <w:b/>
                          <w:bCs/>
                          <w:iCs/>
                        </w:rPr>
                      </m:ctrlPr>
                    </m:sSubPr>
                    <m:e>
                      <m:r>
                        <m:rPr>
                          <m:sty m:val="b"/>
                        </m:rPr>
                        <w:rPr>
                          <w:rFonts w:ascii="Cambria Math" w:hAnsi="Cambria Math"/>
                        </w:rPr>
                        <m:t>X</m:t>
                      </m:r>
                      <m:ctrlPr>
                        <w:rPr>
                          <w:rFonts w:ascii="Cambria Math" w:hAnsi="Cambria Math"/>
                          <w:b/>
                          <w:bCs/>
                          <w:iCs/>
                        </w:rPr>
                      </m:ctrlPr>
                    </m:e>
                    <m:sub>
                      <m:r>
                        <m:rPr>
                          <m:sty m:val="b"/>
                        </m:rPr>
                        <w:rPr>
                          <w:rFonts w:ascii="Cambria Math" w:hAnsi="Cambria Math"/>
                        </w:rPr>
                        <m:t>s</m:t>
                      </m:r>
                      <m:ctrlPr>
                        <w:rPr>
                          <w:rFonts w:ascii="Cambria Math" w:hAnsi="Cambria Math"/>
                          <w:b/>
                          <w:bCs/>
                          <w:iCs/>
                        </w:rPr>
                      </m:ctrlPr>
                    </m:sub>
                  </m:sSub>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Y</m:t>
                      </m:r>
                      <m:ctrlPr>
                        <w:rPr>
                          <w:rFonts w:ascii="Cambria Math" w:hAnsi="Cambria Math"/>
                          <w:b/>
                          <w:bCs/>
                          <w:iCs/>
                        </w:rPr>
                      </m:ctrlPr>
                    </m:e>
                    <m:sub>
                      <m:r>
                        <m:rPr>
                          <m:sty m:val="b"/>
                        </m:rPr>
                        <w:rPr>
                          <w:rFonts w:ascii="Cambria Math" w:hAnsi="Cambria Math"/>
                        </w:rPr>
                        <m:t>s</m:t>
                      </m:r>
                      <m:ctrlPr>
                        <w:rPr>
                          <w:rFonts w:ascii="Cambria Math" w:hAnsi="Cambria Math"/>
                          <w:b/>
                          <w:bCs/>
                          <w:iCs/>
                        </w:rPr>
                      </m:ctrlPr>
                    </m:sub>
                  </m:sSub>
                  <m:r>
                    <m:rPr>
                      <m:nor/>
                      <m:sty m:val="b"/>
                    </m:rPr>
                    <w:rPr>
                      <w:b/>
                      <w:bCs/>
                      <w:iCs/>
                    </w:rPr>
                    <m:t>),</m:t>
                  </m:r>
                  <m:r>
                    <m:rPr>
                      <m:sty m:val="b"/>
                    </m:rPr>
                    <w:rPr>
                      <w:rFonts w:ascii="Cambria Math" w:hAnsi="Cambria Math"/>
                    </w:rPr>
                    <m:t>μ</m:t>
                  </m:r>
                  <m:ctrlPr>
                    <w:rPr>
                      <w:rFonts w:ascii="Cambria Math" w:hAnsi="Cambria Math"/>
                      <w:b/>
                      <w:bCs/>
                      <w:iCs/>
                    </w:rPr>
                  </m:ctrlPr>
                </m:sup>
              </m:sSubSup>
            </m:oMath>
            <w:r>
              <w:rPr>
                <w:b/>
                <w:bCs/>
                <w:iCs/>
              </w:rPr>
              <w:t xml:space="preserve"> is determined to be shared between the cells using the same SCS configuration and the same Xs for multi-slot PDCCH monitoring.</w:t>
            </w:r>
          </w:p>
        </w:tc>
      </w:tr>
    </w:tbl>
    <w:p>
      <w:pPr>
        <w:rPr>
          <w:lang w:eastAsia="zh-CN"/>
        </w:rPr>
      </w:pPr>
    </w:p>
    <w:p>
      <w:pPr>
        <w:pStyle w:val="4"/>
      </w:pPr>
      <w:r>
        <w:t>R1-2201593 (TCL Communication)</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lang w:eastAsia="zh-CN"/>
              </w:rPr>
            </w:pPr>
            <w:r>
              <w:rPr>
                <w:rFonts w:eastAsia="Calibri"/>
              </w:rPr>
              <w:t xml:space="preserve">The Multiple-Cell PDCCH monitoring capabilities have not reached any agreement in the last RAN1 meeting. </w:t>
            </w:r>
            <w:r>
              <w:rPr>
                <w:rFonts w:hint="eastAsia"/>
                <w:lang w:eastAsia="zh-CN"/>
              </w:rPr>
              <w:t>I</w:t>
            </w:r>
            <w:r>
              <w:rPr>
                <w:lang w:eastAsia="zh-CN"/>
              </w:rPr>
              <w:t xml:space="preserve">n FR1 and FR2-1, the </w:t>
            </w:r>
            <w:r>
              <w:rPr>
                <w:rFonts w:eastAsia="Calibri"/>
              </w:rPr>
              <w:t>multiple-ce</w:t>
            </w:r>
            <w:r>
              <w:rPr>
                <w:lang w:eastAsia="zh-CN"/>
              </w:rPr>
              <w:t>ll PDCCH monitoring budget are allocated to each cell proportionally. In FR2-2, the allocation of the multiple-cell PDCCH monitoring budget should follow same spirit.</w:t>
            </w:r>
          </w:p>
          <w:p>
            <w:pPr>
              <w:widowControl w:val="0"/>
              <w:jc w:val="both"/>
              <w:rPr>
                <w:lang w:eastAsia="zh-CN"/>
              </w:rPr>
            </w:pPr>
          </w:p>
          <w:p>
            <w:pPr>
              <w:widowControl w:val="0"/>
              <w:jc w:val="both"/>
              <w:rPr>
                <w:b/>
                <w:lang w:eastAsia="zh-CN"/>
              </w:rPr>
            </w:pPr>
            <w:r>
              <w:rPr>
                <w:b/>
                <w:lang w:eastAsia="zh-CN"/>
              </w:rPr>
              <w:t xml:space="preserve">Proposal 4:  In FR2-2, the allocation of the multiple-cell PDCCH monitoring budget should follow the same spirit as that in FR1 and FR2-1. The </w:t>
            </w:r>
            <w:r>
              <w:rPr>
                <w:rFonts w:eastAsia="Calibri"/>
                <w:b/>
              </w:rPr>
              <w:t>multiple-ce</w:t>
            </w:r>
            <w:r>
              <w:rPr>
                <w:b/>
                <w:lang w:eastAsia="zh-CN"/>
              </w:rPr>
              <w:t>ll PDCCH monitoring budget are allocated to each cell proportionally.</w:t>
            </w:r>
          </w:p>
          <w:p>
            <w:pPr>
              <w:widowControl w:val="0"/>
              <w:jc w:val="both"/>
              <w:rPr>
                <w:lang w:eastAsia="zh-CN"/>
              </w:rPr>
            </w:pPr>
          </w:p>
          <w:p>
            <w:pPr>
              <w:widowControl w:val="0"/>
              <w:jc w:val="both"/>
              <w:rPr>
                <w:rFonts w:eastAsia="宋体"/>
                <w:szCs w:val="20"/>
                <w:lang w:val="en-GB"/>
              </w:rPr>
            </w:pPr>
            <w:r>
              <w:rPr>
                <w:rFonts w:eastAsia="Calibri"/>
              </w:rPr>
              <w:t xml:space="preserve">For FR2-2, the PDCCH monitored is monitored in slot group in 480KHz and 960KHz SCS. The </w:t>
            </w:r>
            <m:oMath>
              <m:sSubSup>
                <m:sSubSupPr>
                  <m:ctrlPr>
                    <w:rPr>
                      <w:rFonts w:ascii="Cambria Math" w:hAnsi="Cambria Math"/>
                      <w:iCs/>
                      <w:lang w:val="en-GB" w:eastAsia="ja-JP"/>
                    </w:rPr>
                  </m:ctrlPr>
                </m:sSubSupPr>
                <m:e>
                  <m:r>
                    <w:rPr>
                      <w:rFonts w:ascii="Cambria Math" w:hAnsi="Cambria Math"/>
                      <w:lang w:val="en-GB" w:eastAsia="ja-JP"/>
                    </w:rPr>
                    <m:t>M</m:t>
                  </m:r>
                  <m:ctrlPr>
                    <w:rPr>
                      <w:rFonts w:ascii="Cambria Math" w:hAnsi="Cambria Math"/>
                      <w:iCs/>
                      <w:lang w:val="en-GB" w:eastAsia="ja-JP"/>
                    </w:rPr>
                  </m:ctrlPr>
                </m:e>
                <m:sub>
                  <m:r>
                    <m:rPr>
                      <m:nor/>
                      <m:sty m:val="p"/>
                    </m:rPr>
                    <w:rPr>
                      <w:iCs/>
                      <w:lang w:val="en-GB" w:eastAsia="ja-JP"/>
                    </w:rPr>
                    <m:t>PDCCH</m:t>
                  </m:r>
                  <m:ctrlPr>
                    <w:rPr>
                      <w:rFonts w:ascii="Cambria Math" w:hAnsi="Cambria Math"/>
                      <w:iCs/>
                      <w:lang w:val="en-GB" w:eastAsia="ja-JP"/>
                    </w:rPr>
                  </m:ctrlPr>
                </m:sub>
                <m:sup>
                  <m:r>
                    <m:rPr>
                      <m:nor/>
                      <m:sty m:val="p"/>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ctrlPr>
                        <w:rPr>
                          <w:rFonts w:ascii="Cambria Math" w:hAnsi="Cambria Math"/>
                          <w:iCs/>
                          <w:lang w:val="en-GB" w:eastAsia="ja-JP"/>
                        </w:rPr>
                      </m:ctrlPr>
                    </m:e>
                    <m:sub>
                      <m:r>
                        <m:rPr>
                          <m:sty m:val="p"/>
                        </m:rPr>
                        <w:rPr>
                          <w:rFonts w:ascii="Cambria Math" w:hAnsi="Cambria Math"/>
                          <w:lang w:val="en-GB" w:eastAsia="ja-JP"/>
                        </w:rPr>
                        <m:t>s</m:t>
                      </m:r>
                      <m:ctrlPr>
                        <w:rPr>
                          <w:rFonts w:ascii="Cambria Math" w:hAnsi="Cambria Math"/>
                          <w:iCs/>
                          <w:lang w:val="en-GB" w:eastAsia="ja-JP"/>
                        </w:rPr>
                      </m:ctrlP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ctrlPr>
                        <w:rPr>
                          <w:rFonts w:ascii="Cambria Math" w:hAnsi="Cambria Math"/>
                          <w:iCs/>
                          <w:lang w:val="en-GB" w:eastAsia="ja-JP"/>
                        </w:rPr>
                      </m:ctrlPr>
                    </m:e>
                    <m:sub>
                      <m:r>
                        <m:rPr>
                          <m:sty m:val="p"/>
                        </m:rPr>
                        <w:rPr>
                          <w:rFonts w:ascii="Cambria Math" w:hAnsi="Cambria Math"/>
                          <w:lang w:val="en-GB" w:eastAsia="ja-JP"/>
                        </w:rPr>
                        <m:t>s</m:t>
                      </m:r>
                      <m:ctrlPr>
                        <w:rPr>
                          <w:rFonts w:ascii="Cambria Math" w:hAnsi="Cambria Math"/>
                          <w:iCs/>
                          <w:lang w:val="en-GB" w:eastAsia="ja-JP"/>
                        </w:rPr>
                      </m:ctrlPr>
                    </m:sub>
                  </m:sSub>
                  <m:r>
                    <m:rPr>
                      <m:nor/>
                      <m:sty m:val="p"/>
                    </m:rPr>
                    <w:rPr>
                      <w:iCs/>
                      <w:lang w:val="en-GB" w:eastAsia="ja-JP"/>
                    </w:rPr>
                    <m:t>),</m:t>
                  </m:r>
                  <m:r>
                    <m:rPr>
                      <m:sty m:val="p"/>
                    </m:rPr>
                    <w:rPr>
                      <w:rFonts w:ascii="Cambria Math" w:hAnsi="Cambria Math"/>
                      <w:lang w:val="en-GB" w:eastAsia="ja-JP"/>
                    </w:rPr>
                    <m:t>μ</m:t>
                  </m:r>
                  <m:ctrlPr>
                    <w:rPr>
                      <w:rFonts w:ascii="Cambria Math" w:hAnsi="Cambria Math"/>
                      <w:iCs/>
                      <w:lang w:val="en-GB" w:eastAsia="ja-JP"/>
                    </w:rPr>
                  </m:ctrlPr>
                </m:sup>
              </m:sSubSup>
              <m: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w:rPr>
                      <w:rFonts w:ascii="Cambria Math" w:hAnsi="Cambria Math"/>
                      <w:lang w:val="en-GB" w:eastAsia="ja-JP"/>
                    </w:rPr>
                    <m:t>C</m:t>
                  </m:r>
                  <m:ctrlPr>
                    <w:rPr>
                      <w:rFonts w:ascii="Cambria Math" w:hAnsi="Cambria Math"/>
                      <w:iCs/>
                      <w:lang w:val="en-GB" w:eastAsia="ja-JP"/>
                    </w:rPr>
                  </m:ctrlPr>
                </m:e>
                <m:sub>
                  <m:r>
                    <m:rPr>
                      <m:nor/>
                      <m:sty m:val="p"/>
                    </m:rPr>
                    <w:rPr>
                      <w:iCs/>
                      <w:lang w:val="en-GB" w:eastAsia="ja-JP"/>
                    </w:rPr>
                    <m:t>PDCCH</m:t>
                  </m:r>
                  <m:ctrlPr>
                    <w:rPr>
                      <w:rFonts w:ascii="Cambria Math" w:hAnsi="Cambria Math"/>
                      <w:iCs/>
                      <w:lang w:val="en-GB" w:eastAsia="ja-JP"/>
                    </w:rPr>
                  </m:ctrlPr>
                </m:sub>
                <m:sup>
                  <m:r>
                    <m:rPr>
                      <m:nor/>
                      <m:sty m:val="p"/>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ctrlPr>
                        <w:rPr>
                          <w:rFonts w:ascii="Cambria Math" w:hAnsi="Cambria Math"/>
                          <w:iCs/>
                          <w:lang w:val="en-GB" w:eastAsia="ja-JP"/>
                        </w:rPr>
                      </m:ctrlPr>
                    </m:e>
                    <m:sub>
                      <m:r>
                        <m:rPr>
                          <m:sty m:val="p"/>
                        </m:rPr>
                        <w:rPr>
                          <w:rFonts w:ascii="Cambria Math" w:hAnsi="Cambria Math"/>
                          <w:lang w:val="en-GB" w:eastAsia="ja-JP"/>
                        </w:rPr>
                        <m:t>s</m:t>
                      </m:r>
                      <m:ctrlPr>
                        <w:rPr>
                          <w:rFonts w:ascii="Cambria Math" w:hAnsi="Cambria Math"/>
                          <w:iCs/>
                          <w:lang w:val="en-GB" w:eastAsia="ja-JP"/>
                        </w:rPr>
                      </m:ctrlP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ctrlPr>
                        <w:rPr>
                          <w:rFonts w:ascii="Cambria Math" w:hAnsi="Cambria Math"/>
                          <w:iCs/>
                          <w:lang w:val="en-GB" w:eastAsia="ja-JP"/>
                        </w:rPr>
                      </m:ctrlPr>
                    </m:e>
                    <m:sub>
                      <m:r>
                        <m:rPr>
                          <m:sty m:val="p"/>
                        </m:rPr>
                        <w:rPr>
                          <w:rFonts w:ascii="Cambria Math" w:hAnsi="Cambria Math"/>
                          <w:lang w:val="en-GB" w:eastAsia="ja-JP"/>
                        </w:rPr>
                        <m:t>s</m:t>
                      </m:r>
                      <m:ctrlPr>
                        <w:rPr>
                          <w:rFonts w:ascii="Cambria Math" w:hAnsi="Cambria Math"/>
                          <w:iCs/>
                          <w:lang w:val="en-GB" w:eastAsia="ja-JP"/>
                        </w:rPr>
                      </m:ctrlPr>
                    </m:sub>
                  </m:sSub>
                  <m:r>
                    <m:rPr>
                      <m:nor/>
                      <m:sty m:val="p"/>
                    </m:rPr>
                    <w:rPr>
                      <w:iCs/>
                      <w:lang w:val="en-GB" w:eastAsia="ja-JP"/>
                    </w:rPr>
                    <m:t>),</m:t>
                  </m:r>
                  <m:r>
                    <m:rPr>
                      <m:sty m:val="p"/>
                    </m:rPr>
                    <w:rPr>
                      <w:rFonts w:ascii="Cambria Math" w:hAnsi="Cambria Math"/>
                      <w:lang w:val="en-GB" w:eastAsia="ja-JP"/>
                    </w:rPr>
                    <m:t>μ</m:t>
                  </m:r>
                  <m:ctrlPr>
                    <w:rPr>
                      <w:rFonts w:ascii="Cambria Math" w:hAnsi="Cambria Math"/>
                      <w:iCs/>
                      <w:lang w:val="en-GB" w:eastAsia="ja-JP"/>
                    </w:rPr>
                  </m:ctrlPr>
                </m:sup>
              </m:sSubSup>
            </m:oMath>
            <w:r>
              <w:rPr>
                <w:iCs/>
                <w:lang w:val="en-GB" w:eastAsia="ja-JP"/>
              </w:rPr>
              <w:t xml:space="preserve"> a</w:t>
            </w:r>
            <w:r>
              <w:rPr>
                <w:rFonts w:eastAsia="Calibri"/>
              </w:rPr>
              <w:t xml:space="preserve">re noted in the CR for 38.213 </w:t>
            </w:r>
            <w:r>
              <w:rPr>
                <w:rFonts w:eastAsia="Calibri"/>
              </w:rPr>
              <w:fldChar w:fldCharType="begin"/>
            </w:r>
            <w:r>
              <w:rPr>
                <w:rFonts w:eastAsia="Calibri"/>
              </w:rPr>
              <w:instrText xml:space="preserve"> REF _Ref95750913 \r \h </w:instrText>
            </w:r>
            <w:r>
              <w:rPr>
                <w:rFonts w:eastAsia="Calibri"/>
              </w:rPr>
              <w:fldChar w:fldCharType="separate"/>
            </w:r>
            <w:r>
              <w:rPr>
                <w:rFonts w:eastAsia="Calibri"/>
              </w:rPr>
              <w:t>[3]</w:t>
            </w:r>
            <w:r>
              <w:rPr>
                <w:rFonts w:eastAsia="Calibri"/>
              </w:rPr>
              <w:fldChar w:fldCharType="end"/>
            </w:r>
            <w:r>
              <w:rPr>
                <w:rFonts w:eastAsia="Calibri"/>
              </w:rPr>
              <w:t xml:space="preserve">. The </w:t>
            </w:r>
            <m:oMath>
              <m:sSubSup>
                <m:sSubSupPr>
                  <m:ctrlPr>
                    <w:rPr>
                      <w:rFonts w:ascii="Cambria Math" w:hAnsi="Cambria Math" w:eastAsia="宋体"/>
                      <w:i/>
                      <w:iCs/>
                      <w:sz w:val="24"/>
                      <w:szCs w:val="24"/>
                      <w:lang w:val="en-GB"/>
                    </w:rPr>
                  </m:ctrlPr>
                </m:sSubSupPr>
                <m:e>
                  <m:r>
                    <w:rPr>
                      <w:rFonts w:ascii="Cambria Math" w:eastAsia="宋体"/>
                      <w:szCs w:val="20"/>
                      <w:lang w:val="en-GB"/>
                    </w:rPr>
                    <m:t>M</m:t>
                  </m:r>
                  <m:ctrlPr>
                    <w:rPr>
                      <w:rFonts w:ascii="Cambria Math" w:hAnsi="Cambria Math" w:eastAsia="宋体"/>
                      <w:i/>
                      <w:iCs/>
                      <w:sz w:val="24"/>
                      <w:szCs w:val="24"/>
                      <w:lang w:val="en-GB"/>
                    </w:rPr>
                  </m:ctrlPr>
                </m:e>
                <m:sub>
                  <m:r>
                    <m:rPr>
                      <m:nor/>
                      <m:sty m:val="p"/>
                    </m:rPr>
                    <w:rPr>
                      <w:rFonts w:ascii="Cambria Math" w:eastAsia="宋体"/>
                      <w:iCs/>
                      <w:szCs w:val="20"/>
                      <w:lang w:val="en-GB"/>
                    </w:rPr>
                    <m:t>PDCCH</m:t>
                  </m:r>
                  <m:ctrlPr>
                    <w:rPr>
                      <w:rFonts w:ascii="Cambria Math" w:hAnsi="Cambria Math" w:eastAsia="宋体"/>
                      <w:i/>
                      <w:iCs/>
                      <w:sz w:val="24"/>
                      <w:szCs w:val="24"/>
                      <w:lang w:val="en-GB"/>
                    </w:rPr>
                  </m:ctrlPr>
                </m:sub>
                <m:sup>
                  <m:r>
                    <m:rPr>
                      <m:nor/>
                      <m:sty m:val="p"/>
                    </m:rPr>
                    <w:rPr>
                      <w:rFonts w:ascii="Cambria Math" w:eastAsia="宋体"/>
                      <w:iCs/>
                      <w:szCs w:val="20"/>
                      <w:lang w:val="en-GB"/>
                    </w:rPr>
                    <m:t>total,slot,</m:t>
                  </m:r>
                  <m:r>
                    <m:rPr>
                      <m:sty m:val="p"/>
                    </m:rPr>
                    <w:rPr>
                      <w:rFonts w:ascii="Cambria Math" w:eastAsia="宋体"/>
                      <w:szCs w:val="20"/>
                      <w:lang w:val="en-GB"/>
                    </w:rPr>
                    <m:t>μ</m:t>
                  </m:r>
                  <m:ctrlPr>
                    <w:rPr>
                      <w:rFonts w:ascii="Cambria Math" w:hAnsi="Cambria Math" w:eastAsia="宋体"/>
                      <w:i/>
                      <w:iCs/>
                      <w:sz w:val="24"/>
                      <w:szCs w:val="24"/>
                      <w:lang w:val="en-GB"/>
                    </w:rPr>
                  </m:ctrlPr>
                </m:sup>
              </m:sSubSup>
              <m:r>
                <w:rPr>
                  <w:rFonts w:ascii="Cambria Math" w:hAnsi="Cambria Math" w:eastAsia="宋体"/>
                  <w:szCs w:val="20"/>
                  <w:lang w:val="en-GB"/>
                </w:rPr>
                <m:t xml:space="preserve"> </m:t>
              </m:r>
            </m:oMath>
            <w:r>
              <w:rPr>
                <w:rFonts w:eastAsia="宋体"/>
                <w:iCs/>
                <w:szCs w:val="20"/>
                <w:lang w:val="en-GB" w:eastAsia="zh-CN"/>
              </w:rPr>
              <w:t xml:space="preserve">and </w:t>
            </w:r>
            <m:oMath>
              <m:sSubSup>
                <m:sSubSupPr>
                  <m:ctrlPr>
                    <w:rPr>
                      <w:rFonts w:ascii="Cambria Math" w:hAnsi="Cambria Math" w:eastAsia="宋体"/>
                      <w:i/>
                      <w:iCs/>
                      <w:sz w:val="24"/>
                      <w:szCs w:val="24"/>
                      <w:lang w:val="en-GB"/>
                    </w:rPr>
                  </m:ctrlPr>
                </m:sSubSupPr>
                <m:e>
                  <m:r>
                    <w:rPr>
                      <w:rFonts w:ascii="Cambria Math" w:eastAsia="宋体"/>
                      <w:szCs w:val="20"/>
                      <w:lang w:val="en-GB"/>
                    </w:rPr>
                    <m:t>C</m:t>
                  </m:r>
                  <m:ctrlPr>
                    <w:rPr>
                      <w:rFonts w:ascii="Cambria Math" w:hAnsi="Cambria Math" w:eastAsia="宋体"/>
                      <w:i/>
                      <w:iCs/>
                      <w:sz w:val="24"/>
                      <w:szCs w:val="24"/>
                      <w:lang w:val="en-GB"/>
                    </w:rPr>
                  </m:ctrlPr>
                </m:e>
                <m:sub>
                  <m:r>
                    <m:rPr>
                      <m:nor/>
                      <m:sty m:val="p"/>
                    </m:rPr>
                    <w:rPr>
                      <w:rFonts w:ascii="Cambria Math" w:eastAsia="宋体"/>
                      <w:iCs/>
                      <w:szCs w:val="20"/>
                      <w:lang w:val="en-GB"/>
                    </w:rPr>
                    <m:t>PDCCH</m:t>
                  </m:r>
                  <m:ctrlPr>
                    <w:rPr>
                      <w:rFonts w:ascii="Cambria Math" w:hAnsi="Cambria Math" w:eastAsia="宋体"/>
                      <w:i/>
                      <w:iCs/>
                      <w:sz w:val="24"/>
                      <w:szCs w:val="24"/>
                      <w:lang w:val="en-GB"/>
                    </w:rPr>
                  </m:ctrlPr>
                </m:sub>
                <m:sup>
                  <m:r>
                    <m:rPr>
                      <m:nor/>
                      <m:sty m:val="p"/>
                    </m:rPr>
                    <w:rPr>
                      <w:rFonts w:ascii="Cambria Math" w:eastAsia="宋体"/>
                      <w:iCs/>
                      <w:szCs w:val="20"/>
                      <w:lang w:val="en-GB"/>
                    </w:rPr>
                    <m:t>total,slot,</m:t>
                  </m:r>
                  <m:r>
                    <m:rPr>
                      <m:sty m:val="p"/>
                    </m:rPr>
                    <w:rPr>
                      <w:rFonts w:ascii="Cambria Math" w:eastAsia="宋体"/>
                      <w:szCs w:val="20"/>
                      <w:lang w:val="en-GB"/>
                    </w:rPr>
                    <m:t>μ</m:t>
                  </m:r>
                  <m:ctrlPr>
                    <w:rPr>
                      <w:rFonts w:ascii="Cambria Math" w:hAnsi="Cambria Math" w:eastAsia="宋体"/>
                      <w:i/>
                      <w:iCs/>
                      <w:sz w:val="24"/>
                      <w:szCs w:val="24"/>
                      <w:lang w:val="en-GB"/>
                    </w:rPr>
                  </m:ctrlPr>
                </m:sup>
              </m:sSubSup>
              <m:r>
                <w:rPr>
                  <w:rFonts w:ascii="Cambria Math" w:hAnsi="Cambria Math" w:eastAsia="宋体"/>
                  <w:szCs w:val="20"/>
                  <w:lang w:val="en-GB"/>
                </w:rPr>
                <m:t xml:space="preserve"> </m:t>
              </m:r>
            </m:oMath>
            <w:r>
              <w:rPr>
                <w:rFonts w:hint="eastAsia" w:eastAsia="宋体"/>
                <w:szCs w:val="20"/>
                <w:lang w:val="en-GB" w:eastAsia="zh-CN"/>
              </w:rPr>
              <w:t xml:space="preserve"> </w:t>
            </w:r>
            <w:r>
              <w:rPr>
                <w:rFonts w:eastAsia="宋体"/>
                <w:szCs w:val="20"/>
                <w:lang w:val="en-GB" w:eastAsia="zh-CN"/>
              </w:rPr>
              <w:t xml:space="preserve">can be </w:t>
            </w:r>
            <w:r>
              <w:rPr>
                <w:rFonts w:eastAsia="宋体"/>
                <w:iCs/>
                <w:szCs w:val="20"/>
                <w:lang w:val="en-GB" w:eastAsia="zh-CN"/>
              </w:rPr>
              <w:t xml:space="preserve">are </w:t>
            </w:r>
            <w:r>
              <w:rPr>
                <w:rFonts w:eastAsia="宋体"/>
                <w:szCs w:val="20"/>
                <w:lang w:val="en-GB"/>
              </w:rPr>
              <w:t xml:space="preserve">replaced by </w:t>
            </w:r>
            <m:oMath>
              <m:sSubSup>
                <m:sSubSupPr>
                  <m:ctrlPr>
                    <w:rPr>
                      <w:rFonts w:ascii="Cambria Math" w:hAnsi="Cambria Math" w:eastAsia="宋体"/>
                      <w:iCs/>
                      <w:sz w:val="24"/>
                      <w:szCs w:val="24"/>
                      <w:lang w:val="en-GB"/>
                    </w:rPr>
                  </m:ctrlPr>
                </m:sSubSupPr>
                <m:e>
                  <m:r>
                    <w:rPr>
                      <w:rFonts w:ascii="Cambria Math" w:eastAsia="宋体"/>
                      <w:szCs w:val="20"/>
                      <w:lang w:val="en-GB"/>
                    </w:rPr>
                    <m:t>M</m:t>
                  </m:r>
                  <m:ctrlPr>
                    <w:rPr>
                      <w:rFonts w:ascii="Cambria Math" w:hAnsi="Cambria Math" w:eastAsia="宋体"/>
                      <w:iCs/>
                      <w:sz w:val="24"/>
                      <w:szCs w:val="24"/>
                      <w:lang w:val="en-GB"/>
                    </w:rPr>
                  </m:ctrlPr>
                </m:e>
                <m:sub>
                  <m:r>
                    <m:rPr>
                      <m:nor/>
                      <m:sty m:val="p"/>
                    </m:rPr>
                    <w:rPr>
                      <w:rFonts w:ascii="Cambria Math" w:eastAsia="宋体"/>
                      <w:iCs/>
                      <w:szCs w:val="20"/>
                      <w:lang w:val="en-GB"/>
                    </w:rPr>
                    <m:t>PDCCH</m:t>
                  </m:r>
                  <m:ctrlPr>
                    <w:rPr>
                      <w:rFonts w:ascii="Cambria Math" w:hAnsi="Cambria Math" w:eastAsia="宋体"/>
                      <w:iCs/>
                      <w:sz w:val="24"/>
                      <w:szCs w:val="24"/>
                      <w:lang w:val="en-GB"/>
                    </w:rPr>
                  </m:ctrlPr>
                </m:sub>
                <m:sup>
                  <m:r>
                    <m:rPr>
                      <m:nor/>
                      <m:sty m:val="p"/>
                    </m:rPr>
                    <w:rPr>
                      <w:rFonts w:ascii="Cambria Math" w:eastAsia="宋体"/>
                      <w:iCs/>
                      <w:szCs w:val="20"/>
                      <w:lang w:val="en-GB"/>
                    </w:rPr>
                    <m:t>total,(</m:t>
                  </m:r>
                  <m:sSub>
                    <m:sSubPr>
                      <m:ctrlPr>
                        <w:rPr>
                          <w:rFonts w:ascii="Cambria Math" w:hAnsi="Cambria Math" w:eastAsia="宋体"/>
                          <w:iCs/>
                          <w:szCs w:val="20"/>
                          <w:lang w:val="en-GB" w:eastAsia="zh-CN"/>
                        </w:rPr>
                      </m:ctrlPr>
                    </m:sSubPr>
                    <m:e>
                      <m:r>
                        <m:rPr>
                          <m:sty m:val="p"/>
                        </m:rPr>
                        <w:rPr>
                          <w:rFonts w:ascii="Cambria Math" w:hAnsi="Cambria Math" w:eastAsia="宋体"/>
                          <w:szCs w:val="20"/>
                          <w:lang w:val="en-GB" w:eastAsia="zh-CN"/>
                        </w:rPr>
                        <m:t>X</m:t>
                      </m:r>
                      <m:ctrlPr>
                        <w:rPr>
                          <w:rFonts w:ascii="Cambria Math" w:hAnsi="Cambria Math" w:eastAsia="宋体"/>
                          <w:iCs/>
                          <w:szCs w:val="20"/>
                          <w:lang w:val="en-GB" w:eastAsia="zh-CN"/>
                        </w:rPr>
                      </m:ctrlPr>
                    </m:e>
                    <m:sub>
                      <m:r>
                        <m:rPr>
                          <m:sty m:val="p"/>
                        </m:rPr>
                        <w:rPr>
                          <w:rFonts w:ascii="Cambria Math" w:hAnsi="Cambria Math" w:eastAsia="宋体"/>
                          <w:szCs w:val="20"/>
                          <w:lang w:val="en-GB" w:eastAsia="zh-CN"/>
                        </w:rPr>
                        <m:t>s</m:t>
                      </m:r>
                      <m:ctrlPr>
                        <w:rPr>
                          <w:rFonts w:ascii="Cambria Math" w:hAnsi="Cambria Math" w:eastAsia="宋体"/>
                          <w:iCs/>
                          <w:szCs w:val="20"/>
                          <w:lang w:val="en-GB" w:eastAsia="zh-CN"/>
                        </w:rPr>
                      </m:ctrlPr>
                    </m:sub>
                  </m:sSub>
                  <m:r>
                    <m:rPr>
                      <m:sty m:val="p"/>
                    </m:rPr>
                    <w:rPr>
                      <w:rFonts w:ascii="Cambria Math" w:hAnsi="Cambria Math" w:eastAsia="宋体"/>
                      <w:szCs w:val="20"/>
                      <w:lang w:val="en-GB" w:eastAsia="zh-CN"/>
                    </w:rPr>
                    <m:t>,</m:t>
                  </m:r>
                  <m:sSub>
                    <m:sSubPr>
                      <m:ctrlPr>
                        <w:rPr>
                          <w:rFonts w:ascii="Cambria Math" w:hAnsi="Cambria Math" w:eastAsia="宋体"/>
                          <w:iCs/>
                          <w:szCs w:val="20"/>
                          <w:lang w:val="en-GB" w:eastAsia="zh-CN"/>
                        </w:rPr>
                      </m:ctrlPr>
                    </m:sSubPr>
                    <m:e>
                      <m:r>
                        <m:rPr>
                          <m:sty m:val="p"/>
                        </m:rPr>
                        <w:rPr>
                          <w:rFonts w:ascii="Cambria Math" w:hAnsi="Cambria Math" w:eastAsia="宋体"/>
                          <w:szCs w:val="20"/>
                          <w:lang w:val="en-GB" w:eastAsia="zh-CN"/>
                        </w:rPr>
                        <m:t>Y</m:t>
                      </m:r>
                      <m:ctrlPr>
                        <w:rPr>
                          <w:rFonts w:ascii="Cambria Math" w:hAnsi="Cambria Math" w:eastAsia="宋体"/>
                          <w:iCs/>
                          <w:szCs w:val="20"/>
                          <w:lang w:val="en-GB" w:eastAsia="zh-CN"/>
                        </w:rPr>
                      </m:ctrlPr>
                    </m:e>
                    <m:sub>
                      <m:r>
                        <m:rPr>
                          <m:sty m:val="p"/>
                        </m:rPr>
                        <w:rPr>
                          <w:rFonts w:ascii="Cambria Math" w:hAnsi="Cambria Math" w:eastAsia="宋体"/>
                          <w:szCs w:val="20"/>
                          <w:lang w:val="en-GB" w:eastAsia="zh-CN"/>
                        </w:rPr>
                        <m:t>s</m:t>
                      </m:r>
                      <m:ctrlPr>
                        <w:rPr>
                          <w:rFonts w:ascii="Cambria Math" w:hAnsi="Cambria Math" w:eastAsia="宋体"/>
                          <w:iCs/>
                          <w:szCs w:val="20"/>
                          <w:lang w:val="en-GB" w:eastAsia="zh-CN"/>
                        </w:rPr>
                      </m:ctrlPr>
                    </m:sub>
                  </m:sSub>
                  <m:r>
                    <m:rPr>
                      <m:nor/>
                      <m:sty m:val="p"/>
                    </m:rPr>
                    <w:rPr>
                      <w:rFonts w:ascii="Cambria Math" w:eastAsia="宋体"/>
                      <w:iCs/>
                      <w:szCs w:val="20"/>
                      <w:lang w:val="en-GB"/>
                    </w:rPr>
                    <m:t>),</m:t>
                  </m:r>
                  <m:r>
                    <m:rPr>
                      <m:sty m:val="p"/>
                    </m:rPr>
                    <w:rPr>
                      <w:rFonts w:ascii="Cambria Math" w:eastAsia="宋体"/>
                      <w:szCs w:val="20"/>
                      <w:lang w:val="en-GB"/>
                    </w:rPr>
                    <m:t>μ</m:t>
                  </m:r>
                  <m:ctrlPr>
                    <w:rPr>
                      <w:rFonts w:ascii="Cambria Math" w:hAnsi="Cambria Math" w:eastAsia="宋体"/>
                      <w:iCs/>
                      <w:sz w:val="24"/>
                      <w:szCs w:val="24"/>
                      <w:lang w:val="en-GB"/>
                    </w:rPr>
                  </m:ctrlPr>
                </m:sup>
              </m:sSubSup>
              <m:r>
                <w:rPr>
                  <w:rFonts w:ascii="Cambria Math" w:hAnsi="Cambria Math" w:eastAsia="宋体"/>
                  <w:szCs w:val="20"/>
                  <w:lang w:val="en-GB"/>
                </w:rPr>
                <m:t xml:space="preserve"> </m:t>
              </m:r>
            </m:oMath>
            <w:r>
              <w:rPr>
                <w:rFonts w:eastAsia="宋体"/>
                <w:szCs w:val="20"/>
                <w:lang w:val="en-GB"/>
              </w:rPr>
              <w:t xml:space="preserve">and </w:t>
            </w:r>
            <m:oMath>
              <m:sSubSup>
                <m:sSubSupPr>
                  <m:ctrlPr>
                    <w:rPr>
                      <w:rFonts w:ascii="Cambria Math" w:hAnsi="Cambria Math" w:eastAsia="宋体"/>
                      <w:iCs/>
                      <w:sz w:val="24"/>
                      <w:szCs w:val="24"/>
                      <w:lang w:val="en-GB"/>
                    </w:rPr>
                  </m:ctrlPr>
                </m:sSubSupPr>
                <m:e>
                  <m:r>
                    <w:rPr>
                      <w:rFonts w:ascii="Cambria Math" w:eastAsia="宋体"/>
                      <w:szCs w:val="20"/>
                      <w:lang w:val="en-GB"/>
                    </w:rPr>
                    <m:t>C</m:t>
                  </m:r>
                  <m:ctrlPr>
                    <w:rPr>
                      <w:rFonts w:ascii="Cambria Math" w:hAnsi="Cambria Math" w:eastAsia="宋体"/>
                      <w:iCs/>
                      <w:sz w:val="24"/>
                      <w:szCs w:val="24"/>
                      <w:lang w:val="en-GB"/>
                    </w:rPr>
                  </m:ctrlPr>
                </m:e>
                <m:sub>
                  <m:r>
                    <m:rPr>
                      <m:nor/>
                      <m:sty m:val="p"/>
                    </m:rPr>
                    <w:rPr>
                      <w:rFonts w:ascii="Cambria Math" w:eastAsia="宋体"/>
                      <w:iCs/>
                      <w:szCs w:val="20"/>
                      <w:lang w:val="en-GB"/>
                    </w:rPr>
                    <m:t>PDCCH</m:t>
                  </m:r>
                  <m:ctrlPr>
                    <w:rPr>
                      <w:rFonts w:ascii="Cambria Math" w:hAnsi="Cambria Math" w:eastAsia="宋体"/>
                      <w:iCs/>
                      <w:sz w:val="24"/>
                      <w:szCs w:val="24"/>
                      <w:lang w:val="en-GB"/>
                    </w:rPr>
                  </m:ctrlPr>
                </m:sub>
                <m:sup>
                  <m:r>
                    <m:rPr>
                      <m:nor/>
                      <m:sty m:val="p"/>
                    </m:rPr>
                    <w:rPr>
                      <w:rFonts w:ascii="Cambria Math" w:eastAsia="宋体"/>
                      <w:iCs/>
                      <w:szCs w:val="20"/>
                      <w:lang w:val="en-GB"/>
                    </w:rPr>
                    <m:t>total,(</m:t>
                  </m:r>
                  <m:sSub>
                    <m:sSubPr>
                      <m:ctrlPr>
                        <w:rPr>
                          <w:rFonts w:ascii="Cambria Math" w:hAnsi="Cambria Math" w:eastAsia="宋体"/>
                          <w:iCs/>
                          <w:szCs w:val="20"/>
                          <w:lang w:val="en-GB" w:eastAsia="zh-CN"/>
                        </w:rPr>
                      </m:ctrlPr>
                    </m:sSubPr>
                    <m:e>
                      <m:r>
                        <m:rPr>
                          <m:sty m:val="p"/>
                        </m:rPr>
                        <w:rPr>
                          <w:rFonts w:ascii="Cambria Math" w:hAnsi="Cambria Math" w:eastAsia="宋体"/>
                          <w:szCs w:val="20"/>
                          <w:lang w:val="en-GB" w:eastAsia="zh-CN"/>
                        </w:rPr>
                        <m:t>X</m:t>
                      </m:r>
                      <m:ctrlPr>
                        <w:rPr>
                          <w:rFonts w:ascii="Cambria Math" w:hAnsi="Cambria Math" w:eastAsia="宋体"/>
                          <w:iCs/>
                          <w:szCs w:val="20"/>
                          <w:lang w:val="en-GB" w:eastAsia="zh-CN"/>
                        </w:rPr>
                      </m:ctrlPr>
                    </m:e>
                    <m:sub>
                      <m:r>
                        <m:rPr>
                          <m:sty m:val="p"/>
                        </m:rPr>
                        <w:rPr>
                          <w:rFonts w:ascii="Cambria Math" w:hAnsi="Cambria Math" w:eastAsia="宋体"/>
                          <w:szCs w:val="20"/>
                          <w:lang w:val="en-GB" w:eastAsia="zh-CN"/>
                        </w:rPr>
                        <m:t>s</m:t>
                      </m:r>
                      <m:ctrlPr>
                        <w:rPr>
                          <w:rFonts w:ascii="Cambria Math" w:hAnsi="Cambria Math" w:eastAsia="宋体"/>
                          <w:iCs/>
                          <w:szCs w:val="20"/>
                          <w:lang w:val="en-GB" w:eastAsia="zh-CN"/>
                        </w:rPr>
                      </m:ctrlPr>
                    </m:sub>
                  </m:sSub>
                  <m:r>
                    <m:rPr>
                      <m:sty m:val="p"/>
                    </m:rPr>
                    <w:rPr>
                      <w:rFonts w:ascii="Cambria Math" w:hAnsi="Cambria Math" w:eastAsia="宋体"/>
                      <w:szCs w:val="20"/>
                      <w:lang w:val="en-GB" w:eastAsia="zh-CN"/>
                    </w:rPr>
                    <m:t>,</m:t>
                  </m:r>
                  <m:sSub>
                    <m:sSubPr>
                      <m:ctrlPr>
                        <w:rPr>
                          <w:rFonts w:ascii="Cambria Math" w:hAnsi="Cambria Math" w:eastAsia="宋体"/>
                          <w:iCs/>
                          <w:szCs w:val="20"/>
                          <w:lang w:val="en-GB" w:eastAsia="zh-CN"/>
                        </w:rPr>
                      </m:ctrlPr>
                    </m:sSubPr>
                    <m:e>
                      <m:r>
                        <m:rPr>
                          <m:sty m:val="p"/>
                        </m:rPr>
                        <w:rPr>
                          <w:rFonts w:ascii="Cambria Math" w:hAnsi="Cambria Math" w:eastAsia="宋体"/>
                          <w:szCs w:val="20"/>
                          <w:lang w:val="en-GB" w:eastAsia="zh-CN"/>
                        </w:rPr>
                        <m:t>Y</m:t>
                      </m:r>
                      <m:ctrlPr>
                        <w:rPr>
                          <w:rFonts w:ascii="Cambria Math" w:hAnsi="Cambria Math" w:eastAsia="宋体"/>
                          <w:iCs/>
                          <w:szCs w:val="20"/>
                          <w:lang w:val="en-GB" w:eastAsia="zh-CN"/>
                        </w:rPr>
                      </m:ctrlPr>
                    </m:e>
                    <m:sub>
                      <m:r>
                        <m:rPr>
                          <m:sty m:val="p"/>
                        </m:rPr>
                        <w:rPr>
                          <w:rFonts w:ascii="Cambria Math" w:hAnsi="Cambria Math" w:eastAsia="宋体"/>
                          <w:szCs w:val="20"/>
                          <w:lang w:val="en-GB" w:eastAsia="zh-CN"/>
                        </w:rPr>
                        <m:t>s</m:t>
                      </m:r>
                      <m:ctrlPr>
                        <w:rPr>
                          <w:rFonts w:ascii="Cambria Math" w:hAnsi="Cambria Math" w:eastAsia="宋体"/>
                          <w:iCs/>
                          <w:szCs w:val="20"/>
                          <w:lang w:val="en-GB" w:eastAsia="zh-CN"/>
                        </w:rPr>
                      </m:ctrlPr>
                    </m:sub>
                  </m:sSub>
                  <m:r>
                    <m:rPr>
                      <m:nor/>
                      <m:sty m:val="p"/>
                    </m:rPr>
                    <w:rPr>
                      <w:rFonts w:ascii="Cambria Math" w:eastAsia="宋体"/>
                      <w:iCs/>
                      <w:szCs w:val="20"/>
                      <w:lang w:val="en-GB"/>
                    </w:rPr>
                    <m:t>),</m:t>
                  </m:r>
                  <m:r>
                    <m:rPr>
                      <m:sty m:val="p"/>
                    </m:rPr>
                    <w:rPr>
                      <w:rFonts w:ascii="Cambria Math" w:eastAsia="宋体"/>
                      <w:szCs w:val="20"/>
                      <w:lang w:val="en-GB"/>
                    </w:rPr>
                    <m:t>μ</m:t>
                  </m:r>
                  <m:ctrlPr>
                    <w:rPr>
                      <w:rFonts w:ascii="Cambria Math" w:hAnsi="Cambria Math" w:eastAsia="宋体"/>
                      <w:iCs/>
                      <w:sz w:val="24"/>
                      <w:szCs w:val="24"/>
                      <w:lang w:val="en-GB"/>
                    </w:rPr>
                  </m:ctrlPr>
                </m:sup>
              </m:sSubSup>
            </m:oMath>
            <w:r>
              <w:rPr>
                <w:rFonts w:eastAsia="宋体"/>
                <w:szCs w:val="20"/>
                <w:lang w:val="en-GB"/>
              </w:rPr>
              <w:t xml:space="preserve"> respectively for </w:t>
            </w:r>
            <m:oMath>
              <m:r>
                <m:rPr>
                  <m:sty m:val="p"/>
                </m:rPr>
                <w:rPr>
                  <w:rFonts w:ascii="Cambria Math" w:eastAsia="宋体"/>
                  <w:szCs w:val="20"/>
                  <w:lang w:val="en-GB"/>
                </w:rPr>
                <m:t xml:space="preserve">μ=5 </m:t>
              </m:r>
            </m:oMath>
            <w:r>
              <w:rPr>
                <w:rFonts w:hint="eastAsia" w:eastAsia="宋体"/>
                <w:szCs w:val="20"/>
                <w:lang w:val="en-GB" w:eastAsia="zh-CN"/>
              </w:rPr>
              <w:t>a</w:t>
            </w:r>
            <w:r>
              <w:rPr>
                <w:rFonts w:eastAsia="宋体"/>
                <w:szCs w:val="20"/>
                <w:lang w:val="en-GB" w:eastAsia="zh-CN"/>
              </w:rPr>
              <w:t xml:space="preserve">nd </w:t>
            </w:r>
            <m:oMath>
              <m:r>
                <m:rPr>
                  <m:sty m:val="p"/>
                </m:rPr>
                <w:rPr>
                  <w:rFonts w:ascii="Cambria Math" w:eastAsia="宋体"/>
                  <w:szCs w:val="20"/>
                  <w:lang w:val="en-GB"/>
                </w:rPr>
                <m:t>μ=6</m:t>
              </m:r>
            </m:oMath>
            <w:r>
              <w:rPr>
                <w:rFonts w:eastAsia="宋体"/>
                <w:szCs w:val="20"/>
                <w:lang w:val="en-GB"/>
              </w:rPr>
              <w:t xml:space="preserve">. The underlying problem is how to map PDCCH monitoring capability of one active BWP of a cell with (X, Y) to the PDCCH monitoring in the time unit of a slot. The PDCCH monitoring capability for 120KHz SCS can be a reference when determining the mapping scheme. One feasible way is to consider the value of “X” in the (X, Y) pair. When the candidate values of </w:t>
            </w:r>
            <m:oMath>
              <m:sSubSup>
                <m:sSubSupPr>
                  <m:ctrlPr>
                    <w:rPr>
                      <w:rFonts w:ascii="Cambria Math" w:hAnsi="Cambria Math" w:eastAsia="宋体"/>
                      <w:i/>
                      <w:sz w:val="18"/>
                      <w:szCs w:val="18"/>
                      <w:lang w:val="en-GB" w:eastAsia="zh-CN"/>
                    </w:rPr>
                  </m:ctrlPr>
                </m:sSubSupPr>
                <m:e>
                  <m:r>
                    <w:rPr>
                      <w:rFonts w:ascii="Cambria Math" w:hAnsi="Cambria Math" w:eastAsia="宋体"/>
                      <w:sz w:val="20"/>
                      <w:szCs w:val="20"/>
                      <w:lang w:val="en-GB" w:eastAsia="zh-CN"/>
                    </w:rPr>
                    <m:t>M</m:t>
                  </m:r>
                  <m:ctrlPr>
                    <w:rPr>
                      <w:rFonts w:ascii="Cambria Math" w:hAnsi="Cambria Math" w:eastAsia="宋体"/>
                      <w:i/>
                      <w:sz w:val="18"/>
                      <w:szCs w:val="18"/>
                      <w:lang w:val="en-GB" w:eastAsia="zh-CN"/>
                    </w:rPr>
                  </m:ctrlPr>
                </m:e>
                <m:sub>
                  <m:r>
                    <m:rPr>
                      <m:sty m:val="p"/>
                    </m:rPr>
                    <w:rPr>
                      <w:rFonts w:ascii="Cambria Math" w:hAnsi="Cambria Math" w:eastAsia="宋体"/>
                      <w:sz w:val="20"/>
                      <w:szCs w:val="20"/>
                      <w:lang w:val="en-GB" w:eastAsia="zh-CN"/>
                    </w:rPr>
                    <m:t>PDCCH</m:t>
                  </m:r>
                  <m:ctrlPr>
                    <w:rPr>
                      <w:rFonts w:ascii="Cambria Math" w:hAnsi="Cambria Math" w:eastAsia="宋体"/>
                      <w:i/>
                      <w:sz w:val="18"/>
                      <w:szCs w:val="18"/>
                      <w:lang w:val="en-GB" w:eastAsia="zh-CN"/>
                    </w:rPr>
                  </m:ctrlPr>
                </m:sub>
                <m:sup>
                  <m:r>
                    <w:rPr>
                      <w:rFonts w:ascii="Cambria Math" w:hAnsi="Cambria Math" w:eastAsia="宋体"/>
                      <w:sz w:val="20"/>
                      <w:szCs w:val="20"/>
                      <w:lang w:val="en-GB" w:eastAsia="zh-CN"/>
                    </w:rPr>
                    <m:t>max,(Xs, Ys),μ</m:t>
                  </m:r>
                  <m:ctrlPr>
                    <w:rPr>
                      <w:rFonts w:ascii="Cambria Math" w:hAnsi="Cambria Math" w:eastAsia="宋体"/>
                      <w:i/>
                      <w:sz w:val="18"/>
                      <w:szCs w:val="18"/>
                      <w:lang w:val="en-GB" w:eastAsia="zh-CN"/>
                    </w:rPr>
                  </m:ctrlPr>
                </m:sup>
              </m:sSubSup>
              <m:r>
                <w:rPr>
                  <w:rFonts w:ascii="Cambria Math" w:hAnsi="Cambria Math" w:eastAsia="宋体"/>
                  <w:sz w:val="18"/>
                  <w:szCs w:val="18"/>
                  <w:lang w:val="en-GB" w:eastAsia="zh-CN"/>
                </w:rPr>
                <m:t xml:space="preserve"> </m:t>
              </m:r>
            </m:oMath>
            <w:r>
              <w:rPr>
                <w:rFonts w:eastAsia="宋体"/>
                <w:szCs w:val="20"/>
                <w:lang w:val="en-GB"/>
              </w:rPr>
              <w:t xml:space="preserve">and </w:t>
            </w:r>
            <m:oMath>
              <m:sSubSup>
                <m:sSubSupPr>
                  <m:ctrlPr>
                    <w:rPr>
                      <w:rFonts w:ascii="Cambria Math" w:hAnsi="Cambria Math" w:eastAsia="宋体"/>
                      <w:i/>
                      <w:sz w:val="18"/>
                      <w:szCs w:val="18"/>
                      <w:lang w:val="en-GB" w:eastAsia="zh-CN"/>
                    </w:rPr>
                  </m:ctrlPr>
                </m:sSubSupPr>
                <m:e>
                  <m:r>
                    <w:rPr>
                      <w:rFonts w:ascii="Cambria Math" w:hAnsi="Cambria Math" w:eastAsia="宋体"/>
                      <w:sz w:val="20"/>
                      <w:szCs w:val="20"/>
                      <w:lang w:val="en-GB" w:eastAsia="zh-CN"/>
                    </w:rPr>
                    <m:t>C</m:t>
                  </m:r>
                  <m:ctrlPr>
                    <w:rPr>
                      <w:rFonts w:ascii="Cambria Math" w:hAnsi="Cambria Math" w:eastAsia="宋体"/>
                      <w:i/>
                      <w:sz w:val="18"/>
                      <w:szCs w:val="18"/>
                      <w:lang w:val="en-GB" w:eastAsia="zh-CN"/>
                    </w:rPr>
                  </m:ctrlPr>
                </m:e>
                <m:sub>
                  <m:r>
                    <m:rPr>
                      <m:sty m:val="p"/>
                    </m:rPr>
                    <w:rPr>
                      <w:rFonts w:ascii="Cambria Math" w:hAnsi="Cambria Math" w:eastAsia="宋体"/>
                      <w:sz w:val="20"/>
                      <w:szCs w:val="20"/>
                      <w:lang w:val="en-GB" w:eastAsia="zh-CN"/>
                    </w:rPr>
                    <m:t>PDCCH</m:t>
                  </m:r>
                  <m:ctrlPr>
                    <w:rPr>
                      <w:rFonts w:ascii="Cambria Math" w:hAnsi="Cambria Math" w:eastAsia="宋体"/>
                      <w:i/>
                      <w:sz w:val="18"/>
                      <w:szCs w:val="18"/>
                      <w:lang w:val="en-GB" w:eastAsia="zh-CN"/>
                    </w:rPr>
                  </m:ctrlPr>
                </m:sub>
                <m:sup>
                  <m:r>
                    <w:rPr>
                      <w:rFonts w:ascii="Cambria Math" w:hAnsi="Cambria Math" w:eastAsia="宋体"/>
                      <w:sz w:val="20"/>
                      <w:szCs w:val="20"/>
                      <w:lang w:val="en-GB" w:eastAsia="zh-CN"/>
                    </w:rPr>
                    <m:t>max,(Xs,  Ys),μ</m:t>
                  </m:r>
                  <m:ctrlPr>
                    <w:rPr>
                      <w:rFonts w:ascii="Cambria Math" w:hAnsi="Cambria Math" w:eastAsia="宋体"/>
                      <w:i/>
                      <w:sz w:val="18"/>
                      <w:szCs w:val="18"/>
                      <w:lang w:val="en-GB" w:eastAsia="zh-CN"/>
                    </w:rPr>
                  </m:ctrlPr>
                </m:sup>
              </m:sSubSup>
            </m:oMath>
            <w:r>
              <w:rPr>
                <w:rFonts w:eastAsia="宋体"/>
                <w:szCs w:val="20"/>
                <w:lang w:val="en-GB"/>
              </w:rPr>
              <w:t xml:space="preserve"> are determined, only the values of “X” is concerned in </w:t>
            </w:r>
            <w:r>
              <w:rPr>
                <w:rFonts w:eastAsia="宋体"/>
                <w:szCs w:val="20"/>
                <w:lang w:val="en-GB"/>
              </w:rPr>
              <w:fldChar w:fldCharType="begin"/>
            </w:r>
            <w:r>
              <w:rPr>
                <w:rFonts w:eastAsia="宋体"/>
                <w:szCs w:val="20"/>
                <w:lang w:val="en-GB"/>
              </w:rPr>
              <w:instrText xml:space="preserve"> REF _Ref95750925 \r \h </w:instrText>
            </w:r>
            <w:r>
              <w:rPr>
                <w:rFonts w:eastAsia="宋体"/>
                <w:szCs w:val="20"/>
                <w:lang w:val="en-GB"/>
              </w:rPr>
              <w:fldChar w:fldCharType="separate"/>
            </w:r>
            <w:r>
              <w:rPr>
                <w:rFonts w:eastAsia="宋体"/>
                <w:szCs w:val="20"/>
                <w:lang w:val="en-GB"/>
              </w:rPr>
              <w:t>[4]</w:t>
            </w:r>
            <w:r>
              <w:rPr>
                <w:rFonts w:eastAsia="宋体"/>
                <w:szCs w:val="20"/>
                <w:lang w:val="en-GB"/>
              </w:rPr>
              <w:fldChar w:fldCharType="end"/>
            </w:r>
            <w:r>
              <w:rPr>
                <w:rFonts w:eastAsia="宋体"/>
                <w:szCs w:val="20"/>
                <w:lang w:val="en-GB"/>
              </w:rPr>
              <w:t>.</w:t>
            </w:r>
          </w:p>
          <w:p>
            <w:pPr>
              <w:widowControl w:val="0"/>
              <w:jc w:val="both"/>
              <w:rPr>
                <w:rFonts w:eastAsia="宋体"/>
                <w:szCs w:val="20"/>
                <w:lang w:val="en-GB"/>
              </w:rPr>
            </w:pPr>
          </w:p>
          <w:p>
            <w:pPr>
              <w:widowControl w:val="0"/>
              <w:jc w:val="both"/>
              <w:rPr>
                <w:rFonts w:eastAsia="宋体"/>
                <w:b/>
                <w:szCs w:val="20"/>
                <w:lang w:val="en-GB" w:eastAsia="zh-CN"/>
              </w:rPr>
            </w:pPr>
            <w:r>
              <w:rPr>
                <w:rFonts w:hint="eastAsia" w:eastAsia="宋体"/>
                <w:b/>
                <w:szCs w:val="20"/>
                <w:lang w:val="en-GB" w:eastAsia="zh-CN"/>
              </w:rPr>
              <w:t>P</w:t>
            </w:r>
            <w:r>
              <w:rPr>
                <w:rFonts w:eastAsia="宋体"/>
                <w:b/>
                <w:szCs w:val="20"/>
                <w:lang w:val="en-GB" w:eastAsia="zh-CN"/>
              </w:rPr>
              <w:t xml:space="preserve">roposal 5: </w:t>
            </w:r>
            <w:r>
              <w:rPr>
                <w:rFonts w:eastAsia="宋体"/>
                <w:b/>
                <w:szCs w:val="20"/>
                <w:lang w:val="en-GB"/>
              </w:rPr>
              <w:t>The PDCCH monitoring capability for 120KHz SCS,</w:t>
            </w:r>
            <w:r>
              <w:rPr>
                <w:rFonts w:eastAsia="宋体"/>
                <w:b/>
                <w:sz w:val="20"/>
                <w:szCs w:val="20"/>
                <w:lang w:val="en-GB"/>
              </w:rPr>
              <w:t xml:space="preserve"> in terms of maximum number </w:t>
            </w:r>
            <m:oMath>
              <m:sSubSup>
                <m:sSubSupPr>
                  <m:ctrlPr>
                    <w:rPr>
                      <w:rFonts w:ascii="Cambria Math" w:hAnsi="Cambria Math" w:eastAsia="宋体"/>
                      <w:b/>
                      <w:i/>
                      <w:sz w:val="18"/>
                      <w:szCs w:val="18"/>
                      <w:lang w:val="en-GB" w:eastAsia="zh-CN"/>
                    </w:rPr>
                  </m:ctrlPr>
                </m:sSubSupPr>
                <m:e>
                  <m:r>
                    <m:rPr>
                      <m:sty m:val="bi"/>
                    </m:rPr>
                    <w:rPr>
                      <w:rFonts w:ascii="Cambria Math" w:hAnsi="Cambria Math" w:eastAsia="宋体"/>
                      <w:sz w:val="20"/>
                      <w:szCs w:val="20"/>
                      <w:lang w:val="en-GB" w:eastAsia="zh-CN"/>
                    </w:rPr>
                    <m:t>M</m:t>
                  </m:r>
                  <m:ctrlPr>
                    <w:rPr>
                      <w:rFonts w:ascii="Cambria Math" w:hAnsi="Cambria Math" w:eastAsia="宋体"/>
                      <w:b/>
                      <w:i/>
                      <w:sz w:val="18"/>
                      <w:szCs w:val="18"/>
                      <w:lang w:val="en-GB" w:eastAsia="zh-CN"/>
                    </w:rPr>
                  </m:ctrlPr>
                </m:e>
                <m:sub>
                  <m:r>
                    <m:rPr>
                      <m:sty m:val="b"/>
                    </m:rPr>
                    <w:rPr>
                      <w:rFonts w:ascii="Cambria Math" w:hAnsi="Cambria Math" w:eastAsia="宋体"/>
                      <w:sz w:val="20"/>
                      <w:szCs w:val="20"/>
                      <w:lang w:val="en-GB" w:eastAsia="zh-CN"/>
                    </w:rPr>
                    <m:t>PDCCH</m:t>
                  </m:r>
                  <m:ctrlPr>
                    <w:rPr>
                      <w:rFonts w:ascii="Cambria Math" w:hAnsi="Cambria Math" w:eastAsia="宋体"/>
                      <w:b/>
                      <w:i/>
                      <w:sz w:val="18"/>
                      <w:szCs w:val="18"/>
                      <w:lang w:val="en-GB" w:eastAsia="zh-CN"/>
                    </w:rPr>
                  </m:ctrlPr>
                </m:sub>
                <m:sup>
                  <m:r>
                    <m:rPr>
                      <m:sty m:val="bi"/>
                    </m:rPr>
                    <w:rPr>
                      <w:rFonts w:ascii="Cambria Math" w:hAnsi="Cambria Math" w:eastAsia="宋体"/>
                      <w:sz w:val="20"/>
                      <w:szCs w:val="20"/>
                      <w:lang w:val="en-GB" w:eastAsia="zh-CN"/>
                    </w:rPr>
                    <m:t>max,slot,μ</m:t>
                  </m:r>
                  <m:ctrlPr>
                    <w:rPr>
                      <w:rFonts w:ascii="Cambria Math" w:hAnsi="Cambria Math" w:eastAsia="宋体"/>
                      <w:b/>
                      <w:i/>
                      <w:sz w:val="18"/>
                      <w:szCs w:val="18"/>
                      <w:lang w:val="en-GB" w:eastAsia="zh-CN"/>
                    </w:rPr>
                  </m:ctrlPr>
                </m:sup>
              </m:sSubSup>
            </m:oMath>
            <w:r>
              <w:rPr>
                <w:rFonts w:eastAsia="宋体"/>
                <w:b/>
                <w:sz w:val="20"/>
                <w:szCs w:val="20"/>
                <w:lang w:val="en-GB"/>
              </w:rPr>
              <w:t xml:space="preserve"> of monitored PDCCH candidates per slot for a DL BWP</w:t>
            </w:r>
            <w:r>
              <w:rPr>
                <w:rFonts w:eastAsia="宋体"/>
                <w:b/>
                <w:szCs w:val="20"/>
                <w:lang w:val="en-GB"/>
              </w:rPr>
              <w:t xml:space="preserve"> and </w:t>
            </w:r>
            <w:r>
              <w:rPr>
                <w:rFonts w:eastAsia="宋体"/>
                <w:b/>
                <w:sz w:val="20"/>
                <w:szCs w:val="20"/>
                <w:lang w:val="en-GB"/>
              </w:rPr>
              <w:t xml:space="preserve">maximum number </w:t>
            </w:r>
            <m:oMath>
              <m:sSubSup>
                <m:sSubSupPr>
                  <m:ctrlPr>
                    <w:rPr>
                      <w:rFonts w:ascii="Cambria Math" w:hAnsi="Cambria Math" w:eastAsia="宋体"/>
                      <w:b/>
                      <w:i/>
                      <w:sz w:val="18"/>
                      <w:szCs w:val="18"/>
                      <w:lang w:val="en-GB" w:eastAsia="zh-CN"/>
                    </w:rPr>
                  </m:ctrlPr>
                </m:sSubSupPr>
                <m:e>
                  <m:r>
                    <m:rPr>
                      <m:sty m:val="bi"/>
                    </m:rPr>
                    <w:rPr>
                      <w:rFonts w:ascii="Cambria Math" w:hAnsi="Cambria Math" w:eastAsia="宋体"/>
                      <w:sz w:val="20"/>
                      <w:szCs w:val="20"/>
                      <w:lang w:val="en-GB" w:eastAsia="zh-CN"/>
                    </w:rPr>
                    <m:t>C</m:t>
                  </m:r>
                  <m:ctrlPr>
                    <w:rPr>
                      <w:rFonts w:ascii="Cambria Math" w:hAnsi="Cambria Math" w:eastAsia="宋体"/>
                      <w:b/>
                      <w:i/>
                      <w:sz w:val="18"/>
                      <w:szCs w:val="18"/>
                      <w:lang w:val="en-GB" w:eastAsia="zh-CN"/>
                    </w:rPr>
                  </m:ctrlPr>
                </m:e>
                <m:sub>
                  <m:r>
                    <m:rPr>
                      <m:sty m:val="b"/>
                    </m:rPr>
                    <w:rPr>
                      <w:rFonts w:ascii="Cambria Math" w:hAnsi="Cambria Math" w:eastAsia="宋体"/>
                      <w:sz w:val="20"/>
                      <w:szCs w:val="20"/>
                      <w:lang w:val="en-GB" w:eastAsia="zh-CN"/>
                    </w:rPr>
                    <m:t>PDCCH</m:t>
                  </m:r>
                  <m:ctrlPr>
                    <w:rPr>
                      <w:rFonts w:ascii="Cambria Math" w:hAnsi="Cambria Math" w:eastAsia="宋体"/>
                      <w:b/>
                      <w:i/>
                      <w:sz w:val="18"/>
                      <w:szCs w:val="18"/>
                      <w:lang w:val="en-GB" w:eastAsia="zh-CN"/>
                    </w:rPr>
                  </m:ctrlPr>
                </m:sub>
                <m:sup>
                  <m:r>
                    <m:rPr>
                      <m:sty m:val="bi"/>
                    </m:rPr>
                    <w:rPr>
                      <w:rFonts w:ascii="Cambria Math" w:hAnsi="Cambria Math" w:eastAsia="宋体"/>
                      <w:sz w:val="20"/>
                      <w:szCs w:val="20"/>
                      <w:lang w:val="en-GB" w:eastAsia="zh-CN"/>
                    </w:rPr>
                    <m:t>max,slot,μ</m:t>
                  </m:r>
                  <m:ctrlPr>
                    <w:rPr>
                      <w:rFonts w:ascii="Cambria Math" w:hAnsi="Cambria Math" w:eastAsia="宋体"/>
                      <w:b/>
                      <w:i/>
                      <w:sz w:val="18"/>
                      <w:szCs w:val="18"/>
                      <w:lang w:val="en-GB" w:eastAsia="zh-CN"/>
                    </w:rPr>
                  </m:ctrlPr>
                </m:sup>
              </m:sSubSup>
            </m:oMath>
            <w:r>
              <w:rPr>
                <w:rFonts w:eastAsia="宋体"/>
                <w:b/>
                <w:sz w:val="20"/>
                <w:szCs w:val="20"/>
                <w:lang w:val="en-GB"/>
              </w:rPr>
              <w:t xml:space="preserve"> of non-overlapped CCEs per slot for a DL BWP</w:t>
            </w:r>
            <w:r>
              <w:rPr>
                <w:rFonts w:eastAsia="宋体"/>
                <w:b/>
                <w:szCs w:val="20"/>
                <w:lang w:val="en-GB"/>
              </w:rPr>
              <w:t xml:space="preserve"> , can be a reference when determining the mapping scheme from </w:t>
            </w:r>
            <m:oMath>
              <m:sSubSup>
                <m:sSubSupPr>
                  <m:ctrlPr>
                    <w:rPr>
                      <w:rFonts w:ascii="Cambria Math" w:hAnsi="Cambria Math" w:eastAsia="宋体"/>
                      <w:b/>
                      <w:i/>
                      <w:iCs/>
                      <w:sz w:val="24"/>
                      <w:szCs w:val="24"/>
                      <w:lang w:val="en-GB"/>
                    </w:rPr>
                  </m:ctrlPr>
                </m:sSubSupPr>
                <m:e>
                  <m:r>
                    <m:rPr>
                      <m:sty m:val="bi"/>
                    </m:rPr>
                    <w:rPr>
                      <w:rFonts w:ascii="Cambria Math" w:eastAsia="宋体"/>
                      <w:szCs w:val="20"/>
                      <w:lang w:val="en-GB"/>
                    </w:rPr>
                    <m:t>M</m:t>
                  </m:r>
                  <m:ctrlPr>
                    <w:rPr>
                      <w:rFonts w:ascii="Cambria Math" w:hAnsi="Cambria Math" w:eastAsia="宋体"/>
                      <w:b/>
                      <w:i/>
                      <w:iCs/>
                      <w:sz w:val="24"/>
                      <w:szCs w:val="24"/>
                      <w:lang w:val="en-GB"/>
                    </w:rPr>
                  </m:ctrlPr>
                </m:e>
                <m:sub>
                  <m:r>
                    <m:rPr>
                      <m:nor/>
                      <m:sty m:val="b"/>
                    </m:rPr>
                    <w:rPr>
                      <w:rFonts w:ascii="Cambria Math" w:eastAsia="宋体"/>
                      <w:b/>
                      <w:iCs/>
                      <w:szCs w:val="20"/>
                      <w:lang w:val="en-GB"/>
                    </w:rPr>
                    <m:t>PDCCH</m:t>
                  </m:r>
                  <m:ctrlPr>
                    <w:rPr>
                      <w:rFonts w:ascii="Cambria Math" w:hAnsi="Cambria Math" w:eastAsia="宋体"/>
                      <w:b/>
                      <w:i/>
                      <w:iCs/>
                      <w:sz w:val="24"/>
                      <w:szCs w:val="24"/>
                      <w:lang w:val="en-GB"/>
                    </w:rPr>
                  </m:ctrlPr>
                </m:sub>
                <m:sup>
                  <m:r>
                    <m:rPr>
                      <m:nor/>
                      <m:sty m:val="b"/>
                    </m:rPr>
                    <w:rPr>
                      <w:rFonts w:ascii="Cambria Math" w:eastAsia="宋体"/>
                      <w:b/>
                      <w:iCs/>
                      <w:szCs w:val="20"/>
                      <w:lang w:val="en-GB"/>
                    </w:rPr>
                    <m:t>total,slot,</m:t>
                  </m:r>
                  <m:r>
                    <m:rPr>
                      <m:sty m:val="b"/>
                    </m:rPr>
                    <w:rPr>
                      <w:rFonts w:ascii="Cambria Math" w:eastAsia="宋体"/>
                      <w:szCs w:val="20"/>
                      <w:lang w:val="en-GB"/>
                    </w:rPr>
                    <m:t>μ</m:t>
                  </m:r>
                  <m:ctrlPr>
                    <w:rPr>
                      <w:rFonts w:ascii="Cambria Math" w:hAnsi="Cambria Math" w:eastAsia="宋体"/>
                      <w:b/>
                      <w:i/>
                      <w:iCs/>
                      <w:sz w:val="24"/>
                      <w:szCs w:val="24"/>
                      <w:lang w:val="en-GB"/>
                    </w:rPr>
                  </m:ctrlPr>
                </m:sup>
              </m:sSubSup>
              <m:r>
                <m:rPr>
                  <m:sty m:val="bi"/>
                </m:rPr>
                <w:rPr>
                  <w:rFonts w:ascii="Cambria Math" w:hAnsi="Cambria Math" w:eastAsia="宋体"/>
                  <w:szCs w:val="20"/>
                  <w:lang w:val="en-GB"/>
                </w:rPr>
                <m:t xml:space="preserve"> </m:t>
              </m:r>
            </m:oMath>
            <w:r>
              <w:rPr>
                <w:rFonts w:eastAsia="宋体"/>
                <w:b/>
                <w:iCs/>
                <w:szCs w:val="20"/>
                <w:lang w:val="en-GB" w:eastAsia="zh-CN"/>
              </w:rPr>
              <w:t xml:space="preserve">and </w:t>
            </w:r>
            <m:oMath>
              <m:sSubSup>
                <m:sSubSupPr>
                  <m:ctrlPr>
                    <w:rPr>
                      <w:rFonts w:ascii="Cambria Math" w:hAnsi="Cambria Math" w:eastAsia="宋体"/>
                      <w:b/>
                      <w:i/>
                      <w:iCs/>
                      <w:sz w:val="24"/>
                      <w:szCs w:val="24"/>
                      <w:lang w:val="en-GB"/>
                    </w:rPr>
                  </m:ctrlPr>
                </m:sSubSupPr>
                <m:e>
                  <m:r>
                    <m:rPr>
                      <m:sty m:val="bi"/>
                    </m:rPr>
                    <w:rPr>
                      <w:rFonts w:ascii="Cambria Math" w:eastAsia="宋体"/>
                      <w:szCs w:val="20"/>
                      <w:lang w:val="en-GB"/>
                    </w:rPr>
                    <m:t>C</m:t>
                  </m:r>
                  <m:ctrlPr>
                    <w:rPr>
                      <w:rFonts w:ascii="Cambria Math" w:hAnsi="Cambria Math" w:eastAsia="宋体"/>
                      <w:b/>
                      <w:i/>
                      <w:iCs/>
                      <w:sz w:val="24"/>
                      <w:szCs w:val="24"/>
                      <w:lang w:val="en-GB"/>
                    </w:rPr>
                  </m:ctrlPr>
                </m:e>
                <m:sub>
                  <m:r>
                    <m:rPr>
                      <m:nor/>
                      <m:sty m:val="b"/>
                    </m:rPr>
                    <w:rPr>
                      <w:rFonts w:ascii="Cambria Math" w:eastAsia="宋体"/>
                      <w:b/>
                      <w:iCs/>
                      <w:szCs w:val="20"/>
                      <w:lang w:val="en-GB"/>
                    </w:rPr>
                    <m:t>PDCCH</m:t>
                  </m:r>
                  <m:ctrlPr>
                    <w:rPr>
                      <w:rFonts w:ascii="Cambria Math" w:hAnsi="Cambria Math" w:eastAsia="宋体"/>
                      <w:b/>
                      <w:i/>
                      <w:iCs/>
                      <w:sz w:val="24"/>
                      <w:szCs w:val="24"/>
                      <w:lang w:val="en-GB"/>
                    </w:rPr>
                  </m:ctrlPr>
                </m:sub>
                <m:sup>
                  <m:r>
                    <m:rPr>
                      <m:nor/>
                      <m:sty m:val="b"/>
                    </m:rPr>
                    <w:rPr>
                      <w:rFonts w:ascii="Cambria Math" w:eastAsia="宋体"/>
                      <w:b/>
                      <w:iCs/>
                      <w:szCs w:val="20"/>
                      <w:lang w:val="en-GB"/>
                    </w:rPr>
                    <m:t>total,slot,</m:t>
                  </m:r>
                  <m:r>
                    <m:rPr>
                      <m:sty m:val="b"/>
                    </m:rPr>
                    <w:rPr>
                      <w:rFonts w:ascii="Cambria Math" w:eastAsia="宋体"/>
                      <w:szCs w:val="20"/>
                      <w:lang w:val="en-GB"/>
                    </w:rPr>
                    <m:t>μ</m:t>
                  </m:r>
                  <m:ctrlPr>
                    <w:rPr>
                      <w:rFonts w:ascii="Cambria Math" w:hAnsi="Cambria Math" w:eastAsia="宋体"/>
                      <w:b/>
                      <w:i/>
                      <w:iCs/>
                      <w:sz w:val="24"/>
                      <w:szCs w:val="24"/>
                      <w:lang w:val="en-GB"/>
                    </w:rPr>
                  </m:ctrlPr>
                </m:sup>
              </m:sSubSup>
            </m:oMath>
            <w:r>
              <w:rPr>
                <w:rFonts w:eastAsia="宋体"/>
                <w:b/>
                <w:szCs w:val="20"/>
                <w:lang w:val="en-GB"/>
              </w:rPr>
              <w:t xml:space="preserve"> to </w:t>
            </w:r>
            <m:oMath>
              <m:sSubSup>
                <m:sSubSupPr>
                  <m:ctrlPr>
                    <w:rPr>
                      <w:rFonts w:ascii="Cambria Math" w:hAnsi="Cambria Math" w:eastAsia="宋体"/>
                      <w:b/>
                      <w:iCs/>
                      <w:sz w:val="24"/>
                      <w:szCs w:val="24"/>
                      <w:lang w:val="en-GB"/>
                    </w:rPr>
                  </m:ctrlPr>
                </m:sSubSupPr>
                <m:e>
                  <m:r>
                    <m:rPr>
                      <m:sty m:val="bi"/>
                    </m:rPr>
                    <w:rPr>
                      <w:rFonts w:ascii="Cambria Math" w:eastAsia="宋体"/>
                      <w:szCs w:val="20"/>
                      <w:lang w:val="en-GB"/>
                    </w:rPr>
                    <m:t>M</m:t>
                  </m:r>
                  <m:ctrlPr>
                    <w:rPr>
                      <w:rFonts w:ascii="Cambria Math" w:hAnsi="Cambria Math" w:eastAsia="宋体"/>
                      <w:b/>
                      <w:iCs/>
                      <w:sz w:val="24"/>
                      <w:szCs w:val="24"/>
                      <w:lang w:val="en-GB"/>
                    </w:rPr>
                  </m:ctrlPr>
                </m:e>
                <m:sub>
                  <m:r>
                    <m:rPr>
                      <m:nor/>
                      <m:sty m:val="b"/>
                    </m:rPr>
                    <w:rPr>
                      <w:rFonts w:ascii="Cambria Math" w:eastAsia="宋体"/>
                      <w:b/>
                      <w:iCs/>
                      <w:szCs w:val="20"/>
                      <w:lang w:val="en-GB"/>
                    </w:rPr>
                    <m:t>PDCCH</m:t>
                  </m:r>
                  <m:ctrlPr>
                    <w:rPr>
                      <w:rFonts w:ascii="Cambria Math" w:hAnsi="Cambria Math" w:eastAsia="宋体"/>
                      <w:b/>
                      <w:iCs/>
                      <w:sz w:val="24"/>
                      <w:szCs w:val="24"/>
                      <w:lang w:val="en-GB"/>
                    </w:rPr>
                  </m:ctrlPr>
                </m:sub>
                <m:sup>
                  <m:r>
                    <m:rPr>
                      <m:nor/>
                      <m:sty m:val="b"/>
                    </m:rPr>
                    <w:rPr>
                      <w:rFonts w:ascii="Cambria Math" w:eastAsia="宋体"/>
                      <w:b/>
                      <w:iCs/>
                      <w:szCs w:val="20"/>
                      <w:lang w:val="en-GB"/>
                    </w:rPr>
                    <m:t>total,(</m:t>
                  </m:r>
                  <m:sSub>
                    <m:sSubPr>
                      <m:ctrlPr>
                        <w:rPr>
                          <w:rFonts w:ascii="Cambria Math" w:hAnsi="Cambria Math" w:eastAsia="宋体"/>
                          <w:b/>
                          <w:iCs/>
                          <w:szCs w:val="20"/>
                          <w:lang w:val="en-GB" w:eastAsia="zh-CN"/>
                        </w:rPr>
                      </m:ctrlPr>
                    </m:sSubPr>
                    <m:e>
                      <m:r>
                        <m:rPr>
                          <m:sty m:val="b"/>
                        </m:rPr>
                        <w:rPr>
                          <w:rFonts w:ascii="Cambria Math" w:hAnsi="Cambria Math" w:eastAsia="宋体"/>
                          <w:szCs w:val="20"/>
                          <w:lang w:val="en-GB" w:eastAsia="zh-CN"/>
                        </w:rPr>
                        <m:t>X</m:t>
                      </m:r>
                      <m:ctrlPr>
                        <w:rPr>
                          <w:rFonts w:ascii="Cambria Math" w:hAnsi="Cambria Math" w:eastAsia="宋体"/>
                          <w:b/>
                          <w:iCs/>
                          <w:szCs w:val="20"/>
                          <w:lang w:val="en-GB" w:eastAsia="zh-CN"/>
                        </w:rPr>
                      </m:ctrlPr>
                    </m:e>
                    <m:sub>
                      <m:r>
                        <m:rPr>
                          <m:sty m:val="b"/>
                        </m:rPr>
                        <w:rPr>
                          <w:rFonts w:ascii="Cambria Math" w:hAnsi="Cambria Math" w:eastAsia="宋体"/>
                          <w:szCs w:val="20"/>
                          <w:lang w:val="en-GB" w:eastAsia="zh-CN"/>
                        </w:rPr>
                        <m:t>s</m:t>
                      </m:r>
                      <m:ctrlPr>
                        <w:rPr>
                          <w:rFonts w:ascii="Cambria Math" w:hAnsi="Cambria Math" w:eastAsia="宋体"/>
                          <w:b/>
                          <w:iCs/>
                          <w:szCs w:val="20"/>
                          <w:lang w:val="en-GB" w:eastAsia="zh-CN"/>
                        </w:rPr>
                      </m:ctrlPr>
                    </m:sub>
                  </m:sSub>
                  <m:r>
                    <m:rPr>
                      <m:sty m:val="b"/>
                    </m:rPr>
                    <w:rPr>
                      <w:rFonts w:ascii="Cambria Math" w:hAnsi="Cambria Math" w:eastAsia="宋体"/>
                      <w:szCs w:val="20"/>
                      <w:lang w:val="en-GB" w:eastAsia="zh-CN"/>
                    </w:rPr>
                    <m:t>,</m:t>
                  </m:r>
                  <m:sSub>
                    <m:sSubPr>
                      <m:ctrlPr>
                        <w:rPr>
                          <w:rFonts w:ascii="Cambria Math" w:hAnsi="Cambria Math" w:eastAsia="宋体"/>
                          <w:b/>
                          <w:iCs/>
                          <w:szCs w:val="20"/>
                          <w:lang w:val="en-GB" w:eastAsia="zh-CN"/>
                        </w:rPr>
                      </m:ctrlPr>
                    </m:sSubPr>
                    <m:e>
                      <m:r>
                        <m:rPr>
                          <m:sty m:val="b"/>
                        </m:rPr>
                        <w:rPr>
                          <w:rFonts w:ascii="Cambria Math" w:hAnsi="Cambria Math" w:eastAsia="宋体"/>
                          <w:szCs w:val="20"/>
                          <w:lang w:val="en-GB" w:eastAsia="zh-CN"/>
                        </w:rPr>
                        <m:t>Y</m:t>
                      </m:r>
                      <m:ctrlPr>
                        <w:rPr>
                          <w:rFonts w:ascii="Cambria Math" w:hAnsi="Cambria Math" w:eastAsia="宋体"/>
                          <w:b/>
                          <w:iCs/>
                          <w:szCs w:val="20"/>
                          <w:lang w:val="en-GB" w:eastAsia="zh-CN"/>
                        </w:rPr>
                      </m:ctrlPr>
                    </m:e>
                    <m:sub>
                      <m:r>
                        <m:rPr>
                          <m:sty m:val="b"/>
                        </m:rPr>
                        <w:rPr>
                          <w:rFonts w:ascii="Cambria Math" w:hAnsi="Cambria Math" w:eastAsia="宋体"/>
                          <w:szCs w:val="20"/>
                          <w:lang w:val="en-GB" w:eastAsia="zh-CN"/>
                        </w:rPr>
                        <m:t>s</m:t>
                      </m:r>
                      <m:ctrlPr>
                        <w:rPr>
                          <w:rFonts w:ascii="Cambria Math" w:hAnsi="Cambria Math" w:eastAsia="宋体"/>
                          <w:b/>
                          <w:iCs/>
                          <w:szCs w:val="20"/>
                          <w:lang w:val="en-GB" w:eastAsia="zh-CN"/>
                        </w:rPr>
                      </m:ctrlPr>
                    </m:sub>
                  </m:sSub>
                  <m:r>
                    <m:rPr>
                      <m:nor/>
                      <m:sty m:val="b"/>
                    </m:rPr>
                    <w:rPr>
                      <w:rFonts w:ascii="Cambria Math" w:eastAsia="宋体"/>
                      <w:b/>
                      <w:iCs/>
                      <w:szCs w:val="20"/>
                      <w:lang w:val="en-GB"/>
                    </w:rPr>
                    <m:t>),</m:t>
                  </m:r>
                  <m:r>
                    <m:rPr>
                      <m:sty m:val="b"/>
                    </m:rPr>
                    <w:rPr>
                      <w:rFonts w:ascii="Cambria Math" w:eastAsia="宋体"/>
                      <w:szCs w:val="20"/>
                      <w:lang w:val="en-GB"/>
                    </w:rPr>
                    <m:t>μ</m:t>
                  </m:r>
                  <m:ctrlPr>
                    <w:rPr>
                      <w:rFonts w:ascii="Cambria Math" w:hAnsi="Cambria Math" w:eastAsia="宋体"/>
                      <w:b/>
                      <w:iCs/>
                      <w:sz w:val="24"/>
                      <w:szCs w:val="24"/>
                      <w:lang w:val="en-GB"/>
                    </w:rPr>
                  </m:ctrlPr>
                </m:sup>
              </m:sSubSup>
              <m:r>
                <m:rPr>
                  <m:sty m:val="bi"/>
                </m:rPr>
                <w:rPr>
                  <w:rFonts w:ascii="Cambria Math" w:hAnsi="Cambria Math" w:eastAsia="宋体"/>
                  <w:szCs w:val="20"/>
                  <w:lang w:val="en-GB"/>
                </w:rPr>
                <m:t xml:space="preserve"> </m:t>
              </m:r>
            </m:oMath>
            <w:r>
              <w:rPr>
                <w:rFonts w:eastAsia="宋体"/>
                <w:b/>
                <w:szCs w:val="20"/>
                <w:lang w:val="en-GB"/>
              </w:rPr>
              <w:t xml:space="preserve">and </w:t>
            </w:r>
            <m:oMath>
              <m:sSubSup>
                <m:sSubSupPr>
                  <m:ctrlPr>
                    <w:rPr>
                      <w:rFonts w:ascii="Cambria Math" w:hAnsi="Cambria Math" w:eastAsia="宋体"/>
                      <w:b/>
                      <w:iCs/>
                      <w:sz w:val="24"/>
                      <w:szCs w:val="24"/>
                      <w:lang w:val="en-GB"/>
                    </w:rPr>
                  </m:ctrlPr>
                </m:sSubSupPr>
                <m:e>
                  <m:r>
                    <m:rPr>
                      <m:sty m:val="bi"/>
                    </m:rPr>
                    <w:rPr>
                      <w:rFonts w:ascii="Cambria Math" w:eastAsia="宋体"/>
                      <w:szCs w:val="20"/>
                      <w:lang w:val="en-GB"/>
                    </w:rPr>
                    <m:t>C</m:t>
                  </m:r>
                  <m:ctrlPr>
                    <w:rPr>
                      <w:rFonts w:ascii="Cambria Math" w:hAnsi="Cambria Math" w:eastAsia="宋体"/>
                      <w:b/>
                      <w:iCs/>
                      <w:sz w:val="24"/>
                      <w:szCs w:val="24"/>
                      <w:lang w:val="en-GB"/>
                    </w:rPr>
                  </m:ctrlPr>
                </m:e>
                <m:sub>
                  <m:r>
                    <m:rPr>
                      <m:nor/>
                      <m:sty m:val="b"/>
                    </m:rPr>
                    <w:rPr>
                      <w:rFonts w:ascii="Cambria Math" w:eastAsia="宋体"/>
                      <w:b/>
                      <w:iCs/>
                      <w:szCs w:val="20"/>
                      <w:lang w:val="en-GB"/>
                    </w:rPr>
                    <m:t>PDCCH</m:t>
                  </m:r>
                  <m:ctrlPr>
                    <w:rPr>
                      <w:rFonts w:ascii="Cambria Math" w:hAnsi="Cambria Math" w:eastAsia="宋体"/>
                      <w:b/>
                      <w:iCs/>
                      <w:sz w:val="24"/>
                      <w:szCs w:val="24"/>
                      <w:lang w:val="en-GB"/>
                    </w:rPr>
                  </m:ctrlPr>
                </m:sub>
                <m:sup>
                  <m:r>
                    <m:rPr>
                      <m:nor/>
                      <m:sty m:val="b"/>
                    </m:rPr>
                    <w:rPr>
                      <w:rFonts w:ascii="Cambria Math" w:eastAsia="宋体"/>
                      <w:b/>
                      <w:iCs/>
                      <w:szCs w:val="20"/>
                      <w:lang w:val="en-GB"/>
                    </w:rPr>
                    <m:t>total,(</m:t>
                  </m:r>
                  <m:sSub>
                    <m:sSubPr>
                      <m:ctrlPr>
                        <w:rPr>
                          <w:rFonts w:ascii="Cambria Math" w:hAnsi="Cambria Math" w:eastAsia="宋体"/>
                          <w:b/>
                          <w:iCs/>
                          <w:szCs w:val="20"/>
                          <w:lang w:val="en-GB" w:eastAsia="zh-CN"/>
                        </w:rPr>
                      </m:ctrlPr>
                    </m:sSubPr>
                    <m:e>
                      <m:r>
                        <m:rPr>
                          <m:sty m:val="b"/>
                        </m:rPr>
                        <w:rPr>
                          <w:rFonts w:ascii="Cambria Math" w:hAnsi="Cambria Math" w:eastAsia="宋体"/>
                          <w:szCs w:val="20"/>
                          <w:lang w:val="en-GB" w:eastAsia="zh-CN"/>
                        </w:rPr>
                        <m:t>X</m:t>
                      </m:r>
                      <m:ctrlPr>
                        <w:rPr>
                          <w:rFonts w:ascii="Cambria Math" w:hAnsi="Cambria Math" w:eastAsia="宋体"/>
                          <w:b/>
                          <w:iCs/>
                          <w:szCs w:val="20"/>
                          <w:lang w:val="en-GB" w:eastAsia="zh-CN"/>
                        </w:rPr>
                      </m:ctrlPr>
                    </m:e>
                    <m:sub>
                      <m:r>
                        <m:rPr>
                          <m:sty m:val="b"/>
                        </m:rPr>
                        <w:rPr>
                          <w:rFonts w:ascii="Cambria Math" w:hAnsi="Cambria Math" w:eastAsia="宋体"/>
                          <w:szCs w:val="20"/>
                          <w:lang w:val="en-GB" w:eastAsia="zh-CN"/>
                        </w:rPr>
                        <m:t>s</m:t>
                      </m:r>
                      <m:ctrlPr>
                        <w:rPr>
                          <w:rFonts w:ascii="Cambria Math" w:hAnsi="Cambria Math" w:eastAsia="宋体"/>
                          <w:b/>
                          <w:iCs/>
                          <w:szCs w:val="20"/>
                          <w:lang w:val="en-GB" w:eastAsia="zh-CN"/>
                        </w:rPr>
                      </m:ctrlPr>
                    </m:sub>
                  </m:sSub>
                  <m:r>
                    <m:rPr>
                      <m:sty m:val="b"/>
                    </m:rPr>
                    <w:rPr>
                      <w:rFonts w:ascii="Cambria Math" w:hAnsi="Cambria Math" w:eastAsia="宋体"/>
                      <w:szCs w:val="20"/>
                      <w:lang w:val="en-GB" w:eastAsia="zh-CN"/>
                    </w:rPr>
                    <m:t>,</m:t>
                  </m:r>
                  <m:sSub>
                    <m:sSubPr>
                      <m:ctrlPr>
                        <w:rPr>
                          <w:rFonts w:ascii="Cambria Math" w:hAnsi="Cambria Math" w:eastAsia="宋体"/>
                          <w:b/>
                          <w:iCs/>
                          <w:szCs w:val="20"/>
                          <w:lang w:val="en-GB" w:eastAsia="zh-CN"/>
                        </w:rPr>
                      </m:ctrlPr>
                    </m:sSubPr>
                    <m:e>
                      <m:r>
                        <m:rPr>
                          <m:sty m:val="b"/>
                        </m:rPr>
                        <w:rPr>
                          <w:rFonts w:ascii="Cambria Math" w:hAnsi="Cambria Math" w:eastAsia="宋体"/>
                          <w:szCs w:val="20"/>
                          <w:lang w:val="en-GB" w:eastAsia="zh-CN"/>
                        </w:rPr>
                        <m:t>Y</m:t>
                      </m:r>
                      <m:ctrlPr>
                        <w:rPr>
                          <w:rFonts w:ascii="Cambria Math" w:hAnsi="Cambria Math" w:eastAsia="宋体"/>
                          <w:b/>
                          <w:iCs/>
                          <w:szCs w:val="20"/>
                          <w:lang w:val="en-GB" w:eastAsia="zh-CN"/>
                        </w:rPr>
                      </m:ctrlPr>
                    </m:e>
                    <m:sub>
                      <m:r>
                        <m:rPr>
                          <m:sty m:val="b"/>
                        </m:rPr>
                        <w:rPr>
                          <w:rFonts w:ascii="Cambria Math" w:hAnsi="Cambria Math" w:eastAsia="宋体"/>
                          <w:szCs w:val="20"/>
                          <w:lang w:val="en-GB" w:eastAsia="zh-CN"/>
                        </w:rPr>
                        <m:t>s</m:t>
                      </m:r>
                      <m:ctrlPr>
                        <w:rPr>
                          <w:rFonts w:ascii="Cambria Math" w:hAnsi="Cambria Math" w:eastAsia="宋体"/>
                          <w:b/>
                          <w:iCs/>
                          <w:szCs w:val="20"/>
                          <w:lang w:val="en-GB" w:eastAsia="zh-CN"/>
                        </w:rPr>
                      </m:ctrlPr>
                    </m:sub>
                  </m:sSub>
                  <m:r>
                    <m:rPr>
                      <m:nor/>
                      <m:sty m:val="b"/>
                    </m:rPr>
                    <w:rPr>
                      <w:rFonts w:ascii="Cambria Math" w:eastAsia="宋体"/>
                      <w:b/>
                      <w:iCs/>
                      <w:szCs w:val="20"/>
                      <w:lang w:val="en-GB"/>
                    </w:rPr>
                    <m:t>),</m:t>
                  </m:r>
                  <m:r>
                    <m:rPr>
                      <m:sty m:val="b"/>
                    </m:rPr>
                    <w:rPr>
                      <w:rFonts w:ascii="Cambria Math" w:eastAsia="宋体"/>
                      <w:szCs w:val="20"/>
                      <w:lang w:val="en-GB"/>
                    </w:rPr>
                    <m:t>μ</m:t>
                  </m:r>
                  <m:ctrlPr>
                    <w:rPr>
                      <w:rFonts w:ascii="Cambria Math" w:hAnsi="Cambria Math" w:eastAsia="宋体"/>
                      <w:b/>
                      <w:iCs/>
                      <w:sz w:val="24"/>
                      <w:szCs w:val="24"/>
                      <w:lang w:val="en-GB"/>
                    </w:rPr>
                  </m:ctrlPr>
                </m:sup>
              </m:sSubSup>
            </m:oMath>
            <w:r>
              <w:rPr>
                <w:rFonts w:hint="eastAsia" w:eastAsia="宋体"/>
                <w:b/>
                <w:iCs/>
                <w:sz w:val="24"/>
                <w:szCs w:val="24"/>
                <w:lang w:val="en-GB" w:eastAsia="zh-CN"/>
              </w:rPr>
              <w:t>.</w:t>
            </w:r>
          </w:p>
          <w:p>
            <w:pPr>
              <w:widowControl w:val="0"/>
              <w:jc w:val="both"/>
              <w:rPr>
                <w:lang w:val="en-GB" w:eastAsia="zh-CN"/>
              </w:rPr>
            </w:pPr>
          </w:p>
          <w:p>
            <w:pPr>
              <w:widowControl w:val="0"/>
              <w:jc w:val="both"/>
              <w:rPr>
                <w:b/>
                <w:u w:val="single"/>
              </w:rPr>
            </w:pPr>
          </w:p>
        </w:tc>
      </w:tr>
    </w:tbl>
    <w:p>
      <w:pPr>
        <w:rPr>
          <w:lang w:eastAsia="zh-CN"/>
        </w:rPr>
      </w:pPr>
    </w:p>
    <w:p>
      <w:pPr>
        <w:pStyle w:val="4"/>
      </w:pPr>
      <w:r>
        <w:t>R1-2201663 (Nokia, Nokia Shanghai Bell)</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103"/>
              <w:widowControl w:val="0"/>
              <w:spacing w:after="0"/>
              <w:ind w:left="0" w:firstLine="0"/>
              <w:textAlignment w:val="auto"/>
              <w:rPr>
                <w:rStyle w:val="216"/>
                <w:color w:val="000000"/>
                <w:shd w:val="clear" w:color="auto" w:fill="FFFFFF"/>
              </w:rPr>
            </w:pPr>
            <w:r>
              <w:rPr>
                <w:rStyle w:val="216"/>
                <w:color w:val="000000"/>
                <w:shd w:val="clear" w:color="auto" w:fill="FFFFFF"/>
              </w:rPr>
              <w:t>We propose to convert the working assumption to an agreement. At the same time, we should agree the exact values for the BD/CCE budgets for different multi-slot PDCCH monitoring scenarios. We provide a proposal for the values in Table 1.</w:t>
            </w:r>
          </w:p>
          <w:p>
            <w:pPr>
              <w:pStyle w:val="103"/>
              <w:widowControl w:val="0"/>
              <w:spacing w:after="0"/>
              <w:ind w:left="0" w:firstLine="0"/>
              <w:textAlignment w:val="auto"/>
              <w:rPr>
                <w:rStyle w:val="216"/>
                <w:color w:val="000000"/>
                <w:shd w:val="clear" w:color="auto" w:fill="FFFFFF"/>
              </w:rPr>
            </w:pPr>
          </w:p>
          <w:p>
            <w:pPr>
              <w:pStyle w:val="27"/>
              <w:keepNext/>
              <w:widowControl w:val="0"/>
            </w:pPr>
            <w:r>
              <w:t xml:space="preserve">Table </w:t>
            </w:r>
            <w:r>
              <w:fldChar w:fldCharType="begin"/>
            </w:r>
            <w:r>
              <w:instrText xml:space="preserve"> SEQ Table \* ARABIC </w:instrText>
            </w:r>
            <w:r>
              <w:fldChar w:fldCharType="separate"/>
            </w:r>
            <w:r>
              <w:t>1</w:t>
            </w:r>
            <w:r>
              <w:fldChar w:fldCharType="end"/>
            </w:r>
            <w:r>
              <w:t>. Proposed valus for BD / CCE budget per slot</w:t>
            </w:r>
          </w:p>
          <w:tbl>
            <w:tblPr>
              <w:tblStyle w:val="55"/>
              <w:tblW w:w="962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55"/>
              <w:gridCol w:w="708"/>
              <w:gridCol w:w="3402"/>
              <w:gridCol w:w="39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5" w:type="dxa"/>
                  <w:vAlign w:val="center"/>
                </w:tcPr>
                <w:p>
                  <w:pPr>
                    <w:pStyle w:val="103"/>
                    <w:widowControl w:val="0"/>
                    <w:spacing w:after="0"/>
                    <w:ind w:left="0" w:firstLine="0"/>
                    <w:textAlignment w:val="auto"/>
                    <w:rPr>
                      <w:rStyle w:val="216"/>
                      <w:color w:val="000000"/>
                      <w:shd w:val="clear" w:color="auto" w:fill="FFFFFF"/>
                    </w:rPr>
                  </w:pPr>
                  <w:r>
                    <w:rPr>
                      <w:rStyle w:val="216"/>
                      <w:color w:val="000000"/>
                      <w:shd w:val="clear" w:color="auto" w:fill="FFFFFF"/>
                    </w:rPr>
                    <w:t>SCS</w:t>
                  </w:r>
                </w:p>
              </w:tc>
              <w:tc>
                <w:tcPr>
                  <w:tcW w:w="708" w:type="dxa"/>
                  <w:vAlign w:val="center"/>
                </w:tcPr>
                <w:p>
                  <w:pPr>
                    <w:pStyle w:val="103"/>
                    <w:widowControl w:val="0"/>
                    <w:spacing w:after="0"/>
                    <w:ind w:left="0" w:firstLine="0"/>
                    <w:textAlignment w:val="auto"/>
                    <w:rPr>
                      <w:rStyle w:val="216"/>
                      <w:color w:val="000000"/>
                      <w:shd w:val="clear" w:color="auto" w:fill="FFFFFF"/>
                    </w:rPr>
                  </w:pPr>
                  <w:r>
                    <w:rPr>
                      <w:rStyle w:val="216"/>
                      <w:color w:val="000000"/>
                      <w:shd w:val="clear" w:color="auto" w:fill="FFFFFF"/>
                    </w:rPr>
                    <w:t>(X,Y)</w:t>
                  </w:r>
                </w:p>
              </w:tc>
              <w:tc>
                <w:tcPr>
                  <w:tcW w:w="3402" w:type="dxa"/>
                  <w:shd w:val="clear" w:color="auto" w:fill="F1F1F1" w:themeFill="background1" w:themeFillShade="F2"/>
                  <w:vAlign w:val="center"/>
                </w:tcPr>
                <w:p>
                  <w:pPr>
                    <w:pStyle w:val="103"/>
                    <w:widowControl w:val="0"/>
                    <w:spacing w:after="0"/>
                    <w:ind w:left="0" w:firstLine="0"/>
                    <w:jc w:val="center"/>
                    <w:textAlignment w:val="auto"/>
                    <w:rPr>
                      <w:rStyle w:val="216"/>
                      <w:color w:val="000000"/>
                      <w:shd w:val="clear" w:color="auto" w:fill="FFFFFF"/>
                      <w:lang w:val="sv-SE"/>
                    </w:rPr>
                  </w:pPr>
                  <w:r>
                    <w:rPr>
                      <w:rStyle w:val="216"/>
                      <w:color w:val="000000"/>
                      <w:shd w:val="clear" w:color="auto" w:fill="FFFFFF"/>
                      <w:lang w:val="sv-SE"/>
                    </w:rPr>
                    <w:t>BD budget per X slots</w:t>
                  </w:r>
                </w:p>
              </w:tc>
              <w:tc>
                <w:tcPr>
                  <w:tcW w:w="3964" w:type="dxa"/>
                  <w:shd w:val="clear" w:color="auto" w:fill="F1F1F1" w:themeFill="background1" w:themeFillShade="F2"/>
                  <w:vAlign w:val="center"/>
                </w:tcPr>
                <w:p>
                  <w:pPr>
                    <w:pStyle w:val="103"/>
                    <w:widowControl w:val="0"/>
                    <w:spacing w:after="0"/>
                    <w:ind w:left="0" w:firstLine="0"/>
                    <w:jc w:val="center"/>
                    <w:textAlignment w:val="auto"/>
                    <w:rPr>
                      <w:rStyle w:val="216"/>
                      <w:color w:val="000000"/>
                      <w:shd w:val="clear" w:color="auto" w:fill="FFFFFF"/>
                    </w:rPr>
                  </w:pPr>
                  <w:r>
                    <w:rPr>
                      <w:rStyle w:val="216"/>
                      <w:color w:val="000000"/>
                      <w:shd w:val="clear" w:color="auto" w:fill="FFFFFF"/>
                    </w:rPr>
                    <w:t>CCE budget per X slots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5" w:type="dxa"/>
                  <w:vAlign w:val="center"/>
                </w:tcPr>
                <w:p>
                  <w:pPr>
                    <w:pStyle w:val="103"/>
                    <w:widowControl w:val="0"/>
                    <w:spacing w:after="0"/>
                    <w:ind w:left="0" w:firstLine="0"/>
                    <w:textAlignment w:val="auto"/>
                    <w:rPr>
                      <w:rStyle w:val="216"/>
                      <w:color w:val="000000"/>
                      <w:shd w:val="clear" w:color="auto" w:fill="FFFFFF"/>
                    </w:rPr>
                  </w:pPr>
                  <w:r>
                    <w:rPr>
                      <w:rStyle w:val="216"/>
                      <w:color w:val="000000"/>
                      <w:shd w:val="clear" w:color="auto" w:fill="FFFFFF"/>
                    </w:rPr>
                    <w:t>480 kHz</w:t>
                  </w:r>
                </w:p>
              </w:tc>
              <w:tc>
                <w:tcPr>
                  <w:tcW w:w="708" w:type="dxa"/>
                  <w:vAlign w:val="center"/>
                </w:tcPr>
                <w:p>
                  <w:pPr>
                    <w:pStyle w:val="103"/>
                    <w:widowControl w:val="0"/>
                    <w:spacing w:after="0"/>
                    <w:ind w:left="0" w:firstLine="0"/>
                    <w:textAlignment w:val="auto"/>
                    <w:rPr>
                      <w:rStyle w:val="216"/>
                      <w:color w:val="000000"/>
                      <w:shd w:val="clear" w:color="auto" w:fill="FFFFFF"/>
                    </w:rPr>
                  </w:pPr>
                  <w:r>
                    <w:rPr>
                      <w:rStyle w:val="216"/>
                      <w:color w:val="000000"/>
                      <w:shd w:val="clear" w:color="auto" w:fill="FFFFFF"/>
                    </w:rPr>
                    <w:t>(4,1)</w:t>
                  </w:r>
                </w:p>
              </w:tc>
              <w:tc>
                <w:tcPr>
                  <w:tcW w:w="3402" w:type="dxa"/>
                  <w:vMerge w:val="restart"/>
                  <w:vAlign w:val="center"/>
                </w:tcPr>
                <w:p>
                  <w:pPr>
                    <w:pStyle w:val="103"/>
                    <w:widowControl w:val="0"/>
                    <w:spacing w:after="0"/>
                    <w:ind w:left="0" w:firstLine="0"/>
                    <w:jc w:val="center"/>
                    <w:textAlignment w:val="auto"/>
                    <w:rPr>
                      <w:rStyle w:val="216"/>
                      <w:color w:val="000000"/>
                      <w:shd w:val="clear" w:color="auto" w:fill="FFFFFF"/>
                    </w:rPr>
                  </w:pPr>
                  <w:r>
                    <w:rPr>
                      <w:rStyle w:val="216"/>
                      <w:color w:val="000000"/>
                      <w:shd w:val="clear" w:color="auto" w:fill="FFFFFF"/>
                    </w:rPr>
                    <w:t>20</w:t>
                  </w:r>
                </w:p>
              </w:tc>
              <w:tc>
                <w:tcPr>
                  <w:tcW w:w="3964" w:type="dxa"/>
                  <w:vMerge w:val="restart"/>
                  <w:vAlign w:val="center"/>
                </w:tcPr>
                <w:p>
                  <w:pPr>
                    <w:pStyle w:val="103"/>
                    <w:widowControl w:val="0"/>
                    <w:spacing w:after="0"/>
                    <w:ind w:left="0" w:firstLine="0"/>
                    <w:jc w:val="center"/>
                    <w:textAlignment w:val="auto"/>
                    <w:rPr>
                      <w:rStyle w:val="216"/>
                      <w:color w:val="000000"/>
                      <w:shd w:val="clear" w:color="auto" w:fill="FFFFFF"/>
                    </w:rPr>
                  </w:pPr>
                  <w:r>
                    <w:rPr>
                      <w:rStyle w:val="216"/>
                      <w:color w:val="000000"/>
                      <w:shd w:val="clear" w:color="auto" w:fill="FFFFFF"/>
                    </w:rPr>
                    <w:t>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5" w:type="dxa"/>
                  <w:vAlign w:val="center"/>
                </w:tcPr>
                <w:p>
                  <w:pPr>
                    <w:pStyle w:val="103"/>
                    <w:widowControl w:val="0"/>
                    <w:spacing w:after="0"/>
                    <w:ind w:left="0" w:firstLine="0"/>
                    <w:textAlignment w:val="auto"/>
                    <w:rPr>
                      <w:rStyle w:val="216"/>
                      <w:color w:val="000000"/>
                      <w:shd w:val="clear" w:color="auto" w:fill="FFFFFF"/>
                    </w:rPr>
                  </w:pPr>
                  <w:r>
                    <w:rPr>
                      <w:rStyle w:val="216"/>
                      <w:color w:val="000000"/>
                      <w:shd w:val="clear" w:color="auto" w:fill="FFFFFF"/>
                    </w:rPr>
                    <w:t>480 kHz</w:t>
                  </w:r>
                </w:p>
              </w:tc>
              <w:tc>
                <w:tcPr>
                  <w:tcW w:w="708" w:type="dxa"/>
                  <w:vAlign w:val="center"/>
                </w:tcPr>
                <w:p>
                  <w:pPr>
                    <w:pStyle w:val="103"/>
                    <w:widowControl w:val="0"/>
                    <w:spacing w:after="0"/>
                    <w:ind w:left="0" w:firstLine="0"/>
                    <w:textAlignment w:val="auto"/>
                    <w:rPr>
                      <w:rStyle w:val="216"/>
                      <w:color w:val="000000"/>
                      <w:shd w:val="clear" w:color="auto" w:fill="FFFFFF"/>
                    </w:rPr>
                  </w:pPr>
                  <w:r>
                    <w:rPr>
                      <w:rStyle w:val="216"/>
                      <w:color w:val="000000"/>
                      <w:shd w:val="clear" w:color="auto" w:fill="FFFFFF"/>
                    </w:rPr>
                    <w:t>(4,2)</w:t>
                  </w:r>
                </w:p>
              </w:tc>
              <w:tc>
                <w:tcPr>
                  <w:tcW w:w="3402" w:type="dxa"/>
                  <w:vMerge w:val="continue"/>
                  <w:vAlign w:val="center"/>
                </w:tcPr>
                <w:p>
                  <w:pPr>
                    <w:pStyle w:val="103"/>
                    <w:widowControl w:val="0"/>
                    <w:spacing w:after="0"/>
                    <w:ind w:left="0" w:firstLine="0"/>
                    <w:jc w:val="center"/>
                    <w:textAlignment w:val="auto"/>
                    <w:rPr>
                      <w:rStyle w:val="216"/>
                      <w:color w:val="000000"/>
                      <w:shd w:val="clear" w:color="auto" w:fill="FFFFFF"/>
                    </w:rPr>
                  </w:pPr>
                </w:p>
              </w:tc>
              <w:tc>
                <w:tcPr>
                  <w:tcW w:w="3964" w:type="dxa"/>
                  <w:vMerge w:val="continue"/>
                  <w:vAlign w:val="center"/>
                </w:tcPr>
                <w:p>
                  <w:pPr>
                    <w:pStyle w:val="103"/>
                    <w:widowControl w:val="0"/>
                    <w:spacing w:after="0"/>
                    <w:ind w:left="0" w:firstLine="0"/>
                    <w:jc w:val="center"/>
                    <w:textAlignment w:val="auto"/>
                    <w:rPr>
                      <w:rStyle w:val="216"/>
                      <w:color w:val="000000"/>
                      <w:shd w:val="clear" w:color="auto" w:fill="FFFFFF"/>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5" w:type="dxa"/>
                  <w:vAlign w:val="center"/>
                </w:tcPr>
                <w:p>
                  <w:pPr>
                    <w:pStyle w:val="103"/>
                    <w:widowControl w:val="0"/>
                    <w:spacing w:after="0"/>
                    <w:ind w:left="0" w:firstLine="0"/>
                    <w:textAlignment w:val="auto"/>
                    <w:rPr>
                      <w:rStyle w:val="216"/>
                      <w:color w:val="000000"/>
                      <w:shd w:val="clear" w:color="auto" w:fill="FFFFFF"/>
                    </w:rPr>
                  </w:pPr>
                  <w:r>
                    <w:rPr>
                      <w:rStyle w:val="216"/>
                      <w:color w:val="000000"/>
                      <w:shd w:val="clear" w:color="auto" w:fill="FFFFFF"/>
                    </w:rPr>
                    <w:t>960 kHz</w:t>
                  </w:r>
                </w:p>
              </w:tc>
              <w:tc>
                <w:tcPr>
                  <w:tcW w:w="708" w:type="dxa"/>
                  <w:vAlign w:val="center"/>
                </w:tcPr>
                <w:p>
                  <w:pPr>
                    <w:pStyle w:val="103"/>
                    <w:widowControl w:val="0"/>
                    <w:spacing w:after="0"/>
                    <w:ind w:left="0" w:firstLine="0"/>
                    <w:textAlignment w:val="auto"/>
                    <w:rPr>
                      <w:rStyle w:val="216"/>
                      <w:color w:val="000000"/>
                      <w:shd w:val="clear" w:color="auto" w:fill="FFFFFF"/>
                    </w:rPr>
                  </w:pPr>
                  <w:r>
                    <w:rPr>
                      <w:rStyle w:val="216"/>
                      <w:color w:val="000000"/>
                      <w:shd w:val="clear" w:color="auto" w:fill="FFFFFF"/>
                    </w:rPr>
                    <w:t>(8,1)</w:t>
                  </w:r>
                </w:p>
              </w:tc>
              <w:tc>
                <w:tcPr>
                  <w:tcW w:w="3402" w:type="dxa"/>
                  <w:vMerge w:val="continue"/>
                  <w:vAlign w:val="center"/>
                </w:tcPr>
                <w:p>
                  <w:pPr>
                    <w:pStyle w:val="103"/>
                    <w:widowControl w:val="0"/>
                    <w:spacing w:after="0"/>
                    <w:ind w:left="0" w:firstLine="0"/>
                    <w:jc w:val="center"/>
                    <w:textAlignment w:val="auto"/>
                    <w:rPr>
                      <w:rStyle w:val="216"/>
                      <w:color w:val="000000"/>
                      <w:shd w:val="clear" w:color="auto" w:fill="FFFFFF"/>
                    </w:rPr>
                  </w:pPr>
                </w:p>
              </w:tc>
              <w:tc>
                <w:tcPr>
                  <w:tcW w:w="3964" w:type="dxa"/>
                  <w:vMerge w:val="continue"/>
                  <w:vAlign w:val="center"/>
                </w:tcPr>
                <w:p>
                  <w:pPr>
                    <w:pStyle w:val="103"/>
                    <w:widowControl w:val="0"/>
                    <w:spacing w:after="0"/>
                    <w:ind w:left="0" w:firstLine="0"/>
                    <w:jc w:val="center"/>
                    <w:textAlignment w:val="auto"/>
                    <w:rPr>
                      <w:rStyle w:val="216"/>
                      <w:color w:val="000000"/>
                      <w:shd w:val="clear" w:color="auto" w:fill="FFFFFF"/>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5" w:type="dxa"/>
                  <w:vAlign w:val="center"/>
                </w:tcPr>
                <w:p>
                  <w:pPr>
                    <w:pStyle w:val="103"/>
                    <w:widowControl w:val="0"/>
                    <w:spacing w:after="0"/>
                    <w:ind w:left="0" w:firstLine="0"/>
                    <w:textAlignment w:val="auto"/>
                    <w:rPr>
                      <w:rStyle w:val="216"/>
                      <w:color w:val="000000"/>
                      <w:shd w:val="clear" w:color="auto" w:fill="FFFFFF"/>
                    </w:rPr>
                  </w:pPr>
                  <w:r>
                    <w:rPr>
                      <w:rStyle w:val="216"/>
                      <w:color w:val="000000"/>
                      <w:shd w:val="clear" w:color="auto" w:fill="FFFFFF"/>
                    </w:rPr>
                    <w:t>960 kHz</w:t>
                  </w:r>
                </w:p>
              </w:tc>
              <w:tc>
                <w:tcPr>
                  <w:tcW w:w="708" w:type="dxa"/>
                  <w:vAlign w:val="center"/>
                </w:tcPr>
                <w:p>
                  <w:pPr>
                    <w:pStyle w:val="103"/>
                    <w:widowControl w:val="0"/>
                    <w:spacing w:after="0"/>
                    <w:ind w:left="0" w:firstLine="0"/>
                    <w:textAlignment w:val="auto"/>
                    <w:rPr>
                      <w:rStyle w:val="216"/>
                      <w:color w:val="000000"/>
                      <w:shd w:val="clear" w:color="auto" w:fill="FFFFFF"/>
                    </w:rPr>
                  </w:pPr>
                  <w:r>
                    <w:rPr>
                      <w:rStyle w:val="216"/>
                      <w:color w:val="000000"/>
                      <w:shd w:val="clear" w:color="auto" w:fill="FFFFFF"/>
                    </w:rPr>
                    <w:t>(8,4)</w:t>
                  </w:r>
                </w:p>
              </w:tc>
              <w:tc>
                <w:tcPr>
                  <w:tcW w:w="3402" w:type="dxa"/>
                  <w:vMerge w:val="continue"/>
                  <w:vAlign w:val="center"/>
                </w:tcPr>
                <w:p>
                  <w:pPr>
                    <w:pStyle w:val="103"/>
                    <w:widowControl w:val="0"/>
                    <w:spacing w:after="0"/>
                    <w:ind w:left="0" w:firstLine="0"/>
                    <w:jc w:val="center"/>
                    <w:textAlignment w:val="auto"/>
                    <w:rPr>
                      <w:rStyle w:val="216"/>
                      <w:color w:val="000000"/>
                      <w:shd w:val="clear" w:color="auto" w:fill="FFFFFF"/>
                    </w:rPr>
                  </w:pPr>
                </w:p>
              </w:tc>
              <w:tc>
                <w:tcPr>
                  <w:tcW w:w="3964" w:type="dxa"/>
                  <w:vMerge w:val="continue"/>
                  <w:vAlign w:val="center"/>
                </w:tcPr>
                <w:p>
                  <w:pPr>
                    <w:pStyle w:val="103"/>
                    <w:widowControl w:val="0"/>
                    <w:spacing w:after="0"/>
                    <w:ind w:left="0" w:firstLine="0"/>
                    <w:jc w:val="center"/>
                    <w:textAlignment w:val="auto"/>
                    <w:rPr>
                      <w:rStyle w:val="216"/>
                      <w:color w:val="000000"/>
                      <w:shd w:val="clear" w:color="auto" w:fill="FFFFFF"/>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5" w:type="dxa"/>
                  <w:vAlign w:val="center"/>
                </w:tcPr>
                <w:p>
                  <w:pPr>
                    <w:pStyle w:val="103"/>
                    <w:widowControl w:val="0"/>
                    <w:spacing w:after="0"/>
                    <w:ind w:left="0" w:firstLine="0"/>
                    <w:textAlignment w:val="auto"/>
                    <w:rPr>
                      <w:rStyle w:val="216"/>
                      <w:color w:val="000000"/>
                      <w:shd w:val="clear" w:color="auto" w:fill="FFFFFF"/>
                    </w:rPr>
                  </w:pPr>
                  <w:r>
                    <w:rPr>
                      <w:rStyle w:val="216"/>
                      <w:color w:val="000000"/>
                      <w:shd w:val="clear" w:color="auto" w:fill="FFFFFF"/>
                    </w:rPr>
                    <w:t>960 kHz</w:t>
                  </w:r>
                </w:p>
              </w:tc>
              <w:tc>
                <w:tcPr>
                  <w:tcW w:w="708" w:type="dxa"/>
                  <w:vAlign w:val="center"/>
                </w:tcPr>
                <w:p>
                  <w:pPr>
                    <w:pStyle w:val="103"/>
                    <w:widowControl w:val="0"/>
                    <w:spacing w:after="0"/>
                    <w:ind w:left="0" w:firstLine="0"/>
                    <w:textAlignment w:val="auto"/>
                    <w:rPr>
                      <w:rStyle w:val="216"/>
                      <w:color w:val="000000"/>
                      <w:shd w:val="clear" w:color="auto" w:fill="FFFFFF"/>
                    </w:rPr>
                  </w:pPr>
                  <w:r>
                    <w:rPr>
                      <w:rStyle w:val="216"/>
                      <w:color w:val="000000"/>
                      <w:shd w:val="clear" w:color="auto" w:fill="FFFFFF"/>
                    </w:rPr>
                    <w:t>(4,1)</w:t>
                  </w:r>
                </w:p>
              </w:tc>
              <w:tc>
                <w:tcPr>
                  <w:tcW w:w="3402" w:type="dxa"/>
                  <w:vMerge w:val="restart"/>
                  <w:vAlign w:val="center"/>
                </w:tcPr>
                <w:p>
                  <w:pPr>
                    <w:pStyle w:val="103"/>
                    <w:widowControl w:val="0"/>
                    <w:spacing w:after="0"/>
                    <w:ind w:left="0" w:firstLine="0"/>
                    <w:jc w:val="center"/>
                    <w:textAlignment w:val="auto"/>
                    <w:rPr>
                      <w:rStyle w:val="216"/>
                      <w:color w:val="000000"/>
                      <w:shd w:val="clear" w:color="auto" w:fill="FFFFFF"/>
                    </w:rPr>
                  </w:pPr>
                  <w:r>
                    <w:rPr>
                      <w:rStyle w:val="216"/>
                      <w:color w:val="000000"/>
                      <w:shd w:val="clear" w:color="auto" w:fill="FFFFFF"/>
                    </w:rPr>
                    <w:t>10</w:t>
                  </w:r>
                </w:p>
              </w:tc>
              <w:tc>
                <w:tcPr>
                  <w:tcW w:w="3964" w:type="dxa"/>
                  <w:vMerge w:val="restart"/>
                  <w:vAlign w:val="center"/>
                </w:tcPr>
                <w:p>
                  <w:pPr>
                    <w:pStyle w:val="103"/>
                    <w:widowControl w:val="0"/>
                    <w:spacing w:after="0"/>
                    <w:ind w:left="0" w:firstLine="0"/>
                    <w:jc w:val="center"/>
                    <w:textAlignment w:val="auto"/>
                    <w:rPr>
                      <w:rStyle w:val="216"/>
                      <w:color w:val="000000"/>
                      <w:shd w:val="clear" w:color="auto" w:fill="FFFFFF"/>
                    </w:rPr>
                  </w:pPr>
                  <w:r>
                    <w:rPr>
                      <w:rStyle w:val="216"/>
                      <w:color w:val="000000"/>
                      <w:shd w:val="clear" w:color="auto" w:fill="FFFFFF"/>
                    </w:rPr>
                    <w:t>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5" w:type="dxa"/>
                  <w:vAlign w:val="center"/>
                </w:tcPr>
                <w:p>
                  <w:pPr>
                    <w:pStyle w:val="103"/>
                    <w:widowControl w:val="0"/>
                    <w:spacing w:after="0"/>
                    <w:ind w:left="0" w:firstLine="0"/>
                    <w:textAlignment w:val="auto"/>
                    <w:rPr>
                      <w:rStyle w:val="216"/>
                      <w:color w:val="000000"/>
                      <w:shd w:val="clear" w:color="auto" w:fill="FFFFFF"/>
                    </w:rPr>
                  </w:pPr>
                  <w:r>
                    <w:rPr>
                      <w:rStyle w:val="216"/>
                      <w:color w:val="000000"/>
                      <w:shd w:val="clear" w:color="auto" w:fill="FFFFFF"/>
                    </w:rPr>
                    <w:t>960 kHz</w:t>
                  </w:r>
                </w:p>
              </w:tc>
              <w:tc>
                <w:tcPr>
                  <w:tcW w:w="708" w:type="dxa"/>
                  <w:vAlign w:val="center"/>
                </w:tcPr>
                <w:p>
                  <w:pPr>
                    <w:pStyle w:val="103"/>
                    <w:widowControl w:val="0"/>
                    <w:spacing w:after="0"/>
                    <w:ind w:left="0" w:firstLine="0"/>
                    <w:textAlignment w:val="auto"/>
                    <w:rPr>
                      <w:rStyle w:val="216"/>
                      <w:color w:val="000000"/>
                      <w:shd w:val="clear" w:color="auto" w:fill="FFFFFF"/>
                    </w:rPr>
                  </w:pPr>
                  <w:r>
                    <w:rPr>
                      <w:rStyle w:val="216"/>
                      <w:color w:val="000000"/>
                      <w:shd w:val="clear" w:color="auto" w:fill="FFFFFF"/>
                    </w:rPr>
                    <w:t>(4,2)</w:t>
                  </w:r>
                </w:p>
              </w:tc>
              <w:tc>
                <w:tcPr>
                  <w:tcW w:w="3402" w:type="dxa"/>
                  <w:vMerge w:val="continue"/>
                  <w:vAlign w:val="center"/>
                </w:tcPr>
                <w:p>
                  <w:pPr>
                    <w:pStyle w:val="103"/>
                    <w:widowControl w:val="0"/>
                    <w:spacing w:after="0"/>
                    <w:ind w:left="0" w:firstLine="0"/>
                    <w:textAlignment w:val="auto"/>
                    <w:rPr>
                      <w:rStyle w:val="216"/>
                      <w:color w:val="000000"/>
                      <w:shd w:val="clear" w:color="auto" w:fill="FFFFFF"/>
                    </w:rPr>
                  </w:pPr>
                </w:p>
              </w:tc>
              <w:tc>
                <w:tcPr>
                  <w:tcW w:w="3964" w:type="dxa"/>
                  <w:vMerge w:val="continue"/>
                  <w:vAlign w:val="center"/>
                </w:tcPr>
                <w:p>
                  <w:pPr>
                    <w:pStyle w:val="103"/>
                    <w:widowControl w:val="0"/>
                    <w:spacing w:after="0"/>
                    <w:ind w:left="0" w:firstLine="0"/>
                    <w:textAlignment w:val="auto"/>
                    <w:rPr>
                      <w:rStyle w:val="216"/>
                      <w:color w:val="000000"/>
                      <w:shd w:val="clear" w:color="auto" w:fill="FFFFFF"/>
                    </w:rPr>
                  </w:pPr>
                </w:p>
              </w:tc>
            </w:tr>
          </w:tbl>
          <w:p>
            <w:pPr>
              <w:pStyle w:val="103"/>
              <w:widowControl w:val="0"/>
              <w:spacing w:after="0"/>
              <w:ind w:left="0" w:firstLine="0"/>
              <w:textAlignment w:val="auto"/>
              <w:rPr>
                <w:rStyle w:val="216"/>
                <w:color w:val="000000"/>
                <w:sz w:val="22"/>
                <w:szCs w:val="22"/>
                <w:shd w:val="clear" w:color="auto" w:fill="FFFFFF"/>
              </w:rPr>
            </w:pPr>
          </w:p>
          <w:p>
            <w:pPr>
              <w:pStyle w:val="215"/>
              <w:widowControl w:val="0"/>
              <w:spacing w:before="0" w:beforeAutospacing="0" w:after="0" w:afterAutospacing="0"/>
              <w:textAlignment w:val="baseline"/>
              <w:rPr>
                <w:bCs/>
                <w:sz w:val="20"/>
                <w:szCs w:val="20"/>
                <w:lang w:val="en-US" w:eastAsia="zh-CN"/>
              </w:rPr>
            </w:pPr>
            <w:r>
              <w:rPr>
                <w:b/>
                <w:bCs/>
                <w:i/>
                <w:iCs/>
                <w:sz w:val="20"/>
                <w:szCs w:val="20"/>
              </w:rPr>
              <w:t>Proposal 1:</w:t>
            </w:r>
            <w:r>
              <w:rPr>
                <w:sz w:val="20"/>
                <w:szCs w:val="20"/>
              </w:rPr>
              <w:t xml:space="preserve"> </w:t>
            </w:r>
            <w:r>
              <w:rPr>
                <w:bCs/>
                <w:sz w:val="20"/>
                <w:szCs w:val="20"/>
                <w:lang w:val="en-US" w:eastAsia="zh-CN"/>
              </w:rPr>
              <w:t>The maximum number of monitored PDCCH candidates per X slots for a single serving cell is 20</w:t>
            </w:r>
          </w:p>
          <w:p>
            <w:pPr>
              <w:pStyle w:val="82"/>
              <w:widowControl w:val="0"/>
              <w:numPr>
                <w:ilvl w:val="1"/>
                <w:numId w:val="22"/>
              </w:numPr>
              <w:spacing w:line="256" w:lineRule="auto"/>
              <w:rPr>
                <w:sz w:val="20"/>
                <w:szCs w:val="20"/>
                <w:lang w:val="en-GB"/>
              </w:rPr>
            </w:pPr>
            <w:r>
              <w:rPr>
                <w:sz w:val="20"/>
                <w:szCs w:val="20"/>
                <w:lang w:val="en-GB"/>
              </w:rPr>
              <w:t>For SCS 480 kHz: (X,Y) = (4,1)</w:t>
            </w:r>
          </w:p>
          <w:p>
            <w:pPr>
              <w:pStyle w:val="82"/>
              <w:widowControl w:val="0"/>
              <w:numPr>
                <w:ilvl w:val="1"/>
                <w:numId w:val="22"/>
              </w:numPr>
              <w:spacing w:line="256" w:lineRule="auto"/>
              <w:rPr>
                <w:sz w:val="20"/>
                <w:szCs w:val="20"/>
                <w:lang w:val="en-GB"/>
              </w:rPr>
            </w:pPr>
            <w:r>
              <w:rPr>
                <w:sz w:val="20"/>
                <w:szCs w:val="20"/>
                <w:lang w:val="en-GB"/>
              </w:rPr>
              <w:t>For SCS 480 kHz: (X,Y) = (4,2)</w:t>
            </w:r>
          </w:p>
          <w:p>
            <w:pPr>
              <w:pStyle w:val="82"/>
              <w:widowControl w:val="0"/>
              <w:numPr>
                <w:ilvl w:val="1"/>
                <w:numId w:val="22"/>
              </w:numPr>
              <w:spacing w:line="256" w:lineRule="auto"/>
              <w:rPr>
                <w:sz w:val="20"/>
                <w:szCs w:val="20"/>
                <w:lang w:val="en-GB"/>
              </w:rPr>
            </w:pPr>
            <w:r>
              <w:rPr>
                <w:sz w:val="20"/>
                <w:szCs w:val="20"/>
                <w:lang w:val="en-GB"/>
              </w:rPr>
              <w:t>For SCS 960 kHz: (X,Y) = (8,1)</w:t>
            </w:r>
          </w:p>
          <w:p>
            <w:pPr>
              <w:pStyle w:val="82"/>
              <w:widowControl w:val="0"/>
              <w:numPr>
                <w:ilvl w:val="1"/>
                <w:numId w:val="22"/>
              </w:numPr>
              <w:spacing w:line="256" w:lineRule="auto"/>
              <w:rPr>
                <w:sz w:val="20"/>
                <w:szCs w:val="20"/>
                <w:lang w:val="en-GB"/>
              </w:rPr>
            </w:pPr>
            <w:r>
              <w:rPr>
                <w:sz w:val="20"/>
                <w:szCs w:val="20"/>
                <w:lang w:val="en-GB"/>
              </w:rPr>
              <w:t>For SCS 960 kHz: (X,Y) = (8,4)</w:t>
            </w:r>
          </w:p>
          <w:p>
            <w:pPr>
              <w:pStyle w:val="215"/>
              <w:widowControl w:val="0"/>
              <w:spacing w:before="0" w:beforeAutospacing="0" w:after="0" w:afterAutospacing="0"/>
              <w:textAlignment w:val="baseline"/>
              <w:rPr>
                <w:bCs/>
                <w:sz w:val="20"/>
                <w:szCs w:val="20"/>
                <w:lang w:eastAsia="zh-CN"/>
              </w:rPr>
            </w:pPr>
          </w:p>
          <w:p>
            <w:pPr>
              <w:pStyle w:val="215"/>
              <w:widowControl w:val="0"/>
              <w:spacing w:before="0" w:beforeAutospacing="0" w:after="0" w:afterAutospacing="0"/>
              <w:textAlignment w:val="baseline"/>
              <w:rPr>
                <w:bCs/>
                <w:sz w:val="20"/>
                <w:szCs w:val="20"/>
                <w:lang w:val="en-US" w:eastAsia="zh-CN"/>
              </w:rPr>
            </w:pPr>
            <w:r>
              <w:rPr>
                <w:b/>
                <w:bCs/>
                <w:i/>
                <w:iCs/>
                <w:sz w:val="20"/>
                <w:szCs w:val="20"/>
              </w:rPr>
              <w:t>Proposal 2:</w:t>
            </w:r>
            <w:r>
              <w:rPr>
                <w:sz w:val="20"/>
                <w:szCs w:val="20"/>
              </w:rPr>
              <w:t xml:space="preserve"> </w:t>
            </w:r>
            <w:r>
              <w:rPr>
                <w:bCs/>
                <w:sz w:val="20"/>
                <w:szCs w:val="20"/>
                <w:lang w:val="en-US" w:eastAsia="zh-CN"/>
              </w:rPr>
              <w:t>The maximum number of non-overlapped CCEs per X slots for a single serving cell is 32</w:t>
            </w:r>
          </w:p>
          <w:p>
            <w:pPr>
              <w:pStyle w:val="82"/>
              <w:widowControl w:val="0"/>
              <w:numPr>
                <w:ilvl w:val="1"/>
                <w:numId w:val="22"/>
              </w:numPr>
              <w:spacing w:line="256" w:lineRule="auto"/>
              <w:rPr>
                <w:sz w:val="20"/>
                <w:szCs w:val="20"/>
                <w:lang w:val="en-GB"/>
              </w:rPr>
            </w:pPr>
            <w:r>
              <w:rPr>
                <w:sz w:val="20"/>
                <w:szCs w:val="20"/>
                <w:lang w:val="en-GB"/>
              </w:rPr>
              <w:t>For SCS 480 kHz: (X,Y) = (4,1)</w:t>
            </w:r>
          </w:p>
          <w:p>
            <w:pPr>
              <w:pStyle w:val="82"/>
              <w:widowControl w:val="0"/>
              <w:numPr>
                <w:ilvl w:val="1"/>
                <w:numId w:val="22"/>
              </w:numPr>
              <w:spacing w:line="256" w:lineRule="auto"/>
              <w:rPr>
                <w:sz w:val="20"/>
                <w:szCs w:val="20"/>
                <w:lang w:val="en-GB"/>
              </w:rPr>
            </w:pPr>
            <w:r>
              <w:rPr>
                <w:sz w:val="20"/>
                <w:szCs w:val="20"/>
                <w:lang w:val="en-GB"/>
              </w:rPr>
              <w:t>For SCS 480 kHz: (X,Y) = (4,2)</w:t>
            </w:r>
          </w:p>
          <w:p>
            <w:pPr>
              <w:pStyle w:val="82"/>
              <w:widowControl w:val="0"/>
              <w:numPr>
                <w:ilvl w:val="1"/>
                <w:numId w:val="22"/>
              </w:numPr>
              <w:spacing w:line="256" w:lineRule="auto"/>
              <w:rPr>
                <w:sz w:val="20"/>
                <w:szCs w:val="20"/>
                <w:lang w:val="en-GB"/>
              </w:rPr>
            </w:pPr>
            <w:r>
              <w:rPr>
                <w:sz w:val="20"/>
                <w:szCs w:val="20"/>
                <w:lang w:val="en-GB"/>
              </w:rPr>
              <w:t>For SCS 960 kHz: (X,Y) = (8,1)</w:t>
            </w:r>
          </w:p>
          <w:p>
            <w:pPr>
              <w:pStyle w:val="82"/>
              <w:widowControl w:val="0"/>
              <w:numPr>
                <w:ilvl w:val="1"/>
                <w:numId w:val="22"/>
              </w:numPr>
              <w:spacing w:line="256" w:lineRule="auto"/>
              <w:rPr>
                <w:sz w:val="20"/>
                <w:szCs w:val="20"/>
                <w:lang w:val="en-GB"/>
              </w:rPr>
            </w:pPr>
            <w:r>
              <w:rPr>
                <w:sz w:val="20"/>
                <w:szCs w:val="20"/>
                <w:lang w:val="en-GB"/>
              </w:rPr>
              <w:t>For SCS 960 kHz: (X,Y) = (8,4)</w:t>
            </w:r>
          </w:p>
          <w:p>
            <w:pPr>
              <w:pStyle w:val="215"/>
              <w:widowControl w:val="0"/>
              <w:spacing w:before="0" w:beforeAutospacing="0" w:after="0" w:afterAutospacing="0"/>
              <w:textAlignment w:val="baseline"/>
              <w:rPr>
                <w:sz w:val="20"/>
                <w:szCs w:val="20"/>
              </w:rPr>
            </w:pPr>
          </w:p>
          <w:p>
            <w:pPr>
              <w:pStyle w:val="215"/>
              <w:widowControl w:val="0"/>
              <w:spacing w:before="0" w:beforeAutospacing="0" w:after="0" w:afterAutospacing="0"/>
              <w:textAlignment w:val="baseline"/>
              <w:rPr>
                <w:bCs/>
                <w:sz w:val="20"/>
                <w:szCs w:val="20"/>
                <w:lang w:val="en-US" w:eastAsia="zh-CN"/>
              </w:rPr>
            </w:pPr>
            <w:r>
              <w:rPr>
                <w:b/>
                <w:bCs/>
                <w:i/>
                <w:iCs/>
                <w:sz w:val="20"/>
                <w:szCs w:val="20"/>
              </w:rPr>
              <w:t>Proposal 3:</w:t>
            </w:r>
            <w:r>
              <w:rPr>
                <w:sz w:val="20"/>
                <w:szCs w:val="20"/>
              </w:rPr>
              <w:t xml:space="preserve"> </w:t>
            </w:r>
            <w:r>
              <w:rPr>
                <w:bCs/>
                <w:sz w:val="20"/>
                <w:szCs w:val="20"/>
                <w:lang w:val="en-US" w:eastAsia="zh-CN"/>
              </w:rPr>
              <w:t>The maximum number of monitored PDCCH candidates per X slots for a single serving cell is 10</w:t>
            </w:r>
          </w:p>
          <w:p>
            <w:pPr>
              <w:pStyle w:val="82"/>
              <w:widowControl w:val="0"/>
              <w:numPr>
                <w:ilvl w:val="1"/>
                <w:numId w:val="22"/>
              </w:numPr>
              <w:spacing w:line="256" w:lineRule="auto"/>
              <w:rPr>
                <w:sz w:val="20"/>
                <w:szCs w:val="20"/>
                <w:lang w:val="en-GB"/>
              </w:rPr>
            </w:pPr>
            <w:r>
              <w:rPr>
                <w:sz w:val="20"/>
                <w:szCs w:val="20"/>
                <w:lang w:val="en-GB"/>
              </w:rPr>
              <w:t>For SCS 960 kHz: (X,Y) = (4,1)</w:t>
            </w:r>
          </w:p>
          <w:p>
            <w:pPr>
              <w:pStyle w:val="82"/>
              <w:widowControl w:val="0"/>
              <w:numPr>
                <w:ilvl w:val="1"/>
                <w:numId w:val="22"/>
              </w:numPr>
              <w:spacing w:line="256" w:lineRule="auto"/>
              <w:rPr>
                <w:sz w:val="20"/>
                <w:szCs w:val="20"/>
                <w:lang w:val="en-GB"/>
              </w:rPr>
            </w:pPr>
            <w:r>
              <w:rPr>
                <w:sz w:val="20"/>
                <w:szCs w:val="20"/>
                <w:lang w:val="en-GB"/>
              </w:rPr>
              <w:t>For SCS 960 kHz: (X,Y) = (4,2)</w:t>
            </w:r>
          </w:p>
          <w:p>
            <w:pPr>
              <w:pStyle w:val="215"/>
              <w:widowControl w:val="0"/>
              <w:spacing w:before="0" w:beforeAutospacing="0" w:after="0" w:afterAutospacing="0"/>
              <w:textAlignment w:val="baseline"/>
              <w:rPr>
                <w:bCs/>
                <w:sz w:val="20"/>
                <w:szCs w:val="20"/>
                <w:lang w:eastAsia="zh-CN"/>
              </w:rPr>
            </w:pPr>
          </w:p>
          <w:p>
            <w:pPr>
              <w:pStyle w:val="215"/>
              <w:widowControl w:val="0"/>
              <w:spacing w:before="0" w:beforeAutospacing="0" w:after="0" w:afterAutospacing="0"/>
              <w:textAlignment w:val="baseline"/>
              <w:rPr>
                <w:bCs/>
                <w:sz w:val="20"/>
                <w:szCs w:val="20"/>
                <w:lang w:val="en-US" w:eastAsia="zh-CN"/>
              </w:rPr>
            </w:pPr>
            <w:r>
              <w:rPr>
                <w:b/>
                <w:bCs/>
                <w:i/>
                <w:iCs/>
                <w:sz w:val="20"/>
                <w:szCs w:val="20"/>
              </w:rPr>
              <w:t>Proposal 4:</w:t>
            </w:r>
            <w:r>
              <w:rPr>
                <w:sz w:val="20"/>
                <w:szCs w:val="20"/>
              </w:rPr>
              <w:t xml:space="preserve"> </w:t>
            </w:r>
            <w:r>
              <w:rPr>
                <w:bCs/>
                <w:sz w:val="20"/>
                <w:szCs w:val="20"/>
                <w:lang w:val="en-US" w:eastAsia="zh-CN"/>
              </w:rPr>
              <w:t>The maximum numberof non-overlapped CCEs per X slots for a single serving cell is 16</w:t>
            </w:r>
          </w:p>
          <w:p>
            <w:pPr>
              <w:pStyle w:val="82"/>
              <w:widowControl w:val="0"/>
              <w:numPr>
                <w:ilvl w:val="1"/>
                <w:numId w:val="22"/>
              </w:numPr>
              <w:spacing w:line="256" w:lineRule="auto"/>
              <w:rPr>
                <w:sz w:val="20"/>
                <w:szCs w:val="20"/>
                <w:lang w:val="en-GB"/>
              </w:rPr>
            </w:pPr>
            <w:r>
              <w:rPr>
                <w:sz w:val="20"/>
                <w:szCs w:val="20"/>
                <w:lang w:val="en-GB"/>
              </w:rPr>
              <w:t>For SCS 960 kHz: (X,Y) = (4,1)</w:t>
            </w:r>
          </w:p>
          <w:p>
            <w:pPr>
              <w:pStyle w:val="82"/>
              <w:widowControl w:val="0"/>
              <w:numPr>
                <w:ilvl w:val="1"/>
                <w:numId w:val="22"/>
              </w:numPr>
              <w:spacing w:line="256" w:lineRule="auto"/>
              <w:rPr>
                <w:sz w:val="20"/>
                <w:szCs w:val="20"/>
                <w:lang w:val="en-GB"/>
              </w:rPr>
            </w:pPr>
            <w:r>
              <w:rPr>
                <w:sz w:val="20"/>
                <w:szCs w:val="20"/>
                <w:lang w:val="en-GB"/>
              </w:rPr>
              <w:t>For SCS 960 kHz: (X,Y) = (4,2)</w:t>
            </w:r>
          </w:p>
          <w:p>
            <w:pPr>
              <w:widowControl w:val="0"/>
              <w:autoSpaceDE/>
              <w:autoSpaceDN/>
              <w:adjustRightInd/>
              <w:snapToGrid/>
              <w:spacing w:after="0" w:line="240" w:lineRule="auto"/>
              <w:rPr>
                <w:lang w:val="en-GB" w:eastAsia="zh-CN"/>
              </w:rPr>
            </w:pPr>
          </w:p>
        </w:tc>
      </w:tr>
    </w:tbl>
    <w:p>
      <w:pPr>
        <w:rPr>
          <w:lang w:eastAsia="zh-CN"/>
        </w:rPr>
      </w:pPr>
    </w:p>
    <w:p>
      <w:pPr>
        <w:pStyle w:val="4"/>
      </w:pPr>
      <w:r>
        <w:t>R1-2201689 (Intel)</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pPr>
            <w:r>
              <w:t>The following TP is proposed to capture additional X value 2 for SCS 480kHz.</w:t>
            </w:r>
          </w:p>
          <w:tbl>
            <w:tblPr>
              <w:tblStyle w:val="55"/>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vAlign w:val="center"/>
                </w:tcPr>
                <w:p>
                  <w:pPr>
                    <w:widowControl w:val="0"/>
                    <w:jc w:val="center"/>
                    <w:rPr>
                      <w:b/>
                      <w:bCs/>
                      <w:color w:val="0070C0"/>
                      <w:lang w:eastAsia="zh-CN"/>
                    </w:rPr>
                  </w:pPr>
                  <w:r>
                    <w:rPr>
                      <w:b/>
                      <w:bCs/>
                      <w:iCs/>
                      <w:color w:val="0070C0"/>
                    </w:rPr>
                    <w:t>------------------------------   TP#1: TS 38.213 -----------------------------------</w:t>
                  </w:r>
                </w:p>
                <w:p>
                  <w:pPr>
                    <w:widowControl w:val="0"/>
                    <w:jc w:val="center"/>
                    <w:rPr>
                      <w:iCs/>
                    </w:rPr>
                  </w:pPr>
                  <w:r>
                    <w:rPr>
                      <w:color w:val="FF0000"/>
                      <w:lang w:eastAsia="zh-CN"/>
                    </w:rPr>
                    <w:t>*** Unchanged text is omitted ***</w:t>
                  </w:r>
                </w:p>
                <w:p>
                  <w:pPr>
                    <w:widowControl w:val="0"/>
                  </w:pPr>
                  <w:r>
                    <w:t>10</w:t>
                  </w:r>
                  <w:r>
                    <w:rPr>
                      <w:rFonts w:hint="eastAsia"/>
                    </w:rPr>
                    <w:t>.1</w:t>
                  </w:r>
                  <w:r>
                    <w:rPr>
                      <w:rFonts w:hint="eastAsia"/>
                    </w:rPr>
                    <w:tab/>
                  </w:r>
                  <w:r>
                    <w:t xml:space="preserve">UE procedure for determining physical downlink control channel assignment </w:t>
                  </w:r>
                </w:p>
                <w:p>
                  <w:pPr>
                    <w:widowControl w:val="0"/>
                    <w:jc w:val="center"/>
                    <w:rPr>
                      <w:b/>
                      <w:bCs/>
                    </w:rPr>
                  </w:pPr>
                  <w:r>
                    <w:rPr>
                      <w:color w:val="FF0000"/>
                      <w:lang w:eastAsia="zh-CN"/>
                    </w:rPr>
                    <w:t>*** Unchanged text is omitted ***</w:t>
                  </w:r>
                </w:p>
                <w:p>
                  <w:pPr>
                    <w:widowControl w:val="0"/>
                    <w:spacing w:before="180"/>
                  </w:pPr>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ctrlPr>
                          <w:rPr>
                            <w:rFonts w:ascii="Cambria Math" w:hAnsi="Cambria Math"/>
                            <w:i/>
                            <w:sz w:val="18"/>
                            <w:szCs w:val="18"/>
                            <w:lang w:eastAsia="zh-CN"/>
                          </w:rPr>
                        </m:ctrlPr>
                      </m:e>
                      <m:sub>
                        <m:r>
                          <m:rPr>
                            <m:sty m:val="p"/>
                          </m:rPr>
                          <w:rPr>
                            <w:rFonts w:ascii="Cambria Math" w:hAnsi="Cambria Math"/>
                            <w:lang w:eastAsia="zh-CN"/>
                          </w:rPr>
                          <m:t>PDCCH</m:t>
                        </m:r>
                        <m:ctrlPr>
                          <w:rPr>
                            <w:rFonts w:ascii="Cambria Math" w:hAnsi="Cambria Math"/>
                            <w:i/>
                            <w:sz w:val="18"/>
                            <w:szCs w:val="18"/>
                            <w:lang w:eastAsia="zh-CN"/>
                          </w:rPr>
                        </m:ctrlP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i/>
                                <w:lang w:eastAsia="zh-CN"/>
                              </w:rPr>
                            </m:ctrlPr>
                          </m:e>
                        </m:d>
                        <m:r>
                          <w:rPr>
                            <w:rFonts w:ascii="Cambria Math" w:hAnsi="Cambria Math"/>
                            <w:lang w:eastAsia="zh-CN"/>
                          </w:rPr>
                          <m:t>,μ</m:t>
                        </m:r>
                        <m:ctrlPr>
                          <w:rPr>
                            <w:rFonts w:ascii="Cambria Math" w:hAnsi="Cambria Math"/>
                            <w:i/>
                            <w:sz w:val="18"/>
                            <w:szCs w:val="18"/>
                            <w:lang w:eastAsia="zh-CN"/>
                          </w:rPr>
                        </m:ctrlPr>
                      </m:sup>
                    </m:sSubSup>
                  </m:oMath>
                  <w:r>
                    <w:t xml:space="preserve">, per slot group for combination </w:t>
                  </w:r>
                  <m:oMath>
                    <m:r>
                      <w:rPr>
                        <w:rFonts w:ascii="Cambria Math" w:hAnsi="Cambria Math"/>
                      </w:rPr>
                      <m:t>(</m:t>
                    </m:r>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pPr>
                    <w:pStyle w:val="120"/>
                    <w:widowControl w:val="0"/>
                  </w:pPr>
                  <w:r>
                    <w:t xml:space="preserve">Table 10.1-2B: Maximum number </w:t>
                  </w:r>
                  <m:oMath>
                    <m:sSubSup>
                      <m:sSubSupPr>
                        <m:ctrlPr>
                          <w:rPr>
                            <w:rFonts w:ascii="Cambria Math" w:hAnsi="Cambria Math"/>
                            <w:i/>
                            <w:sz w:val="18"/>
                            <w:lang w:eastAsia="zh-CN"/>
                          </w:rPr>
                        </m:ctrlPr>
                      </m:sSubSupPr>
                      <m:e>
                        <m:r>
                          <m:rPr>
                            <m:sty m:val="bi"/>
                          </m:rPr>
                          <w:rPr>
                            <w:rFonts w:ascii="Cambria Math" w:hAnsi="Cambria Math"/>
                            <w:lang w:eastAsia="zh-CN"/>
                          </w:rPr>
                          <m:t>M</m:t>
                        </m:r>
                        <m:ctrlPr>
                          <w:rPr>
                            <w:rFonts w:ascii="Cambria Math" w:hAnsi="Cambria Math"/>
                            <w:i/>
                            <w:sz w:val="18"/>
                            <w:lang w:eastAsia="zh-CN"/>
                          </w:rPr>
                        </m:ctrlPr>
                      </m:e>
                      <m:sub>
                        <m:r>
                          <m:rPr>
                            <m:sty m:val="b"/>
                          </m:rPr>
                          <w:rPr>
                            <w:rFonts w:ascii="Cambria Math" w:hAnsi="Cambria Math"/>
                            <w:lang w:eastAsia="zh-CN"/>
                          </w:rPr>
                          <m:t>PDCCH</m:t>
                        </m:r>
                        <m:ctrlPr>
                          <w:rPr>
                            <w:rFonts w:ascii="Cambria Math" w:hAnsi="Cambria Math"/>
                            <w:i/>
                            <w:sz w:val="18"/>
                            <w:lang w:eastAsia="zh-CN"/>
                          </w:rPr>
                        </m:ctrlP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),μ</m:t>
                        </m:r>
                        <m:ctrlPr>
                          <w:rPr>
                            <w:rFonts w:ascii="Cambria Math" w:hAnsi="Cambria Math"/>
                            <w:i/>
                            <w:sz w:val="18"/>
                            <w:lang w:eastAsia="zh-CN"/>
                          </w:rPr>
                        </m:ctrlPr>
                      </m:sup>
                    </m:sSubSup>
                  </m:oMath>
                  <w:r>
                    <w:t xml:space="preserve"> of monitored PDCCH candidates per </w:t>
                  </w:r>
                  <w:r>
                    <w:rPr>
                      <w:sz w:val="18"/>
                      <w:szCs w:val="18"/>
                    </w:rPr>
                    <w:t xml:space="preserve">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ctrlPr>
                          <w:rPr>
                            <w:rFonts w:ascii="Cambria Math" w:hAnsi="Cambria Math"/>
                            <w:i/>
                            <w:sz w:val="24"/>
                            <w:szCs w:val="24"/>
                            <w:lang w:eastAsia="zh-CN"/>
                          </w:rPr>
                        </m:ctrlPr>
                      </m:e>
                    </m:d>
                  </m:oMath>
                  <w:r>
                    <w:t xml:space="preserve"> for a single serving cell</w:t>
                  </w:r>
                </w:p>
                <w:tbl>
                  <w:tblPr>
                    <w:tblStyle w:val="54"/>
                    <w:tblW w:w="810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794"/>
                    <w:gridCol w:w="1451"/>
                    <w:gridCol w:w="1451"/>
                    <w:gridCol w:w="1530"/>
                    <w:gridCol w:w="1440"/>
                    <w:gridCol w:w="14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794" w:type="dxa"/>
                        <w:shd w:val="clear" w:color="auto" w:fill="E0E0E0"/>
                        <w:vAlign w:val="center"/>
                      </w:tcPr>
                      <w:p>
                        <w:pPr>
                          <w:pStyle w:val="90"/>
                          <w:rPr>
                            <w:rFonts w:ascii="Times New Roman" w:hAnsi="Times New Roman"/>
                            <w:sz w:val="20"/>
                          </w:rPr>
                        </w:pPr>
                      </w:p>
                    </w:tc>
                    <w:tc>
                      <w:tcPr>
                        <w:tcW w:w="7312" w:type="dxa"/>
                        <w:gridSpan w:val="5"/>
                        <w:shd w:val="clear" w:color="auto" w:fill="E0E0E0"/>
                      </w:tcPr>
                      <w:p>
                        <w:pPr>
                          <w:pStyle w:val="120"/>
                          <w:spacing w:before="0" w:after="0"/>
                          <w:rPr>
                            <w:sz w:val="18"/>
                            <w:szCs w:val="18"/>
                          </w:rPr>
                        </w:pPr>
                        <w:r>
                          <w:rPr>
                            <w:sz w:val="18"/>
                            <w:szCs w:val="18"/>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ctrlPr>
                                <w:rPr>
                                  <w:rFonts w:ascii="Cambria Math" w:hAnsi="Cambria Math"/>
                                  <w:i/>
                                  <w:sz w:val="18"/>
                                  <w:szCs w:val="18"/>
                                  <w:lang w:eastAsia="zh-CN"/>
                                </w:rPr>
                              </m:ctrlPr>
                            </m:e>
                            <m:sub>
                              <m:r>
                                <m:rPr>
                                  <m:sty m:val="b"/>
                                </m:rPr>
                                <w:rPr>
                                  <w:rFonts w:ascii="Cambria Math" w:hAnsi="Cambria Math"/>
                                  <w:sz w:val="18"/>
                                  <w:szCs w:val="18"/>
                                  <w:lang w:eastAsia="zh-CN"/>
                                </w:rPr>
                                <m:t>PDCCH</m:t>
                              </m:r>
                              <m:ctrlPr>
                                <w:rPr>
                                  <w:rFonts w:ascii="Cambria Math" w:hAnsi="Cambria Math"/>
                                  <w:i/>
                                  <w:sz w:val="18"/>
                                  <w:szCs w:val="18"/>
                                  <w:lang w:eastAsia="zh-CN"/>
                                </w:rPr>
                              </m:ctrlPr>
                            </m:sub>
                            <m:sup>
                              <m:r>
                                <m:rPr>
                                  <m:sty m:val="bi"/>
                                </m:rPr>
                                <w:rPr>
                                  <w:rFonts w:ascii="Cambria Math" w:hAnsi="Cambria Math"/>
                                  <w:sz w:val="18"/>
                                  <w:szCs w:val="18"/>
                                  <w:lang w:eastAsia="zh-CN"/>
                                </w:rPr>
                                <m:t>max,</m:t>
                              </m:r>
                              <m:d>
                                <m:dPr>
                                  <m:ctrlPr>
                                    <w:rPr>
                                      <w:rFonts w:ascii="Cambria Math" w:hAnsi="Cambria Math"/>
                                      <w:i/>
                                      <w:sz w:val="18"/>
                                      <w:szCs w:val="18"/>
                                      <w:lang w:eastAsia="zh-CN"/>
                                    </w:rPr>
                                  </m:ctrlPr>
                                </m:dPr>
                                <m:e>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ctrlPr>
                                    <w:rPr>
                                      <w:rFonts w:ascii="Cambria Math" w:hAnsi="Cambria Math"/>
                                      <w:i/>
                                      <w:sz w:val="18"/>
                                      <w:szCs w:val="18"/>
                                      <w:lang w:eastAsia="zh-CN"/>
                                    </w:rPr>
                                  </m:ctrlPr>
                                </m:e>
                              </m:d>
                              <m:r>
                                <m:rPr>
                                  <m:sty m:val="bi"/>
                                </m:rPr>
                                <w:rPr>
                                  <w:rFonts w:ascii="Cambria Math" w:hAnsi="Cambria Math"/>
                                  <w:sz w:val="18"/>
                                  <w:szCs w:val="18"/>
                                  <w:lang w:eastAsia="zh-CN"/>
                                </w:rPr>
                                <m:t>,μ</m:t>
                              </m:r>
                              <m:ctrlPr>
                                <w:rPr>
                                  <w:rFonts w:ascii="Cambria Math" w:hAnsi="Cambria Math"/>
                                  <w:i/>
                                  <w:sz w:val="18"/>
                                  <w:szCs w:val="18"/>
                                  <w:lang w:eastAsia="zh-CN"/>
                                </w:rPr>
                              </m:ctrlPr>
                            </m:sup>
                          </m:sSubSup>
                        </m:oMath>
                        <w:r>
                          <w:rPr>
                            <w:sz w:val="18"/>
                            <w:szCs w:val="18"/>
                            <w:lang w:eastAsia="zh-CN"/>
                          </w:rPr>
                          <w:t xml:space="preserve"> </w:t>
                        </w:r>
                        <w:r>
                          <w:rPr>
                            <w:sz w:val="18"/>
                            <w:szCs w:val="18"/>
                          </w:rPr>
                          <w:t xml:space="preserve">of monitored PDCCH candidates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rPr>
                            <w:sz w:val="18"/>
                            <w:szCs w:val="18"/>
                          </w:rPr>
                          <w:t xml:space="preserve"> and per serving cell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794" w:type="dxa"/>
                        <w:shd w:val="clear" w:color="auto" w:fill="E0E0E0"/>
                        <w:vAlign w:val="center"/>
                      </w:tcPr>
                      <w:p>
                        <w:pPr>
                          <w:pStyle w:val="114"/>
                        </w:pPr>
                        <m:oMathPara>
                          <m:oMath>
                            <m:r>
                              <m:rPr>
                                <m:sty m:val="bi"/>
                              </m:rPr>
                              <w:rPr>
                                <w:rFonts w:ascii="Cambria Math" w:hAnsi="Cambria Math"/>
                                <w:lang w:eastAsia="zh-CN"/>
                              </w:rPr>
                              <m:t>μ</m:t>
                            </m:r>
                          </m:oMath>
                        </m:oMathPara>
                      </w:p>
                    </w:tc>
                    <w:tc>
                      <w:tcPr>
                        <w:tcW w:w="1451" w:type="dxa"/>
                        <w:vAlign w:val="center"/>
                      </w:tcPr>
                      <w:p>
                        <w:pPr>
                          <w:pStyle w:val="114"/>
                        </w:pPr>
                        <w:ins w:id="984" w:author="Li, Yingyang" w:date="2022-01-04T23:42:00Z">
                          <w:r>
                            <w:rPr/>
                            <w:t>(2, 1)</w:t>
                          </w:r>
                        </w:ins>
                      </w:p>
                    </w:tc>
                    <w:tc>
                      <w:tcPr>
                        <w:tcW w:w="1451" w:type="dxa"/>
                        <w:vAlign w:val="center"/>
                      </w:tcPr>
                      <w:p>
                        <w:pPr>
                          <w:pStyle w:val="114"/>
                        </w:pPr>
                        <w:r>
                          <w:t>(4, 1)</w:t>
                        </w:r>
                      </w:p>
                    </w:tc>
                    <w:tc>
                      <w:tcPr>
                        <w:tcW w:w="1530" w:type="dxa"/>
                      </w:tcPr>
                      <w:p>
                        <w:pPr>
                          <w:pStyle w:val="114"/>
                        </w:pPr>
                        <w:r>
                          <w:t>(4, 2)</w:t>
                        </w:r>
                      </w:p>
                    </w:tc>
                    <w:tc>
                      <w:tcPr>
                        <w:tcW w:w="1440" w:type="dxa"/>
                      </w:tcPr>
                      <w:p>
                        <w:pPr>
                          <w:pStyle w:val="114"/>
                        </w:pPr>
                        <w:r>
                          <w:t>(8, 1)</w:t>
                        </w:r>
                      </w:p>
                    </w:tc>
                    <w:tc>
                      <w:tcPr>
                        <w:tcW w:w="1440" w:type="dxa"/>
                      </w:tcPr>
                      <w:p>
                        <w:pPr>
                          <w:pStyle w:val="114"/>
                        </w:pPr>
                        <w:r>
                          <w:t>(8, 4)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794" w:type="dxa"/>
                        <w:vAlign w:val="center"/>
                      </w:tcPr>
                      <w:p>
                        <w:pPr>
                          <w:pStyle w:val="114"/>
                        </w:pPr>
                        <w:r>
                          <w:t>5</w:t>
                        </w:r>
                      </w:p>
                    </w:tc>
                    <w:tc>
                      <w:tcPr>
                        <w:tcW w:w="1451" w:type="dxa"/>
                      </w:tcPr>
                      <w:p>
                        <w:pPr>
                          <w:pStyle w:val="114"/>
                        </w:pPr>
                        <w:ins w:id="985" w:author="Li, Yingyang" w:date="2022-01-04T23:44:00Z">
                          <w:r>
                            <w:rPr/>
                            <w:t>10</w:t>
                          </w:r>
                        </w:ins>
                        <w:ins w:id="986" w:author="Li, Yingyang" w:date="2022-01-04T23:42:00Z">
                          <w:r>
                            <w:rPr/>
                            <w:t xml:space="preserve"> </w:t>
                          </w:r>
                        </w:ins>
                      </w:p>
                    </w:tc>
                    <w:tc>
                      <w:tcPr>
                        <w:tcW w:w="1451" w:type="dxa"/>
                        <w:vAlign w:val="center"/>
                      </w:tcPr>
                      <w:p>
                        <w:pPr>
                          <w:pStyle w:val="114"/>
                        </w:pPr>
                        <w:r>
                          <w:t>20</w:t>
                        </w:r>
                      </w:p>
                    </w:tc>
                    <w:tc>
                      <w:tcPr>
                        <w:tcW w:w="1530" w:type="dxa"/>
                      </w:tcPr>
                      <w:p>
                        <w:pPr>
                          <w:pStyle w:val="114"/>
                        </w:pPr>
                        <w:r>
                          <w:t>20</w:t>
                        </w:r>
                      </w:p>
                    </w:tc>
                    <w:tc>
                      <w:tcPr>
                        <w:tcW w:w="1440" w:type="dxa"/>
                      </w:tcPr>
                      <w:p>
                        <w:pPr>
                          <w:pStyle w:val="114"/>
                        </w:pPr>
                        <w:r>
                          <w:t>-</w:t>
                        </w:r>
                      </w:p>
                    </w:tc>
                    <w:tc>
                      <w:tcPr>
                        <w:tcW w:w="1440" w:type="dxa"/>
                      </w:tcPr>
                      <w:p>
                        <w:pPr>
                          <w:pStyle w:val="114"/>
                        </w:pP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794" w:type="dxa"/>
                        <w:vAlign w:val="center"/>
                      </w:tcPr>
                      <w:p>
                        <w:pPr>
                          <w:pStyle w:val="114"/>
                        </w:pPr>
                        <w:r>
                          <w:t>6</w:t>
                        </w:r>
                      </w:p>
                    </w:tc>
                    <w:tc>
                      <w:tcPr>
                        <w:tcW w:w="1451" w:type="dxa"/>
                      </w:tcPr>
                      <w:p>
                        <w:pPr>
                          <w:pStyle w:val="114"/>
                        </w:pPr>
                        <w:ins w:id="987" w:author="Li, Yingyang" w:date="2022-01-04T23:42:00Z">
                          <w:r>
                            <w:rPr/>
                            <w:t>-</w:t>
                          </w:r>
                        </w:ins>
                      </w:p>
                    </w:tc>
                    <w:tc>
                      <w:tcPr>
                        <w:tcW w:w="1451" w:type="dxa"/>
                        <w:vAlign w:val="center"/>
                      </w:tcPr>
                      <w:p>
                        <w:pPr>
                          <w:pStyle w:val="114"/>
                        </w:pPr>
                        <w:r>
                          <w:t>10</w:t>
                        </w:r>
                      </w:p>
                    </w:tc>
                    <w:tc>
                      <w:tcPr>
                        <w:tcW w:w="1530" w:type="dxa"/>
                      </w:tcPr>
                      <w:p>
                        <w:pPr>
                          <w:pStyle w:val="114"/>
                        </w:pPr>
                        <w:r>
                          <w:t>10</w:t>
                        </w:r>
                      </w:p>
                    </w:tc>
                    <w:tc>
                      <w:tcPr>
                        <w:tcW w:w="1440" w:type="dxa"/>
                      </w:tcPr>
                      <w:p>
                        <w:pPr>
                          <w:pStyle w:val="114"/>
                        </w:pPr>
                        <w:r>
                          <w:t>20</w:t>
                        </w:r>
                      </w:p>
                    </w:tc>
                    <w:tc>
                      <w:tcPr>
                        <w:tcW w:w="1440" w:type="dxa"/>
                      </w:tcPr>
                      <w:p>
                        <w:pPr>
                          <w:pStyle w:val="114"/>
                        </w:pPr>
                        <w:r>
                          <w:t>20</w:t>
                        </w:r>
                      </w:p>
                    </w:tc>
                  </w:tr>
                </w:tbl>
                <w:p>
                  <w:pPr>
                    <w:widowControl w:val="0"/>
                    <w:jc w:val="center"/>
                    <w:rPr>
                      <w:b/>
                      <w:bCs/>
                    </w:rPr>
                  </w:pPr>
                  <w:r>
                    <w:rPr>
                      <w:color w:val="FF0000"/>
                      <w:lang w:eastAsia="zh-CN"/>
                    </w:rPr>
                    <w:t>*** Unchanged text is omitted ***</w:t>
                  </w:r>
                </w:p>
                <w:p>
                  <w:pPr>
                    <w:widowControl w:val="0"/>
                    <w:spacing w:before="180"/>
                  </w:pPr>
                  <w:r>
                    <w:t xml:space="preserve">Table 10.1-3B provides the maximum number of non-overlapped CCEs, </w:t>
                  </w:r>
                  <m:oMath>
                    <m:sSubSup>
                      <m:sSubSupPr>
                        <m:ctrlPr>
                          <w:rPr>
                            <w:rFonts w:ascii="Cambria Math" w:hAnsi="Cambria Math"/>
                            <w:i/>
                            <w:sz w:val="18"/>
                            <w:lang w:eastAsia="zh-CN"/>
                          </w:rPr>
                        </m:ctrlPr>
                      </m:sSubSupPr>
                      <m:e>
                        <m:r>
                          <w:rPr>
                            <w:rFonts w:ascii="Cambria Math" w:hAnsi="Cambria Math"/>
                            <w:lang w:eastAsia="zh-CN"/>
                          </w:rPr>
                          <m:t>C</m:t>
                        </m:r>
                        <m:ctrlPr>
                          <w:rPr>
                            <w:rFonts w:ascii="Cambria Math" w:hAnsi="Cambria Math"/>
                            <w:i/>
                            <w:sz w:val="18"/>
                            <w:lang w:eastAsia="zh-CN"/>
                          </w:rPr>
                        </m:ctrlPr>
                      </m:e>
                      <m:sub>
                        <m:r>
                          <m:rPr>
                            <m:sty m:val="p"/>
                          </m:rPr>
                          <w:rPr>
                            <w:rFonts w:ascii="Cambria Math" w:hAnsi="Cambria Math"/>
                            <w:lang w:eastAsia="zh-CN"/>
                          </w:rPr>
                          <m:t>PDCCH</m:t>
                        </m:r>
                        <m:ctrlPr>
                          <w:rPr>
                            <w:rFonts w:ascii="Cambria Math" w:hAnsi="Cambria Math"/>
                            <w:i/>
                            <w:sz w:val="18"/>
                            <w:lang w:eastAsia="zh-CN"/>
                          </w:rPr>
                        </m:ctrlP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i/>
                                <w:lang w:eastAsia="zh-CN"/>
                              </w:rPr>
                            </m:ctrlPr>
                          </m:e>
                        </m:d>
                        <m:r>
                          <w:rPr>
                            <w:rFonts w:ascii="Cambria Math" w:hAnsi="Cambria Math"/>
                            <w:lang w:eastAsia="zh-CN"/>
                          </w:rPr>
                          <m:t>,μ</m:t>
                        </m:r>
                        <m:ctrlPr>
                          <w:rPr>
                            <w:rFonts w:ascii="Cambria Math" w:hAnsi="Cambria Math"/>
                            <w:i/>
                            <w:sz w:val="18"/>
                            <w:lang w:eastAsia="zh-CN"/>
                          </w:rPr>
                        </m:ctrlPr>
                      </m:sup>
                    </m:sSubSup>
                  </m:oMath>
                  <w:r>
                    <w:t xml:space="preserve">, for a DL BWP with SCS configuration </w:t>
                  </w:r>
                  <m:oMath>
                    <m:r>
                      <w:rPr>
                        <w:rFonts w:ascii="Cambria Math" w:hAnsi="Cambria Math"/>
                        <w:lang w:eastAsia="zh-CN"/>
                      </w:rPr>
                      <m:t>μ</m:t>
                    </m:r>
                  </m:oMath>
                  <w:r>
                    <w:t xml:space="preserve"> that a UE is expected to monitor corresponding PDCCH candidates 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ctrlPr>
                              <w:rPr>
                                <w:rFonts w:ascii="Cambria Math" w:hAnsi="Cambria Math"/>
                                <w:i/>
                                <w:lang w:eastAsia="zh-CN"/>
                              </w:rPr>
                            </m:ctrlPr>
                          </m:e>
                          <m:sub>
                            <m: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t xml:space="preserve"> for operation with a single serving cell.</w:t>
                  </w:r>
                </w:p>
                <w:p>
                  <w:pPr>
                    <w:pStyle w:val="120"/>
                    <w:widowControl w:val="0"/>
                  </w:pPr>
                  <w:r>
                    <w:t xml:space="preserve">Table 10.1-3B: Maximum number </w:t>
                  </w:r>
                  <m:oMath>
                    <m:sSubSup>
                      <m:sSubSupPr>
                        <m:ctrlPr>
                          <w:rPr>
                            <w:rFonts w:ascii="Cambria Math" w:hAnsi="Cambria Math"/>
                            <w:i/>
                            <w:sz w:val="18"/>
                            <w:lang w:eastAsia="zh-CN"/>
                          </w:rPr>
                        </m:ctrlPr>
                      </m:sSubSupPr>
                      <m:e>
                        <m:r>
                          <m:rPr>
                            <m:sty m:val="bi"/>
                          </m:rPr>
                          <w:rPr>
                            <w:rFonts w:ascii="Cambria Math" w:hAnsi="Cambria Math"/>
                            <w:lang w:eastAsia="zh-CN"/>
                          </w:rPr>
                          <m:t>C</m:t>
                        </m:r>
                        <m:ctrlPr>
                          <w:rPr>
                            <w:rFonts w:ascii="Cambria Math" w:hAnsi="Cambria Math"/>
                            <w:i/>
                            <w:sz w:val="18"/>
                            <w:lang w:eastAsia="zh-CN"/>
                          </w:rPr>
                        </m:ctrlPr>
                      </m:e>
                      <m:sub>
                        <m:r>
                          <m:rPr>
                            <m:sty m:val="b"/>
                          </m:rPr>
                          <w:rPr>
                            <w:rFonts w:ascii="Cambria Math" w:hAnsi="Cambria Math"/>
                            <w:lang w:eastAsia="zh-CN"/>
                          </w:rPr>
                          <m:t>PDCCH</m:t>
                        </m:r>
                        <m:ctrlPr>
                          <w:rPr>
                            <w:rFonts w:ascii="Cambria Math" w:hAnsi="Cambria Math"/>
                            <w:i/>
                            <w:sz w:val="18"/>
                            <w:lang w:eastAsia="zh-CN"/>
                          </w:rPr>
                        </m:ctrlP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),μ</m:t>
                        </m:r>
                        <m:ctrlPr>
                          <w:rPr>
                            <w:rFonts w:ascii="Cambria Math" w:hAnsi="Cambria Math"/>
                            <w:i/>
                            <w:sz w:val="18"/>
                            <w:lang w:eastAsia="zh-CN"/>
                          </w:rPr>
                        </m:ctrlP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ctrlPr>
                          <w:rPr>
                            <w:rFonts w:ascii="Cambria Math" w:hAnsi="Cambria Math"/>
                            <w:i/>
                            <w:sz w:val="24"/>
                            <w:szCs w:val="24"/>
                            <w:lang w:eastAsia="zh-CN"/>
                          </w:rPr>
                        </m:ctrlPr>
                      </m:e>
                    </m:d>
                  </m:oMath>
                  <w:r>
                    <w:t xml:space="preserve"> for a single serving cell</w:t>
                  </w:r>
                </w:p>
                <w:tbl>
                  <w:tblPr>
                    <w:tblStyle w:val="54"/>
                    <w:tblW w:w="810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794"/>
                    <w:gridCol w:w="1451"/>
                    <w:gridCol w:w="1451"/>
                    <w:gridCol w:w="1530"/>
                    <w:gridCol w:w="1440"/>
                    <w:gridCol w:w="14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794" w:type="dxa"/>
                        <w:shd w:val="clear" w:color="auto" w:fill="E0E0E0"/>
                        <w:vAlign w:val="center"/>
                      </w:tcPr>
                      <w:p>
                        <w:pPr>
                          <w:pStyle w:val="90"/>
                          <w:rPr>
                            <w:rFonts w:ascii="Times New Roman" w:hAnsi="Times New Roman"/>
                            <w:sz w:val="20"/>
                          </w:rPr>
                        </w:pPr>
                      </w:p>
                    </w:tc>
                    <w:tc>
                      <w:tcPr>
                        <w:tcW w:w="7312" w:type="dxa"/>
                        <w:gridSpan w:val="5"/>
                        <w:shd w:val="clear" w:color="auto" w:fill="E0E0E0"/>
                      </w:tcPr>
                      <w:p>
                        <w:pPr>
                          <w:pStyle w:val="120"/>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ctrlPr>
                                <w:rPr>
                                  <w:rFonts w:ascii="Cambria Math" w:hAnsi="Cambria Math"/>
                                  <w:i/>
                                </w:rPr>
                              </m:ctrlPr>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ctrlPr>
                                <w:rPr>
                                  <w:rFonts w:ascii="Cambria Math" w:hAnsi="Cambria Math"/>
                                  <w:i/>
                                  <w:sz w:val="18"/>
                                  <w:szCs w:val="18"/>
                                  <w:lang w:eastAsia="zh-CN"/>
                                </w:rPr>
                              </m:ctrlPr>
                            </m:e>
                            <m:sub>
                              <m:r>
                                <m:rPr>
                                  <m:sty m:val="b"/>
                                </m:rPr>
                                <w:rPr>
                                  <w:rFonts w:ascii="Cambria Math" w:hAnsi="Cambria Math"/>
                                  <w:sz w:val="18"/>
                                  <w:szCs w:val="18"/>
                                  <w:lang w:eastAsia="zh-CN"/>
                                </w:rPr>
                                <m:t>PDCCH</m:t>
                              </m:r>
                              <m:ctrlPr>
                                <w:rPr>
                                  <w:rFonts w:ascii="Cambria Math" w:hAnsi="Cambria Math"/>
                                  <w:i/>
                                  <w:sz w:val="18"/>
                                  <w:szCs w:val="18"/>
                                  <w:lang w:eastAsia="zh-CN"/>
                                </w:rPr>
                              </m:ctrlP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ctrlPr>
                                    <w:rPr>
                                      <w:rFonts w:ascii="Cambria Math" w:hAnsi="Cambria Math"/>
                                      <w:i/>
                                      <w:lang w:eastAsia="zh-CN"/>
                                    </w:rPr>
                                  </m:ctrlPr>
                                </m:e>
                                <m:sub>
                                  <m:r>
                                    <m:rPr>
                                      <m:sty m:val="bi"/>
                                    </m:rPr>
                                    <w:rPr>
                                      <w:rFonts w:ascii="Cambria Math" w:hAnsi="Cambria Math"/>
                                      <w:lang w:eastAsia="zh-CN"/>
                                    </w:rPr>
                                    <m:t>s</m:t>
                                  </m:r>
                                  <m:ctrlPr>
                                    <w:rPr>
                                      <w:rFonts w:ascii="Cambria Math" w:hAnsi="Cambria Math"/>
                                      <w:i/>
                                      <w:lang w:eastAsia="zh-CN"/>
                                    </w:rPr>
                                  </m:ctrlPr>
                                </m:sub>
                              </m:sSub>
                              <m:r>
                                <m:rPr>
                                  <m:sty m:val="bi"/>
                                </m:rPr>
                                <w:rPr>
                                  <w:rFonts w:ascii="Cambria Math" w:hAnsi="Cambria Math"/>
                                  <w:lang w:eastAsia="zh-CN"/>
                                </w:rPr>
                                <m:t>),μ</m:t>
                              </m:r>
                              <m:ctrlPr>
                                <w:rPr>
                                  <w:rFonts w:ascii="Cambria Math" w:hAnsi="Cambria Math"/>
                                  <w:i/>
                                  <w:sz w:val="18"/>
                                  <w:szCs w:val="18"/>
                                  <w:lang w:eastAsia="zh-CN"/>
                                </w:rPr>
                              </m:ctrlPr>
                            </m:sup>
                          </m:sSubSup>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794" w:type="dxa"/>
                        <w:shd w:val="clear" w:color="auto" w:fill="E0E0E0"/>
                        <w:vAlign w:val="center"/>
                      </w:tcPr>
                      <w:p>
                        <w:pPr>
                          <w:pStyle w:val="114"/>
                        </w:pPr>
                        <m:oMathPara>
                          <m:oMath>
                            <m:r>
                              <m:rPr>
                                <m:sty m:val="bi"/>
                              </m:rPr>
                              <w:rPr>
                                <w:rFonts w:ascii="Cambria Math" w:hAnsi="Cambria Math"/>
                                <w:lang w:eastAsia="zh-CN"/>
                              </w:rPr>
                              <m:t>μ</m:t>
                            </m:r>
                          </m:oMath>
                        </m:oMathPara>
                      </w:p>
                    </w:tc>
                    <w:tc>
                      <w:tcPr>
                        <w:tcW w:w="1451" w:type="dxa"/>
                        <w:vAlign w:val="center"/>
                      </w:tcPr>
                      <w:p>
                        <w:pPr>
                          <w:pStyle w:val="114"/>
                        </w:pPr>
                        <w:ins w:id="988" w:author="Li, Yingyang" w:date="2022-01-04T23:42:00Z">
                          <w:r>
                            <w:rPr/>
                            <w:t>(2, 1)</w:t>
                          </w:r>
                        </w:ins>
                      </w:p>
                    </w:tc>
                    <w:tc>
                      <w:tcPr>
                        <w:tcW w:w="1451" w:type="dxa"/>
                        <w:vAlign w:val="center"/>
                      </w:tcPr>
                      <w:p>
                        <w:pPr>
                          <w:pStyle w:val="114"/>
                        </w:pPr>
                        <w:r>
                          <w:t>(4, 1)</w:t>
                        </w:r>
                      </w:p>
                    </w:tc>
                    <w:tc>
                      <w:tcPr>
                        <w:tcW w:w="1530" w:type="dxa"/>
                      </w:tcPr>
                      <w:p>
                        <w:pPr>
                          <w:pStyle w:val="114"/>
                        </w:pPr>
                        <w:r>
                          <w:t>(4, 2)</w:t>
                        </w:r>
                      </w:p>
                    </w:tc>
                    <w:tc>
                      <w:tcPr>
                        <w:tcW w:w="1440" w:type="dxa"/>
                      </w:tcPr>
                      <w:p>
                        <w:pPr>
                          <w:pStyle w:val="114"/>
                        </w:pPr>
                        <w:r>
                          <w:t>(8, 1)</w:t>
                        </w:r>
                      </w:p>
                    </w:tc>
                    <w:tc>
                      <w:tcPr>
                        <w:tcW w:w="1440" w:type="dxa"/>
                      </w:tcPr>
                      <w:p>
                        <w:pPr>
                          <w:pStyle w:val="114"/>
                        </w:pPr>
                        <w:r>
                          <w:t>(8, 4)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794" w:type="dxa"/>
                        <w:vAlign w:val="center"/>
                      </w:tcPr>
                      <w:p>
                        <w:pPr>
                          <w:pStyle w:val="114"/>
                        </w:pPr>
                        <w:r>
                          <w:t>5</w:t>
                        </w:r>
                      </w:p>
                    </w:tc>
                    <w:tc>
                      <w:tcPr>
                        <w:tcW w:w="1451" w:type="dxa"/>
                      </w:tcPr>
                      <w:p>
                        <w:pPr>
                          <w:pStyle w:val="114"/>
                        </w:pPr>
                        <w:ins w:id="989" w:author="Li, Yingyang" w:date="2022-01-04T23:42:00Z">
                          <w:r>
                            <w:rPr/>
                            <w:t xml:space="preserve">16 </w:t>
                          </w:r>
                        </w:ins>
                      </w:p>
                    </w:tc>
                    <w:tc>
                      <w:tcPr>
                        <w:tcW w:w="1451" w:type="dxa"/>
                      </w:tcPr>
                      <w:p>
                        <w:pPr>
                          <w:pStyle w:val="114"/>
                        </w:pPr>
                        <w:r>
                          <w:t>32</w:t>
                        </w:r>
                      </w:p>
                    </w:tc>
                    <w:tc>
                      <w:tcPr>
                        <w:tcW w:w="1530" w:type="dxa"/>
                      </w:tcPr>
                      <w:p>
                        <w:pPr>
                          <w:pStyle w:val="114"/>
                        </w:pPr>
                        <w:r>
                          <w:t>32</w:t>
                        </w:r>
                      </w:p>
                    </w:tc>
                    <w:tc>
                      <w:tcPr>
                        <w:tcW w:w="1440" w:type="dxa"/>
                      </w:tcPr>
                      <w:p>
                        <w:pPr>
                          <w:pStyle w:val="114"/>
                        </w:pPr>
                        <w:r>
                          <w:t>-</w:t>
                        </w:r>
                      </w:p>
                    </w:tc>
                    <w:tc>
                      <w:tcPr>
                        <w:tcW w:w="1440" w:type="dxa"/>
                      </w:tcPr>
                      <w:p>
                        <w:pPr>
                          <w:pStyle w:val="114"/>
                        </w:pP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794" w:type="dxa"/>
                        <w:vAlign w:val="center"/>
                      </w:tcPr>
                      <w:p>
                        <w:pPr>
                          <w:pStyle w:val="114"/>
                        </w:pPr>
                        <w:r>
                          <w:t>6</w:t>
                        </w:r>
                      </w:p>
                    </w:tc>
                    <w:tc>
                      <w:tcPr>
                        <w:tcW w:w="1451" w:type="dxa"/>
                      </w:tcPr>
                      <w:p>
                        <w:pPr>
                          <w:pStyle w:val="114"/>
                        </w:pPr>
                        <w:ins w:id="990" w:author="Li, Yingyang" w:date="2022-01-04T23:42:00Z">
                          <w:r>
                            <w:rPr/>
                            <w:t>-</w:t>
                          </w:r>
                        </w:ins>
                      </w:p>
                    </w:tc>
                    <w:tc>
                      <w:tcPr>
                        <w:tcW w:w="1451" w:type="dxa"/>
                      </w:tcPr>
                      <w:p>
                        <w:pPr>
                          <w:pStyle w:val="114"/>
                        </w:pPr>
                        <w:r>
                          <w:t>16</w:t>
                        </w:r>
                      </w:p>
                    </w:tc>
                    <w:tc>
                      <w:tcPr>
                        <w:tcW w:w="1530" w:type="dxa"/>
                      </w:tcPr>
                      <w:p>
                        <w:pPr>
                          <w:pStyle w:val="114"/>
                        </w:pPr>
                        <w:r>
                          <w:t>16</w:t>
                        </w:r>
                      </w:p>
                    </w:tc>
                    <w:tc>
                      <w:tcPr>
                        <w:tcW w:w="1440" w:type="dxa"/>
                      </w:tcPr>
                      <w:p>
                        <w:pPr>
                          <w:pStyle w:val="114"/>
                        </w:pPr>
                        <w:r>
                          <w:t>32</w:t>
                        </w:r>
                      </w:p>
                    </w:tc>
                    <w:tc>
                      <w:tcPr>
                        <w:tcW w:w="1440" w:type="dxa"/>
                      </w:tcPr>
                      <w:p>
                        <w:pPr>
                          <w:pStyle w:val="114"/>
                        </w:pPr>
                        <w:r>
                          <w:t>32</w:t>
                        </w:r>
                      </w:p>
                    </w:tc>
                  </w:tr>
                </w:tbl>
                <w:p>
                  <w:pPr>
                    <w:widowControl w:val="0"/>
                    <w:jc w:val="center"/>
                    <w:rPr>
                      <w:b/>
                      <w:bCs/>
                    </w:rPr>
                  </w:pPr>
                  <w:r>
                    <w:rPr>
                      <w:color w:val="FF0000"/>
                      <w:lang w:eastAsia="zh-CN"/>
                    </w:rPr>
                    <w:t>*** Unchanged text is omitted ***</w:t>
                  </w:r>
                </w:p>
              </w:tc>
            </w:tr>
          </w:tbl>
          <w:p>
            <w:pPr>
              <w:widowControl w:val="0"/>
              <w:spacing w:before="240" w:after="0"/>
              <w:jc w:val="both"/>
              <w:rPr>
                <w:b/>
              </w:rPr>
            </w:pPr>
            <w:r>
              <w:rPr>
                <w:b/>
              </w:rPr>
              <w:t xml:space="preserve">Proposal 1: </w:t>
            </w:r>
          </w:p>
          <w:p>
            <w:pPr>
              <w:pStyle w:val="82"/>
              <w:widowControl w:val="0"/>
              <w:numPr>
                <w:ilvl w:val="0"/>
                <w:numId w:val="4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SCS 480kHz, which corresponds to combination (X, Y) = (2, 1). </w:t>
            </w:r>
            <w:r>
              <w:t xml:space="preserve">The </w:t>
            </w:r>
            <w:r>
              <w:rPr>
                <w:rFonts w:ascii="Times New Roman" w:hAnsi="Times New Roman"/>
                <w:sz w:val="20"/>
                <w:szCs w:val="20"/>
              </w:rPr>
              <w:t>BD/CCE budget for (2,1) can be half that of X=4</w:t>
            </w:r>
          </w:p>
          <w:p>
            <w:pPr>
              <w:pStyle w:val="82"/>
              <w:widowControl w:val="0"/>
              <w:numPr>
                <w:ilvl w:val="0"/>
                <w:numId w:val="4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Agree on TP 1 to capture additional X value 2 for SCS 480kHz</w:t>
            </w:r>
          </w:p>
          <w:p>
            <w:pPr>
              <w:widowControl w:val="0"/>
              <w:snapToGrid/>
              <w:spacing w:before="60" w:line="240" w:lineRule="auto"/>
              <w:jc w:val="both"/>
              <w:rPr>
                <w:b/>
                <w:sz w:val="20"/>
                <w:szCs w:val="20"/>
              </w:rPr>
            </w:pPr>
          </w:p>
          <w:p>
            <w:pPr>
              <w:widowControl w:val="0"/>
              <w:jc w:val="both"/>
            </w:pPr>
            <w:r>
              <w:rPr>
                <w:lang w:val="en-GB" w:eastAsia="zh-CN"/>
              </w:rPr>
              <w:t xml:space="preserve">When CA is considered, the total number of BD/CCEs that are shared by multiple cells/TRPs. </w:t>
            </w:r>
            <m:oMath>
              <m:sSubSup>
                <m:sSubSupPr>
                  <m:ctrlPr>
                    <w:rPr>
                      <w:rFonts w:ascii="Cambria Math" w:hAnsi="Cambria Math"/>
                      <w:i/>
                    </w:rPr>
                  </m:ctrlPr>
                </m:sSubSupPr>
                <m:e>
                  <m:r>
                    <w:rPr>
                      <w:rFonts w:ascii="Cambria Math"/>
                    </w:rPr>
                    <m:t>M</m:t>
                  </m:r>
                  <m:ctrlPr>
                    <w:rPr>
                      <w:rFonts w:ascii="Cambria Math" w:hAnsi="Cambria Math"/>
                      <w:i/>
                    </w:rPr>
                  </m:ctrlPr>
                </m:e>
                <m:sub>
                  <m:r>
                    <m:rPr>
                      <m:nor/>
                      <m:sty m:val="p"/>
                    </m:rPr>
                    <w:rPr>
                      <w:rFonts w:ascii="Cambria Math"/>
                    </w:rPr>
                    <m:t>PDCCH</m:t>
                  </m:r>
                  <m:ctrlPr>
                    <w:rPr>
                      <w:rFonts w:ascii="Cambria Math" w:hAnsi="Cambria Math"/>
                    </w:rPr>
                  </m:ctrlPr>
                </m:sub>
                <m:sup>
                  <m:r>
                    <m:rPr>
                      <m:nor/>
                      <m:sty m:val="p"/>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ctrlPr>
                    <w:rPr>
                      <w:rFonts w:ascii="Cambria Math" w:hAnsi="Cambria Math"/>
                      <w:i/>
                    </w:rPr>
                  </m:ctrlPr>
                </m:e>
                <m:sub>
                  <m:r>
                    <m:rPr>
                      <m:nor/>
                      <m:sty m:val="p"/>
                    </m:rPr>
                    <w:rPr>
                      <w:rFonts w:ascii="Cambria Math"/>
                    </w:rPr>
                    <m:t>PDCCH</m:t>
                  </m:r>
                  <m:ctrlPr>
                    <w:rPr>
                      <w:rFonts w:ascii="Cambria Math" w:hAnsi="Cambria Math"/>
                    </w:rPr>
                  </m:ctrlPr>
                </m:sub>
                <m:sup>
                  <m:r>
                    <m:rPr>
                      <m:nor/>
                      <m:sty m:val="p"/>
                    </m:rPr>
                    <w:rPr>
                      <w:rFonts w:ascii="Cambria Math"/>
                    </w:rPr>
                    <m:t>total,(X,Y),</m:t>
                  </m:r>
                  <m:r>
                    <w:rPr>
                      <w:rFonts w:ascii="Cambria Math"/>
                    </w:rPr>
                    <m:t>μ</m:t>
                  </m:r>
                  <m:ctrlPr>
                    <w:rPr>
                      <w:rFonts w:ascii="Cambria Math" w:hAnsi="Cambria Math"/>
                    </w:rPr>
                  </m:ctrlPr>
                </m:sup>
              </m:sSubSup>
            </m:oMath>
            <w:r>
              <w:t xml:space="preserve"> </w:t>
            </w:r>
            <w:r>
              <w:rPr>
                <w:lang w:val="en-GB" w:eastAsia="zh-CN"/>
              </w:rPr>
              <w:t xml:space="preserve">need to be determined considering both </w:t>
            </w:r>
            <w:r>
              <w:rPr>
                <w:lang w:eastAsia="ko-KR"/>
              </w:rPr>
              <w:t xml:space="preserve">SCS configuration </w:t>
            </w:r>
            <m:oMath>
              <m:r>
                <w:rPr>
                  <w:rFonts w:ascii="Cambria Math"/>
                </w:rPr>
                <m:t>μ</m:t>
              </m:r>
            </m:oMath>
            <w:r>
              <w:t xml:space="preserve"> and the combination (X, Y) of the scheduling cells. Three options are discussed as below. </w:t>
            </w:r>
          </w:p>
          <w:p>
            <w:pPr>
              <w:pStyle w:val="82"/>
              <w:widowControl w:val="0"/>
              <w:numPr>
                <w:ilvl w:val="0"/>
                <w:numId w:val="46"/>
              </w:numPr>
              <w:snapToGrid/>
              <w:spacing w:after="120" w:line="240" w:lineRule="auto"/>
              <w:rPr>
                <w:rFonts w:ascii="Times New Roman" w:hAnsi="Times New Roman"/>
                <w:i/>
                <w:iCs/>
                <w:sz w:val="20"/>
                <w:szCs w:val="20"/>
                <w:lang w:eastAsia="ko-KR"/>
              </w:rPr>
            </w:pPr>
            <w:r>
              <w:rPr>
                <w:rFonts w:ascii="Times New Roman" w:hAnsi="Times New Roman"/>
                <w:i/>
                <w:iCs/>
                <w:sz w:val="20"/>
                <w:szCs w:val="20"/>
              </w:rPr>
              <w:t xml:space="preserve">Option 1: </w:t>
            </w:r>
            <m:oMath>
              <m:sSubSup>
                <m:sSubSupPr>
                  <m:ctrlPr>
                    <w:rPr>
                      <w:rFonts w:ascii="Cambria Math" w:hAnsi="Cambria Math"/>
                      <w:i/>
                      <w:iCs/>
                      <w:sz w:val="20"/>
                      <w:szCs w:val="20"/>
                    </w:rPr>
                  </m:ctrlPr>
                </m:sSubSupPr>
                <m:e>
                  <m:r>
                    <w:rPr>
                      <w:rFonts w:ascii="Cambria Math" w:hAnsi="Cambria Math"/>
                      <w:sz w:val="20"/>
                      <w:szCs w:val="20"/>
                    </w:rPr>
                    <m:t>M</m:t>
                  </m:r>
                  <m:ctrlPr>
                    <w:rPr>
                      <w:rFonts w:ascii="Cambria Math" w:hAnsi="Cambria Math"/>
                      <w:i/>
                      <w:iCs/>
                      <w:sz w:val="20"/>
                      <w:szCs w:val="20"/>
                    </w:rPr>
                  </m:ctrlPr>
                </m:e>
                <m:sub>
                  <m:r>
                    <m:rPr>
                      <m:nor/>
                    </m:rPr>
                    <w:rPr>
                      <w:rFonts w:ascii="Times New Roman" w:hAnsi="Times New Roman"/>
                      <w:i/>
                      <w:iCs/>
                      <w:sz w:val="20"/>
                      <w:szCs w:val="20"/>
                    </w:rPr>
                    <m:t>PDCCH</m:t>
                  </m:r>
                  <m:ctrlPr>
                    <w:rPr>
                      <w:rFonts w:ascii="Cambria Math" w:hAnsi="Cambria Math"/>
                      <w:i/>
                      <w:iCs/>
                      <w:sz w:val="20"/>
                      <w:szCs w:val="20"/>
                    </w:rPr>
                  </m:ctrlPr>
                </m:sub>
                <m:sup>
                  <m:r>
                    <m:rPr>
                      <m:nor/>
                    </m:rPr>
                    <w:rPr>
                      <w:rFonts w:ascii="Times New Roman" w:hAnsi="Times New Roman"/>
                      <w:i/>
                      <w:iCs/>
                      <w:sz w:val="20"/>
                      <w:szCs w:val="20"/>
                    </w:rPr>
                    <m:t>total,(X,Y),</m:t>
                  </m:r>
                  <m:r>
                    <w:rPr>
                      <w:rFonts w:ascii="Cambria Math" w:hAnsi="Cambria Math"/>
                      <w:sz w:val="20"/>
                      <w:szCs w:val="20"/>
                    </w:rPr>
                    <m:t>μ</m:t>
                  </m:r>
                  <m:ctrlPr>
                    <w:rPr>
                      <w:rFonts w:ascii="Cambria Math" w:hAnsi="Cambria Math"/>
                      <w:i/>
                      <w:iCs/>
                      <w:sz w:val="20"/>
                      <w:szCs w:val="20"/>
                    </w:rPr>
                  </m:ctrlPr>
                </m:sup>
              </m:sSubSup>
            </m:oMath>
            <w:r>
              <w:rPr>
                <w:rFonts w:ascii="Times New Roman" w:hAnsi="Times New Roman"/>
                <w:i/>
                <w:iCs/>
                <w:sz w:val="20"/>
                <w:szCs w:val="20"/>
              </w:rPr>
              <w:t xml:space="preserve"> is determined and shared by all cells that are configured with scheduling cells having same </w:t>
            </w:r>
            <w:r>
              <w:rPr>
                <w:rFonts w:ascii="Times New Roman" w:hAnsi="Times New Roman"/>
                <w:i/>
                <w:iCs/>
                <w:sz w:val="20"/>
                <w:szCs w:val="20"/>
                <w:lang w:eastAsia="ko-KR"/>
              </w:rPr>
              <w:t xml:space="preserve">SCS configuration </w:t>
            </w:r>
            <m:oMath>
              <m:r>
                <w:rPr>
                  <w:rFonts w:ascii="Cambria Math" w:hAnsi="Cambria Math"/>
                  <w:sz w:val="20"/>
                  <w:szCs w:val="20"/>
                </w:rPr>
                <m:t>μ</m:t>
              </m:r>
            </m:oMath>
            <w:r>
              <w:rPr>
                <w:rFonts w:ascii="Times New Roman" w:hAnsi="Times New Roman"/>
                <w:i/>
                <w:iCs/>
                <w:sz w:val="20"/>
                <w:szCs w:val="20"/>
                <w:lang w:eastAsia="ko-KR"/>
              </w:rPr>
              <w:t xml:space="preserve"> and same combination (X, Y).</w:t>
            </w:r>
          </w:p>
          <w:p>
            <w:pPr>
              <w:pStyle w:val="82"/>
              <w:widowControl w:val="0"/>
              <w:spacing w:after="120"/>
              <w:jc w:val="both"/>
              <w:rPr>
                <w:rFonts w:ascii="Times New Roman" w:hAnsi="Times New Roman"/>
                <w:sz w:val="20"/>
                <w:szCs w:val="20"/>
              </w:rPr>
            </w:pPr>
            <w:r>
              <w:rPr>
                <w:rFonts w:ascii="Times New Roman" w:hAnsi="Times New Roman"/>
                <w:sz w:val="20"/>
                <w:szCs w:val="20"/>
              </w:rPr>
              <w:t xml:space="preserve">Based on the agreed framework, the slot group always starts from the subframe boundary. Consequently, the slot groups of difference cells must be aligned if same </w:t>
            </w:r>
            <w:r>
              <w:rPr>
                <w:rFonts w:ascii="Times New Roman" w:hAnsi="Times New Roman"/>
                <w:sz w:val="20"/>
                <w:szCs w:val="20"/>
                <w:lang w:eastAsia="ko-KR"/>
              </w:rPr>
              <w:t xml:space="preserve">SCS configuration </w:t>
            </w:r>
            <m:oMath>
              <m:r>
                <w:rPr>
                  <w:rFonts w:ascii="Cambria Math" w:hAnsi="Cambria Math"/>
                  <w:sz w:val="20"/>
                  <w:szCs w:val="20"/>
                </w:rPr>
                <m:t>μ</m:t>
              </m:r>
            </m:oMath>
            <w:r>
              <w:rPr>
                <w:rFonts w:ascii="Times New Roman" w:hAnsi="Times New Roman"/>
                <w:sz w:val="20"/>
                <w:szCs w:val="20"/>
              </w:rPr>
              <w:t xml:space="preserve"> are configured. On the other hand, though the group (1) SS is limited to the Y slots, the group (2) </w:t>
            </w:r>
            <w:r>
              <w:rPr>
                <w:rFonts w:ascii="Times New Roman" w:hAnsi="Times New Roman"/>
                <w:sz w:val="20"/>
                <w:szCs w:val="20"/>
                <w:lang w:eastAsia="zh-CN"/>
              </w:rPr>
              <w:t>SS can be configured</w:t>
            </w:r>
            <w:r>
              <w:rPr>
                <w:rFonts w:ascii="Times New Roman" w:hAnsi="Times New Roman"/>
                <w:sz w:val="20"/>
                <w:szCs w:val="20"/>
              </w:rPr>
              <w:t xml:space="preserve"> in any slot in a slot group. Since the PDCCH monitoring for the two scheduled cells may not be fully aligned due to the arbitrary MOs for group (2) SS, it is not necessary to align the Y slots in the slot group for multiple cells for BD/CCE sharing. Based on the above discussions, option 1 can be considered without alignment of the Y slots. </w:t>
            </w:r>
          </w:p>
          <w:p>
            <w:pPr>
              <w:pStyle w:val="82"/>
              <w:widowControl w:val="0"/>
              <w:numPr>
                <w:ilvl w:val="0"/>
                <w:numId w:val="46"/>
              </w:numPr>
              <w:snapToGrid/>
              <w:spacing w:after="120" w:line="240" w:lineRule="auto"/>
              <w:rPr>
                <w:rFonts w:ascii="Times New Roman" w:hAnsi="Times New Roman"/>
                <w:i/>
                <w:iCs/>
                <w:sz w:val="20"/>
                <w:szCs w:val="20"/>
                <w:lang w:eastAsia="ko-KR"/>
              </w:rPr>
            </w:pPr>
            <w:r>
              <w:rPr>
                <w:rFonts w:ascii="Times New Roman" w:hAnsi="Times New Roman"/>
                <w:i/>
                <w:iCs/>
                <w:sz w:val="20"/>
                <w:szCs w:val="20"/>
              </w:rPr>
              <w:t xml:space="preserve">Option 2: </w:t>
            </w:r>
            <m:oMath>
              <m:sSubSup>
                <m:sSubSupPr>
                  <m:ctrlPr>
                    <w:rPr>
                      <w:rFonts w:ascii="Cambria Math" w:hAnsi="Cambria Math"/>
                      <w:i/>
                      <w:iCs/>
                      <w:sz w:val="20"/>
                      <w:szCs w:val="20"/>
                    </w:rPr>
                  </m:ctrlPr>
                </m:sSubSupPr>
                <m:e>
                  <m:r>
                    <w:rPr>
                      <w:rFonts w:ascii="Cambria Math" w:hAnsi="Cambria Math"/>
                      <w:sz w:val="20"/>
                      <w:szCs w:val="20"/>
                    </w:rPr>
                    <m:t>M</m:t>
                  </m:r>
                  <m:ctrlPr>
                    <w:rPr>
                      <w:rFonts w:ascii="Cambria Math" w:hAnsi="Cambria Math"/>
                      <w:i/>
                      <w:iCs/>
                      <w:sz w:val="20"/>
                      <w:szCs w:val="20"/>
                    </w:rPr>
                  </m:ctrlPr>
                </m:e>
                <m:sub>
                  <m:r>
                    <m:rPr>
                      <m:nor/>
                    </m:rPr>
                    <w:rPr>
                      <w:rFonts w:ascii="Times New Roman" w:hAnsi="Times New Roman"/>
                      <w:i/>
                      <w:iCs/>
                      <w:sz w:val="20"/>
                      <w:szCs w:val="20"/>
                    </w:rPr>
                    <m:t>PDCCH</m:t>
                  </m:r>
                  <m:ctrlPr>
                    <w:rPr>
                      <w:rFonts w:ascii="Cambria Math" w:hAnsi="Cambria Math"/>
                      <w:i/>
                      <w:iCs/>
                      <w:sz w:val="20"/>
                      <w:szCs w:val="20"/>
                    </w:rPr>
                  </m:ctrlPr>
                </m:sub>
                <m:sup>
                  <m:r>
                    <m:rPr>
                      <m:nor/>
                    </m:rPr>
                    <w:rPr>
                      <w:rFonts w:ascii="Times New Roman" w:hAnsi="Times New Roman"/>
                      <w:i/>
                      <w:iCs/>
                      <w:sz w:val="20"/>
                      <w:szCs w:val="20"/>
                    </w:rPr>
                    <m:t>total,(X,Y),</m:t>
                  </m:r>
                  <m:r>
                    <w:rPr>
                      <w:rFonts w:ascii="Cambria Math" w:hAnsi="Cambria Math"/>
                      <w:sz w:val="20"/>
                      <w:szCs w:val="20"/>
                    </w:rPr>
                    <m:t>μ</m:t>
                  </m:r>
                  <m:ctrlPr>
                    <w:rPr>
                      <w:rFonts w:ascii="Cambria Math" w:hAnsi="Cambria Math"/>
                      <w:i/>
                      <w:iCs/>
                      <w:sz w:val="20"/>
                      <w:szCs w:val="20"/>
                    </w:rPr>
                  </m:ctrlPr>
                </m:sup>
              </m:sSubSup>
            </m:oMath>
            <w:r>
              <w:rPr>
                <w:rFonts w:ascii="Times New Roman" w:hAnsi="Times New Roman"/>
                <w:i/>
                <w:iCs/>
                <w:sz w:val="20"/>
                <w:szCs w:val="20"/>
              </w:rPr>
              <w:t xml:space="preserve"> is determined and shared by all cells that are configured with scheduling cells having </w:t>
            </w:r>
            <w:r>
              <w:rPr>
                <w:rFonts w:ascii="Times New Roman" w:hAnsi="Times New Roman"/>
                <w:i/>
                <w:iCs/>
                <w:sz w:val="20"/>
                <w:szCs w:val="20"/>
                <w:lang w:eastAsia="ko-KR"/>
              </w:rPr>
              <w:t xml:space="preserve">SCS configuration </w:t>
            </w:r>
            <m:oMath>
              <m:r>
                <w:rPr>
                  <w:rFonts w:ascii="Cambria Math" w:hAnsi="Cambria Math"/>
                  <w:sz w:val="20"/>
                  <w:szCs w:val="20"/>
                </w:rPr>
                <m:t>μ</m:t>
              </m:r>
            </m:oMath>
            <w:r>
              <w:rPr>
                <w:rFonts w:ascii="Times New Roman" w:hAnsi="Times New Roman"/>
                <w:i/>
                <w:iCs/>
                <w:sz w:val="20"/>
                <w:szCs w:val="20"/>
                <w:lang w:eastAsia="ko-KR"/>
              </w:rPr>
              <w:t xml:space="preserve"> and same value X in combinations (X, Y). </w:t>
            </w:r>
          </w:p>
          <w:p>
            <w:pPr>
              <w:pStyle w:val="82"/>
              <w:widowControl w:val="0"/>
              <w:spacing w:after="120"/>
              <w:jc w:val="both"/>
              <w:rPr>
                <w:rFonts w:ascii="Times New Roman" w:hAnsi="Times New Roman"/>
                <w:sz w:val="20"/>
                <w:szCs w:val="20"/>
              </w:rPr>
            </w:pPr>
            <w:r>
              <w:rPr>
                <w:rFonts w:ascii="Times New Roman" w:hAnsi="Times New Roman"/>
                <w:sz w:val="20"/>
                <w:szCs w:val="20"/>
              </w:rPr>
              <w:t xml:space="preserve">In the option 1, the BD/CCE for the scheduling cells with combination (X, Y) of same value X and different value Y are separately handled. In fact, </w:t>
            </w:r>
            <w:r>
              <w:rPr>
                <w:rFonts w:ascii="Times New Roman" w:hAnsi="Times New Roman"/>
                <w:sz w:val="20"/>
                <w:szCs w:val="20"/>
                <w:lang w:eastAsia="ko-KR"/>
              </w:rPr>
              <w:t xml:space="preserve">since the maximum numbers of BD/CCE is only determined by SCS configuration </w:t>
            </w:r>
            <m:oMath>
              <m:r>
                <w:rPr>
                  <w:rFonts w:ascii="Cambria Math" w:hAnsi="Cambria Math"/>
                  <w:sz w:val="20"/>
                  <w:szCs w:val="20"/>
                </w:rPr>
                <m:t>μ</m:t>
              </m:r>
            </m:oMath>
            <w:r>
              <w:rPr>
                <w:rFonts w:ascii="Times New Roman" w:hAnsi="Times New Roman"/>
                <w:sz w:val="20"/>
                <w:szCs w:val="20"/>
                <w:lang w:eastAsia="ko-KR"/>
              </w:rPr>
              <w:t xml:space="preserve"> and value X, but not the value Y, it is possible to share the BD/CCE for </w:t>
            </w:r>
            <w:r>
              <w:rPr>
                <w:rFonts w:ascii="Times New Roman" w:hAnsi="Times New Roman"/>
                <w:sz w:val="20"/>
                <w:szCs w:val="20"/>
              </w:rPr>
              <w:t xml:space="preserve">the scheduling cells with same value X of the combinations (X, Y). This option can provide gNB more freedom to share the PDCCH scheduling capability for more cells. </w:t>
            </w:r>
          </w:p>
          <w:p>
            <w:pPr>
              <w:pStyle w:val="82"/>
              <w:widowControl w:val="0"/>
              <w:numPr>
                <w:ilvl w:val="0"/>
                <w:numId w:val="46"/>
              </w:numPr>
              <w:snapToGrid/>
              <w:spacing w:after="120" w:line="240" w:lineRule="auto"/>
              <w:rPr>
                <w:rFonts w:ascii="Times New Roman" w:hAnsi="Times New Roman"/>
                <w:sz w:val="20"/>
                <w:szCs w:val="20"/>
              </w:rPr>
            </w:pPr>
            <w:r>
              <w:rPr>
                <w:rFonts w:ascii="Times New Roman" w:hAnsi="Times New Roman"/>
                <w:i/>
                <w:iCs/>
                <w:sz w:val="20"/>
                <w:szCs w:val="20"/>
              </w:rPr>
              <w:t>Option</w:t>
            </w:r>
            <w:r>
              <w:rPr>
                <w:rFonts w:ascii="Times New Roman" w:hAnsi="Times New Roman"/>
                <w:i/>
                <w:iCs/>
                <w:sz w:val="20"/>
                <w:szCs w:val="20"/>
                <w:lang w:val="en-GB" w:eastAsia="zh-CN"/>
              </w:rPr>
              <w:t xml:space="preserve"> 3: </w:t>
            </w:r>
            <m:oMath>
              <m:sSubSup>
                <m:sSubSupPr>
                  <m:ctrlPr>
                    <w:rPr>
                      <w:rFonts w:ascii="Cambria Math" w:hAnsi="Cambria Math"/>
                      <w:i/>
                      <w:iCs/>
                      <w:sz w:val="20"/>
                      <w:szCs w:val="20"/>
                    </w:rPr>
                  </m:ctrlPr>
                </m:sSubSupPr>
                <m:e>
                  <m:r>
                    <w:rPr>
                      <w:rFonts w:ascii="Cambria Math" w:hAnsi="Cambria Math"/>
                      <w:sz w:val="20"/>
                      <w:szCs w:val="20"/>
                    </w:rPr>
                    <m:t>M</m:t>
                  </m:r>
                  <m:ctrlPr>
                    <w:rPr>
                      <w:rFonts w:ascii="Cambria Math" w:hAnsi="Cambria Math"/>
                      <w:i/>
                      <w:iCs/>
                      <w:sz w:val="20"/>
                      <w:szCs w:val="20"/>
                    </w:rPr>
                  </m:ctrlPr>
                </m:e>
                <m:sub>
                  <m:r>
                    <m:rPr>
                      <m:nor/>
                    </m:rPr>
                    <w:rPr>
                      <w:rFonts w:ascii="Times New Roman" w:hAnsi="Times New Roman"/>
                      <w:i/>
                      <w:iCs/>
                      <w:sz w:val="20"/>
                      <w:szCs w:val="20"/>
                    </w:rPr>
                    <m:t>PDCCH</m:t>
                  </m:r>
                  <m:ctrlPr>
                    <w:rPr>
                      <w:rFonts w:ascii="Cambria Math" w:hAnsi="Cambria Math"/>
                      <w:i/>
                      <w:iCs/>
                      <w:sz w:val="20"/>
                      <w:szCs w:val="20"/>
                    </w:rPr>
                  </m:ctrlPr>
                </m:sub>
                <m:sup>
                  <m:r>
                    <m:rPr>
                      <m:nor/>
                    </m:rPr>
                    <w:rPr>
                      <w:rFonts w:ascii="Times New Roman" w:hAnsi="Times New Roman"/>
                      <w:i/>
                      <w:iCs/>
                      <w:sz w:val="20"/>
                      <w:szCs w:val="20"/>
                    </w:rPr>
                    <m:t>total,(X,Y),</m:t>
                  </m:r>
                  <m:r>
                    <w:rPr>
                      <w:rFonts w:ascii="Cambria Math" w:hAnsi="Cambria Math"/>
                      <w:sz w:val="20"/>
                      <w:szCs w:val="20"/>
                    </w:rPr>
                    <m:t>μ</m:t>
                  </m:r>
                  <m:ctrlPr>
                    <w:rPr>
                      <w:rFonts w:ascii="Cambria Math" w:hAnsi="Cambria Math"/>
                      <w:i/>
                      <w:iCs/>
                      <w:sz w:val="20"/>
                      <w:szCs w:val="20"/>
                    </w:rPr>
                  </m:ctrlPr>
                </m:sup>
              </m:sSubSup>
            </m:oMath>
            <w:r>
              <w:rPr>
                <w:rFonts w:ascii="Times New Roman" w:hAnsi="Times New Roman"/>
                <w:i/>
                <w:iCs/>
                <w:sz w:val="20"/>
                <w:szCs w:val="20"/>
              </w:rPr>
              <w:t xml:space="preserve"> is determined and shared by all cells that are configured with scheduling cells having same duration of slot or slot group.</w:t>
            </w:r>
            <w:r>
              <w:rPr>
                <w:rFonts w:ascii="Times New Roman" w:hAnsi="Times New Roman"/>
                <w:sz w:val="20"/>
                <w:szCs w:val="20"/>
              </w:rPr>
              <w:t xml:space="preserve"> </w:t>
            </w:r>
          </w:p>
          <w:p>
            <w:pPr>
              <w:pStyle w:val="82"/>
              <w:widowControl w:val="0"/>
              <w:spacing w:after="120"/>
              <w:jc w:val="both"/>
              <w:rPr>
                <w:rFonts w:ascii="Times New Roman" w:hAnsi="Times New Roman"/>
                <w:sz w:val="20"/>
                <w:szCs w:val="20"/>
                <w:lang w:val="en-GB" w:eastAsia="zh-CN"/>
              </w:rPr>
            </w:pPr>
            <w:r>
              <w:rPr>
                <w:rFonts w:ascii="Times New Roman" w:hAnsi="Times New Roman"/>
                <w:sz w:val="20"/>
                <w:szCs w:val="20"/>
              </w:rPr>
              <w:t xml:space="preserve">A slot of SCS 120kHz and a slot group of </w:t>
            </w:r>
            <w:r>
              <w:rPr>
                <w:rFonts w:ascii="Times New Roman" w:hAnsi="Times New Roman"/>
                <w:sz w:val="20"/>
                <w:szCs w:val="20"/>
                <w:lang w:val="en-GB" w:eastAsia="zh-CN"/>
              </w:rPr>
              <w:t xml:space="preserve">X=4/8 slots for SCS 480/960kHz are fully overlapped in time with same </w:t>
            </w:r>
            <w:r>
              <w:rPr>
                <w:rFonts w:ascii="Times New Roman" w:hAnsi="Times New Roman"/>
                <w:sz w:val="20"/>
                <w:szCs w:val="20"/>
                <w:lang w:eastAsia="ko-KR"/>
              </w:rPr>
              <w:t xml:space="preserve">the maximum numbers of BD/CCE. It is then expected the UE implementation on the PDCCH detection could be common in some extent. Consequently, it can be considered to share the BD/CCE for the scheduling cells with SCS 120kHz and </w:t>
            </w:r>
            <w:r>
              <w:rPr>
                <w:rFonts w:ascii="Times New Roman" w:hAnsi="Times New Roman"/>
                <w:sz w:val="20"/>
                <w:szCs w:val="20"/>
                <w:lang w:val="en-GB" w:eastAsia="zh-CN"/>
              </w:rPr>
              <w:t xml:space="preserve">for SCS 480/960kHz if X=4/8 slots apply. Option 3 can provide even more flexibility on PDCCH transmission than Option 2. However, Option 3 also requires UE to jointly share maximum BD/CCE budget across cells with different numerology, which results in additional complexity. </w:t>
            </w:r>
          </w:p>
          <w:p>
            <w:pPr>
              <w:pStyle w:val="82"/>
              <w:widowControl w:val="0"/>
              <w:spacing w:after="120"/>
              <w:ind w:left="0"/>
              <w:jc w:val="both"/>
            </w:pPr>
            <w:r>
              <w:rPr>
                <w:rFonts w:ascii="Times New Roman" w:hAnsi="Times New Roman"/>
                <w:sz w:val="20"/>
                <w:szCs w:val="20"/>
              </w:rPr>
              <w:t xml:space="preserve">Based on the above analysis, we prefer Option 2 since it provides a good balance between flexibility and complexity. The following TP is proposed to determine </w:t>
            </w:r>
            <m:oMath>
              <m:sSubSup>
                <m:sSubSupPr>
                  <m:ctrlPr>
                    <w:rPr>
                      <w:rFonts w:ascii="Cambria Math" w:hAnsi="Cambria Math"/>
                      <w:i/>
                    </w:rPr>
                  </m:ctrlPr>
                </m:sSubSupPr>
                <m:e>
                  <m:r>
                    <w:rPr>
                      <w:rFonts w:ascii="Cambria Math"/>
                    </w:rPr>
                    <m:t>M</m:t>
                  </m:r>
                  <m:ctrlPr>
                    <w:rPr>
                      <w:rFonts w:ascii="Cambria Math" w:hAnsi="Cambria Math"/>
                      <w:i/>
                    </w:rPr>
                  </m:ctrlPr>
                </m:e>
                <m:sub>
                  <m:r>
                    <m:rPr>
                      <m:nor/>
                      <m:sty m:val="p"/>
                    </m:rPr>
                    <w:rPr>
                      <w:rFonts w:ascii="Cambria Math"/>
                    </w:rPr>
                    <m:t>PDCCH</m:t>
                  </m:r>
                  <m:ctrlPr>
                    <w:rPr>
                      <w:rFonts w:ascii="Cambria Math" w:hAnsi="Cambria Math"/>
                    </w:rPr>
                  </m:ctrlPr>
                </m:sub>
                <m:sup>
                  <m:r>
                    <m:rPr>
                      <m:nor/>
                      <m:sty m:val="p"/>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ctrlPr>
                    <w:rPr>
                      <w:rFonts w:ascii="Cambria Math" w:hAnsi="Cambria Math"/>
                      <w:i/>
                    </w:rPr>
                  </m:ctrlPr>
                </m:e>
                <m:sub>
                  <m:r>
                    <m:rPr>
                      <m:nor/>
                      <m:sty m:val="p"/>
                    </m:rPr>
                    <w:rPr>
                      <w:rFonts w:ascii="Cambria Math"/>
                    </w:rPr>
                    <m:t>PDCCH</m:t>
                  </m:r>
                  <m:ctrlPr>
                    <w:rPr>
                      <w:rFonts w:ascii="Cambria Math" w:hAnsi="Cambria Math"/>
                    </w:rPr>
                  </m:ctrlPr>
                </m:sub>
                <m:sup>
                  <m:r>
                    <m:rPr>
                      <m:nor/>
                      <m:sty m:val="p"/>
                    </m:rPr>
                    <w:rPr>
                      <w:rFonts w:ascii="Cambria Math"/>
                    </w:rPr>
                    <m:t>total,(X,Y),</m:t>
                  </m:r>
                  <m:r>
                    <w:rPr>
                      <w:rFonts w:ascii="Cambria Math"/>
                    </w:rPr>
                    <m:t>μ</m:t>
                  </m:r>
                  <m:ctrlPr>
                    <w:rPr>
                      <w:rFonts w:ascii="Cambria Math" w:hAnsi="Cambria Math"/>
                    </w:rPr>
                  </m:ctrlPr>
                </m:sup>
              </m:sSubSup>
            </m:oMath>
            <w:r>
              <w:rPr>
                <w:rFonts w:ascii="Times New Roman" w:hAnsi="Times New Roman"/>
                <w:sz w:val="20"/>
                <w:szCs w:val="20"/>
              </w:rPr>
              <w:t>.</w:t>
            </w:r>
          </w:p>
          <w:tbl>
            <w:tblPr>
              <w:tblStyle w:val="55"/>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vAlign w:val="center"/>
                </w:tcPr>
                <w:p>
                  <w:pPr>
                    <w:widowControl w:val="0"/>
                    <w:jc w:val="center"/>
                    <w:rPr>
                      <w:b/>
                      <w:bCs/>
                      <w:color w:val="0070C0"/>
                      <w:lang w:eastAsia="zh-CN"/>
                    </w:rPr>
                  </w:pPr>
                  <w:r>
                    <w:rPr>
                      <w:b/>
                      <w:bCs/>
                      <w:iCs/>
                      <w:color w:val="0070C0"/>
                    </w:rPr>
                    <w:t>------------------------------   TP#3: TS 38.213 -----------------------------------</w:t>
                  </w:r>
                </w:p>
                <w:p>
                  <w:pPr>
                    <w:widowControl w:val="0"/>
                    <w:jc w:val="center"/>
                    <w:rPr>
                      <w:iCs/>
                    </w:rPr>
                  </w:pPr>
                  <w:r>
                    <w:rPr>
                      <w:color w:val="FF0000"/>
                      <w:lang w:eastAsia="zh-CN"/>
                    </w:rPr>
                    <w:t>*** Unchanged text is omitted ***</w:t>
                  </w:r>
                </w:p>
                <w:p>
                  <w:pPr>
                    <w:widowControl w:val="0"/>
                  </w:pPr>
                  <w:r>
                    <w:t>10</w:t>
                  </w:r>
                  <w:r>
                    <w:rPr>
                      <w:rFonts w:hint="eastAsia"/>
                    </w:rPr>
                    <w:t>.1</w:t>
                  </w:r>
                  <w:r>
                    <w:rPr>
                      <w:rFonts w:hint="eastAsia"/>
                    </w:rPr>
                    <w:tab/>
                  </w:r>
                  <w:r>
                    <w:t xml:space="preserve">UE procedure for determining physical downlink control channel assignment </w:t>
                  </w:r>
                </w:p>
                <w:p>
                  <w:pPr>
                    <w:widowControl w:val="0"/>
                    <w:jc w:val="center"/>
                    <w:rPr>
                      <w:b/>
                      <w:bCs/>
                    </w:rPr>
                  </w:pPr>
                  <w:r>
                    <w:rPr>
                      <w:color w:val="FF0000"/>
                      <w:lang w:eastAsia="zh-CN"/>
                    </w:rPr>
                    <w:t>*** Unchanged text is omitted ***</w:t>
                  </w:r>
                </w:p>
                <w:p>
                  <w:pPr>
                    <w:widowControl w:val="0"/>
                    <w:spacing w:before="180"/>
                    <w:rPr>
                      <w:lang w:eastAsia="ko-KR"/>
                    </w:rPr>
                  </w:pPr>
                  <w:r>
                    <w:rPr>
                      <w:lang w:eastAsia="ko-KR"/>
                    </w:rPr>
                    <w:t xml:space="preserve">If a UE </w:t>
                  </w:r>
                </w:p>
                <w:p>
                  <w:pPr>
                    <w:pStyle w:val="103"/>
                    <w:widowControl w:val="0"/>
                    <w:rPr>
                      <w:rFonts w:cstheme="minorHAnsi"/>
                      <w:sz w:val="16"/>
                      <w:szCs w:val="16"/>
                      <w:lang w:eastAsia="zh-CN"/>
                    </w:rPr>
                  </w:pPr>
                  <w:r>
                    <w:t>-</w:t>
                  </w:r>
                  <w:r>
                    <w:tab/>
                  </w:r>
                  <w:r>
                    <w:rPr>
                      <w:lang w:eastAsia="ko-KR"/>
                    </w:rPr>
                    <w:t xml:space="preserve">does not report </w:t>
                  </w:r>
                  <w:r>
                    <w:rPr>
                      <w:i/>
                    </w:rPr>
                    <w:t>pdcch-BlindDetectionCA</w:t>
                  </w:r>
                  <w:r>
                    <w:rPr>
                      <w:iCs/>
                    </w:rPr>
                    <w:t xml:space="preserve"> or is not provided </w:t>
                  </w:r>
                  <w:r>
                    <w:rPr>
                      <w:rFonts w:cstheme="minorHAnsi"/>
                      <w:i/>
                      <w:iCs/>
                      <w:lang w:eastAsia="zh-CN"/>
                    </w:rPr>
                    <w:t>BDFactorR</w:t>
                  </w:r>
                  <w:r>
                    <w:rPr>
                      <w:rFonts w:cstheme="minorHAnsi"/>
                      <w:sz w:val="16"/>
                      <w:szCs w:val="16"/>
                      <w:lang w:eastAsia="zh-CN"/>
                    </w:rPr>
                    <w:t xml:space="preserve">, </w:t>
                  </w:r>
                  <m:oMath>
                    <m:r>
                      <w:rPr>
                        <w:rFonts w:ascii="Cambria Math" w:hAnsi="Cambria Math" w:cstheme="minorHAnsi"/>
                      </w:rPr>
                      <m:t>γ</m:t>
                    </m:r>
                    <m:r>
                      <w:rPr>
                        <w:rFonts w:ascii="Cambria Math"/>
                      </w:rPr>
                      <m:t>=R</m:t>
                    </m:r>
                  </m:oMath>
                </w:p>
                <w:p>
                  <w:pPr>
                    <w:pStyle w:val="103"/>
                    <w:widowControl w:val="0"/>
                  </w:pPr>
                  <w:r>
                    <w:t>-</w:t>
                  </w:r>
                  <w:r>
                    <w:tab/>
                  </w:r>
                  <w:r>
                    <w:rPr>
                      <w:lang w:eastAsia="ko-KR"/>
                    </w:rPr>
                    <w:t xml:space="preserve">reports </w:t>
                  </w:r>
                  <w:r>
                    <w:rPr>
                      <w:i/>
                    </w:rPr>
                    <w:t>pdcch-BlindDetectionCA</w:t>
                  </w:r>
                  <w:r>
                    <w:t xml:space="preserve">, the UE can be indicated by </w:t>
                  </w:r>
                  <w:r>
                    <w:rPr>
                      <w:rFonts w:cstheme="minorHAnsi"/>
                      <w:i/>
                      <w:iCs/>
                      <w:lang w:eastAsia="zh-CN"/>
                    </w:rPr>
                    <w:t>BDFactorR</w:t>
                  </w:r>
                  <w:r>
                    <w:rPr>
                      <w:rFonts w:cstheme="minorHAnsi"/>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pPr>
                    <w:widowControl w:val="0"/>
                    <w:rPr>
                      <w:color w:val="C00000"/>
                      <w:u w:val="single"/>
                      <w:lang w:eastAsia="ko-KR"/>
                    </w:rPr>
                  </w:pPr>
                  <w:r>
                    <w:rPr>
                      <w:color w:val="C00000"/>
                      <w:u w:val="single"/>
                      <w:lang w:eastAsia="ko-KR"/>
                    </w:rPr>
                    <w:t xml:space="preserve">If a UE </w:t>
                  </w:r>
                  <w:r>
                    <w:rPr>
                      <w:color w:val="C00000"/>
                      <w:u w:val="single"/>
                    </w:rPr>
                    <w:t xml:space="preserve">is </w:t>
                  </w:r>
                  <w:r>
                    <w:rPr>
                      <w:color w:val="C00000"/>
                      <w:u w:val="single"/>
                      <w:lang w:eastAsia="ko-KR"/>
                    </w:rPr>
                    <w:t>configured</w:t>
                  </w:r>
                  <w:r>
                    <w:rPr>
                      <w:color w:val="C00000"/>
                      <w:u w:val="single"/>
                    </w:rPr>
                    <w:t xml:space="preserve"> with </w:t>
                  </w:r>
                  <m:oMath>
                    <m:sSubSup>
                      <m:sSubSupPr>
                        <m:ctrlPr>
                          <w:rPr>
                            <w:rFonts w:ascii="Cambria Math" w:hAnsi="Cambria Math"/>
                            <w:color w:val="C00000"/>
                            <w:u w:val="single"/>
                            <w:lang w:eastAsia="ko-KR"/>
                          </w:rPr>
                        </m:ctrlPr>
                      </m:sSubSupPr>
                      <m:e>
                        <m:r>
                          <w:rPr>
                            <w:rFonts w:ascii="Cambria Math"/>
                            <w:color w:val="C00000"/>
                            <w:u w:val="single"/>
                            <w:lang w:eastAsia="ko-KR"/>
                          </w:rPr>
                          <m:t>N</m:t>
                        </m:r>
                        <m:ctrlPr>
                          <w:rPr>
                            <w:rFonts w:ascii="Cambria Math" w:hAnsi="Cambria Math"/>
                            <w:color w:val="C00000"/>
                            <w:u w:val="single"/>
                            <w:lang w:eastAsia="ko-KR"/>
                          </w:rPr>
                        </m:ctrlPr>
                      </m:e>
                      <m:sub>
                        <m:r>
                          <m:rPr>
                            <m:nor/>
                            <m:sty m:val="p"/>
                          </m:rPr>
                          <w:rPr>
                            <w:color w:val="C00000"/>
                            <w:u w:val="single"/>
                            <w:lang w:eastAsia="ko-KR"/>
                          </w:rPr>
                          <m:t>cells,0</m:t>
                        </m:r>
                        <m:ctrlPr>
                          <w:rPr>
                            <w:rFonts w:ascii="Cambria Math" w:hAnsi="Cambria Math"/>
                            <w:color w:val="C00000"/>
                            <w:u w:val="single"/>
                            <w:lang w:eastAsia="ko-KR"/>
                          </w:rPr>
                        </m:ctrlPr>
                      </m:sub>
                      <m:sup>
                        <m:r>
                          <m:rPr>
                            <m:nor/>
                            <m:sty m:val="p"/>
                          </m:rPr>
                          <w:rPr>
                            <w:color w:val="C00000"/>
                            <w:u w:val="single"/>
                            <w:lang w:eastAsia="ko-KR"/>
                          </w:rPr>
                          <m:t>DL,</m:t>
                        </m:r>
                        <m:r>
                          <w:rPr>
                            <w:rFonts w:ascii="Cambria Math"/>
                            <w:color w:val="C00000"/>
                            <w:u w:val="single"/>
                            <w:lang w:eastAsia="ko-KR"/>
                          </w:rPr>
                          <m:t>μ</m:t>
                        </m:r>
                        <m:ctrlPr>
                          <w:rPr>
                            <w:rFonts w:ascii="Cambria Math" w:hAnsi="Cambria Math"/>
                            <w:color w:val="C00000"/>
                            <w:u w:val="single"/>
                            <w:lang w:eastAsia="ko-KR"/>
                          </w:rPr>
                        </m:ctrlP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ctrlPr>
                          <w:rPr>
                            <w:rFonts w:ascii="Cambria Math" w:hAnsi="Cambria Math"/>
                            <w:color w:val="C00000"/>
                            <w:u w:val="single"/>
                            <w:lang w:eastAsia="ko-KR"/>
                          </w:rPr>
                        </m:ctrlPr>
                      </m:e>
                      <m:sub>
                        <m:r>
                          <m:rPr>
                            <m:nor/>
                            <m:sty m:val="p"/>
                          </m:rPr>
                          <w:rPr>
                            <w:color w:val="C00000"/>
                            <w:u w:val="single"/>
                            <w:lang w:eastAsia="ko-KR"/>
                          </w:rPr>
                          <m:t>cells,1</m:t>
                        </m:r>
                        <m:ctrlPr>
                          <w:rPr>
                            <w:rFonts w:ascii="Cambria Math" w:hAnsi="Cambria Math"/>
                            <w:color w:val="C00000"/>
                            <w:u w:val="single"/>
                            <w:lang w:eastAsia="ko-KR"/>
                          </w:rPr>
                        </m:ctrlPr>
                      </m:sub>
                      <m:sup>
                        <m:r>
                          <m:rPr>
                            <m:nor/>
                            <m:sty m:val="p"/>
                          </m:rPr>
                          <w:rPr>
                            <w:color w:val="C00000"/>
                            <w:u w:val="single"/>
                            <w:lang w:eastAsia="ko-KR"/>
                          </w:rPr>
                          <m:t>DL,</m:t>
                        </m:r>
                        <m:r>
                          <w:rPr>
                            <w:rFonts w:ascii="Cambria Math"/>
                            <w:color w:val="C00000"/>
                            <w:u w:val="single"/>
                            <w:lang w:eastAsia="ko-KR"/>
                          </w:rPr>
                          <m:t>μ</m:t>
                        </m:r>
                        <m:ctrlPr>
                          <w:rPr>
                            <w:rFonts w:ascii="Cambria Math" w:hAnsi="Cambria Math"/>
                            <w:color w:val="C00000"/>
                            <w:u w:val="single"/>
                            <w:lang w:eastAsia="ko-KR"/>
                          </w:rPr>
                        </m:ctrlPr>
                      </m:sup>
                    </m:sSubSup>
                  </m:oMath>
                  <w:r>
                    <w:rPr>
                      <w:color w:val="C00000"/>
                      <w:u w:val="single"/>
                    </w:rPr>
                    <w:t xml:space="preserve">  downlink cells </w:t>
                  </w:r>
                  <w:r>
                    <w:rPr>
                      <w:iCs/>
                      <w:color w:val="C00000"/>
                      <w:u w:val="single"/>
                    </w:rPr>
                    <w:t xml:space="preserve">for which the UE is provided </w:t>
                  </w:r>
                  <w:r>
                    <w:rPr>
                      <w:i/>
                      <w:color w:val="C00000"/>
                      <w:u w:val="single"/>
                    </w:rPr>
                    <w:t>monitoringCapabilityConfig</w:t>
                  </w:r>
                  <w:r>
                    <w:rPr>
                      <w:color w:val="C00000"/>
                      <w:u w:val="single"/>
                    </w:rPr>
                    <w:t xml:space="preserve"> = </w:t>
                  </w:r>
                  <w:r>
                    <w:rPr>
                      <w:i/>
                      <w:color w:val="C00000"/>
                      <w:u w:val="single"/>
                    </w:rPr>
                    <w:t>r17monitoringcapability</w:t>
                  </w:r>
                  <w:r>
                    <w:rPr>
                      <w:iCs/>
                      <w:color w:val="C00000"/>
                      <w:u w:val="single"/>
                    </w:rPr>
                    <w:t xml:space="preserve"> and </w:t>
                  </w:r>
                  <w:r>
                    <w:rPr>
                      <w:color w:val="C00000"/>
                      <w:u w:val="single"/>
                    </w:rPr>
                    <w:t xml:space="preserve">with </w:t>
                  </w:r>
                  <w:r>
                    <w:rPr>
                      <w:color w:val="C00000"/>
                      <w:u w:val="single"/>
                      <w:lang w:eastAsia="ko-KR"/>
                    </w:rPr>
                    <w:t xml:space="preserve">associated PDCCH candidates monitored in the </w:t>
                  </w:r>
                  <w:r>
                    <w:rPr>
                      <w:color w:val="C00000"/>
                      <w:u w:val="single"/>
                    </w:rPr>
                    <w:t xml:space="preserve">active DL BWPs of the scheduling cells using SCS configuration </w:t>
                  </w:r>
                  <m:oMath>
                    <m:r>
                      <w:rPr>
                        <w:rFonts w:ascii="Cambria Math" w:hAnsi="Cambria Math" w:eastAsiaTheme="minorHAnsi"/>
                        <w:color w:val="C00000"/>
                        <w:u w:val="single"/>
                      </w:rPr>
                      <m:t>μ</m:t>
                    </m:r>
                  </m:oMath>
                  <w:r>
                    <w:rPr>
                      <w:iCs/>
                      <w:color w:val="C00000"/>
                      <w:u w:val="single"/>
                    </w:rPr>
                    <w:t xml:space="preserve">, and with </w:t>
                  </w:r>
                  <m:oMath>
                    <m:sSubSup>
                      <m:sSubSupPr>
                        <m:ctrlPr>
                          <w:rPr>
                            <w:rFonts w:ascii="Cambria Math" w:hAnsi="Cambria Math"/>
                            <w:color w:val="C00000"/>
                            <w:u w:val="single"/>
                            <w:lang w:eastAsia="ko-KR"/>
                          </w:rPr>
                        </m:ctrlPr>
                      </m:sSubSupPr>
                      <m:e>
                        <m:r>
                          <w:rPr>
                            <w:rFonts w:ascii="Cambria Math"/>
                            <w:color w:val="C00000"/>
                            <w:u w:val="single"/>
                            <w:lang w:eastAsia="ko-KR"/>
                          </w:rPr>
                          <m:t>N</m:t>
                        </m:r>
                        <m:ctrlPr>
                          <w:rPr>
                            <w:rFonts w:ascii="Cambria Math" w:hAnsi="Cambria Math"/>
                            <w:color w:val="C00000"/>
                            <w:u w:val="single"/>
                            <w:lang w:eastAsia="ko-KR"/>
                          </w:rPr>
                        </m:ctrlPr>
                      </m:e>
                      <m:sub>
                        <m:r>
                          <m:rPr>
                            <m:nor/>
                            <m:sty m:val="p"/>
                          </m:rPr>
                          <w:rPr>
                            <w:color w:val="C00000"/>
                            <w:u w:val="single"/>
                            <w:lang w:eastAsia="ko-KR"/>
                          </w:rPr>
                          <m:t>cells,0</m:t>
                        </m:r>
                        <m:ctrlPr>
                          <w:rPr>
                            <w:rFonts w:ascii="Cambria Math" w:hAnsi="Cambria Math"/>
                            <w:color w:val="C00000"/>
                            <w:u w:val="single"/>
                            <w:lang w:eastAsia="ko-KR"/>
                          </w:rPr>
                        </m:ctrlPr>
                      </m:sub>
                      <m:sup>
                        <m:r>
                          <m:rPr>
                            <m:nor/>
                            <m:sty m:val="p"/>
                          </m:rPr>
                          <w:rPr>
                            <w:color w:val="C00000"/>
                            <w:u w:val="single"/>
                            <w:lang w:eastAsia="ko-KR"/>
                          </w:rPr>
                          <m:t>DL</m:t>
                        </m:r>
                        <m:r>
                          <m:rPr>
                            <m:nor/>
                            <m:sty m:val="p"/>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sz w:val="21"/>
                            <w:szCs w:val="21"/>
                            <w:u w:val="single"/>
                          </w:rPr>
                          <m:t>)</m:t>
                        </m:r>
                        <m:r>
                          <m:rPr>
                            <m:nor/>
                            <m:sty m:val="p"/>
                          </m:rPr>
                          <w:rPr>
                            <w:color w:val="C00000"/>
                            <w:u w:val="single"/>
                            <w:lang w:eastAsia="ko-KR"/>
                          </w:rPr>
                          <m:t>,</m:t>
                        </m:r>
                        <m:r>
                          <w:rPr>
                            <w:rFonts w:ascii="Cambria Math"/>
                            <w:color w:val="C00000"/>
                            <w:u w:val="single"/>
                            <w:lang w:eastAsia="ko-KR"/>
                          </w:rPr>
                          <m:t>μ</m:t>
                        </m:r>
                        <m:ctrlPr>
                          <w:rPr>
                            <w:rFonts w:ascii="Cambria Math" w:hAnsi="Cambria Math"/>
                            <w:color w:val="C00000"/>
                            <w:u w:val="single"/>
                            <w:lang w:eastAsia="ko-KR"/>
                          </w:rPr>
                        </m:ctrlP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ctrlPr>
                          <w:rPr>
                            <w:rFonts w:ascii="Cambria Math" w:hAnsi="Cambria Math"/>
                            <w:color w:val="C00000"/>
                            <w:u w:val="single"/>
                            <w:lang w:eastAsia="ko-KR"/>
                          </w:rPr>
                        </m:ctrlPr>
                      </m:e>
                      <m:sub>
                        <m:r>
                          <m:rPr>
                            <m:nor/>
                            <m:sty m:val="p"/>
                          </m:rPr>
                          <w:rPr>
                            <w:color w:val="C00000"/>
                            <w:u w:val="single"/>
                            <w:lang w:eastAsia="ko-KR"/>
                          </w:rPr>
                          <m:t>cells,1</m:t>
                        </m:r>
                        <m:ctrlPr>
                          <w:rPr>
                            <w:rFonts w:ascii="Cambria Math" w:hAnsi="Cambria Math"/>
                            <w:color w:val="C00000"/>
                            <w:u w:val="single"/>
                            <w:lang w:eastAsia="ko-KR"/>
                          </w:rPr>
                        </m:ctrlPr>
                      </m:sub>
                      <m:sup>
                        <m:r>
                          <m:rPr>
                            <m:nor/>
                            <m:sty m:val="p"/>
                          </m:rPr>
                          <w:rPr>
                            <w:color w:val="C00000"/>
                            <w:u w:val="single"/>
                            <w:lang w:eastAsia="ko-KR"/>
                          </w:rPr>
                          <m:t>DL</m:t>
                        </m:r>
                        <m:r>
                          <m:rPr>
                            <m:nor/>
                            <m:sty m:val="p"/>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sz w:val="21"/>
                            <w:szCs w:val="21"/>
                            <w:u w:val="single"/>
                          </w:rPr>
                          <m:t>)</m:t>
                        </m:r>
                        <m:r>
                          <m:rPr>
                            <m:nor/>
                            <m:sty m:val="p"/>
                          </m:rPr>
                          <w:rPr>
                            <w:color w:val="C00000"/>
                            <w:u w:val="single"/>
                            <w:lang w:eastAsia="ko-KR"/>
                          </w:rPr>
                          <m:t>,</m:t>
                        </m:r>
                        <m:r>
                          <w:rPr>
                            <w:rFonts w:ascii="Cambria Math"/>
                            <w:color w:val="C00000"/>
                            <w:u w:val="single"/>
                            <w:lang w:eastAsia="ko-KR"/>
                          </w:rPr>
                          <m:t>μ</m:t>
                        </m:r>
                        <m:ctrlPr>
                          <w:rPr>
                            <w:rFonts w:ascii="Cambria Math" w:hAnsi="Cambria Math"/>
                            <w:color w:val="C00000"/>
                            <w:u w:val="single"/>
                            <w:lang w:eastAsia="ko-KR"/>
                          </w:rPr>
                        </m:ctrlPr>
                      </m:sup>
                    </m:sSubSup>
                  </m:oMath>
                  <w:r>
                    <w:rPr>
                      <w:iCs/>
                      <w:color w:val="C00000"/>
                      <w:u w:val="single"/>
                    </w:rPr>
                    <w:t xml:space="preserve"> of the </w:t>
                  </w:r>
                  <m:oMath>
                    <m:sSubSup>
                      <m:sSubSupPr>
                        <m:ctrlPr>
                          <w:rPr>
                            <w:rFonts w:ascii="Cambria Math" w:hAnsi="Cambria Math"/>
                            <w:color w:val="C00000"/>
                            <w:u w:val="single"/>
                            <w:lang w:eastAsia="ko-KR"/>
                          </w:rPr>
                        </m:ctrlPr>
                      </m:sSubSupPr>
                      <m:e>
                        <m:r>
                          <w:rPr>
                            <w:rFonts w:ascii="Cambria Math"/>
                            <w:color w:val="C00000"/>
                            <w:u w:val="single"/>
                            <w:lang w:eastAsia="ko-KR"/>
                          </w:rPr>
                          <m:t>N</m:t>
                        </m:r>
                        <m:ctrlPr>
                          <w:rPr>
                            <w:rFonts w:ascii="Cambria Math" w:hAnsi="Cambria Math"/>
                            <w:color w:val="C00000"/>
                            <w:u w:val="single"/>
                            <w:lang w:eastAsia="ko-KR"/>
                          </w:rPr>
                        </m:ctrlPr>
                      </m:e>
                      <m:sub>
                        <m:r>
                          <m:rPr>
                            <m:nor/>
                            <m:sty m:val="p"/>
                          </m:rPr>
                          <w:rPr>
                            <w:color w:val="C00000"/>
                            <w:u w:val="single"/>
                            <w:lang w:eastAsia="ko-KR"/>
                          </w:rPr>
                          <m:t>cells,0</m:t>
                        </m:r>
                        <m:ctrlPr>
                          <w:rPr>
                            <w:rFonts w:ascii="Cambria Math" w:hAnsi="Cambria Math"/>
                            <w:color w:val="C00000"/>
                            <w:u w:val="single"/>
                            <w:lang w:eastAsia="ko-KR"/>
                          </w:rPr>
                        </m:ctrlPr>
                      </m:sub>
                      <m:sup>
                        <m:r>
                          <m:rPr>
                            <m:nor/>
                            <m:sty m:val="p"/>
                          </m:rPr>
                          <w:rPr>
                            <w:color w:val="C00000"/>
                            <w:u w:val="single"/>
                            <w:lang w:eastAsia="ko-KR"/>
                          </w:rPr>
                          <m:t>DL,</m:t>
                        </m:r>
                        <m:r>
                          <w:rPr>
                            <w:rFonts w:ascii="Cambria Math"/>
                            <w:color w:val="C00000"/>
                            <w:u w:val="single"/>
                            <w:lang w:eastAsia="ko-KR"/>
                          </w:rPr>
                          <m:t>μ</m:t>
                        </m:r>
                        <m:ctrlPr>
                          <w:rPr>
                            <w:rFonts w:ascii="Cambria Math" w:hAnsi="Cambria Math"/>
                            <w:color w:val="C00000"/>
                            <w:u w:val="single"/>
                            <w:lang w:eastAsia="ko-KR"/>
                          </w:rPr>
                        </m:ctrlP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ctrlPr>
                          <w:rPr>
                            <w:rFonts w:ascii="Cambria Math" w:hAnsi="Cambria Math"/>
                            <w:color w:val="C00000"/>
                            <w:u w:val="single"/>
                            <w:lang w:eastAsia="ko-KR"/>
                          </w:rPr>
                        </m:ctrlPr>
                      </m:e>
                      <m:sub>
                        <m:r>
                          <m:rPr>
                            <m:nor/>
                            <m:sty m:val="p"/>
                          </m:rPr>
                          <w:rPr>
                            <w:color w:val="C00000"/>
                            <w:u w:val="single"/>
                            <w:lang w:eastAsia="ko-KR"/>
                          </w:rPr>
                          <m:t>cells,1</m:t>
                        </m:r>
                        <m:ctrlPr>
                          <w:rPr>
                            <w:rFonts w:ascii="Cambria Math" w:hAnsi="Cambria Math"/>
                            <w:color w:val="C00000"/>
                            <w:u w:val="single"/>
                            <w:lang w:eastAsia="ko-KR"/>
                          </w:rPr>
                        </m:ctrlPr>
                      </m:sub>
                      <m:sup>
                        <m:r>
                          <m:rPr>
                            <m:nor/>
                            <m:sty m:val="p"/>
                          </m:rPr>
                          <w:rPr>
                            <w:color w:val="C00000"/>
                            <w:u w:val="single"/>
                            <w:lang w:eastAsia="ko-KR"/>
                          </w:rPr>
                          <m:t>DL,</m:t>
                        </m:r>
                        <m:r>
                          <w:rPr>
                            <w:rFonts w:ascii="Cambria Math"/>
                            <w:color w:val="C00000"/>
                            <w:u w:val="single"/>
                            <w:lang w:eastAsia="ko-KR"/>
                          </w:rPr>
                          <m:t>μ</m:t>
                        </m:r>
                        <m:ctrlPr>
                          <w:rPr>
                            <w:rFonts w:ascii="Cambria Math" w:hAnsi="Cambria Math"/>
                            <w:color w:val="C00000"/>
                            <w:u w:val="single"/>
                            <w:lang w:eastAsia="ko-KR"/>
                          </w:rPr>
                        </m:ctrlPr>
                      </m:sup>
                    </m:sSubSup>
                  </m:oMath>
                  <w:r>
                    <w:rPr>
                      <w:iCs/>
                      <w:color w:val="C00000"/>
                      <w:u w:val="single"/>
                    </w:rPr>
                    <w:t xml:space="preserve"> downlink cells using combination </w:t>
                  </w:r>
                  <m:oMath>
                    <m:d>
                      <m:dPr>
                        <m:ctrlPr>
                          <w:rPr>
                            <w:rFonts w:ascii="Cambria Math" w:hAnsi="Cambria Math"/>
                            <w:color w:val="C00000"/>
                            <w:u w:val="single"/>
                            <w:lang w:eastAsia="zh-CN"/>
                          </w:rPr>
                        </m:ctrlPr>
                      </m:dPr>
                      <m:e>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ctrlPr>
                          <w:rPr>
                            <w:rFonts w:ascii="Cambria Math" w:hAnsi="Cambria Math"/>
                            <w:color w:val="C00000"/>
                            <w:u w:val="single"/>
                            <w:lang w:eastAsia="zh-CN"/>
                          </w:rPr>
                        </m:ctrlPr>
                      </m:e>
                    </m:d>
                  </m:oMath>
                  <w:r>
                    <w:rPr>
                      <w:color w:val="C00000"/>
                      <w:u w:val="single"/>
                      <w:lang w:eastAsia="zh-CN"/>
                    </w:rPr>
                    <w:t xml:space="preserve"> with same </w:t>
                  </w:r>
                  <m:oMath>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oMath>
                  <w:r>
                    <w:rPr>
                      <w:iCs/>
                      <w:color w:val="C00000"/>
                      <w:u w:val="single"/>
                    </w:rPr>
                    <w:t xml:space="preserve"> for PDCCH monitoring, where </w:t>
                  </w:r>
                  <m:oMath>
                    <m:nary>
                      <m:naryPr>
                        <m:chr m:val="∑"/>
                        <m:ctrlPr>
                          <w:rPr>
                            <w:rFonts w:ascii="Cambria Math" w:hAnsi="Cambria Math"/>
                            <w:color w:val="C00000"/>
                            <w:u w:val="single"/>
                            <w:lang w:eastAsia="ko-KR"/>
                          </w:rPr>
                        </m:ctrlPr>
                      </m:naryPr>
                      <m:sub>
                        <m:r>
                          <w:rPr>
                            <w:rFonts w:ascii="Cambria Math"/>
                            <w:color w:val="C00000"/>
                            <w:u w:val="single"/>
                            <w:lang w:eastAsia="ko-KR"/>
                          </w:rPr>
                          <m:t>μ</m:t>
                        </m:r>
                        <m:r>
                          <m:rPr>
                            <m:sty m:val="p"/>
                          </m:rPr>
                          <w:rPr>
                            <w:rFonts w:ascii="Cambria Math"/>
                            <w:color w:val="C00000"/>
                            <w:u w:val="single"/>
                            <w:lang w:eastAsia="ko-KR"/>
                          </w:rPr>
                          <m:t>=0</m:t>
                        </m:r>
                        <m:ctrlPr>
                          <w:rPr>
                            <w:rFonts w:ascii="Cambria Math" w:hAnsi="Cambria Math"/>
                            <w:color w:val="C00000"/>
                            <w:u w:val="single"/>
                            <w:lang w:eastAsia="ko-KR"/>
                          </w:rPr>
                        </m:ctrlPr>
                      </m:sub>
                      <m:sup>
                        <m:r>
                          <m:rPr>
                            <m:sty m:val="p"/>
                          </m:rPr>
                          <w:rPr>
                            <w:rFonts w:ascii="Cambria Math"/>
                            <w:color w:val="C00000"/>
                            <w:u w:val="single"/>
                            <w:lang w:eastAsia="ko-KR"/>
                          </w:rPr>
                          <m:t>6</m:t>
                        </m:r>
                        <m:ctrlPr>
                          <w:rPr>
                            <w:rFonts w:ascii="Cambria Math" w:hAnsi="Cambria Math"/>
                            <w:color w:val="C00000"/>
                            <w:u w:val="single"/>
                            <w:lang w:eastAsia="ko-KR"/>
                          </w:rPr>
                        </m:ctrlPr>
                      </m:sup>
                      <m:e>
                        <m:d>
                          <m:dPr>
                            <m:ctrlPr>
                              <w:rPr>
                                <w:rFonts w:ascii="Cambria Math" w:hAnsi="Cambria Math"/>
                                <w:color w:val="C00000"/>
                                <w:u w:val="single"/>
                                <w:lang w:eastAsia="ko-KR"/>
                              </w:rPr>
                            </m:ctrlPr>
                          </m:dPr>
                          <m:e>
                            <m:sSubSup>
                              <m:sSubSupPr>
                                <m:ctrlPr>
                                  <w:rPr>
                                    <w:rFonts w:ascii="Cambria Math" w:hAnsi="Cambria Math"/>
                                    <w:color w:val="C00000"/>
                                    <w:u w:val="single"/>
                                    <w:lang w:eastAsia="ko-KR"/>
                                  </w:rPr>
                                </m:ctrlPr>
                              </m:sSubSupPr>
                              <m:e>
                                <m:r>
                                  <w:rPr>
                                    <w:rFonts w:ascii="Cambria Math"/>
                                    <w:color w:val="C00000"/>
                                    <w:u w:val="single"/>
                                    <w:lang w:eastAsia="ko-KR"/>
                                  </w:rPr>
                                  <m:t>N</m:t>
                                </m:r>
                                <m:ctrlPr>
                                  <w:rPr>
                                    <w:rFonts w:ascii="Cambria Math" w:hAnsi="Cambria Math"/>
                                    <w:color w:val="C00000"/>
                                    <w:u w:val="single"/>
                                    <w:lang w:eastAsia="ko-KR"/>
                                  </w:rPr>
                                </m:ctrlPr>
                              </m:e>
                              <m:sub>
                                <m:r>
                                  <m:rPr>
                                    <m:nor/>
                                    <m:sty m:val="p"/>
                                  </m:rPr>
                                  <w:rPr>
                                    <w:color w:val="C00000"/>
                                    <w:u w:val="single"/>
                                    <w:lang w:eastAsia="ko-KR"/>
                                  </w:rPr>
                                  <m:t>cells,0</m:t>
                                </m:r>
                                <m:ctrlPr>
                                  <w:rPr>
                                    <w:rFonts w:ascii="Cambria Math" w:hAnsi="Cambria Math"/>
                                    <w:color w:val="C00000"/>
                                    <w:u w:val="single"/>
                                    <w:lang w:eastAsia="ko-KR"/>
                                  </w:rPr>
                                </m:ctrlPr>
                              </m:sub>
                              <m:sup>
                                <m:r>
                                  <m:rPr>
                                    <m:nor/>
                                    <m:sty m:val="p"/>
                                  </m:rPr>
                                  <w:rPr>
                                    <w:color w:val="C00000"/>
                                    <w:u w:val="single"/>
                                    <w:lang w:eastAsia="ko-KR"/>
                                  </w:rPr>
                                  <m:t>DL,</m:t>
                                </m:r>
                                <m:r>
                                  <w:rPr>
                                    <w:rFonts w:ascii="Cambria Math"/>
                                    <w:color w:val="C00000"/>
                                    <w:u w:val="single"/>
                                    <w:lang w:eastAsia="ko-KR"/>
                                  </w:rPr>
                                  <m:t>μ</m:t>
                                </m:r>
                                <m:ctrlPr>
                                  <w:rPr>
                                    <w:rFonts w:ascii="Cambria Math" w:hAnsi="Cambria Math"/>
                                    <w:color w:val="C00000"/>
                                    <w:u w:val="single"/>
                                    <w:lang w:eastAsia="ko-KR"/>
                                  </w:rPr>
                                </m:ctrlPr>
                              </m:sup>
                            </m:sSubSup>
                            <m:r>
                              <m:rPr>
                                <m:sty m:val="p"/>
                              </m:rPr>
                              <w:rPr>
                                <w:rFonts w:ascii="Cambria Math" w:hAnsi="Cambria Math"/>
                                <w:color w:val="C00000"/>
                                <w:u w:val="single"/>
                                <w:lang w:eastAsia="ko-KR"/>
                              </w:rPr>
                              <m:t>+</m:t>
                            </m:r>
                            <m:r>
                              <w:rPr>
                                <w:rFonts w:ascii="Cambria Math" w:hAnsi="Cambria Math"/>
                                <w:color w:val="C00000"/>
                                <w:u w:val="single"/>
                                <w:lang w:eastAsia="ko-KR"/>
                              </w:rPr>
                              <m:t>γ</m:t>
                            </m:r>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ctrlPr>
                                  <w:rPr>
                                    <w:rFonts w:ascii="Cambria Math" w:hAnsi="Cambria Math"/>
                                    <w:color w:val="C00000"/>
                                    <w:u w:val="single"/>
                                    <w:lang w:eastAsia="ko-KR"/>
                                  </w:rPr>
                                </m:ctrlPr>
                              </m:e>
                              <m:sub>
                                <m:r>
                                  <m:rPr>
                                    <m:nor/>
                                    <m:sty m:val="p"/>
                                  </m:rPr>
                                  <w:rPr>
                                    <w:color w:val="C00000"/>
                                    <w:u w:val="single"/>
                                    <w:lang w:eastAsia="ko-KR"/>
                                  </w:rPr>
                                  <m:t>cells,1</m:t>
                                </m:r>
                                <m:ctrlPr>
                                  <w:rPr>
                                    <w:rFonts w:ascii="Cambria Math" w:hAnsi="Cambria Math"/>
                                    <w:color w:val="C00000"/>
                                    <w:u w:val="single"/>
                                    <w:lang w:eastAsia="ko-KR"/>
                                  </w:rPr>
                                </m:ctrlPr>
                              </m:sub>
                              <m:sup>
                                <m:r>
                                  <m:rPr>
                                    <m:nor/>
                                    <m:sty m:val="p"/>
                                  </m:rPr>
                                  <w:rPr>
                                    <w:color w:val="C00000"/>
                                    <w:u w:val="single"/>
                                    <w:lang w:eastAsia="ko-KR"/>
                                  </w:rPr>
                                  <m:t>DL,</m:t>
                                </m:r>
                                <m:r>
                                  <w:rPr>
                                    <w:rFonts w:ascii="Cambria Math"/>
                                    <w:color w:val="C00000"/>
                                    <w:u w:val="single"/>
                                    <w:lang w:eastAsia="ko-KR"/>
                                  </w:rPr>
                                  <m:t>μ</m:t>
                                </m:r>
                                <m:ctrlPr>
                                  <w:rPr>
                                    <w:rFonts w:ascii="Cambria Math" w:hAnsi="Cambria Math"/>
                                    <w:color w:val="C00000"/>
                                    <w:u w:val="single"/>
                                    <w:lang w:eastAsia="ko-KR"/>
                                  </w:rPr>
                                </m:ctrlPr>
                              </m:sup>
                            </m:sSubSup>
                            <m:ctrlPr>
                              <w:rPr>
                                <w:rFonts w:ascii="Cambria Math" w:hAnsi="Cambria Math"/>
                                <w:color w:val="C00000"/>
                                <w:u w:val="single"/>
                                <w:lang w:eastAsia="ko-KR"/>
                              </w:rPr>
                            </m:ctrlPr>
                          </m:e>
                        </m:d>
                        <m:ctrlPr>
                          <w:rPr>
                            <w:rFonts w:ascii="Cambria Math" w:hAnsi="Cambria Math"/>
                            <w:color w:val="C00000"/>
                            <w:u w:val="single"/>
                            <w:lang w:eastAsia="ko-KR"/>
                          </w:rPr>
                        </m:ctrlPr>
                      </m:e>
                    </m:nary>
                    <m:r>
                      <m:rPr>
                        <m:sty m:val="p"/>
                      </m:rPr>
                      <w:rPr>
                        <w:rFonts w:ascii="Cambria Math" w:hAnsi="Cambria Math"/>
                        <w:color w:val="C00000"/>
                        <w:u w:val="single"/>
                      </w:rPr>
                      <m:t>≤</m:t>
                    </m:r>
                    <m:sSubSup>
                      <m:sSubSupPr>
                        <m:ctrlPr>
                          <w:rPr>
                            <w:rFonts w:ascii="Cambria Math" w:hAnsi="Calibri" w:cs="Calibri"/>
                            <w:i/>
                            <w:color w:val="C00000"/>
                            <w:u w:val="single"/>
                          </w:rPr>
                        </m:ctrlPr>
                      </m:sSubSupPr>
                      <m:e>
                        <m:r>
                          <w:rPr>
                            <w:rFonts w:ascii="Cambria Math" w:hAnsi="Calibri" w:cs="Calibri"/>
                            <w:color w:val="C00000"/>
                            <w:u w:val="single"/>
                          </w:rPr>
                          <m:t>N</m:t>
                        </m:r>
                        <m:ctrlPr>
                          <w:rPr>
                            <w:rFonts w:ascii="Cambria Math" w:hAnsi="Calibri" w:cs="Calibri"/>
                            <w:i/>
                            <w:color w:val="C00000"/>
                            <w:u w:val="single"/>
                          </w:rPr>
                        </m:ctrlPr>
                      </m:e>
                      <m:sub>
                        <m:r>
                          <m:rPr>
                            <m:nor/>
                            <m:sty m:val="p"/>
                          </m:rPr>
                          <w:rPr>
                            <w:rFonts w:ascii="Cambria Math" w:hAnsi="Calibri" w:cs="Calibri"/>
                            <w:color w:val="C00000"/>
                            <w:u w:val="single"/>
                          </w:rPr>
                          <m:t>cells</m:t>
                        </m:r>
                        <m:ctrlPr>
                          <w:rPr>
                            <w:rFonts w:ascii="Cambria Math" w:hAnsi="Calibri" w:cs="Calibri"/>
                            <w:color w:val="C00000"/>
                            <w:u w:val="single"/>
                          </w:rPr>
                        </m:ctrlPr>
                      </m:sub>
                      <m:sup>
                        <m:r>
                          <m:rPr>
                            <m:nor/>
                            <m:sty m:val="p"/>
                          </m:rPr>
                          <w:rPr>
                            <w:rFonts w:ascii="Cambria Math" w:hAnsi="Calibri" w:cs="Calibri"/>
                            <w:color w:val="C00000"/>
                            <w:u w:val="single"/>
                          </w:rPr>
                          <m:t>cap</m:t>
                        </m:r>
                        <m:ctrlPr>
                          <w:rPr>
                            <w:rFonts w:ascii="Cambria Math" w:hAnsi="Calibri" w:cs="Calibri"/>
                            <w:color w:val="C00000"/>
                            <w:u w:val="single"/>
                          </w:rPr>
                        </m:ctrlPr>
                      </m:sup>
                    </m:sSubSup>
                  </m:oMath>
                  <w:r>
                    <w:rPr>
                      <w:color w:val="C00000"/>
                      <w:u w:val="single"/>
                    </w:rPr>
                    <w:t>,</w:t>
                  </w:r>
                  <w:r>
                    <w:rPr>
                      <w:color w:val="C00000"/>
                      <w:u w:val="single"/>
                      <w:lang w:eastAsia="zh-CN"/>
                    </w:rPr>
                    <w:t xml:space="preserve"> </w:t>
                  </w:r>
                  <w:r>
                    <w:rPr>
                      <w:color w:val="C00000"/>
                      <w:u w:val="single"/>
                      <w:lang w:eastAsia="ko-KR"/>
                    </w:rPr>
                    <w:t xml:space="preserve">the UE is not required to monitor, per </w:t>
                  </w:r>
                  <w:r>
                    <w:rPr>
                      <w:color w:val="C00000"/>
                      <w:u w:val="single"/>
                    </w:rPr>
                    <w:t xml:space="preserve">a group of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ctrlPr>
                          <w:rPr>
                            <w:rFonts w:ascii="Cambria Math" w:hAnsi="Cambria Math"/>
                            <w:i/>
                            <w:color w:val="C00000"/>
                            <w:u w:val="single"/>
                            <w:lang w:eastAsia="zh-CN"/>
                          </w:rPr>
                        </m:ctrlPr>
                      </m:e>
                      <m:sub>
                        <m:r>
                          <w:rPr>
                            <w:rFonts w:ascii="Cambria Math" w:hAnsi="Cambria Math"/>
                            <w:color w:val="C00000"/>
                            <w:u w:val="single"/>
                            <w:lang w:eastAsia="zh-CN"/>
                          </w:rPr>
                          <m:t>s</m:t>
                        </m:r>
                        <m:ctrlPr>
                          <w:rPr>
                            <w:rFonts w:ascii="Cambria Math" w:hAnsi="Cambria Math"/>
                            <w:i/>
                            <w:color w:val="C00000"/>
                            <w:u w:val="single"/>
                            <w:lang w:eastAsia="zh-CN"/>
                          </w:rPr>
                        </m:ctrlPr>
                      </m:sub>
                    </m:sSub>
                  </m:oMath>
                  <w:r>
                    <w:rPr>
                      <w:color w:val="C00000"/>
                      <w:u w:val="single"/>
                      <w:lang w:eastAsia="zh-CN"/>
                    </w:rPr>
                    <w:t xml:space="preserve"> </w:t>
                  </w:r>
                  <w:r>
                    <w:rPr>
                      <w:color w:val="C00000"/>
                      <w:u w:val="single"/>
                    </w:rPr>
                    <w:t>slots</w:t>
                  </w:r>
                  <w:r>
                    <w:rPr>
                      <w:color w:val="C00000"/>
                      <w:u w:val="single"/>
                      <w:lang w:eastAsia="ko-KR"/>
                    </w:rPr>
                    <w:t xml:space="preserve"> on the active DL BWPs of the scheduling cells,</w:t>
                  </w:r>
                </w:p>
                <w:p>
                  <w:pPr>
                    <w:pStyle w:val="103"/>
                    <w:widowControl w:val="0"/>
                    <w:rPr>
                      <w:color w:val="C00000"/>
                      <w:u w:val="single"/>
                    </w:rPr>
                  </w:pPr>
                  <w:r>
                    <w:rPr>
                      <w:color w:val="C00000"/>
                      <w:u w:val="single"/>
                      <w:lang w:eastAsia="ko-KR"/>
                    </w:rPr>
                    <w:t>-</w:t>
                  </w:r>
                  <w:r>
                    <w:rPr>
                      <w:color w:val="C00000"/>
                      <w:u w:val="single"/>
                      <w:lang w:eastAsia="ko-KR"/>
                    </w:rPr>
                    <w:tab/>
                  </w:r>
                  <w:r>
                    <w:rPr>
                      <w:color w:val="C00000"/>
                      <w:u w:val="single"/>
                      <w:lang w:eastAsia="ko-KR"/>
                    </w:rPr>
                    <w:t xml:space="preserve">more than </w:t>
                  </w:r>
                  <m:oMath>
                    <m:sSubSup>
                      <m:sSubSupPr>
                        <m:ctrlPr>
                          <w:rPr>
                            <w:rFonts w:ascii="Cambria Math" w:hAnsi="Cambria Math"/>
                            <w:i/>
                            <w:color w:val="C00000"/>
                            <w:u w:val="single"/>
                          </w:rPr>
                        </m:ctrlPr>
                      </m:sSubSupPr>
                      <m:e>
                        <m:r>
                          <w:rPr>
                            <w:rFonts w:ascii="Cambria Math"/>
                            <w:color w:val="C00000"/>
                            <w:u w:val="single"/>
                          </w:rPr>
                          <m:t>M</m:t>
                        </m:r>
                        <m:ctrlPr>
                          <w:rPr>
                            <w:rFonts w:ascii="Cambria Math" w:hAnsi="Cambria Math"/>
                            <w:i/>
                            <w:color w:val="C00000"/>
                            <w:u w:val="single"/>
                          </w:rPr>
                        </m:ctrlPr>
                      </m:e>
                      <m:sub>
                        <m:r>
                          <m:rPr>
                            <m:nor/>
                            <m:sty m:val="p"/>
                          </m:rPr>
                          <w:rPr>
                            <w:rFonts w:ascii="Cambria Math"/>
                            <w:color w:val="C00000"/>
                            <w:u w:val="single"/>
                          </w:rPr>
                          <m:t>PDCCH</m:t>
                        </m:r>
                        <m:ctrlPr>
                          <w:rPr>
                            <w:rFonts w:ascii="Cambria Math" w:hAnsi="Cambria Math"/>
                            <w:color w:val="C00000"/>
                            <w:u w:val="single"/>
                          </w:rPr>
                        </m:ctrlPr>
                      </m:sub>
                      <m:sup>
                        <m:r>
                          <m:rPr>
                            <m:nor/>
                            <m:sty m:val="p"/>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sz w:val="21"/>
                            <w:szCs w:val="21"/>
                            <w:u w:val="single"/>
                          </w:rPr>
                          <m:t>)</m:t>
                        </m:r>
                        <m:r>
                          <m:rPr>
                            <m:nor/>
                            <m:sty m:val="p"/>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sSubSup>
                      <m:sSubSupPr>
                        <m:ctrlPr>
                          <w:rPr>
                            <w:rFonts w:ascii="Cambria Math" w:hAnsi="Cambria Math"/>
                            <w:i/>
                            <w:color w:val="C00000"/>
                            <w:u w:val="single"/>
                          </w:rPr>
                        </m:ctrlPr>
                      </m:sSubSupPr>
                      <m:e>
                        <m:r>
                          <w:rPr>
                            <w:rFonts w:ascii="Cambria Math"/>
                            <w:color w:val="C00000"/>
                            <w:u w:val="single"/>
                          </w:rPr>
                          <m:t>M</m:t>
                        </m:r>
                        <m:ctrlPr>
                          <w:rPr>
                            <w:rFonts w:ascii="Cambria Math" w:hAnsi="Cambria Math"/>
                            <w:i/>
                            <w:color w:val="C00000"/>
                            <w:u w:val="single"/>
                          </w:rPr>
                        </m:ctrlPr>
                      </m:e>
                      <m:sub>
                        <m:r>
                          <m:rPr>
                            <m:nor/>
                            <m:sty m:val="p"/>
                          </m:rPr>
                          <w:rPr>
                            <w:rFonts w:ascii="Cambria Math"/>
                            <w:color w:val="C00000"/>
                            <w:u w:val="single"/>
                          </w:rPr>
                          <m:t>PDCCH</m:t>
                        </m:r>
                        <m:ctrlPr>
                          <w:rPr>
                            <w:rFonts w:ascii="Cambria Math" w:hAnsi="Cambria Math"/>
                            <w:color w:val="C00000"/>
                            <w:u w:val="single"/>
                          </w:rPr>
                        </m:ctrlPr>
                      </m:sub>
                      <m:sup>
                        <m:r>
                          <m:rPr>
                            <m:nor/>
                            <m:sty m:val="p"/>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sz w:val="21"/>
                            <w:szCs w:val="21"/>
                            <w:u w:val="single"/>
                          </w:rPr>
                          <m:t>)</m:t>
                        </m:r>
                        <m:r>
                          <m:rPr>
                            <m:nor/>
                            <m:sty m:val="p"/>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color w:val="C00000"/>
                            <w:u w:val="single"/>
                          </w:rPr>
                          <m:t>C</m:t>
                        </m:r>
                        <m:ctrlPr>
                          <w:rPr>
                            <w:rFonts w:ascii="Cambria Math" w:hAnsi="Cambria Math"/>
                            <w:i/>
                            <w:color w:val="C00000"/>
                            <w:u w:val="single"/>
                          </w:rPr>
                        </m:ctrlPr>
                      </m:e>
                      <m:sub>
                        <m:r>
                          <m:rPr>
                            <m:nor/>
                            <m:sty m:val="p"/>
                          </m:rPr>
                          <w:rPr>
                            <w:rFonts w:ascii="Cambria Math"/>
                            <w:color w:val="C00000"/>
                            <w:u w:val="single"/>
                          </w:rPr>
                          <m:t>PDCCH</m:t>
                        </m:r>
                        <m:ctrlPr>
                          <w:rPr>
                            <w:rFonts w:ascii="Cambria Math" w:hAnsi="Cambria Math"/>
                            <w:color w:val="C00000"/>
                            <w:u w:val="single"/>
                          </w:rPr>
                        </m:ctrlPr>
                      </m:sub>
                      <m:sup>
                        <m:r>
                          <m:rPr>
                            <m:nor/>
                            <m:sty m:val="p"/>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sz w:val="21"/>
                            <w:szCs w:val="21"/>
                            <w:u w:val="single"/>
                          </w:rPr>
                          <m:t>)</m:t>
                        </m:r>
                        <m:r>
                          <m:rPr>
                            <m:nor/>
                            <m:sty m:val="p"/>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sSubSup>
                      <m:sSubSupPr>
                        <m:ctrlPr>
                          <w:rPr>
                            <w:rFonts w:ascii="Cambria Math" w:hAnsi="Cambria Math"/>
                            <w:i/>
                            <w:color w:val="C00000"/>
                            <w:u w:val="single"/>
                          </w:rPr>
                        </m:ctrlPr>
                      </m:sSubSupPr>
                      <m:e>
                        <m:r>
                          <w:rPr>
                            <w:rFonts w:ascii="Cambria Math"/>
                            <w:color w:val="C00000"/>
                            <w:u w:val="single"/>
                          </w:rPr>
                          <m:t>C</m:t>
                        </m:r>
                        <m:ctrlPr>
                          <w:rPr>
                            <w:rFonts w:ascii="Cambria Math" w:hAnsi="Cambria Math"/>
                            <w:i/>
                            <w:color w:val="C00000"/>
                            <w:u w:val="single"/>
                          </w:rPr>
                        </m:ctrlPr>
                      </m:e>
                      <m:sub>
                        <m:r>
                          <m:rPr>
                            <m:nor/>
                            <m:sty m:val="p"/>
                          </m:rPr>
                          <w:rPr>
                            <w:rFonts w:ascii="Cambria Math"/>
                            <w:color w:val="C00000"/>
                            <w:u w:val="single"/>
                          </w:rPr>
                          <m:t>PDCCH</m:t>
                        </m:r>
                        <m:ctrlPr>
                          <w:rPr>
                            <w:rFonts w:ascii="Cambria Math" w:hAnsi="Cambria Math"/>
                            <w:color w:val="C00000"/>
                            <w:u w:val="single"/>
                          </w:rPr>
                        </m:ctrlPr>
                      </m:sub>
                      <m:sup>
                        <m:r>
                          <m:rPr>
                            <m:nor/>
                            <m:sty m:val="p"/>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sz w:val="21"/>
                            <w:szCs w:val="21"/>
                            <w:u w:val="single"/>
                          </w:rPr>
                          <m:t>)</m:t>
                        </m:r>
                        <m:r>
                          <m:rPr>
                            <m:nor/>
                            <m:sty m:val="p"/>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non-overlapped CCEs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ctrlPr>
                          <w:rPr>
                            <w:rFonts w:ascii="Cambria Math" w:hAnsi="Cambria Math"/>
                            <w:color w:val="C00000"/>
                            <w:u w:val="single"/>
                            <w:lang w:eastAsia="ko-KR"/>
                          </w:rPr>
                        </m:ctrlPr>
                      </m:e>
                      <m:sub>
                        <m:r>
                          <m:rPr>
                            <m:nor/>
                            <m:sty m:val="p"/>
                          </m:rPr>
                          <w:rPr>
                            <w:color w:val="C00000"/>
                            <w:u w:val="single"/>
                            <w:lang w:eastAsia="ko-KR"/>
                          </w:rPr>
                          <m:t>cells,0</m:t>
                        </m:r>
                        <m:ctrlPr>
                          <w:rPr>
                            <w:rFonts w:ascii="Cambria Math" w:hAnsi="Cambria Math"/>
                            <w:color w:val="C00000"/>
                            <w:u w:val="single"/>
                            <w:lang w:eastAsia="ko-KR"/>
                          </w:rPr>
                        </m:ctrlPr>
                      </m:sub>
                      <m:sup>
                        <m:r>
                          <m:rPr>
                            <m:nor/>
                            <m:sty m:val="p"/>
                          </m:rPr>
                          <w:rPr>
                            <w:color w:val="C00000"/>
                            <w:u w:val="single"/>
                            <w:lang w:eastAsia="ko-KR"/>
                          </w:rPr>
                          <m:t>DL</m:t>
                        </m:r>
                        <m:r>
                          <m:rPr>
                            <m:nor/>
                            <m:sty m:val="p"/>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sz w:val="21"/>
                            <w:szCs w:val="21"/>
                            <w:u w:val="single"/>
                          </w:rPr>
                          <m:t>)</m:t>
                        </m:r>
                        <m:r>
                          <m:rPr>
                            <m:nor/>
                            <m:sty m:val="p"/>
                          </m:rPr>
                          <w:rPr>
                            <w:color w:val="C00000"/>
                            <w:u w:val="single"/>
                            <w:lang w:eastAsia="ko-KR"/>
                          </w:rPr>
                          <m:t>,</m:t>
                        </m:r>
                        <m:r>
                          <w:rPr>
                            <w:rFonts w:ascii="Cambria Math"/>
                            <w:color w:val="C00000"/>
                            <w:u w:val="single"/>
                            <w:lang w:eastAsia="ko-KR"/>
                          </w:rPr>
                          <m:t>μ</m:t>
                        </m:r>
                        <m:ctrlPr>
                          <w:rPr>
                            <w:rFonts w:ascii="Cambria Math" w:hAnsi="Cambria Math"/>
                            <w:color w:val="C00000"/>
                            <w:u w:val="single"/>
                            <w:lang w:eastAsia="ko-KR"/>
                          </w:rPr>
                        </m:ctrlPr>
                      </m:sup>
                    </m:sSubSup>
                  </m:oMath>
                  <w:r>
                    <w:rPr>
                      <w:color w:val="C00000"/>
                      <w:u w:val="single"/>
                    </w:rPr>
                    <w:t xml:space="preserve"> downlink cells, or</w:t>
                  </w:r>
                </w:p>
                <w:p>
                  <w:pPr>
                    <w:pStyle w:val="103"/>
                    <w:widowControl w:val="0"/>
                    <w:rPr>
                      <w:color w:val="C00000"/>
                      <w:u w:val="single"/>
                    </w:rPr>
                  </w:pPr>
                  <w:r>
                    <w:rPr>
                      <w:color w:val="C00000"/>
                      <w:u w:val="single"/>
                      <w:lang w:eastAsia="ko-KR"/>
                    </w:rPr>
                    <w:t>-</w:t>
                  </w:r>
                  <w:r>
                    <w:rPr>
                      <w:color w:val="C00000"/>
                      <w:u w:val="single"/>
                      <w:lang w:eastAsia="ko-KR"/>
                    </w:rPr>
                    <w:tab/>
                  </w:r>
                  <w:r>
                    <w:rPr>
                      <w:color w:val="C00000"/>
                      <w:u w:val="single"/>
                      <w:lang w:eastAsia="ko-KR"/>
                    </w:rPr>
                    <w:t xml:space="preserve">more than </w:t>
                  </w:r>
                  <m:oMath>
                    <m:sSubSup>
                      <m:sSubSupPr>
                        <m:ctrlPr>
                          <w:rPr>
                            <w:rFonts w:ascii="Cambria Math" w:hAnsi="Cambria Math"/>
                            <w:i/>
                            <w:color w:val="C00000"/>
                            <w:u w:val="single"/>
                          </w:rPr>
                        </m:ctrlPr>
                      </m:sSubSupPr>
                      <m:e>
                        <m:r>
                          <w:rPr>
                            <w:rFonts w:ascii="Cambria Math"/>
                            <w:color w:val="C00000"/>
                            <w:u w:val="single"/>
                          </w:rPr>
                          <m:t>M</m:t>
                        </m:r>
                        <m:ctrlPr>
                          <w:rPr>
                            <w:rFonts w:ascii="Cambria Math" w:hAnsi="Cambria Math"/>
                            <w:i/>
                            <w:color w:val="C00000"/>
                            <w:u w:val="single"/>
                          </w:rPr>
                        </m:ctrlPr>
                      </m:e>
                      <m:sub>
                        <m:r>
                          <m:rPr>
                            <m:nor/>
                            <m:sty m:val="p"/>
                          </m:rPr>
                          <w:rPr>
                            <w:rFonts w:ascii="Cambria Math"/>
                            <w:color w:val="C00000"/>
                            <w:u w:val="single"/>
                          </w:rPr>
                          <m:t>PDCCH</m:t>
                        </m:r>
                        <m:ctrlPr>
                          <w:rPr>
                            <w:rFonts w:ascii="Cambria Math" w:hAnsi="Cambria Math"/>
                            <w:color w:val="C00000"/>
                            <w:u w:val="single"/>
                          </w:rPr>
                        </m:ctrlPr>
                      </m:sub>
                      <m:sup>
                        <m:r>
                          <m:rPr>
                            <m:nor/>
                            <m:sty m:val="p"/>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sz w:val="21"/>
                            <w:szCs w:val="21"/>
                            <w:u w:val="single"/>
                          </w:rPr>
                          <m:t>)</m:t>
                        </m:r>
                        <m:r>
                          <m:rPr>
                            <m:nor/>
                            <m:sty m:val="p"/>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r>
                      <w:rPr>
                        <w:rFonts w:ascii="Cambria Math" w:hAnsi="Cambria Math" w:cstheme="minorHAnsi"/>
                        <w:color w:val="C00000"/>
                        <w:u w:val="single"/>
                      </w:rPr>
                      <m:t>γ</m:t>
                    </m:r>
                    <m:r>
                      <w:rPr>
                        <w:rFonts w:ascii="Cambria Math" w:hAnsi="Cambria Math"/>
                        <w:color w:val="C00000"/>
                        <w:u w:val="single"/>
                      </w:rPr>
                      <m:t>∙</m:t>
                    </m:r>
                    <m:sSubSup>
                      <m:sSubSupPr>
                        <m:ctrlPr>
                          <w:rPr>
                            <w:rFonts w:ascii="Cambria Math" w:hAnsi="Cambria Math"/>
                            <w:i/>
                            <w:color w:val="C00000"/>
                            <w:u w:val="single"/>
                          </w:rPr>
                        </m:ctrlPr>
                      </m:sSubSupPr>
                      <m:e>
                        <m:r>
                          <w:rPr>
                            <w:rFonts w:ascii="Cambria Math"/>
                            <w:color w:val="C00000"/>
                            <w:u w:val="single"/>
                          </w:rPr>
                          <m:t>M</m:t>
                        </m:r>
                        <m:ctrlPr>
                          <w:rPr>
                            <w:rFonts w:ascii="Cambria Math" w:hAnsi="Cambria Math"/>
                            <w:i/>
                            <w:color w:val="C00000"/>
                            <w:u w:val="single"/>
                          </w:rPr>
                        </m:ctrlPr>
                      </m:e>
                      <m:sub>
                        <m:r>
                          <m:rPr>
                            <m:nor/>
                            <m:sty m:val="p"/>
                          </m:rPr>
                          <w:rPr>
                            <w:rFonts w:ascii="Cambria Math"/>
                            <w:color w:val="C00000"/>
                            <w:u w:val="single"/>
                          </w:rPr>
                          <m:t>PDCCH</m:t>
                        </m:r>
                        <m:ctrlPr>
                          <w:rPr>
                            <w:rFonts w:ascii="Cambria Math" w:hAnsi="Cambria Math"/>
                            <w:color w:val="C00000"/>
                            <w:u w:val="single"/>
                          </w:rPr>
                        </m:ctrlPr>
                      </m:sub>
                      <m:sup>
                        <m:r>
                          <m:rPr>
                            <m:nor/>
                            <m:sty m:val="p"/>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sz w:val="21"/>
                            <w:szCs w:val="21"/>
                            <w:u w:val="single"/>
                          </w:rPr>
                          <m:t>)</m:t>
                        </m:r>
                        <m:r>
                          <m:rPr>
                            <m:nor/>
                            <m:sty m:val="p"/>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color w:val="C00000"/>
                            <w:u w:val="single"/>
                          </w:rPr>
                          <m:t>C</m:t>
                        </m:r>
                        <m:ctrlPr>
                          <w:rPr>
                            <w:rFonts w:ascii="Cambria Math" w:hAnsi="Cambria Math"/>
                            <w:i/>
                            <w:color w:val="C00000"/>
                            <w:u w:val="single"/>
                          </w:rPr>
                        </m:ctrlPr>
                      </m:e>
                      <m:sub>
                        <m:r>
                          <m:rPr>
                            <m:nor/>
                            <m:sty m:val="p"/>
                          </m:rPr>
                          <w:rPr>
                            <w:rFonts w:ascii="Cambria Math"/>
                            <w:color w:val="C00000"/>
                            <w:u w:val="single"/>
                          </w:rPr>
                          <m:t>PDCCH</m:t>
                        </m:r>
                        <m:ctrlPr>
                          <w:rPr>
                            <w:rFonts w:ascii="Cambria Math" w:hAnsi="Cambria Math"/>
                            <w:color w:val="C00000"/>
                            <w:u w:val="single"/>
                          </w:rPr>
                        </m:ctrlPr>
                      </m:sub>
                      <m:sup>
                        <m:r>
                          <m:rPr>
                            <m:nor/>
                            <m:sty m:val="p"/>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sz w:val="21"/>
                            <w:szCs w:val="21"/>
                            <w:u w:val="single"/>
                          </w:rPr>
                          <m:t>)</m:t>
                        </m:r>
                        <m:r>
                          <m:rPr>
                            <m:nor/>
                            <m:sty m:val="p"/>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r>
                      <w:rPr>
                        <w:rFonts w:ascii="Cambria Math" w:hAnsi="Cambria Math" w:cstheme="minorHAnsi"/>
                        <w:color w:val="C00000"/>
                        <w:u w:val="single"/>
                      </w:rPr>
                      <m:t>γ</m:t>
                    </m:r>
                    <m:r>
                      <w:rPr>
                        <w:rFonts w:ascii="Cambria Math" w:hAnsi="Cambria Math"/>
                        <w:color w:val="C00000"/>
                        <w:u w:val="single"/>
                      </w:rPr>
                      <m:t>∙</m:t>
                    </m:r>
                    <m:sSubSup>
                      <m:sSubSupPr>
                        <m:ctrlPr>
                          <w:rPr>
                            <w:rFonts w:ascii="Cambria Math" w:hAnsi="Cambria Math"/>
                            <w:i/>
                            <w:color w:val="C00000"/>
                            <w:u w:val="single"/>
                          </w:rPr>
                        </m:ctrlPr>
                      </m:sSubSupPr>
                      <m:e>
                        <m:r>
                          <w:rPr>
                            <w:rFonts w:ascii="Cambria Math"/>
                            <w:color w:val="C00000"/>
                            <w:u w:val="single"/>
                          </w:rPr>
                          <m:t>C</m:t>
                        </m:r>
                        <m:ctrlPr>
                          <w:rPr>
                            <w:rFonts w:ascii="Cambria Math" w:hAnsi="Cambria Math"/>
                            <w:i/>
                            <w:color w:val="C00000"/>
                            <w:u w:val="single"/>
                          </w:rPr>
                        </m:ctrlPr>
                      </m:e>
                      <m:sub>
                        <m:r>
                          <m:rPr>
                            <m:nor/>
                            <m:sty m:val="p"/>
                          </m:rPr>
                          <w:rPr>
                            <w:rFonts w:ascii="Cambria Math"/>
                            <w:color w:val="C00000"/>
                            <w:u w:val="single"/>
                          </w:rPr>
                          <m:t>PDCCH</m:t>
                        </m:r>
                        <m:ctrlPr>
                          <w:rPr>
                            <w:rFonts w:ascii="Cambria Math" w:hAnsi="Cambria Math"/>
                            <w:color w:val="C00000"/>
                            <w:u w:val="single"/>
                          </w:rPr>
                        </m:ctrlPr>
                      </m:sub>
                      <m:sup>
                        <m:r>
                          <m:rPr>
                            <m:nor/>
                            <m:sty m:val="p"/>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sz w:val="21"/>
                            <w:szCs w:val="21"/>
                            <w:u w:val="single"/>
                          </w:rPr>
                          <m:t>)</m:t>
                        </m:r>
                        <m:r>
                          <m:rPr>
                            <m:nor/>
                            <m:sty m:val="p"/>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non-overlapped CCEs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ctrlPr>
                          <w:rPr>
                            <w:rFonts w:ascii="Cambria Math" w:hAnsi="Cambria Math"/>
                            <w:color w:val="C00000"/>
                            <w:u w:val="single"/>
                            <w:lang w:eastAsia="ko-KR"/>
                          </w:rPr>
                        </m:ctrlPr>
                      </m:e>
                      <m:sub>
                        <m:r>
                          <m:rPr>
                            <m:sty m:val="p"/>
                          </m:rPr>
                          <w:rPr>
                            <w:rFonts w:ascii="Cambria Math" w:hAnsi="Cambria Math"/>
                            <w:color w:val="C00000"/>
                            <w:u w:val="single"/>
                            <w:lang w:eastAsia="ko-KR"/>
                          </w:rPr>
                          <m:t>cells,1</m:t>
                        </m:r>
                        <m:ctrlPr>
                          <w:rPr>
                            <w:rFonts w:ascii="Cambria Math" w:hAnsi="Cambria Math"/>
                            <w:color w:val="C00000"/>
                            <w:u w:val="single"/>
                            <w:lang w:eastAsia="ko-KR"/>
                          </w:rPr>
                        </m:ctrlPr>
                      </m:sub>
                      <m:sup>
                        <m:r>
                          <m:rPr>
                            <m:sty m:val="p"/>
                          </m:rPr>
                          <w:rPr>
                            <w:rFonts w:ascii="Cambria Math" w:hAnsi="Cambria Math"/>
                            <w:color w:val="C00000"/>
                            <w:u w:val="single"/>
                            <w:lang w:eastAsia="ko-KR"/>
                          </w:rPr>
                          <m:t>DL</m:t>
                        </m:r>
                        <m:r>
                          <m:rPr>
                            <m:sty m:val="p"/>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sz w:val="21"/>
                            <w:szCs w:val="21"/>
                            <w:u w:val="single"/>
                          </w:rPr>
                          <m:t>)</m:t>
                        </m:r>
                        <m:r>
                          <m:rPr>
                            <m:sty m:val="p"/>
                          </m:rPr>
                          <w:rPr>
                            <w:rFonts w:ascii="Cambria Math" w:hAnsi="Cambria Math"/>
                            <w:color w:val="C00000"/>
                            <w:u w:val="single"/>
                            <w:lang w:eastAsia="ko-KR"/>
                          </w:rPr>
                          <m:t>,</m:t>
                        </m:r>
                        <m:r>
                          <w:rPr>
                            <w:rFonts w:ascii="Cambria Math"/>
                            <w:color w:val="C00000"/>
                            <w:u w:val="single"/>
                            <w:lang w:eastAsia="ko-KR"/>
                          </w:rPr>
                          <m:t>μ</m:t>
                        </m:r>
                        <m:ctrlPr>
                          <w:rPr>
                            <w:rFonts w:ascii="Cambria Math" w:hAnsi="Cambria Math"/>
                            <w:color w:val="C00000"/>
                            <w:u w:val="single"/>
                            <w:lang w:eastAsia="ko-KR"/>
                          </w:rPr>
                        </m:ctrlPr>
                      </m:sup>
                    </m:sSubSup>
                    <m:r>
                      <m:rPr>
                        <m:sty m:val="p"/>
                      </m:rPr>
                      <w:rPr>
                        <w:rFonts w:ascii="Cambria Math" w:hAnsi="Cambria Math"/>
                        <w:color w:val="C00000"/>
                        <w:u w:val="single"/>
                      </w:rPr>
                      <m:t xml:space="preserve"> </m:t>
                    </m:r>
                  </m:oMath>
                  <w:r>
                    <w:rPr>
                      <w:color w:val="C00000"/>
                      <w:u w:val="single"/>
                    </w:rPr>
                    <w:t xml:space="preserve"> downlink cells</w:t>
                  </w:r>
                </w:p>
                <w:p>
                  <w:pPr>
                    <w:pStyle w:val="103"/>
                    <w:widowControl w:val="0"/>
                    <w:rPr>
                      <w:color w:val="C00000"/>
                      <w:u w:val="single"/>
                    </w:rPr>
                  </w:pPr>
                  <w:r>
                    <w:rPr>
                      <w:color w:val="C00000"/>
                      <w:u w:val="single"/>
                      <w:lang w:eastAsia="ko-KR"/>
                    </w:rPr>
                    <w:t>-</w:t>
                  </w:r>
                  <w:r>
                    <w:rPr>
                      <w:color w:val="C00000"/>
                      <w:u w:val="single"/>
                      <w:lang w:eastAsia="ko-KR"/>
                    </w:rPr>
                    <w:tab/>
                  </w:r>
                  <w:r>
                    <w:rPr>
                      <w:color w:val="C00000"/>
                      <w:u w:val="single"/>
                      <w:lang w:eastAsia="ko-KR"/>
                    </w:rPr>
                    <w:t xml:space="preserve">more than </w:t>
                  </w:r>
                  <m:oMath>
                    <m:sSubSup>
                      <m:sSubSupPr>
                        <m:ctrlPr>
                          <w:rPr>
                            <w:rFonts w:ascii="Cambria Math" w:hAnsi="Cambria Math"/>
                            <w:i/>
                            <w:color w:val="C00000"/>
                            <w:u w:val="single"/>
                          </w:rPr>
                        </m:ctrlPr>
                      </m:sSubSupPr>
                      <m:e>
                        <m:r>
                          <w:rPr>
                            <w:rFonts w:ascii="Cambria Math" w:hAnsi="Cambria Math"/>
                            <w:color w:val="C00000"/>
                            <w:u w:val="single"/>
                          </w:rPr>
                          <m:t>M</m:t>
                        </m:r>
                        <m:ctrlPr>
                          <w:rPr>
                            <w:rFonts w:ascii="Cambria Math" w:hAnsi="Cambria Math"/>
                            <w:i/>
                            <w:color w:val="C00000"/>
                            <w:u w:val="single"/>
                          </w:rPr>
                        </m:ctrlPr>
                      </m:e>
                      <m:sub>
                        <m:r>
                          <m:rPr>
                            <m:nor/>
                            <m:sty m:val="p"/>
                          </m:rPr>
                          <w:rPr>
                            <w:color w:val="C00000"/>
                            <w:u w:val="single"/>
                          </w:rPr>
                          <m:t>PDCCH</m:t>
                        </m:r>
                        <m:ctrlPr>
                          <w:rPr>
                            <w:rFonts w:ascii="Cambria Math" w:hAnsi="Cambria Math"/>
                            <w:color w:val="C00000"/>
                            <w:u w:val="single"/>
                          </w:rPr>
                        </m:ctrlPr>
                      </m:sub>
                      <m:sup>
                        <m:r>
                          <m:rPr>
                            <m:nor/>
                            <m:sty m:val="p"/>
                          </m:rPr>
                          <w:rPr>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sz w:val="21"/>
                            <w:szCs w:val="21"/>
                            <w:u w:val="single"/>
                          </w:rPr>
                          <m:t>)</m:t>
                        </m:r>
                        <m:r>
                          <m:rPr>
                            <m:nor/>
                            <m:sty m:val="p"/>
                          </m:rPr>
                          <w:rPr>
                            <w:color w:val="C00000"/>
                            <w:u w:val="single"/>
                          </w:rPr>
                          <m:t>,</m:t>
                        </m:r>
                        <m:r>
                          <w:rPr>
                            <w:rFonts w:ascii="Cambria Math" w:hAns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hAnsi="Cambria Math"/>
                            <w:color w:val="C00000"/>
                            <w:u w:val="single"/>
                          </w:rPr>
                          <m:t>C</m:t>
                        </m:r>
                        <m:ctrlPr>
                          <w:rPr>
                            <w:rFonts w:ascii="Cambria Math" w:hAnsi="Cambria Math"/>
                            <w:i/>
                            <w:color w:val="C00000"/>
                            <w:u w:val="single"/>
                          </w:rPr>
                        </m:ctrlPr>
                      </m:e>
                      <m:sub>
                        <m:r>
                          <m:rPr>
                            <m:nor/>
                            <m:sty m:val="p"/>
                          </m:rPr>
                          <w:rPr>
                            <w:color w:val="C00000"/>
                            <w:u w:val="single"/>
                          </w:rPr>
                          <m:t>PDCCH</m:t>
                        </m:r>
                        <m:ctrlPr>
                          <w:rPr>
                            <w:rFonts w:ascii="Cambria Math" w:hAnsi="Cambria Math"/>
                            <w:color w:val="C00000"/>
                            <w:u w:val="single"/>
                          </w:rPr>
                        </m:ctrlPr>
                      </m:sub>
                      <m:sup>
                        <m:r>
                          <m:rPr>
                            <m:nor/>
                            <m:sty m:val="p"/>
                          </m:rPr>
                          <w:rPr>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sz w:val="21"/>
                            <w:szCs w:val="21"/>
                            <w:u w:val="single"/>
                          </w:rPr>
                          <m:t>)</m:t>
                        </m:r>
                        <m:r>
                          <m:rPr>
                            <m:nor/>
                            <m:sty m:val="p"/>
                          </m:rPr>
                          <w:rPr>
                            <w:color w:val="C00000"/>
                            <w:u w:val="single"/>
                          </w:rPr>
                          <m:t>,</m:t>
                        </m:r>
                        <m:r>
                          <w:rPr>
                            <w:rFonts w:ascii="Cambria Math" w:hAnsi="Cambria Math"/>
                            <w:color w:val="C00000"/>
                            <w:u w:val="single"/>
                          </w:rPr>
                          <m:t>μ</m:t>
                        </m:r>
                        <m:ctrlPr>
                          <w:rPr>
                            <w:rFonts w:ascii="Cambria Math" w:hAnsi="Cambria Math"/>
                            <w:color w:val="C00000"/>
                            <w:u w:val="single"/>
                          </w:rPr>
                        </m:ctrlPr>
                      </m:sup>
                    </m:sSubSup>
                  </m:oMath>
                  <w:r>
                    <w:rPr>
                      <w:color w:val="C00000"/>
                      <w:u w:val="single"/>
                    </w:rPr>
                    <w:t xml:space="preserve"> non-overlapped CCEs for CORESETs with same </w:t>
                  </w:r>
                  <w:r>
                    <w:rPr>
                      <w:i/>
                      <w:iCs/>
                      <w:color w:val="C00000"/>
                      <w:u w:val="single"/>
                    </w:rPr>
                    <w:t>coresetPoolIndex</w:t>
                  </w:r>
                  <w:r>
                    <w:rPr>
                      <w:color w:val="C00000"/>
                      <w:u w:val="single"/>
                    </w:rPr>
                    <w:t xml:space="preserve"> value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ctrlPr>
                          <w:rPr>
                            <w:rFonts w:ascii="Cambria Math" w:hAnsi="Cambria Math"/>
                            <w:color w:val="C00000"/>
                            <w:u w:val="single"/>
                            <w:lang w:eastAsia="ko-KR"/>
                          </w:rPr>
                        </m:ctrlPr>
                      </m:e>
                      <m:sub>
                        <m:r>
                          <m:rPr>
                            <m:sty m:val="p"/>
                          </m:rPr>
                          <w:rPr>
                            <w:rFonts w:ascii="Cambria Math" w:hAnsi="Cambria Math"/>
                            <w:color w:val="C00000"/>
                            <w:u w:val="single"/>
                            <w:lang w:eastAsia="ko-KR"/>
                          </w:rPr>
                          <m:t>cells,1</m:t>
                        </m:r>
                        <m:ctrlPr>
                          <w:rPr>
                            <w:rFonts w:ascii="Cambria Math" w:hAnsi="Cambria Math"/>
                            <w:color w:val="C00000"/>
                            <w:u w:val="single"/>
                            <w:lang w:eastAsia="ko-KR"/>
                          </w:rPr>
                        </m:ctrlPr>
                      </m:sub>
                      <m:sup>
                        <m:r>
                          <m:rPr>
                            <m:sty m:val="p"/>
                          </m:rPr>
                          <w:rPr>
                            <w:rFonts w:ascii="Cambria Math" w:hAnsi="Cambria Math"/>
                            <w:color w:val="C00000"/>
                            <w:u w:val="single"/>
                            <w:lang w:eastAsia="ko-KR"/>
                          </w:rPr>
                          <m:t>DL</m:t>
                        </m:r>
                        <m:r>
                          <m:rPr>
                            <m:sty m:val="p"/>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sz w:val="21"/>
                            <w:szCs w:val="21"/>
                            <w:u w:val="single"/>
                          </w:rPr>
                          <m:t>)</m:t>
                        </m:r>
                        <m:r>
                          <m:rPr>
                            <m:sty m:val="p"/>
                          </m:rPr>
                          <w:rPr>
                            <w:rFonts w:ascii="Cambria Math" w:hAnsi="Cambria Math"/>
                            <w:color w:val="C00000"/>
                            <w:u w:val="single"/>
                            <w:lang w:eastAsia="ko-KR"/>
                          </w:rPr>
                          <m:t>,</m:t>
                        </m:r>
                        <m:r>
                          <w:rPr>
                            <w:rFonts w:ascii="Cambria Math"/>
                            <w:color w:val="C00000"/>
                            <w:u w:val="single"/>
                            <w:lang w:eastAsia="ko-KR"/>
                          </w:rPr>
                          <m:t>μ</m:t>
                        </m:r>
                        <m:ctrlPr>
                          <w:rPr>
                            <w:rFonts w:ascii="Cambria Math" w:hAnsi="Cambria Math"/>
                            <w:color w:val="C00000"/>
                            <w:u w:val="single"/>
                            <w:lang w:eastAsia="ko-KR"/>
                          </w:rPr>
                        </m:ctrlPr>
                      </m:sup>
                    </m:sSubSup>
                  </m:oMath>
                  <w:r>
                    <w:rPr>
                      <w:color w:val="C00000"/>
                      <w:u w:val="single"/>
                    </w:rPr>
                    <w:t xml:space="preserve"> downlink cells</w:t>
                  </w:r>
                </w:p>
                <w:p>
                  <w:pPr>
                    <w:widowControl w:val="0"/>
                    <w:rPr>
                      <w:color w:val="C00000"/>
                      <w:u w:val="single"/>
                      <w:lang w:eastAsia="ko-KR"/>
                    </w:rPr>
                  </w:pPr>
                  <w:r>
                    <w:rPr>
                      <w:color w:val="C00000"/>
                      <w:u w:val="single"/>
                      <w:lang w:eastAsia="ko-KR"/>
                    </w:rPr>
                    <w:t xml:space="preserve">If a UE </w:t>
                  </w:r>
                </w:p>
                <w:p>
                  <w:pPr>
                    <w:pStyle w:val="103"/>
                    <w:widowControl w:val="0"/>
                    <w:rPr>
                      <w:iCs/>
                      <w:color w:val="C00000"/>
                      <w:u w:val="single"/>
                    </w:rPr>
                  </w:pPr>
                  <w:r>
                    <w:rPr>
                      <w:color w:val="C00000"/>
                      <w:u w:val="single"/>
                      <w:lang w:eastAsia="ko-KR"/>
                    </w:rPr>
                    <w:t>-</w:t>
                  </w:r>
                  <w:r>
                    <w:rPr>
                      <w:color w:val="C00000"/>
                      <w:u w:val="single"/>
                      <w:lang w:eastAsia="ko-KR"/>
                    </w:rPr>
                    <w:tab/>
                  </w:r>
                  <w:r>
                    <w:rPr>
                      <w:color w:val="C00000"/>
                      <w:u w:val="single"/>
                    </w:rPr>
                    <w:t xml:space="preserve">is </w:t>
                  </w:r>
                  <w:r>
                    <w:rPr>
                      <w:color w:val="C00000"/>
                      <w:u w:val="single"/>
                      <w:lang w:eastAsia="ko-KR"/>
                    </w:rPr>
                    <w:t>configured</w:t>
                  </w:r>
                  <w:r>
                    <w:rPr>
                      <w:color w:val="C00000"/>
                      <w:u w:val="single"/>
                    </w:rPr>
                    <w:t xml:space="preserve"> with </w:t>
                  </w:r>
                  <m:oMath>
                    <m:sSubSup>
                      <m:sSubSupPr>
                        <m:ctrlPr>
                          <w:rPr>
                            <w:rFonts w:ascii="Cambria Math" w:hAnsi="Cambria Math"/>
                            <w:color w:val="C00000"/>
                            <w:u w:val="single"/>
                            <w:lang w:eastAsia="ko-KR"/>
                          </w:rPr>
                        </m:ctrlPr>
                      </m:sSubSupPr>
                      <m:e>
                        <m:r>
                          <w:rPr>
                            <w:rFonts w:ascii="Cambria Math"/>
                            <w:color w:val="C00000"/>
                            <w:u w:val="single"/>
                            <w:lang w:eastAsia="ko-KR"/>
                          </w:rPr>
                          <m:t>N</m:t>
                        </m:r>
                        <m:ctrlPr>
                          <w:rPr>
                            <w:rFonts w:ascii="Cambria Math" w:hAnsi="Cambria Math"/>
                            <w:color w:val="C00000"/>
                            <w:u w:val="single"/>
                            <w:lang w:eastAsia="ko-KR"/>
                          </w:rPr>
                        </m:ctrlPr>
                      </m:e>
                      <m:sub>
                        <m:r>
                          <m:rPr>
                            <m:nor/>
                            <m:sty m:val="p"/>
                          </m:rPr>
                          <w:rPr>
                            <w:color w:val="C00000"/>
                            <w:u w:val="single"/>
                            <w:lang w:eastAsia="ko-KR"/>
                          </w:rPr>
                          <m:t>cells,0</m:t>
                        </m:r>
                        <m:ctrlPr>
                          <w:rPr>
                            <w:rFonts w:ascii="Cambria Math" w:hAnsi="Cambria Math"/>
                            <w:color w:val="C00000"/>
                            <w:u w:val="single"/>
                            <w:lang w:eastAsia="ko-KR"/>
                          </w:rPr>
                        </m:ctrlPr>
                      </m:sub>
                      <m:sup>
                        <m:r>
                          <m:rPr>
                            <m:nor/>
                            <m:sty m:val="p"/>
                          </m:rPr>
                          <w:rPr>
                            <w:color w:val="C00000"/>
                            <w:u w:val="single"/>
                            <w:lang w:eastAsia="ko-KR"/>
                          </w:rPr>
                          <m:t>DL,</m:t>
                        </m:r>
                        <m:r>
                          <w:rPr>
                            <w:rFonts w:ascii="Cambria Math"/>
                            <w:color w:val="C00000"/>
                            <w:u w:val="single"/>
                            <w:lang w:eastAsia="ko-KR"/>
                          </w:rPr>
                          <m:t>μ</m:t>
                        </m:r>
                        <m:ctrlPr>
                          <w:rPr>
                            <w:rFonts w:ascii="Cambria Math" w:hAnsi="Cambria Math"/>
                            <w:color w:val="C00000"/>
                            <w:u w:val="single"/>
                            <w:lang w:eastAsia="ko-KR"/>
                          </w:rPr>
                        </m:ctrlP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ctrlPr>
                          <w:rPr>
                            <w:rFonts w:ascii="Cambria Math" w:hAnsi="Cambria Math"/>
                            <w:color w:val="C00000"/>
                            <w:u w:val="single"/>
                            <w:lang w:eastAsia="ko-KR"/>
                          </w:rPr>
                        </m:ctrlPr>
                      </m:e>
                      <m:sub>
                        <m:r>
                          <m:rPr>
                            <m:nor/>
                            <m:sty m:val="p"/>
                          </m:rPr>
                          <w:rPr>
                            <w:color w:val="C00000"/>
                            <w:u w:val="single"/>
                            <w:lang w:eastAsia="ko-KR"/>
                          </w:rPr>
                          <m:t>cells,1</m:t>
                        </m:r>
                        <m:ctrlPr>
                          <w:rPr>
                            <w:rFonts w:ascii="Cambria Math" w:hAnsi="Cambria Math"/>
                            <w:color w:val="C00000"/>
                            <w:u w:val="single"/>
                            <w:lang w:eastAsia="ko-KR"/>
                          </w:rPr>
                        </m:ctrlPr>
                      </m:sub>
                      <m:sup>
                        <m:r>
                          <m:rPr>
                            <m:nor/>
                            <m:sty m:val="p"/>
                          </m:rPr>
                          <w:rPr>
                            <w:color w:val="C00000"/>
                            <w:u w:val="single"/>
                            <w:lang w:eastAsia="ko-KR"/>
                          </w:rPr>
                          <m:t>DL,</m:t>
                        </m:r>
                        <m:r>
                          <w:rPr>
                            <w:rFonts w:ascii="Cambria Math"/>
                            <w:color w:val="C00000"/>
                            <w:u w:val="single"/>
                            <w:lang w:eastAsia="ko-KR"/>
                          </w:rPr>
                          <m:t>μ</m:t>
                        </m:r>
                        <m:ctrlPr>
                          <w:rPr>
                            <w:rFonts w:ascii="Cambria Math" w:hAnsi="Cambria Math"/>
                            <w:color w:val="C00000"/>
                            <w:u w:val="single"/>
                            <w:lang w:eastAsia="ko-KR"/>
                          </w:rPr>
                        </m:ctrlPr>
                      </m:sup>
                    </m:sSubSup>
                  </m:oMath>
                  <w:r>
                    <w:rPr>
                      <w:color w:val="C00000"/>
                      <w:u w:val="single"/>
                    </w:rPr>
                    <w:t xml:space="preserve">  downlink cells </w:t>
                  </w:r>
                  <w:r>
                    <w:rPr>
                      <w:iCs/>
                      <w:color w:val="C00000"/>
                      <w:u w:val="single"/>
                    </w:rPr>
                    <w:t xml:space="preserve">for which the UE is provided </w:t>
                  </w:r>
                  <w:r>
                    <w:rPr>
                      <w:i/>
                      <w:color w:val="C00000"/>
                      <w:u w:val="single"/>
                    </w:rPr>
                    <w:t>monitoringCapabilityConfig</w:t>
                  </w:r>
                  <w:r>
                    <w:rPr>
                      <w:color w:val="C00000"/>
                      <w:u w:val="single"/>
                    </w:rPr>
                    <w:t xml:space="preserve"> = </w:t>
                  </w:r>
                  <w:r>
                    <w:rPr>
                      <w:i/>
                      <w:color w:val="C00000"/>
                      <w:u w:val="single"/>
                    </w:rPr>
                    <w:t>r17monitoringcapability</w:t>
                  </w:r>
                  <w:r>
                    <w:rPr>
                      <w:iCs/>
                      <w:color w:val="C00000"/>
                      <w:u w:val="single"/>
                    </w:rPr>
                    <w:t xml:space="preserve"> and </w:t>
                  </w:r>
                  <w:r>
                    <w:rPr>
                      <w:color w:val="C00000"/>
                      <w:u w:val="single"/>
                    </w:rPr>
                    <w:t xml:space="preserve">with </w:t>
                  </w:r>
                  <w:r>
                    <w:rPr>
                      <w:color w:val="C00000"/>
                      <w:u w:val="single"/>
                      <w:lang w:eastAsia="ko-KR"/>
                    </w:rPr>
                    <w:t xml:space="preserve">associated PDCCH candidates monitored in the </w:t>
                  </w:r>
                  <w:r>
                    <w:rPr>
                      <w:color w:val="C00000"/>
                      <w:u w:val="single"/>
                    </w:rPr>
                    <w:t xml:space="preserve">active DL BWPs of the scheduling cells using SCS configuration </w:t>
                  </w:r>
                  <m:oMath>
                    <m:r>
                      <w:rPr>
                        <w:rFonts w:ascii="Cambria Math" w:hAnsi="Cambria Math" w:eastAsiaTheme="minorHAnsi"/>
                        <w:color w:val="C00000"/>
                        <w:u w:val="single"/>
                      </w:rPr>
                      <m:t>μ</m:t>
                    </m:r>
                  </m:oMath>
                  <w:r>
                    <w:rPr>
                      <w:iCs/>
                      <w:color w:val="C00000"/>
                      <w:u w:val="single"/>
                    </w:rPr>
                    <w:t xml:space="preserve">, and </w:t>
                  </w:r>
                </w:p>
                <w:p>
                  <w:pPr>
                    <w:pStyle w:val="103"/>
                    <w:widowControl w:val="0"/>
                    <w:rPr>
                      <w:color w:val="C00000"/>
                      <w:u w:val="single"/>
                    </w:rPr>
                  </w:pPr>
                  <w:r>
                    <w:rPr>
                      <w:color w:val="C00000"/>
                      <w:u w:val="single"/>
                      <w:lang w:eastAsia="ko-KR"/>
                    </w:rPr>
                    <w:t>-</w:t>
                  </w:r>
                  <w:r>
                    <w:rPr>
                      <w:color w:val="C00000"/>
                      <w:u w:val="single"/>
                      <w:lang w:eastAsia="ko-KR"/>
                    </w:rPr>
                    <w:tab/>
                  </w:r>
                  <w:r>
                    <w:rPr>
                      <w:iCs/>
                      <w:color w:val="C00000"/>
                      <w:u w:val="single"/>
                    </w:rPr>
                    <w:t xml:space="preserve">with </w:t>
                  </w:r>
                  <m:oMath>
                    <m:sSubSup>
                      <m:sSubSupPr>
                        <m:ctrlPr>
                          <w:rPr>
                            <w:rFonts w:ascii="Cambria Math" w:hAnsi="Cambria Math"/>
                            <w:color w:val="C00000"/>
                            <w:u w:val="single"/>
                            <w:lang w:eastAsia="ko-KR"/>
                          </w:rPr>
                        </m:ctrlPr>
                      </m:sSubSupPr>
                      <m:e>
                        <m:r>
                          <w:rPr>
                            <w:rFonts w:ascii="Cambria Math"/>
                            <w:color w:val="C00000"/>
                            <w:u w:val="single"/>
                            <w:lang w:eastAsia="ko-KR"/>
                          </w:rPr>
                          <m:t>N</m:t>
                        </m:r>
                        <m:ctrlPr>
                          <w:rPr>
                            <w:rFonts w:ascii="Cambria Math" w:hAnsi="Cambria Math"/>
                            <w:color w:val="C00000"/>
                            <w:u w:val="single"/>
                            <w:lang w:eastAsia="ko-KR"/>
                          </w:rPr>
                        </m:ctrlPr>
                      </m:e>
                      <m:sub>
                        <m:r>
                          <m:rPr>
                            <m:nor/>
                            <m:sty m:val="p"/>
                          </m:rPr>
                          <w:rPr>
                            <w:color w:val="C00000"/>
                            <w:u w:val="single"/>
                            <w:lang w:eastAsia="ko-KR"/>
                          </w:rPr>
                          <m:t>cells,0</m:t>
                        </m:r>
                        <m:ctrlPr>
                          <w:rPr>
                            <w:rFonts w:ascii="Cambria Math" w:hAnsi="Cambria Math"/>
                            <w:color w:val="C00000"/>
                            <w:u w:val="single"/>
                            <w:lang w:eastAsia="ko-KR"/>
                          </w:rPr>
                        </m:ctrlPr>
                      </m:sub>
                      <m:sup>
                        <m:r>
                          <m:rPr>
                            <m:nor/>
                            <m:sty m:val="p"/>
                          </m:rPr>
                          <w:rPr>
                            <w:color w:val="C00000"/>
                            <w:u w:val="single"/>
                            <w:lang w:eastAsia="ko-KR"/>
                          </w:rPr>
                          <m:t>DL</m:t>
                        </m:r>
                        <m:r>
                          <m:rPr>
                            <m:nor/>
                            <m:sty m:val="p"/>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sz w:val="21"/>
                            <w:szCs w:val="21"/>
                            <w:u w:val="single"/>
                          </w:rPr>
                          <m:t>)</m:t>
                        </m:r>
                        <m:r>
                          <m:rPr>
                            <m:nor/>
                            <m:sty m:val="p"/>
                          </m:rPr>
                          <w:rPr>
                            <w:color w:val="C00000"/>
                            <w:u w:val="single"/>
                            <w:lang w:eastAsia="ko-KR"/>
                          </w:rPr>
                          <m:t>,</m:t>
                        </m:r>
                        <m:r>
                          <w:rPr>
                            <w:rFonts w:ascii="Cambria Math"/>
                            <w:color w:val="C00000"/>
                            <w:u w:val="single"/>
                            <w:lang w:eastAsia="ko-KR"/>
                          </w:rPr>
                          <m:t>μ</m:t>
                        </m:r>
                        <m:ctrlPr>
                          <w:rPr>
                            <w:rFonts w:ascii="Cambria Math" w:hAnsi="Cambria Math"/>
                            <w:color w:val="C00000"/>
                            <w:u w:val="single"/>
                            <w:lang w:eastAsia="ko-KR"/>
                          </w:rPr>
                        </m:ctrlP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ctrlPr>
                          <w:rPr>
                            <w:rFonts w:ascii="Cambria Math" w:hAnsi="Cambria Math"/>
                            <w:color w:val="C00000"/>
                            <w:u w:val="single"/>
                            <w:lang w:eastAsia="ko-KR"/>
                          </w:rPr>
                        </m:ctrlPr>
                      </m:e>
                      <m:sub>
                        <m:r>
                          <m:rPr>
                            <m:nor/>
                            <m:sty m:val="p"/>
                          </m:rPr>
                          <w:rPr>
                            <w:color w:val="C00000"/>
                            <w:u w:val="single"/>
                            <w:lang w:eastAsia="ko-KR"/>
                          </w:rPr>
                          <m:t>cells,1</m:t>
                        </m:r>
                        <m:ctrlPr>
                          <w:rPr>
                            <w:rFonts w:ascii="Cambria Math" w:hAnsi="Cambria Math"/>
                            <w:color w:val="C00000"/>
                            <w:u w:val="single"/>
                            <w:lang w:eastAsia="ko-KR"/>
                          </w:rPr>
                        </m:ctrlPr>
                      </m:sub>
                      <m:sup>
                        <m:r>
                          <m:rPr>
                            <m:nor/>
                            <m:sty m:val="p"/>
                          </m:rPr>
                          <w:rPr>
                            <w:color w:val="C00000"/>
                            <w:u w:val="single"/>
                            <w:lang w:eastAsia="ko-KR"/>
                          </w:rPr>
                          <m:t>DL</m:t>
                        </m:r>
                        <m:r>
                          <m:rPr>
                            <m:nor/>
                            <m:sty m:val="p"/>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sz w:val="21"/>
                            <w:szCs w:val="21"/>
                            <w:u w:val="single"/>
                          </w:rPr>
                          <m:t>)</m:t>
                        </m:r>
                        <m:r>
                          <m:rPr>
                            <m:nor/>
                            <m:sty m:val="p"/>
                          </m:rPr>
                          <w:rPr>
                            <w:color w:val="C00000"/>
                            <w:u w:val="single"/>
                            <w:lang w:eastAsia="ko-KR"/>
                          </w:rPr>
                          <m:t>,</m:t>
                        </m:r>
                        <m:r>
                          <w:rPr>
                            <w:rFonts w:ascii="Cambria Math"/>
                            <w:color w:val="C00000"/>
                            <w:u w:val="single"/>
                            <w:lang w:eastAsia="ko-KR"/>
                          </w:rPr>
                          <m:t>μ</m:t>
                        </m:r>
                        <m:ctrlPr>
                          <w:rPr>
                            <w:rFonts w:ascii="Cambria Math" w:hAnsi="Cambria Math"/>
                            <w:color w:val="C00000"/>
                            <w:u w:val="single"/>
                            <w:lang w:eastAsia="ko-KR"/>
                          </w:rPr>
                        </m:ctrlPr>
                      </m:sup>
                    </m:sSubSup>
                  </m:oMath>
                  <w:r>
                    <w:rPr>
                      <w:iCs/>
                      <w:color w:val="C00000"/>
                      <w:u w:val="single"/>
                    </w:rPr>
                    <w:t xml:space="preserve"> of the </w:t>
                  </w:r>
                  <m:oMath>
                    <m:sSubSup>
                      <m:sSubSupPr>
                        <m:ctrlPr>
                          <w:rPr>
                            <w:rFonts w:ascii="Cambria Math" w:hAnsi="Cambria Math"/>
                            <w:color w:val="C00000"/>
                            <w:u w:val="single"/>
                            <w:lang w:eastAsia="ko-KR"/>
                          </w:rPr>
                        </m:ctrlPr>
                      </m:sSubSupPr>
                      <m:e>
                        <m:r>
                          <w:rPr>
                            <w:rFonts w:ascii="Cambria Math"/>
                            <w:color w:val="C00000"/>
                            <w:u w:val="single"/>
                            <w:lang w:eastAsia="ko-KR"/>
                          </w:rPr>
                          <m:t>N</m:t>
                        </m:r>
                        <m:ctrlPr>
                          <w:rPr>
                            <w:rFonts w:ascii="Cambria Math" w:hAnsi="Cambria Math"/>
                            <w:color w:val="C00000"/>
                            <w:u w:val="single"/>
                            <w:lang w:eastAsia="ko-KR"/>
                          </w:rPr>
                        </m:ctrlPr>
                      </m:e>
                      <m:sub>
                        <m:r>
                          <m:rPr>
                            <m:nor/>
                            <m:sty m:val="p"/>
                          </m:rPr>
                          <w:rPr>
                            <w:color w:val="C00000"/>
                            <w:u w:val="single"/>
                            <w:lang w:eastAsia="ko-KR"/>
                          </w:rPr>
                          <m:t>cells,0</m:t>
                        </m:r>
                        <m:ctrlPr>
                          <w:rPr>
                            <w:rFonts w:ascii="Cambria Math" w:hAnsi="Cambria Math"/>
                            <w:color w:val="C00000"/>
                            <w:u w:val="single"/>
                            <w:lang w:eastAsia="ko-KR"/>
                          </w:rPr>
                        </m:ctrlPr>
                      </m:sub>
                      <m:sup>
                        <m:r>
                          <m:rPr>
                            <m:nor/>
                            <m:sty m:val="p"/>
                          </m:rPr>
                          <w:rPr>
                            <w:color w:val="C00000"/>
                            <w:u w:val="single"/>
                            <w:lang w:eastAsia="ko-KR"/>
                          </w:rPr>
                          <m:t>DL,</m:t>
                        </m:r>
                        <m:r>
                          <w:rPr>
                            <w:rFonts w:ascii="Cambria Math"/>
                            <w:color w:val="C00000"/>
                            <w:u w:val="single"/>
                            <w:lang w:eastAsia="ko-KR"/>
                          </w:rPr>
                          <m:t>μ</m:t>
                        </m:r>
                        <m:ctrlPr>
                          <w:rPr>
                            <w:rFonts w:ascii="Cambria Math" w:hAnsi="Cambria Math"/>
                            <w:color w:val="C00000"/>
                            <w:u w:val="single"/>
                            <w:lang w:eastAsia="ko-KR"/>
                          </w:rPr>
                        </m:ctrlP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ctrlPr>
                          <w:rPr>
                            <w:rFonts w:ascii="Cambria Math" w:hAnsi="Cambria Math"/>
                            <w:color w:val="C00000"/>
                            <w:u w:val="single"/>
                            <w:lang w:eastAsia="ko-KR"/>
                          </w:rPr>
                        </m:ctrlPr>
                      </m:e>
                      <m:sub>
                        <m:r>
                          <m:rPr>
                            <m:nor/>
                            <m:sty m:val="p"/>
                          </m:rPr>
                          <w:rPr>
                            <w:color w:val="C00000"/>
                            <w:u w:val="single"/>
                            <w:lang w:eastAsia="ko-KR"/>
                          </w:rPr>
                          <m:t>cells,1</m:t>
                        </m:r>
                        <m:ctrlPr>
                          <w:rPr>
                            <w:rFonts w:ascii="Cambria Math" w:hAnsi="Cambria Math"/>
                            <w:color w:val="C00000"/>
                            <w:u w:val="single"/>
                            <w:lang w:eastAsia="ko-KR"/>
                          </w:rPr>
                        </m:ctrlPr>
                      </m:sub>
                      <m:sup>
                        <m:r>
                          <m:rPr>
                            <m:nor/>
                            <m:sty m:val="p"/>
                          </m:rPr>
                          <w:rPr>
                            <w:color w:val="C00000"/>
                            <w:u w:val="single"/>
                            <w:lang w:eastAsia="ko-KR"/>
                          </w:rPr>
                          <m:t>DL,</m:t>
                        </m:r>
                        <m:r>
                          <w:rPr>
                            <w:rFonts w:ascii="Cambria Math"/>
                            <w:color w:val="C00000"/>
                            <w:u w:val="single"/>
                            <w:lang w:eastAsia="ko-KR"/>
                          </w:rPr>
                          <m:t>μ</m:t>
                        </m:r>
                        <m:ctrlPr>
                          <w:rPr>
                            <w:rFonts w:ascii="Cambria Math" w:hAnsi="Cambria Math"/>
                            <w:color w:val="C00000"/>
                            <w:u w:val="single"/>
                            <w:lang w:eastAsia="ko-KR"/>
                          </w:rPr>
                        </m:ctrlPr>
                      </m:sup>
                    </m:sSubSup>
                  </m:oMath>
                  <w:r>
                    <w:rPr>
                      <w:iCs/>
                      <w:color w:val="C00000"/>
                      <w:u w:val="single"/>
                    </w:rPr>
                    <w:t xml:space="preserve"> downlink cells using combination </w:t>
                  </w:r>
                  <m:oMath>
                    <m:d>
                      <m:dPr>
                        <m:ctrlPr>
                          <w:rPr>
                            <w:rFonts w:ascii="Cambria Math" w:hAnsi="Cambria Math"/>
                            <w:color w:val="C00000"/>
                            <w:u w:val="single"/>
                            <w:lang w:eastAsia="zh-CN"/>
                          </w:rPr>
                        </m:ctrlPr>
                      </m:dPr>
                      <m:e>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ctrlPr>
                          <w:rPr>
                            <w:rFonts w:ascii="Cambria Math" w:hAnsi="Cambria Math"/>
                            <w:color w:val="C00000"/>
                            <w:u w:val="single"/>
                            <w:lang w:eastAsia="zh-CN"/>
                          </w:rPr>
                        </m:ctrlPr>
                      </m:e>
                    </m:d>
                  </m:oMath>
                  <w:r>
                    <w:rPr>
                      <w:color w:val="C00000"/>
                      <w:u w:val="single"/>
                      <w:lang w:eastAsia="zh-CN"/>
                    </w:rPr>
                    <w:t xml:space="preserve"> with same </w:t>
                  </w:r>
                  <m:oMath>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oMath>
                  <w:r>
                    <w:rPr>
                      <w:iCs/>
                      <w:color w:val="C00000"/>
                      <w:u w:val="single"/>
                    </w:rPr>
                    <w:t xml:space="preserve"> for PDCCH monitoring, where </w:t>
                  </w:r>
                  <m:oMath>
                    <m:nary>
                      <m:naryPr>
                        <m:chr m:val="∑"/>
                        <m:ctrlPr>
                          <w:rPr>
                            <w:rFonts w:ascii="Cambria Math" w:hAnsi="Cambria Math"/>
                            <w:color w:val="C00000"/>
                            <w:u w:val="single"/>
                            <w:lang w:eastAsia="ko-KR"/>
                          </w:rPr>
                        </m:ctrlPr>
                      </m:naryPr>
                      <m:sub>
                        <m:r>
                          <w:rPr>
                            <w:rFonts w:ascii="Cambria Math"/>
                            <w:color w:val="C00000"/>
                            <w:u w:val="single"/>
                            <w:lang w:eastAsia="ko-KR"/>
                          </w:rPr>
                          <m:t>μ</m:t>
                        </m:r>
                        <m:r>
                          <m:rPr>
                            <m:sty m:val="p"/>
                          </m:rPr>
                          <w:rPr>
                            <w:rFonts w:ascii="Cambria Math"/>
                            <w:color w:val="C00000"/>
                            <w:u w:val="single"/>
                            <w:lang w:eastAsia="ko-KR"/>
                          </w:rPr>
                          <m:t>=0</m:t>
                        </m:r>
                        <m:ctrlPr>
                          <w:rPr>
                            <w:rFonts w:ascii="Cambria Math" w:hAnsi="Cambria Math"/>
                            <w:color w:val="C00000"/>
                            <w:u w:val="single"/>
                            <w:lang w:eastAsia="ko-KR"/>
                          </w:rPr>
                        </m:ctrlPr>
                      </m:sub>
                      <m:sup>
                        <m:r>
                          <m:rPr>
                            <m:sty m:val="p"/>
                          </m:rPr>
                          <w:rPr>
                            <w:rFonts w:ascii="Cambria Math"/>
                            <w:color w:val="C00000"/>
                            <w:u w:val="single"/>
                            <w:lang w:eastAsia="ko-KR"/>
                          </w:rPr>
                          <m:t>6</m:t>
                        </m:r>
                        <m:ctrlPr>
                          <w:rPr>
                            <w:rFonts w:ascii="Cambria Math" w:hAnsi="Cambria Math"/>
                            <w:color w:val="C00000"/>
                            <w:u w:val="single"/>
                            <w:lang w:eastAsia="ko-KR"/>
                          </w:rPr>
                        </m:ctrlPr>
                      </m:sup>
                      <m:e>
                        <m:d>
                          <m:dPr>
                            <m:ctrlPr>
                              <w:rPr>
                                <w:rFonts w:ascii="Cambria Math" w:hAnsi="Cambria Math"/>
                                <w:color w:val="C00000"/>
                                <w:u w:val="single"/>
                                <w:lang w:eastAsia="ko-KR"/>
                              </w:rPr>
                            </m:ctrlPr>
                          </m:dPr>
                          <m:e>
                            <m:sSubSup>
                              <m:sSubSupPr>
                                <m:ctrlPr>
                                  <w:rPr>
                                    <w:rFonts w:ascii="Cambria Math" w:hAnsi="Cambria Math"/>
                                    <w:color w:val="C00000"/>
                                    <w:u w:val="single"/>
                                    <w:lang w:eastAsia="ko-KR"/>
                                  </w:rPr>
                                </m:ctrlPr>
                              </m:sSubSupPr>
                              <m:e>
                                <m:r>
                                  <w:rPr>
                                    <w:rFonts w:ascii="Cambria Math"/>
                                    <w:color w:val="C00000"/>
                                    <w:u w:val="single"/>
                                    <w:lang w:eastAsia="ko-KR"/>
                                  </w:rPr>
                                  <m:t>N</m:t>
                                </m:r>
                                <m:ctrlPr>
                                  <w:rPr>
                                    <w:rFonts w:ascii="Cambria Math" w:hAnsi="Cambria Math"/>
                                    <w:color w:val="C00000"/>
                                    <w:u w:val="single"/>
                                    <w:lang w:eastAsia="ko-KR"/>
                                  </w:rPr>
                                </m:ctrlPr>
                              </m:e>
                              <m:sub>
                                <m:r>
                                  <m:rPr>
                                    <m:nor/>
                                    <m:sty m:val="p"/>
                                  </m:rPr>
                                  <w:rPr>
                                    <w:color w:val="C00000"/>
                                    <w:u w:val="single"/>
                                    <w:lang w:eastAsia="ko-KR"/>
                                  </w:rPr>
                                  <m:t>cells,0</m:t>
                                </m:r>
                                <m:ctrlPr>
                                  <w:rPr>
                                    <w:rFonts w:ascii="Cambria Math" w:hAnsi="Cambria Math"/>
                                    <w:color w:val="C00000"/>
                                    <w:u w:val="single"/>
                                    <w:lang w:eastAsia="ko-KR"/>
                                  </w:rPr>
                                </m:ctrlPr>
                              </m:sub>
                              <m:sup>
                                <m:r>
                                  <m:rPr>
                                    <m:nor/>
                                    <m:sty m:val="p"/>
                                  </m:rPr>
                                  <w:rPr>
                                    <w:color w:val="C00000"/>
                                    <w:u w:val="single"/>
                                    <w:lang w:eastAsia="ko-KR"/>
                                  </w:rPr>
                                  <m:t>DL,</m:t>
                                </m:r>
                                <m:r>
                                  <w:rPr>
                                    <w:rFonts w:ascii="Cambria Math"/>
                                    <w:color w:val="C00000"/>
                                    <w:u w:val="single"/>
                                    <w:lang w:eastAsia="ko-KR"/>
                                  </w:rPr>
                                  <m:t>μ</m:t>
                                </m:r>
                                <m:ctrlPr>
                                  <w:rPr>
                                    <w:rFonts w:ascii="Cambria Math" w:hAnsi="Cambria Math"/>
                                    <w:color w:val="C00000"/>
                                    <w:u w:val="single"/>
                                    <w:lang w:eastAsia="ko-KR"/>
                                  </w:rPr>
                                </m:ctrlPr>
                              </m:sup>
                            </m:sSubSup>
                            <m:r>
                              <m:rPr>
                                <m:sty m:val="p"/>
                              </m:rPr>
                              <w:rPr>
                                <w:rFonts w:ascii="Cambria Math" w:hAnsi="Cambria Math"/>
                                <w:color w:val="C00000"/>
                                <w:u w:val="single"/>
                                <w:lang w:eastAsia="ko-KR"/>
                              </w:rPr>
                              <m:t>+</m:t>
                            </m:r>
                            <m:r>
                              <w:rPr>
                                <w:rFonts w:ascii="Cambria Math" w:hAnsi="Cambria Math"/>
                                <w:color w:val="C00000"/>
                                <w:u w:val="single"/>
                                <w:lang w:eastAsia="ko-KR"/>
                              </w:rPr>
                              <m:t>γ</m:t>
                            </m:r>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ctrlPr>
                                  <w:rPr>
                                    <w:rFonts w:ascii="Cambria Math" w:hAnsi="Cambria Math"/>
                                    <w:color w:val="C00000"/>
                                    <w:u w:val="single"/>
                                    <w:lang w:eastAsia="ko-KR"/>
                                  </w:rPr>
                                </m:ctrlPr>
                              </m:e>
                              <m:sub>
                                <m:r>
                                  <m:rPr>
                                    <m:nor/>
                                    <m:sty m:val="p"/>
                                  </m:rPr>
                                  <w:rPr>
                                    <w:color w:val="C00000"/>
                                    <w:u w:val="single"/>
                                    <w:lang w:eastAsia="ko-KR"/>
                                  </w:rPr>
                                  <m:t>cells,1</m:t>
                                </m:r>
                                <m:ctrlPr>
                                  <w:rPr>
                                    <w:rFonts w:ascii="Cambria Math" w:hAnsi="Cambria Math"/>
                                    <w:color w:val="C00000"/>
                                    <w:u w:val="single"/>
                                    <w:lang w:eastAsia="ko-KR"/>
                                  </w:rPr>
                                </m:ctrlPr>
                              </m:sub>
                              <m:sup>
                                <m:r>
                                  <m:rPr>
                                    <m:nor/>
                                    <m:sty m:val="p"/>
                                  </m:rPr>
                                  <w:rPr>
                                    <w:color w:val="C00000"/>
                                    <w:u w:val="single"/>
                                    <w:lang w:eastAsia="ko-KR"/>
                                  </w:rPr>
                                  <m:t>DL,</m:t>
                                </m:r>
                                <m:r>
                                  <w:rPr>
                                    <w:rFonts w:ascii="Cambria Math"/>
                                    <w:color w:val="C00000"/>
                                    <w:u w:val="single"/>
                                    <w:lang w:eastAsia="ko-KR"/>
                                  </w:rPr>
                                  <m:t>μ</m:t>
                                </m:r>
                                <m:ctrlPr>
                                  <w:rPr>
                                    <w:rFonts w:ascii="Cambria Math" w:hAnsi="Cambria Math"/>
                                    <w:color w:val="C00000"/>
                                    <w:u w:val="single"/>
                                    <w:lang w:eastAsia="ko-KR"/>
                                  </w:rPr>
                                </m:ctrlPr>
                              </m:sup>
                            </m:sSubSup>
                            <m:ctrlPr>
                              <w:rPr>
                                <w:rFonts w:ascii="Cambria Math" w:hAnsi="Cambria Math"/>
                                <w:color w:val="C00000"/>
                                <w:u w:val="single"/>
                                <w:lang w:eastAsia="ko-KR"/>
                              </w:rPr>
                            </m:ctrlPr>
                          </m:e>
                        </m:d>
                        <m:ctrlPr>
                          <w:rPr>
                            <w:rFonts w:ascii="Cambria Math" w:hAnsi="Cambria Math"/>
                            <w:color w:val="C00000"/>
                            <w:u w:val="single"/>
                            <w:lang w:eastAsia="ko-KR"/>
                          </w:rPr>
                        </m:ctrlPr>
                      </m:e>
                    </m:nary>
                    <m:r>
                      <m:rPr>
                        <m:sty m:val="p"/>
                      </m:rPr>
                      <w:rPr>
                        <w:rFonts w:ascii="Cambria Math" w:hAnsi="Cambria Math"/>
                        <w:color w:val="C00000"/>
                        <w:u w:val="single"/>
                      </w:rPr>
                      <m:t>&gt;</m:t>
                    </m:r>
                    <m:sSubSup>
                      <m:sSubSupPr>
                        <m:ctrlPr>
                          <w:rPr>
                            <w:rFonts w:ascii="Cambria Math" w:hAnsi="Calibri" w:cs="Calibri"/>
                            <w:i/>
                            <w:color w:val="C00000"/>
                            <w:u w:val="single"/>
                          </w:rPr>
                        </m:ctrlPr>
                      </m:sSubSupPr>
                      <m:e>
                        <m:r>
                          <w:rPr>
                            <w:rFonts w:ascii="Cambria Math" w:hAnsi="Calibri" w:cs="Calibri"/>
                            <w:color w:val="C00000"/>
                            <w:u w:val="single"/>
                          </w:rPr>
                          <m:t>N</m:t>
                        </m:r>
                        <m:ctrlPr>
                          <w:rPr>
                            <w:rFonts w:ascii="Cambria Math" w:hAnsi="Calibri" w:cs="Calibri"/>
                            <w:i/>
                            <w:color w:val="C00000"/>
                            <w:u w:val="single"/>
                          </w:rPr>
                        </m:ctrlPr>
                      </m:e>
                      <m:sub>
                        <m:r>
                          <m:rPr>
                            <m:nor/>
                            <m:sty m:val="p"/>
                          </m:rPr>
                          <w:rPr>
                            <w:rFonts w:ascii="Cambria Math" w:hAnsi="Calibri" w:cs="Calibri"/>
                            <w:color w:val="C00000"/>
                            <w:u w:val="single"/>
                          </w:rPr>
                          <m:t>cells</m:t>
                        </m:r>
                        <m:ctrlPr>
                          <w:rPr>
                            <w:rFonts w:ascii="Cambria Math" w:hAnsi="Calibri" w:cs="Calibri"/>
                            <w:color w:val="C00000"/>
                            <w:u w:val="single"/>
                          </w:rPr>
                        </m:ctrlPr>
                      </m:sub>
                      <m:sup>
                        <m:r>
                          <m:rPr>
                            <m:nor/>
                            <m:sty m:val="p"/>
                          </m:rPr>
                          <w:rPr>
                            <w:rFonts w:ascii="Cambria Math" w:hAnsi="Calibri" w:cs="Calibri"/>
                            <w:color w:val="C00000"/>
                            <w:u w:val="single"/>
                          </w:rPr>
                          <m:t>cap</m:t>
                        </m:r>
                        <m:ctrlPr>
                          <w:rPr>
                            <w:rFonts w:ascii="Cambria Math" w:hAnsi="Calibri" w:cs="Calibri"/>
                            <w:color w:val="C00000"/>
                            <w:u w:val="single"/>
                          </w:rPr>
                        </m:ctrlPr>
                      </m:sup>
                    </m:sSubSup>
                  </m:oMath>
                  <w:r>
                    <w:rPr>
                      <w:color w:val="C00000"/>
                      <w:u w:val="single"/>
                    </w:rPr>
                    <w:t>, and</w:t>
                  </w:r>
                </w:p>
                <w:p>
                  <w:pPr>
                    <w:pStyle w:val="103"/>
                    <w:widowControl w:val="0"/>
                    <w:rPr>
                      <w:color w:val="C00000"/>
                      <w:u w:val="single"/>
                    </w:rPr>
                  </w:pPr>
                  <w:r>
                    <w:rPr>
                      <w:color w:val="C00000"/>
                      <w:u w:val="single"/>
                      <w:lang w:eastAsia="ko-KR"/>
                    </w:rPr>
                    <w:t>-</w:t>
                  </w:r>
                  <w:r>
                    <w:rPr>
                      <w:color w:val="C00000"/>
                      <w:u w:val="single"/>
                      <w:lang w:eastAsia="ko-KR"/>
                    </w:rPr>
                    <w:tab/>
                  </w:r>
                  <w:r>
                    <w:rPr>
                      <w:color w:val="C00000"/>
                      <w:u w:val="single"/>
                    </w:rPr>
                    <w:t xml:space="preserve">a DL BWP of an activated cell is the active DL BWP of the activated cell, and a DL BWP of a deactivated cell is the DL BWP with index provided by </w:t>
                  </w:r>
                  <w:r>
                    <w:rPr>
                      <w:i/>
                      <w:color w:val="C00000"/>
                      <w:u w:val="single"/>
                    </w:rPr>
                    <w:t>firstActiveDownlinkBWP-Id</w:t>
                  </w:r>
                  <w:r>
                    <w:rPr>
                      <w:color w:val="C00000"/>
                      <w:u w:val="single"/>
                    </w:rPr>
                    <w:t xml:space="preserve"> for the deactivated cell, </w:t>
                  </w:r>
                </w:p>
                <w:p>
                  <w:pPr>
                    <w:widowControl w:val="0"/>
                    <w:rPr>
                      <w:color w:val="C00000"/>
                      <w:u w:val="single"/>
                      <w:lang w:eastAsia="ko-KR"/>
                    </w:rPr>
                  </w:pPr>
                  <w:r>
                    <w:rPr>
                      <w:color w:val="C00000"/>
                      <w:u w:val="single"/>
                      <w:lang w:eastAsia="ko-KR"/>
                    </w:rPr>
                    <w:t>the UE is not required to monitor,</w:t>
                  </w:r>
                  <w:r>
                    <w:rPr>
                      <w:color w:val="C00000"/>
                      <w:u w:val="single"/>
                    </w:rPr>
                    <w:t xml:space="preserve"> per a group of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ctrlPr>
                          <w:rPr>
                            <w:rFonts w:ascii="Cambria Math" w:hAnsi="Cambria Math"/>
                            <w:i/>
                            <w:color w:val="C00000"/>
                            <w:u w:val="single"/>
                            <w:lang w:eastAsia="zh-CN"/>
                          </w:rPr>
                        </m:ctrlPr>
                      </m:e>
                      <m:sub>
                        <m:r>
                          <w:rPr>
                            <w:rFonts w:ascii="Cambria Math" w:hAnsi="Cambria Math"/>
                            <w:color w:val="C00000"/>
                            <w:u w:val="single"/>
                            <w:lang w:eastAsia="zh-CN"/>
                          </w:rPr>
                          <m:t>s</m:t>
                        </m:r>
                        <m:ctrlPr>
                          <w:rPr>
                            <w:rFonts w:ascii="Cambria Math" w:hAnsi="Cambria Math"/>
                            <w:i/>
                            <w:color w:val="C00000"/>
                            <w:u w:val="single"/>
                            <w:lang w:eastAsia="zh-CN"/>
                          </w:rPr>
                        </m:ctrlPr>
                      </m:sub>
                    </m:sSub>
                  </m:oMath>
                  <w:r>
                    <w:rPr>
                      <w:color w:val="C00000"/>
                      <w:u w:val="single"/>
                      <w:lang w:eastAsia="zh-CN"/>
                    </w:rPr>
                    <w:t xml:space="preserve"> </w:t>
                  </w:r>
                  <w:r>
                    <w:rPr>
                      <w:color w:val="C00000"/>
                      <w:u w:val="single"/>
                    </w:rPr>
                    <w:t xml:space="preserve">slots on the active DL BWP </w:t>
                  </w:r>
                  <w:r>
                    <w:rPr>
                      <w:color w:val="C00000"/>
                      <w:u w:val="single"/>
                      <w:lang w:eastAsia="ko-KR"/>
                    </w:rPr>
                    <w:t xml:space="preserve">with </w:t>
                  </w:r>
                  <w:r>
                    <w:rPr>
                      <w:color w:val="C00000"/>
                      <w:u w:val="single"/>
                    </w:rPr>
                    <w:t xml:space="preserve">SCS configuration </w:t>
                  </w:r>
                  <m:oMath>
                    <m:r>
                      <w:rPr>
                        <w:rFonts w:ascii="Cambria Math" w:hAnsi="Cambria Math"/>
                        <w:color w:val="C00000"/>
                        <w:u w:val="single"/>
                      </w:rPr>
                      <m:t>μ</m:t>
                    </m:r>
                  </m:oMath>
                  <w:r>
                    <w:rPr>
                      <w:color w:val="C00000"/>
                      <w:u w:val="single"/>
                    </w:rPr>
                    <w:t xml:space="preserve"> of the scheduling cells</w:t>
                  </w:r>
                </w:p>
                <w:p>
                  <w:pPr>
                    <w:pStyle w:val="82"/>
                    <w:widowControl w:val="0"/>
                    <w:numPr>
                      <w:ilvl w:val="0"/>
                      <w:numId w:val="95"/>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t xml:space="preserve">for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rPr>
                          <m:t>)</m:t>
                        </m:r>
                        <m:r>
                          <m:rPr>
                            <m:nor/>
                            <m:sty m:val="p"/>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rPr>
                          <m:t>)</m:t>
                        </m:r>
                        <m:r>
                          <m:rPr>
                            <m:nor/>
                            <m:sty m:val="p"/>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downlink cells</w:t>
                  </w:r>
                  <w:r>
                    <w:rPr>
                      <w:rFonts w:ascii="Times New Roman" w:hAnsi="Times New Roman"/>
                      <w:color w:val="C00000"/>
                      <w:sz w:val="20"/>
                      <w:szCs w:val="20"/>
                      <w:u w:val="single"/>
                      <w:lang w:eastAsia="ko-KR"/>
                    </w:rPr>
                    <w:t xml:space="preserve"> more than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rPr>
                          <m:t>)</m:t>
                        </m:r>
                        <m:r>
                          <m:rPr>
                            <m:nor/>
                            <m:sty m:val="p"/>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d>
                      <m:dPr>
                        <m:begChr m:val="⌊"/>
                        <m:endChr m:val="⌋"/>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cells</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cap</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rPr>
                              <m:t>)</m:t>
                            </m:r>
                            <m:r>
                              <m:rPr>
                                <m:nor/>
                                <m:sty m:val="p"/>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f>
                          <m:fPr>
                            <m:type m:val="lin"/>
                            <m:ctrlPr>
                              <w:rPr>
                                <w:rFonts w:ascii="Cambria Math" w:hAnsi="Cambria Math"/>
                                <w:i/>
                                <w:color w:val="C00000"/>
                                <w:sz w:val="20"/>
                                <w:szCs w:val="20"/>
                                <w:u w:val="single"/>
                              </w:rPr>
                            </m:ctrlPr>
                          </m:fPr>
                          <m:num>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sz w:val="21"/>
                                        <w:szCs w:val="21"/>
                                        <w:u w:val="single"/>
                                      </w:rPr>
                                      <m:t>)</m:t>
                                    </m:r>
                                    <m:r>
                                      <m:rPr>
                                        <m:nor/>
                                        <m:sty m:val="p"/>
                                      </m:rPr>
                                      <w:rPr>
                                        <w:color w:val="C0000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sz w:val="21"/>
                                        <w:szCs w:val="21"/>
                                        <w:u w:val="single"/>
                                      </w:rPr>
                                      <m:t>)</m:t>
                                    </m:r>
                                    <m:r>
                                      <m:rPr>
                                        <m:nor/>
                                        <m:sty m:val="p"/>
                                      </m:rPr>
                                      <w:rPr>
                                        <w:color w:val="C0000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ctrlPr>
                                  <w:rPr>
                                    <w:rFonts w:ascii="Cambria Math" w:hAnsi="Cambria Math"/>
                                    <w:i/>
                                    <w:color w:val="C00000"/>
                                    <w:sz w:val="20"/>
                                    <w:szCs w:val="20"/>
                                    <w:u w:val="single"/>
                                  </w:rPr>
                                </m:ctrlPr>
                              </m:e>
                            </m:d>
                            <m:ctrlPr>
                              <w:rPr>
                                <w:rFonts w:ascii="Cambria Math" w:hAnsi="Cambria Math"/>
                                <w:i/>
                                <w:color w:val="C00000"/>
                                <w:sz w:val="20"/>
                                <w:szCs w:val="20"/>
                                <w:u w:val="single"/>
                              </w:rPr>
                            </m:ctrlPr>
                          </m:num>
                          <m:den>
                            <m:nary>
                              <m:naryPr>
                                <m:chr m:val="∑"/>
                                <m:ctrlPr>
                                  <w:rPr>
                                    <w:rFonts w:ascii="Cambria Math" w:hAnsi="Cambria Math"/>
                                    <w:i/>
                                    <w:color w:val="C00000"/>
                                    <w:sz w:val="20"/>
                                    <w:szCs w:val="20"/>
                                    <w:u w:val="single"/>
                                  </w:rPr>
                                </m:ctrlPr>
                              </m:naryPr>
                              <m:sub>
                                <m:r>
                                  <w:rPr>
                                    <w:rFonts w:ascii="Cambria Math" w:hAnsi="Cambria Math"/>
                                    <w:color w:val="C00000"/>
                                    <w:sz w:val="20"/>
                                    <w:szCs w:val="20"/>
                                    <w:u w:val="single"/>
                                  </w:rPr>
                                  <m:t>j=0</m:t>
                                </m:r>
                                <m:ctrlPr>
                                  <w:rPr>
                                    <w:rFonts w:ascii="Cambria Math" w:hAnsi="Cambria Math"/>
                                    <w:i/>
                                    <w:color w:val="C00000"/>
                                    <w:sz w:val="20"/>
                                    <w:szCs w:val="20"/>
                                    <w:u w:val="single"/>
                                  </w:rPr>
                                </m:ctrlPr>
                              </m:sub>
                              <m:sup>
                                <m:r>
                                  <w:rPr>
                                    <w:rFonts w:ascii="Cambria Math" w:hAnsi="Cambria Math"/>
                                    <w:color w:val="C00000"/>
                                    <w:sz w:val="20"/>
                                    <w:szCs w:val="20"/>
                                    <w:u w:val="single"/>
                                  </w:rPr>
                                  <m:t>6</m:t>
                                </m:r>
                                <m:ctrlPr>
                                  <w:rPr>
                                    <w:rFonts w:ascii="Cambria Math" w:hAnsi="Cambria Math"/>
                                    <w:i/>
                                    <w:color w:val="C00000"/>
                                    <w:sz w:val="20"/>
                                    <w:szCs w:val="20"/>
                                    <w:u w:val="single"/>
                                  </w:rPr>
                                </m:ctrlPr>
                              </m:sup>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sz w:val="21"/>
                                            <w:szCs w:val="21"/>
                                            <w:u w:val="single"/>
                                          </w:rPr>
                                          <m:t>)</m:t>
                                        </m:r>
                                        <m:r>
                                          <m:rPr>
                                            <m:nor/>
                                            <m:sty m:val="p"/>
                                          </m:rPr>
                                          <w:rPr>
                                            <w:color w:val="C0000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sz w:val="21"/>
                                            <w:szCs w:val="21"/>
                                            <w:u w:val="single"/>
                                          </w:rPr>
                                          <m:t>)</m:t>
                                        </m:r>
                                        <m:r>
                                          <m:rPr>
                                            <m:nor/>
                                            <m:sty m:val="p"/>
                                          </m:rPr>
                                          <w:rPr>
                                            <w:color w:val="C0000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ctrlPr>
                                      <w:rPr>
                                        <w:rFonts w:ascii="Cambria Math" w:hAnsi="Cambria Math"/>
                                        <w:i/>
                                        <w:color w:val="C00000"/>
                                        <w:sz w:val="20"/>
                                        <w:szCs w:val="20"/>
                                        <w:u w:val="single"/>
                                      </w:rPr>
                                    </m:ctrlPr>
                                  </m:e>
                                </m:d>
                                <m:ctrlPr>
                                  <w:rPr>
                                    <w:rFonts w:ascii="Cambria Math" w:hAnsi="Cambria Math"/>
                                    <w:i/>
                                    <w:color w:val="C00000"/>
                                    <w:sz w:val="20"/>
                                    <w:szCs w:val="20"/>
                                    <w:u w:val="single"/>
                                  </w:rPr>
                                </m:ctrlPr>
                              </m:e>
                            </m:nary>
                            <m:ctrlPr>
                              <w:rPr>
                                <w:rFonts w:ascii="Cambria Math" w:hAnsi="Cambria Math"/>
                                <w:i/>
                                <w:color w:val="C00000"/>
                                <w:sz w:val="20"/>
                                <w:szCs w:val="20"/>
                                <w:u w:val="single"/>
                              </w:rPr>
                            </m:ctrlPr>
                          </m:den>
                        </m:f>
                        <m:ctrlPr>
                          <w:rPr>
                            <w:rFonts w:ascii="Cambria Math" w:hAnsi="Cambria Math"/>
                            <w:i/>
                            <w:color w:val="C00000"/>
                            <w:sz w:val="20"/>
                            <w:szCs w:val="20"/>
                            <w:u w:val="single"/>
                          </w:rPr>
                        </m:ctrlPr>
                      </m:e>
                    </m:d>
                  </m:oMath>
                  <w:r>
                    <w:rPr>
                      <w:rFonts w:ascii="Times New Roman" w:hAnsi="Times New Roman"/>
                      <w:color w:val="C00000"/>
                      <w:sz w:val="20"/>
                      <w:szCs w:val="20"/>
                      <w:u w:val="single"/>
                      <w:lang w:eastAsia="ko-KR"/>
                    </w:rPr>
                    <w:t xml:space="preserve"> </w:t>
                  </w:r>
                  <w:r>
                    <w:rPr>
                      <w:rFonts w:ascii="Times New Roman" w:hAnsi="Times New Roman"/>
                      <w:color w:val="C00000"/>
                      <w:sz w:val="20"/>
                      <w:szCs w:val="20"/>
                      <w:u w:val="single"/>
                    </w:rPr>
                    <w:t xml:space="preserve"> PDCCH candidates or more than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rPr>
                          <m:t>)</m:t>
                        </m:r>
                        <m:r>
                          <m:rPr>
                            <m:nor/>
                            <m:sty m:val="p"/>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d>
                      <m:dPr>
                        <m:begChr m:val="⌊"/>
                        <m:endChr m:val="⌋"/>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cells</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cap</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rPr>
                              <m:t>)</m:t>
                            </m:r>
                            <m:r>
                              <m:rPr>
                                <m:nor/>
                                <m:sty m:val="p"/>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f>
                          <m:fPr>
                            <m:type m:val="lin"/>
                            <m:ctrlPr>
                              <w:rPr>
                                <w:rFonts w:ascii="Cambria Math" w:hAnsi="Cambria Math"/>
                                <w:i/>
                                <w:color w:val="C00000"/>
                                <w:sz w:val="20"/>
                                <w:szCs w:val="20"/>
                                <w:u w:val="single"/>
                              </w:rPr>
                            </m:ctrlPr>
                          </m:fPr>
                          <m:num>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rPr>
                                      <m:t>)</m:t>
                                    </m:r>
                                    <m:r>
                                      <m:rPr>
                                        <m:nor/>
                                        <m:sty m:val="p"/>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rPr>
                                      <m:t>)</m:t>
                                    </m:r>
                                    <m:r>
                                      <m:rPr>
                                        <m:nor/>
                                        <m:sty m:val="p"/>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ctrlPr>
                                  <w:rPr>
                                    <w:rFonts w:ascii="Cambria Math" w:hAnsi="Cambria Math"/>
                                    <w:i/>
                                    <w:color w:val="C00000"/>
                                    <w:sz w:val="20"/>
                                    <w:szCs w:val="20"/>
                                    <w:u w:val="single"/>
                                  </w:rPr>
                                </m:ctrlPr>
                              </m:e>
                            </m:d>
                            <m:ctrlPr>
                              <w:rPr>
                                <w:rFonts w:ascii="Cambria Math" w:hAnsi="Cambria Math"/>
                                <w:i/>
                                <w:color w:val="C00000"/>
                                <w:sz w:val="20"/>
                                <w:szCs w:val="20"/>
                                <w:u w:val="single"/>
                              </w:rPr>
                            </m:ctrlPr>
                          </m:num>
                          <m:den>
                            <m:nary>
                              <m:naryPr>
                                <m:chr m:val="∑"/>
                                <m:ctrlPr>
                                  <w:rPr>
                                    <w:rFonts w:ascii="Cambria Math" w:hAnsi="Cambria Math"/>
                                    <w:i/>
                                    <w:color w:val="C00000"/>
                                    <w:sz w:val="20"/>
                                    <w:szCs w:val="20"/>
                                    <w:u w:val="single"/>
                                  </w:rPr>
                                </m:ctrlPr>
                              </m:naryPr>
                              <m:sub>
                                <m:r>
                                  <w:rPr>
                                    <w:rFonts w:ascii="Cambria Math" w:hAnsi="Cambria Math"/>
                                    <w:color w:val="C00000"/>
                                    <w:sz w:val="20"/>
                                    <w:szCs w:val="20"/>
                                    <w:u w:val="single"/>
                                  </w:rPr>
                                  <m:t>j=0</m:t>
                                </m:r>
                                <m:ctrlPr>
                                  <w:rPr>
                                    <w:rFonts w:ascii="Cambria Math" w:hAnsi="Cambria Math"/>
                                    <w:i/>
                                    <w:color w:val="C00000"/>
                                    <w:sz w:val="20"/>
                                    <w:szCs w:val="20"/>
                                    <w:u w:val="single"/>
                                  </w:rPr>
                                </m:ctrlPr>
                              </m:sub>
                              <m:sup>
                                <m:r>
                                  <w:rPr>
                                    <w:rFonts w:ascii="Cambria Math" w:hAnsi="Cambria Math"/>
                                    <w:color w:val="C00000"/>
                                    <w:sz w:val="20"/>
                                    <w:szCs w:val="20"/>
                                    <w:u w:val="single"/>
                                  </w:rPr>
                                  <m:t>6</m:t>
                                </m:r>
                                <m:ctrlPr>
                                  <w:rPr>
                                    <w:rFonts w:ascii="Cambria Math" w:hAnsi="Cambria Math"/>
                                    <w:i/>
                                    <w:color w:val="C00000"/>
                                    <w:sz w:val="20"/>
                                    <w:szCs w:val="20"/>
                                    <w:u w:val="single"/>
                                  </w:rPr>
                                </m:ctrlPr>
                              </m:sup>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rPr>
                                          <m:t>)</m:t>
                                        </m:r>
                                        <m:r>
                                          <m:rPr>
                                            <m:nor/>
                                            <m:sty m:val="p"/>
                                          </m:rPr>
                                          <w:rPr>
                                            <w:rFonts w:ascii="Times New Roman" w:hAnsi="Times New Roman"/>
                                            <w:color w:val="C00000"/>
                                            <w:sz w:val="20"/>
                                            <w:szCs w:val="2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rPr>
                                          <m:t>)</m:t>
                                        </m:r>
                                        <m:r>
                                          <m:rPr>
                                            <m:nor/>
                                            <m:sty m:val="p"/>
                                          </m:rPr>
                                          <w:rPr>
                                            <w:rFonts w:ascii="Times New Roman" w:hAnsi="Times New Roman"/>
                                            <w:color w:val="C00000"/>
                                            <w:sz w:val="20"/>
                                            <w:szCs w:val="2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ctrlPr>
                                      <w:rPr>
                                        <w:rFonts w:ascii="Cambria Math" w:hAnsi="Cambria Math"/>
                                        <w:i/>
                                        <w:color w:val="C00000"/>
                                        <w:sz w:val="20"/>
                                        <w:szCs w:val="20"/>
                                        <w:u w:val="single"/>
                                      </w:rPr>
                                    </m:ctrlPr>
                                  </m:e>
                                </m:d>
                                <m:ctrlPr>
                                  <w:rPr>
                                    <w:rFonts w:ascii="Cambria Math" w:hAnsi="Cambria Math"/>
                                    <w:i/>
                                    <w:color w:val="C00000"/>
                                    <w:sz w:val="20"/>
                                    <w:szCs w:val="20"/>
                                    <w:u w:val="single"/>
                                  </w:rPr>
                                </m:ctrlPr>
                              </m:e>
                            </m:nary>
                            <m:ctrlPr>
                              <w:rPr>
                                <w:rFonts w:ascii="Cambria Math" w:hAnsi="Cambria Math"/>
                                <w:i/>
                                <w:color w:val="C00000"/>
                                <w:sz w:val="20"/>
                                <w:szCs w:val="20"/>
                                <w:u w:val="single"/>
                              </w:rPr>
                            </m:ctrlPr>
                          </m:den>
                        </m:f>
                        <m:ctrlPr>
                          <w:rPr>
                            <w:rFonts w:ascii="Cambria Math" w:hAnsi="Cambria Math"/>
                            <w:i/>
                            <w:color w:val="C00000"/>
                            <w:sz w:val="20"/>
                            <w:szCs w:val="20"/>
                            <w:u w:val="single"/>
                          </w:rPr>
                        </m:ctrlPr>
                      </m:e>
                    </m:d>
                  </m:oMath>
                  <w:r>
                    <w:rPr>
                      <w:rFonts w:ascii="Times New Roman" w:hAnsi="Times New Roman"/>
                      <w:color w:val="C00000"/>
                      <w:sz w:val="20"/>
                      <w:szCs w:val="20"/>
                      <w:u w:val="single"/>
                    </w:rPr>
                    <w:t xml:space="preserve"> non-overlapped CCEs. </w:t>
                  </w:r>
                </w:p>
                <w:p>
                  <w:pPr>
                    <w:pStyle w:val="82"/>
                    <w:widowControl w:val="0"/>
                    <w:numPr>
                      <w:ilvl w:val="0"/>
                      <w:numId w:val="95"/>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t xml:space="preserve">for each </w:t>
                  </w:r>
                  <w:r>
                    <w:rPr>
                      <w:rFonts w:ascii="Times New Roman" w:hAnsi="Times New Roman"/>
                      <w:color w:val="C00000"/>
                      <w:sz w:val="20"/>
                      <w:szCs w:val="20"/>
                      <w:u w:val="single"/>
                      <w:lang w:eastAsia="ko-KR"/>
                    </w:rPr>
                    <w:t>scheduled</w:t>
                  </w:r>
                  <w:r>
                    <w:rPr>
                      <w:rFonts w:ascii="Times New Roman" w:hAnsi="Times New Roman"/>
                      <w:color w:val="C00000"/>
                      <w:sz w:val="20"/>
                      <w:szCs w:val="20"/>
                      <w:u w:val="single"/>
                    </w:rPr>
                    <w:t xml:space="preserve"> cell from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rPr>
                          <m:t>)</m:t>
                        </m:r>
                        <m:r>
                          <m:rPr>
                            <m:nor/>
                            <m:sty m:val="p"/>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xml:space="preserve"> downlink cells, more than </w:t>
                  </w:r>
                  <m:oMath>
                    <m:func>
                      <m:funcPr>
                        <m:ctrlPr>
                          <w:rPr>
                            <w:rFonts w:ascii="Cambria Math" w:hAnsi="Cambria Math"/>
                            <w:i/>
                            <w:color w:val="C00000"/>
                            <w:sz w:val="20"/>
                            <w:szCs w:val="20"/>
                            <w:u w:val="single"/>
                          </w:rPr>
                        </m:ctrlPr>
                      </m:funcPr>
                      <m:fName>
                        <m:r>
                          <w:rPr>
                            <w:rFonts w:ascii="Cambria Math" w:hAnsi="Cambria Math"/>
                            <w:color w:val="C00000"/>
                            <w:sz w:val="20"/>
                            <w:szCs w:val="20"/>
                            <w:u w:val="single"/>
                          </w:rPr>
                          <m:t>min</m:t>
                        </m:r>
                        <m:ctrlPr>
                          <w:rPr>
                            <w:rFonts w:ascii="Cambria Math" w:hAnsi="Cambria Math"/>
                            <w:i/>
                            <w:color w:val="C00000"/>
                            <w:sz w:val="20"/>
                            <w:szCs w:val="20"/>
                            <w:u w:val="single"/>
                          </w:rPr>
                        </m:ctrlPr>
                      </m:fName>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rPr>
                                  <m:t>)</m:t>
                                </m:r>
                                <m:r>
                                  <m:rPr>
                                    <m:nor/>
                                    <m:sty m:val="p"/>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rPr>
                                  <m:t>)</m:t>
                                </m:r>
                                <m:r>
                                  <m:rPr>
                                    <m:nor/>
                                    <m:sty m:val="p"/>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ctrlPr>
                              <w:rPr>
                                <w:rFonts w:ascii="Cambria Math" w:hAnsi="Cambria Math"/>
                                <w:i/>
                                <w:color w:val="C00000"/>
                                <w:sz w:val="20"/>
                                <w:szCs w:val="20"/>
                                <w:u w:val="single"/>
                              </w:rPr>
                            </m:ctrlPr>
                          </m:e>
                        </m:d>
                        <m:ctrlPr>
                          <w:rPr>
                            <w:rFonts w:ascii="Cambria Math" w:hAnsi="Cambria Math"/>
                            <w:i/>
                            <w:color w:val="C00000"/>
                            <w:sz w:val="20"/>
                            <w:szCs w:val="20"/>
                            <w:u w:val="single"/>
                          </w:rPr>
                        </m:ctrlPr>
                      </m:e>
                    </m:func>
                  </m:oMath>
                  <w:r>
                    <w:rPr>
                      <w:rFonts w:ascii="Times New Roman" w:hAnsi="Times New Roman"/>
                      <w:color w:val="C00000"/>
                      <w:sz w:val="20"/>
                      <w:szCs w:val="20"/>
                      <w:u w:val="single"/>
                    </w:rPr>
                    <w:t xml:space="preserve"> PDCCH candidates or more than </w:t>
                  </w:r>
                  <m:oMath>
                    <m:func>
                      <m:funcPr>
                        <m:ctrlPr>
                          <w:rPr>
                            <w:rFonts w:ascii="Cambria Math" w:hAnsi="Cambria Math"/>
                            <w:i/>
                            <w:color w:val="C00000"/>
                            <w:sz w:val="20"/>
                            <w:szCs w:val="20"/>
                            <w:u w:val="single"/>
                          </w:rPr>
                        </m:ctrlPr>
                      </m:funcPr>
                      <m:fName>
                        <m:r>
                          <w:rPr>
                            <w:rFonts w:ascii="Cambria Math" w:hAnsi="Cambria Math"/>
                            <w:color w:val="C00000"/>
                            <w:sz w:val="20"/>
                            <w:szCs w:val="20"/>
                            <w:u w:val="single"/>
                          </w:rPr>
                          <m:t>min</m:t>
                        </m:r>
                        <m:ctrlPr>
                          <w:rPr>
                            <w:rFonts w:ascii="Cambria Math" w:hAnsi="Cambria Math"/>
                            <w:i/>
                            <w:color w:val="C00000"/>
                            <w:sz w:val="20"/>
                            <w:szCs w:val="20"/>
                            <w:u w:val="single"/>
                          </w:rPr>
                        </m:ctrlPr>
                      </m:fName>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rPr>
                                  <m:t>)</m:t>
                                </m:r>
                                <m:r>
                                  <m:rPr>
                                    <m:nor/>
                                    <m:sty m:val="p"/>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rPr>
                                  <m:t>)</m:t>
                                </m:r>
                                <m:r>
                                  <m:rPr>
                                    <m:nor/>
                                    <m:sty m:val="p"/>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ctrlPr>
                              <w:rPr>
                                <w:rFonts w:ascii="Cambria Math" w:hAnsi="Cambria Math"/>
                                <w:i/>
                                <w:color w:val="C00000"/>
                                <w:sz w:val="20"/>
                                <w:szCs w:val="20"/>
                                <w:u w:val="single"/>
                              </w:rPr>
                            </m:ctrlPr>
                          </m:e>
                        </m:d>
                        <m:ctrlPr>
                          <w:rPr>
                            <w:rFonts w:ascii="Cambria Math" w:hAnsi="Cambria Math"/>
                            <w:i/>
                            <w:color w:val="C00000"/>
                            <w:sz w:val="20"/>
                            <w:szCs w:val="20"/>
                            <w:u w:val="single"/>
                          </w:rPr>
                        </m:ctrlPr>
                      </m:e>
                    </m:func>
                  </m:oMath>
                  <w:r>
                    <w:rPr>
                      <w:rFonts w:ascii="Times New Roman" w:hAnsi="Times New Roman"/>
                      <w:color w:val="C00000"/>
                      <w:sz w:val="20"/>
                      <w:szCs w:val="20"/>
                      <w:u w:val="single"/>
                    </w:rPr>
                    <w:t xml:space="preserve"> non-overlapped CCEs.</w:t>
                  </w:r>
                </w:p>
                <w:p>
                  <w:pPr>
                    <w:pStyle w:val="82"/>
                    <w:widowControl w:val="0"/>
                    <w:numPr>
                      <w:ilvl w:val="0"/>
                      <w:numId w:val="95"/>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t xml:space="preserve">for each scheduled cell from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ctrlPr>
                          <w:rPr>
                            <w:rFonts w:ascii="Cambria Math" w:hAnsi="Cambria Math"/>
                            <w:i/>
                            <w:color w:val="C00000"/>
                            <w:sz w:val="20"/>
                            <w:szCs w:val="20"/>
                            <w:u w:val="single"/>
                          </w:rPr>
                        </m:ctrlPr>
                      </m:e>
                      <m:sub>
                        <m:r>
                          <m:rPr>
                            <m:nor/>
                            <m:sty m:val="p"/>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sty m:val="p"/>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ctrlPr>
                              <w:rPr>
                                <w:rFonts w:ascii="Cambria Math" w:hAnsi="Cambria Math"/>
                                <w:iCs/>
                                <w:color w:val="C00000"/>
                                <w:sz w:val="20"/>
                                <w:szCs w:val="20"/>
                                <w:u w:val="single"/>
                                <w:lang w:eastAsia="zh-CN"/>
                              </w:rPr>
                            </m:ctrlPr>
                          </m:e>
                          <m:sub>
                            <m:r>
                              <m:rPr>
                                <m:sty m:val="p"/>
                              </m:rPr>
                              <w:rPr>
                                <w:rFonts w:ascii="Cambria Math" w:hAnsi="Cambria Math"/>
                                <w:color w:val="C00000"/>
                                <w:sz w:val="20"/>
                                <w:szCs w:val="20"/>
                                <w:u w:val="single"/>
                                <w:lang w:eastAsia="zh-CN"/>
                              </w:rPr>
                              <m:t>s</m:t>
                            </m:r>
                            <m:ctrlPr>
                              <w:rPr>
                                <w:rFonts w:ascii="Cambria Math" w:hAnsi="Cambria Math"/>
                                <w:iCs/>
                                <w:color w:val="C00000"/>
                                <w:sz w:val="20"/>
                                <w:szCs w:val="20"/>
                                <w:u w:val="single"/>
                                <w:lang w:eastAsia="zh-CN"/>
                              </w:rPr>
                            </m:ctrlPr>
                          </m:sub>
                        </m:sSub>
                        <m:r>
                          <m:rPr>
                            <m:sty m:val="p"/>
                          </m:rPr>
                          <w:rPr>
                            <w:rFonts w:ascii="Cambria Math" w:hAnsi="Cambria Math"/>
                            <w:color w:val="C00000"/>
                            <w:sz w:val="20"/>
                            <w:szCs w:val="20"/>
                            <w:u w:val="single"/>
                          </w:rPr>
                          <m:t>)</m:t>
                        </m:r>
                        <m:r>
                          <m:rPr>
                            <m:nor/>
                            <m:sty m:val="p"/>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xml:space="preserve"> downlink cells,  </w:t>
                  </w:r>
                </w:p>
                <w:p>
                  <w:pPr>
                    <w:pStyle w:val="103"/>
                    <w:widowControl w:val="0"/>
                    <w:numPr>
                      <w:ilvl w:val="0"/>
                      <w:numId w:val="96"/>
                    </w:numPr>
                    <w:spacing w:before="120" w:line="280" w:lineRule="atLeast"/>
                    <w:jc w:val="both"/>
                    <w:rPr>
                      <w:color w:val="C00000"/>
                      <w:u w:val="single"/>
                    </w:rPr>
                  </w:pPr>
                  <w:r>
                    <w:rPr>
                      <w:color w:val="C00000"/>
                      <w:u w:val="single"/>
                    </w:rPr>
                    <w:t xml:space="preserve">more than </w:t>
                  </w:r>
                  <m:oMath>
                    <m:func>
                      <m:funcPr>
                        <m:ctrlPr>
                          <w:rPr>
                            <w:rFonts w:ascii="Cambria Math" w:hAnsi="Cambria Math"/>
                            <w:i/>
                            <w:color w:val="C00000"/>
                            <w:u w:val="single"/>
                          </w:rPr>
                        </m:ctrlPr>
                      </m:funcPr>
                      <m:fName>
                        <m:r>
                          <w:rPr>
                            <w:rFonts w:ascii="Cambria Math" w:hAnsi="Cambria Math"/>
                            <w:color w:val="C00000"/>
                            <w:u w:val="single"/>
                          </w:rPr>
                          <m:t>min</m:t>
                        </m:r>
                        <m:ctrlPr>
                          <w:rPr>
                            <w:rFonts w:ascii="Cambria Math" w:hAnsi="Cambria Math"/>
                            <w:i/>
                            <w:color w:val="C00000"/>
                            <w:u w:val="single"/>
                          </w:rPr>
                        </m:ctrlP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γ∙M</m:t>
                                </m:r>
                                <m:ctrlPr>
                                  <w:rPr>
                                    <w:rFonts w:ascii="Cambria Math" w:hAnsi="Cambria Math"/>
                                    <w:i/>
                                    <w:color w:val="C00000"/>
                                    <w:u w:val="single"/>
                                  </w:rPr>
                                </m:ctrlPr>
                              </m:e>
                              <m:sub>
                                <m:r>
                                  <m:rPr>
                                    <m:nor/>
                                    <m:sty m:val="p"/>
                                  </m:rPr>
                                  <w:rPr>
                                    <w:color w:val="C00000"/>
                                    <w:u w:val="single"/>
                                  </w:rPr>
                                  <m:t>PDCCH</m:t>
                                </m:r>
                                <m:ctrlPr>
                                  <w:rPr>
                                    <w:rFonts w:ascii="Cambria Math" w:hAnsi="Cambria Math"/>
                                    <w:color w:val="C00000"/>
                                    <w:u w:val="single"/>
                                  </w:rPr>
                                </m:ctrlPr>
                              </m:sub>
                              <m:sup>
                                <m:r>
                                  <m:rPr>
                                    <m:nor/>
                                    <m:sty m:val="p"/>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rPr>
                                  <m:t>)</m:t>
                                </m:r>
                                <m:r>
                                  <m:rPr>
                                    <m:nor/>
                                    <m:sty m:val="p"/>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M</m:t>
                                </m:r>
                                <m:ctrlPr>
                                  <w:rPr>
                                    <w:rFonts w:ascii="Cambria Math" w:hAnsi="Cambria Math"/>
                                    <w:i/>
                                    <w:color w:val="C00000"/>
                                    <w:u w:val="single"/>
                                  </w:rPr>
                                </m:ctrlPr>
                              </m:e>
                              <m:sub>
                                <m:r>
                                  <m:rPr>
                                    <m:nor/>
                                    <m:sty m:val="p"/>
                                  </m:rPr>
                                  <w:rPr>
                                    <w:color w:val="C00000"/>
                                    <w:u w:val="single"/>
                                  </w:rPr>
                                  <m:t>PDCCH</m:t>
                                </m:r>
                                <m:ctrlPr>
                                  <w:rPr>
                                    <w:rFonts w:ascii="Cambria Math" w:hAnsi="Cambria Math"/>
                                    <w:color w:val="C00000"/>
                                    <w:u w:val="single"/>
                                  </w:rPr>
                                </m:ctrlPr>
                              </m:sub>
                              <m:sup>
                                <m:r>
                                  <m:rPr>
                                    <m:nor/>
                                    <m:sty m:val="p"/>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rPr>
                                  <m:t>)</m:t>
                                </m:r>
                                <m:r>
                                  <m:rPr>
                                    <m:nor/>
                                    <m:sty m:val="p"/>
                                  </m:rPr>
                                  <w:rPr>
                                    <w:color w:val="C00000"/>
                                    <w:u w:val="single"/>
                                  </w:rPr>
                                  <m:t>,</m:t>
                                </m:r>
                                <m:r>
                                  <w:rPr>
                                    <w:rFonts w:ascii="Cambria Math" w:hAnsi="Cambria Math"/>
                                    <w:color w:val="C00000"/>
                                    <w:u w:val="single"/>
                                  </w:rPr>
                                  <m:t>μ</m:t>
                                </m:r>
                                <m:ctrlPr>
                                  <w:rPr>
                                    <w:rFonts w:ascii="Cambria Math" w:hAnsi="Cambria Math"/>
                                    <w:color w:val="C00000"/>
                                    <w:u w:val="single"/>
                                  </w:rPr>
                                </m:ctrlPr>
                              </m:sup>
                            </m:sSubSup>
                            <m:ctrlPr>
                              <w:rPr>
                                <w:rFonts w:ascii="Cambria Math" w:hAnsi="Cambria Math"/>
                                <w:i/>
                                <w:color w:val="C00000"/>
                                <w:u w:val="single"/>
                              </w:rPr>
                            </m:ctrlPr>
                          </m:e>
                        </m:d>
                        <m:ctrlPr>
                          <w:rPr>
                            <w:rFonts w:ascii="Cambria Math" w:hAnsi="Cambria Math"/>
                            <w:i/>
                            <w:color w:val="C00000"/>
                            <w:u w:val="single"/>
                          </w:rPr>
                        </m:ctrlPr>
                      </m:e>
                    </m:func>
                  </m:oMath>
                  <w:r>
                    <w:rPr>
                      <w:color w:val="C00000"/>
                      <w:u w:val="single"/>
                    </w:rPr>
                    <w:t xml:space="preserve"> PDCCH candidates or more than </w:t>
                  </w:r>
                  <m:oMath>
                    <m:func>
                      <m:funcPr>
                        <m:ctrlPr>
                          <w:rPr>
                            <w:rFonts w:ascii="Cambria Math" w:hAnsi="Cambria Math"/>
                            <w:i/>
                            <w:color w:val="C00000"/>
                            <w:u w:val="single"/>
                          </w:rPr>
                        </m:ctrlPr>
                      </m:funcPr>
                      <m:fName>
                        <m:r>
                          <w:rPr>
                            <w:rFonts w:ascii="Cambria Math" w:hAnsi="Cambria Math"/>
                            <w:color w:val="C00000"/>
                            <w:u w:val="single"/>
                          </w:rPr>
                          <m:t>min</m:t>
                        </m:r>
                        <m:ctrlPr>
                          <w:rPr>
                            <w:rFonts w:ascii="Cambria Math" w:hAnsi="Cambria Math"/>
                            <w:i/>
                            <w:color w:val="C00000"/>
                            <w:u w:val="single"/>
                          </w:rPr>
                        </m:ctrlP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γ∙C</m:t>
                                </m:r>
                                <m:ctrlPr>
                                  <w:rPr>
                                    <w:rFonts w:ascii="Cambria Math" w:hAnsi="Cambria Math"/>
                                    <w:i/>
                                    <w:color w:val="C00000"/>
                                    <w:u w:val="single"/>
                                  </w:rPr>
                                </m:ctrlPr>
                              </m:e>
                              <m:sub>
                                <m:r>
                                  <m:rPr>
                                    <m:nor/>
                                    <m:sty m:val="p"/>
                                  </m:rPr>
                                  <w:rPr>
                                    <w:color w:val="C00000"/>
                                    <w:u w:val="single"/>
                                  </w:rPr>
                                  <m:t>PDCCH</m:t>
                                </m:r>
                                <m:ctrlPr>
                                  <w:rPr>
                                    <w:rFonts w:ascii="Cambria Math" w:hAnsi="Cambria Math"/>
                                    <w:color w:val="C00000"/>
                                    <w:u w:val="single"/>
                                  </w:rPr>
                                </m:ctrlPr>
                              </m:sub>
                              <m:sup>
                                <m:r>
                                  <m:rPr>
                                    <m:nor/>
                                    <m:sty m:val="p"/>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rPr>
                                  <m:t>)</m:t>
                                </m:r>
                                <m:r>
                                  <m:rPr>
                                    <m:nor/>
                                    <m:sty m:val="p"/>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C</m:t>
                                </m:r>
                                <m:ctrlPr>
                                  <w:rPr>
                                    <w:rFonts w:ascii="Cambria Math" w:hAnsi="Cambria Math"/>
                                    <w:i/>
                                    <w:color w:val="C00000"/>
                                    <w:u w:val="single"/>
                                  </w:rPr>
                                </m:ctrlPr>
                              </m:e>
                              <m:sub>
                                <m:r>
                                  <m:rPr>
                                    <m:nor/>
                                    <m:sty m:val="p"/>
                                  </m:rPr>
                                  <w:rPr>
                                    <w:color w:val="C00000"/>
                                    <w:u w:val="single"/>
                                  </w:rPr>
                                  <m:t>PDCCH</m:t>
                                </m:r>
                                <m:ctrlPr>
                                  <w:rPr>
                                    <w:rFonts w:ascii="Cambria Math" w:hAnsi="Cambria Math"/>
                                    <w:color w:val="C00000"/>
                                    <w:u w:val="single"/>
                                  </w:rPr>
                                </m:ctrlPr>
                              </m:sub>
                              <m:sup>
                                <m:r>
                                  <m:rPr>
                                    <m:nor/>
                                    <m:sty m:val="p"/>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rPr>
                                  <m:t>)</m:t>
                                </m:r>
                                <m:r>
                                  <m:rPr>
                                    <m:nor/>
                                    <m:sty m:val="p"/>
                                  </m:rPr>
                                  <w:rPr>
                                    <w:color w:val="C00000"/>
                                    <w:u w:val="single"/>
                                  </w:rPr>
                                  <m:t>,</m:t>
                                </m:r>
                                <m:r>
                                  <w:rPr>
                                    <w:rFonts w:ascii="Cambria Math" w:hAnsi="Cambria Math"/>
                                    <w:color w:val="C00000"/>
                                    <w:u w:val="single"/>
                                  </w:rPr>
                                  <m:t>μ</m:t>
                                </m:r>
                                <m:ctrlPr>
                                  <w:rPr>
                                    <w:rFonts w:ascii="Cambria Math" w:hAnsi="Cambria Math"/>
                                    <w:color w:val="C00000"/>
                                    <w:u w:val="single"/>
                                  </w:rPr>
                                </m:ctrlPr>
                              </m:sup>
                            </m:sSubSup>
                            <m:ctrlPr>
                              <w:rPr>
                                <w:rFonts w:ascii="Cambria Math" w:hAnsi="Cambria Math"/>
                                <w:i/>
                                <w:color w:val="C00000"/>
                                <w:u w:val="single"/>
                              </w:rPr>
                            </m:ctrlPr>
                          </m:e>
                        </m:d>
                        <m:ctrlPr>
                          <w:rPr>
                            <w:rFonts w:ascii="Cambria Math" w:hAnsi="Cambria Math"/>
                            <w:i/>
                            <w:color w:val="C00000"/>
                            <w:u w:val="single"/>
                          </w:rPr>
                        </m:ctrlPr>
                      </m:e>
                    </m:func>
                  </m:oMath>
                  <w:r>
                    <w:rPr>
                      <w:color w:val="C00000"/>
                      <w:u w:val="single"/>
                    </w:rPr>
                    <w:t xml:space="preserve"> non-overlapped CCEs </w:t>
                  </w:r>
                </w:p>
                <w:p>
                  <w:pPr>
                    <w:pStyle w:val="103"/>
                    <w:widowControl w:val="0"/>
                    <w:numPr>
                      <w:ilvl w:val="0"/>
                      <w:numId w:val="96"/>
                    </w:numPr>
                    <w:spacing w:before="120" w:line="280" w:lineRule="atLeast"/>
                    <w:jc w:val="both"/>
                    <w:rPr>
                      <w:color w:val="C00000"/>
                      <w:u w:val="single"/>
                    </w:rPr>
                  </w:pPr>
                  <w:r>
                    <w:rPr>
                      <w:color w:val="C00000"/>
                      <w:u w:val="single"/>
                    </w:rPr>
                    <w:t xml:space="preserve">more than </w:t>
                  </w:r>
                  <m:oMath>
                    <m:func>
                      <m:funcPr>
                        <m:ctrlPr>
                          <w:rPr>
                            <w:rFonts w:ascii="Cambria Math" w:hAnsi="Cambria Math"/>
                            <w:i/>
                            <w:color w:val="C00000"/>
                            <w:u w:val="single"/>
                          </w:rPr>
                        </m:ctrlPr>
                      </m:funcPr>
                      <m:fName>
                        <m:r>
                          <w:rPr>
                            <w:rFonts w:ascii="Cambria Math" w:hAnsi="Cambria Math"/>
                            <w:color w:val="C00000"/>
                            <w:u w:val="single"/>
                          </w:rPr>
                          <m:t>min</m:t>
                        </m:r>
                        <m:ctrlPr>
                          <w:rPr>
                            <w:rFonts w:ascii="Cambria Math" w:hAnsi="Cambria Math"/>
                            <w:i/>
                            <w:color w:val="C00000"/>
                            <w:u w:val="single"/>
                          </w:rPr>
                        </m:ctrlP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M</m:t>
                                </m:r>
                                <m:ctrlPr>
                                  <w:rPr>
                                    <w:rFonts w:ascii="Cambria Math" w:hAnsi="Cambria Math"/>
                                    <w:i/>
                                    <w:color w:val="C00000"/>
                                    <w:u w:val="single"/>
                                  </w:rPr>
                                </m:ctrlPr>
                              </m:e>
                              <m:sub>
                                <m:r>
                                  <m:rPr>
                                    <m:nor/>
                                    <m:sty m:val="p"/>
                                  </m:rPr>
                                  <w:rPr>
                                    <w:color w:val="C00000"/>
                                    <w:u w:val="single"/>
                                  </w:rPr>
                                  <m:t>PDCCH</m:t>
                                </m:r>
                                <m:ctrlPr>
                                  <w:rPr>
                                    <w:rFonts w:ascii="Cambria Math" w:hAnsi="Cambria Math"/>
                                    <w:color w:val="C00000"/>
                                    <w:u w:val="single"/>
                                  </w:rPr>
                                </m:ctrlPr>
                              </m:sub>
                              <m:sup>
                                <m:r>
                                  <m:rPr>
                                    <m:nor/>
                                    <m:sty m:val="p"/>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rPr>
                                  <m:t>)</m:t>
                                </m:r>
                                <m:r>
                                  <m:rPr>
                                    <m:nor/>
                                    <m:sty m:val="p"/>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M</m:t>
                                </m:r>
                                <m:ctrlPr>
                                  <w:rPr>
                                    <w:rFonts w:ascii="Cambria Math" w:hAnsi="Cambria Math"/>
                                    <w:i/>
                                    <w:color w:val="C00000"/>
                                    <w:u w:val="single"/>
                                  </w:rPr>
                                </m:ctrlPr>
                              </m:e>
                              <m:sub>
                                <m:r>
                                  <m:rPr>
                                    <m:nor/>
                                    <m:sty m:val="p"/>
                                  </m:rPr>
                                  <w:rPr>
                                    <w:color w:val="C00000"/>
                                    <w:u w:val="single"/>
                                  </w:rPr>
                                  <m:t>PDCCH</m:t>
                                </m:r>
                                <m:ctrlPr>
                                  <w:rPr>
                                    <w:rFonts w:ascii="Cambria Math" w:hAnsi="Cambria Math"/>
                                    <w:color w:val="C00000"/>
                                    <w:u w:val="single"/>
                                  </w:rPr>
                                </m:ctrlPr>
                              </m:sub>
                              <m:sup>
                                <m:r>
                                  <m:rPr>
                                    <m:nor/>
                                    <m:sty m:val="p"/>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rPr>
                                  <m:t>)</m:t>
                                </m:r>
                                <m:r>
                                  <m:rPr>
                                    <m:nor/>
                                    <m:sty m:val="p"/>
                                  </m:rPr>
                                  <w:rPr>
                                    <w:color w:val="C00000"/>
                                    <w:u w:val="single"/>
                                  </w:rPr>
                                  <m:t>,</m:t>
                                </m:r>
                                <m:r>
                                  <w:rPr>
                                    <w:rFonts w:ascii="Cambria Math" w:hAnsi="Cambria Math"/>
                                    <w:color w:val="C00000"/>
                                    <w:u w:val="single"/>
                                  </w:rPr>
                                  <m:t>μ</m:t>
                                </m:r>
                                <m:ctrlPr>
                                  <w:rPr>
                                    <w:rFonts w:ascii="Cambria Math" w:hAnsi="Cambria Math"/>
                                    <w:color w:val="C00000"/>
                                    <w:u w:val="single"/>
                                  </w:rPr>
                                </m:ctrlPr>
                              </m:sup>
                            </m:sSubSup>
                            <m:ctrlPr>
                              <w:rPr>
                                <w:rFonts w:ascii="Cambria Math" w:hAnsi="Cambria Math"/>
                                <w:i/>
                                <w:color w:val="C00000"/>
                                <w:u w:val="single"/>
                              </w:rPr>
                            </m:ctrlPr>
                          </m:e>
                        </m:d>
                        <m:ctrlPr>
                          <w:rPr>
                            <w:rFonts w:ascii="Cambria Math" w:hAnsi="Cambria Math"/>
                            <w:i/>
                            <w:color w:val="C00000"/>
                            <w:u w:val="single"/>
                          </w:rPr>
                        </m:ctrlPr>
                      </m:e>
                    </m:func>
                  </m:oMath>
                  <w:r>
                    <w:rPr>
                      <w:color w:val="C00000"/>
                      <w:u w:val="single"/>
                    </w:rPr>
                    <w:t xml:space="preserve"> PDCCH candidates or more than </w:t>
                  </w:r>
                  <m:oMath>
                    <m:func>
                      <m:funcPr>
                        <m:ctrlPr>
                          <w:rPr>
                            <w:rFonts w:ascii="Cambria Math" w:hAnsi="Cambria Math"/>
                            <w:i/>
                            <w:color w:val="C00000"/>
                            <w:u w:val="single"/>
                          </w:rPr>
                        </m:ctrlPr>
                      </m:funcPr>
                      <m:fName>
                        <m:r>
                          <w:rPr>
                            <w:rFonts w:ascii="Cambria Math" w:hAnsi="Cambria Math"/>
                            <w:color w:val="C00000"/>
                            <w:u w:val="single"/>
                          </w:rPr>
                          <m:t>min</m:t>
                        </m:r>
                        <m:ctrlPr>
                          <w:rPr>
                            <w:rFonts w:ascii="Cambria Math" w:hAnsi="Cambria Math"/>
                            <w:i/>
                            <w:color w:val="C00000"/>
                            <w:u w:val="single"/>
                          </w:rPr>
                        </m:ctrlP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C</m:t>
                                </m:r>
                                <m:ctrlPr>
                                  <w:rPr>
                                    <w:rFonts w:ascii="Cambria Math" w:hAnsi="Cambria Math"/>
                                    <w:i/>
                                    <w:color w:val="C00000"/>
                                    <w:u w:val="single"/>
                                  </w:rPr>
                                </m:ctrlPr>
                              </m:e>
                              <m:sub>
                                <m:r>
                                  <m:rPr>
                                    <m:nor/>
                                    <m:sty m:val="p"/>
                                  </m:rPr>
                                  <w:rPr>
                                    <w:color w:val="C00000"/>
                                    <w:u w:val="single"/>
                                  </w:rPr>
                                  <m:t>PDCCH</m:t>
                                </m:r>
                                <m:ctrlPr>
                                  <w:rPr>
                                    <w:rFonts w:ascii="Cambria Math" w:hAnsi="Cambria Math"/>
                                    <w:color w:val="C00000"/>
                                    <w:u w:val="single"/>
                                  </w:rPr>
                                </m:ctrlPr>
                              </m:sub>
                              <m:sup>
                                <m:r>
                                  <m:rPr>
                                    <m:nor/>
                                    <m:sty m:val="p"/>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rPr>
                                  <m:t>)</m:t>
                                </m:r>
                                <m:r>
                                  <m:rPr>
                                    <m:nor/>
                                    <m:sty m:val="p"/>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C</m:t>
                                </m:r>
                                <m:ctrlPr>
                                  <w:rPr>
                                    <w:rFonts w:ascii="Cambria Math" w:hAnsi="Cambria Math"/>
                                    <w:i/>
                                    <w:color w:val="C00000"/>
                                    <w:u w:val="single"/>
                                  </w:rPr>
                                </m:ctrlPr>
                              </m:e>
                              <m:sub>
                                <m:r>
                                  <m:rPr>
                                    <m:nor/>
                                    <m:sty m:val="p"/>
                                  </m:rPr>
                                  <w:rPr>
                                    <w:color w:val="C00000"/>
                                    <w:u w:val="single"/>
                                  </w:rPr>
                                  <m:t>PDCCH</m:t>
                                </m:r>
                                <m:ctrlPr>
                                  <w:rPr>
                                    <w:rFonts w:ascii="Cambria Math" w:hAnsi="Cambria Math"/>
                                    <w:color w:val="C00000"/>
                                    <w:u w:val="single"/>
                                  </w:rPr>
                                </m:ctrlPr>
                              </m:sub>
                              <m:sup>
                                <m:r>
                                  <m:rPr>
                                    <m:nor/>
                                    <m:sty m:val="p"/>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ctrlPr>
                                      <w:rPr>
                                        <w:rFonts w:ascii="Cambria Math" w:hAnsi="Cambria Math"/>
                                        <w:iCs/>
                                        <w:color w:val="C00000"/>
                                        <w:u w:val="single"/>
                                        <w:lang w:eastAsia="zh-CN"/>
                                      </w:rPr>
                                    </m:ctrlPr>
                                  </m:e>
                                  <m:sub>
                                    <m:r>
                                      <m:rPr>
                                        <m:sty m:val="p"/>
                                      </m:rPr>
                                      <w:rPr>
                                        <w:rFonts w:ascii="Cambria Math" w:hAnsi="Cambria Math"/>
                                        <w:color w:val="C00000"/>
                                        <w:u w:val="single"/>
                                        <w:lang w:eastAsia="zh-CN"/>
                                      </w:rPr>
                                      <m:t>s</m:t>
                                    </m:r>
                                    <m:ctrlPr>
                                      <w:rPr>
                                        <w:rFonts w:ascii="Cambria Math" w:hAnsi="Cambria Math"/>
                                        <w:iCs/>
                                        <w:color w:val="C00000"/>
                                        <w:u w:val="single"/>
                                        <w:lang w:eastAsia="zh-CN"/>
                                      </w:rPr>
                                    </m:ctrlPr>
                                  </m:sub>
                                </m:sSub>
                                <m:r>
                                  <m:rPr>
                                    <m:sty m:val="p"/>
                                  </m:rPr>
                                  <w:rPr>
                                    <w:rFonts w:ascii="Cambria Math" w:hAnsi="Cambria Math"/>
                                    <w:color w:val="C00000"/>
                                    <w:u w:val="single"/>
                                  </w:rPr>
                                  <m:t>)</m:t>
                                </m:r>
                                <m:r>
                                  <m:rPr>
                                    <m:nor/>
                                    <m:sty m:val="p"/>
                                  </m:rPr>
                                  <w:rPr>
                                    <w:color w:val="C00000"/>
                                    <w:u w:val="single"/>
                                  </w:rPr>
                                  <m:t>,</m:t>
                                </m:r>
                                <m:r>
                                  <w:rPr>
                                    <w:rFonts w:ascii="Cambria Math" w:hAnsi="Cambria Math"/>
                                    <w:color w:val="C00000"/>
                                    <w:u w:val="single"/>
                                  </w:rPr>
                                  <m:t>μ</m:t>
                                </m:r>
                                <m:ctrlPr>
                                  <w:rPr>
                                    <w:rFonts w:ascii="Cambria Math" w:hAnsi="Cambria Math"/>
                                    <w:color w:val="C00000"/>
                                    <w:u w:val="single"/>
                                  </w:rPr>
                                </m:ctrlPr>
                              </m:sup>
                            </m:sSubSup>
                            <m:ctrlPr>
                              <w:rPr>
                                <w:rFonts w:ascii="Cambria Math" w:hAnsi="Cambria Math"/>
                                <w:i/>
                                <w:color w:val="C00000"/>
                                <w:u w:val="single"/>
                              </w:rPr>
                            </m:ctrlPr>
                          </m:e>
                        </m:d>
                        <m:ctrlPr>
                          <w:rPr>
                            <w:rFonts w:ascii="Cambria Math" w:hAnsi="Cambria Math"/>
                            <w:i/>
                            <w:color w:val="C00000"/>
                            <w:u w:val="single"/>
                          </w:rPr>
                        </m:ctrlPr>
                      </m:e>
                    </m:func>
                  </m:oMath>
                  <w:r>
                    <w:rPr>
                      <w:color w:val="C00000"/>
                      <w:u w:val="single"/>
                    </w:rPr>
                    <w:t xml:space="preserve"> non-overlapped CCEs for CORESETs with same </w:t>
                  </w:r>
                  <w:r>
                    <w:rPr>
                      <w:i/>
                      <w:iCs/>
                      <w:color w:val="C00000"/>
                      <w:u w:val="single"/>
                    </w:rPr>
                    <w:t>coresetPoolIndex</w:t>
                  </w:r>
                  <w:r>
                    <w:rPr>
                      <w:color w:val="C00000"/>
                      <w:u w:val="single"/>
                    </w:rPr>
                    <w:t xml:space="preserve"> value</w:t>
                  </w:r>
                </w:p>
                <w:p>
                  <w:pPr>
                    <w:widowControl w:val="0"/>
                    <w:jc w:val="center"/>
                    <w:rPr>
                      <w:b/>
                      <w:bCs/>
                    </w:rPr>
                  </w:pPr>
                  <w:r>
                    <w:rPr>
                      <w:color w:val="FF0000"/>
                      <w:lang w:eastAsia="zh-CN"/>
                    </w:rPr>
                    <w:t>*** Unchanged text is omitted ***</w:t>
                  </w:r>
                </w:p>
              </w:tc>
            </w:tr>
          </w:tbl>
          <w:p>
            <w:pPr>
              <w:pStyle w:val="82"/>
              <w:widowControl w:val="0"/>
              <w:spacing w:after="120"/>
              <w:ind w:left="0"/>
              <w:jc w:val="both"/>
              <w:rPr>
                <w:rFonts w:ascii="Times New Roman" w:hAnsi="Times New Roman"/>
                <w:sz w:val="20"/>
                <w:szCs w:val="20"/>
              </w:rPr>
            </w:pPr>
          </w:p>
          <w:p>
            <w:pPr>
              <w:widowControl w:val="0"/>
              <w:spacing w:before="240" w:after="0"/>
              <w:jc w:val="both"/>
              <w:rPr>
                <w:b/>
              </w:rPr>
            </w:pPr>
            <w:r>
              <w:rPr>
                <w:b/>
              </w:rPr>
              <w:t xml:space="preserve">Proposal 8: </w:t>
            </w:r>
          </w:p>
          <w:p>
            <w:pPr>
              <w:pStyle w:val="103"/>
              <w:widowControl w:val="0"/>
              <w:numPr>
                <w:ilvl w:val="0"/>
                <w:numId w:val="84"/>
              </w:numPr>
              <w:spacing w:before="60" w:after="0" w:line="240" w:lineRule="auto"/>
              <w:rPr>
                <w:lang w:eastAsia="ko-KR"/>
              </w:rPr>
            </w:pPr>
            <m:oMath>
              <m:sSubSup>
                <m:sSubSupPr>
                  <m:ctrlPr>
                    <w:rPr>
                      <w:rFonts w:ascii="Cambria Math" w:hAnsi="Cambria Math"/>
                      <w:i/>
                    </w:rPr>
                  </m:ctrlPr>
                </m:sSubSupPr>
                <m:e>
                  <m:r>
                    <w:rPr>
                      <w:rFonts w:ascii="Cambria Math"/>
                    </w:rPr>
                    <m:t>M</m:t>
                  </m:r>
                  <m:ctrlPr>
                    <w:rPr>
                      <w:rFonts w:ascii="Cambria Math" w:hAnsi="Cambria Math"/>
                      <w:i/>
                    </w:rPr>
                  </m:ctrlPr>
                </m:e>
                <m:sub>
                  <m:r>
                    <m:rPr>
                      <m:nor/>
                      <m:sty m:val="p"/>
                    </m:rPr>
                    <w:rPr>
                      <w:rFonts w:ascii="Cambria Math"/>
                    </w:rPr>
                    <m:t>PDCCH</m:t>
                  </m:r>
                  <m:ctrlPr>
                    <w:rPr>
                      <w:rFonts w:ascii="Cambria Math" w:hAnsi="Cambria Math"/>
                    </w:rPr>
                  </m:ctrlPr>
                </m:sub>
                <m:sup>
                  <m:r>
                    <m:rPr>
                      <m:nor/>
                      <m:sty m:val="p"/>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ctrlPr>
                    <w:rPr>
                      <w:rFonts w:ascii="Cambria Math" w:hAnsi="Cambria Math"/>
                      <w:i/>
                    </w:rPr>
                  </m:ctrlPr>
                </m:e>
                <m:sub>
                  <m:r>
                    <m:rPr>
                      <m:nor/>
                      <m:sty m:val="p"/>
                    </m:rPr>
                    <w:rPr>
                      <w:rFonts w:ascii="Cambria Math"/>
                    </w:rPr>
                    <m:t>PDCCH</m:t>
                  </m:r>
                  <m:ctrlPr>
                    <w:rPr>
                      <w:rFonts w:ascii="Cambria Math" w:hAnsi="Cambria Math"/>
                    </w:rPr>
                  </m:ctrlPr>
                </m:sub>
                <m:sup>
                  <m:r>
                    <m:rPr>
                      <m:nor/>
                      <m:sty m:val="p"/>
                    </m:rPr>
                    <w:rPr>
                      <w:rFonts w:ascii="Cambria Math"/>
                    </w:rPr>
                    <m:t>total,(X,Y),</m:t>
                  </m:r>
                  <m:r>
                    <w:rPr>
                      <w:rFonts w:ascii="Cambria Math"/>
                    </w:rPr>
                    <m:t>μ</m:t>
                  </m:r>
                  <m:ctrlPr>
                    <w:rPr>
                      <w:rFonts w:ascii="Cambria Math" w:hAnsi="Cambria Math"/>
                    </w:rPr>
                  </m:ctrlPr>
                </m:sup>
              </m:sSubSup>
            </m:oMath>
            <w:r>
              <w:t xml:space="preserve"> </w:t>
            </w:r>
            <w:r>
              <w:rPr>
                <w:lang w:eastAsia="zh-CN"/>
              </w:rPr>
              <w:t xml:space="preserve">needs to be determined and </w:t>
            </w:r>
            <w:r>
              <w:t xml:space="preserve">shared by all cells that are configured with scheduling cells having same </w:t>
            </w:r>
            <w:r>
              <w:rPr>
                <w:lang w:eastAsia="ko-KR"/>
              </w:rPr>
              <w:t xml:space="preserve">SCS configuration </w:t>
            </w:r>
            <m:oMath>
              <m:r>
                <m:rPr>
                  <m:sty m:val="p"/>
                </m:rPr>
                <w:rPr>
                  <w:rFonts w:ascii="Cambria Math" w:hAnsi="Cambria Math"/>
                </w:rPr>
                <m:t>μ</m:t>
              </m:r>
            </m:oMath>
            <w:r>
              <w:rPr>
                <w:lang w:eastAsia="ko-KR"/>
              </w:rPr>
              <w:t xml:space="preserve"> and same value X in combinations (X, Y). </w:t>
            </w:r>
          </w:p>
          <w:p>
            <w:pPr>
              <w:pStyle w:val="82"/>
              <w:widowControl w:val="0"/>
              <w:numPr>
                <w:ilvl w:val="0"/>
                <w:numId w:val="84"/>
              </w:numPr>
              <w:snapToGrid/>
              <w:spacing w:after="120" w:line="240" w:lineRule="auto"/>
              <w:rPr>
                <w:rFonts w:ascii="Times New Roman" w:hAnsi="Times New Roman"/>
                <w:sz w:val="20"/>
                <w:szCs w:val="20"/>
              </w:rPr>
            </w:pPr>
            <w:r>
              <w:rPr>
                <w:rFonts w:ascii="Times New Roman" w:hAnsi="Times New Roman"/>
                <w:sz w:val="20"/>
                <w:szCs w:val="20"/>
              </w:rPr>
              <w:t xml:space="preserve">Agree on TP 3 to determine </w:t>
            </w:r>
            <m:oMath>
              <m:sSubSup>
                <m:sSubSupPr>
                  <m:ctrlPr>
                    <w:rPr>
                      <w:rFonts w:ascii="Cambria Math" w:hAnsi="Cambria Math"/>
                      <w:i/>
                    </w:rPr>
                  </m:ctrlPr>
                </m:sSubSupPr>
                <m:e>
                  <m:r>
                    <w:rPr>
                      <w:rFonts w:ascii="Cambria Math"/>
                    </w:rPr>
                    <m:t>M</m:t>
                  </m:r>
                  <m:ctrlPr>
                    <w:rPr>
                      <w:rFonts w:ascii="Cambria Math" w:hAnsi="Cambria Math"/>
                      <w:i/>
                    </w:rPr>
                  </m:ctrlPr>
                </m:e>
                <m:sub>
                  <m:r>
                    <m:rPr>
                      <m:nor/>
                      <m:sty m:val="p"/>
                    </m:rPr>
                    <w:rPr>
                      <w:rFonts w:ascii="Cambria Math"/>
                    </w:rPr>
                    <m:t>PDCCH</m:t>
                  </m:r>
                  <m:ctrlPr>
                    <w:rPr>
                      <w:rFonts w:ascii="Cambria Math" w:hAnsi="Cambria Math"/>
                    </w:rPr>
                  </m:ctrlPr>
                </m:sub>
                <m:sup>
                  <m:r>
                    <m:rPr>
                      <m:nor/>
                      <m:sty m:val="p"/>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ctrlPr>
                    <w:rPr>
                      <w:rFonts w:ascii="Cambria Math" w:hAnsi="Cambria Math"/>
                      <w:i/>
                    </w:rPr>
                  </m:ctrlPr>
                </m:e>
                <m:sub>
                  <m:r>
                    <m:rPr>
                      <m:nor/>
                      <m:sty m:val="p"/>
                    </m:rPr>
                    <w:rPr>
                      <w:rFonts w:ascii="Cambria Math"/>
                    </w:rPr>
                    <m:t>PDCCH</m:t>
                  </m:r>
                  <m:ctrlPr>
                    <w:rPr>
                      <w:rFonts w:ascii="Cambria Math" w:hAnsi="Cambria Math"/>
                    </w:rPr>
                  </m:ctrlPr>
                </m:sub>
                <m:sup>
                  <m:r>
                    <m:rPr>
                      <m:nor/>
                      <m:sty m:val="p"/>
                    </m:rPr>
                    <w:rPr>
                      <w:rFonts w:ascii="Cambria Math"/>
                    </w:rPr>
                    <m:t>total,(X,Y),</m:t>
                  </m:r>
                  <m:r>
                    <w:rPr>
                      <w:rFonts w:ascii="Cambria Math"/>
                    </w:rPr>
                    <m:t>μ</m:t>
                  </m:r>
                  <m:ctrlPr>
                    <w:rPr>
                      <w:rFonts w:ascii="Cambria Math" w:hAnsi="Cambria Math"/>
                    </w:rPr>
                  </m:ctrlPr>
                </m:sup>
              </m:sSubSup>
            </m:oMath>
          </w:p>
          <w:p>
            <w:pPr>
              <w:widowControl w:val="0"/>
              <w:snapToGrid/>
              <w:spacing w:before="60" w:line="240" w:lineRule="auto"/>
              <w:jc w:val="both"/>
              <w:rPr>
                <w:bCs/>
                <w:sz w:val="20"/>
                <w:szCs w:val="20"/>
              </w:rPr>
            </w:pPr>
          </w:p>
          <w:p>
            <w:pPr>
              <w:widowControl w:val="0"/>
              <w:spacing w:before="240" w:after="0"/>
              <w:jc w:val="both"/>
              <w:rPr>
                <w:b/>
              </w:rPr>
            </w:pPr>
            <w:r>
              <w:rPr>
                <w:b/>
              </w:rPr>
              <w:t xml:space="preserve">Proposal 6: </w:t>
            </w:r>
          </w:p>
          <w:p>
            <w:pPr>
              <w:pStyle w:val="82"/>
              <w:widowControl w:val="0"/>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UE should be able to process one broadcast DCI for SI/RACH/paging in addition to the agreed number of processed unicast DCI in a slot group of X slots.</w:t>
            </w:r>
          </w:p>
          <w:p>
            <w:pPr>
              <w:pStyle w:val="82"/>
              <w:widowControl w:val="0"/>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To clarify whether a UE would be able to detect up to 8 unicast DCIs in a slot on the scheduling cell with SCS 15kHz</w:t>
            </w:r>
          </w:p>
          <w:p>
            <w:pPr>
              <w:pStyle w:val="82"/>
              <w:widowControl w:val="0"/>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The limitation on number of detected DCIs in a slot group should be discussed in UE feature for WI NR_ext_to_71GHz</w:t>
            </w:r>
          </w:p>
          <w:p>
            <w:pPr>
              <w:widowControl w:val="0"/>
              <w:snapToGrid/>
              <w:spacing w:before="60" w:line="240" w:lineRule="auto"/>
              <w:jc w:val="both"/>
              <w:rPr>
                <w:bCs/>
                <w:sz w:val="20"/>
                <w:szCs w:val="20"/>
              </w:rPr>
            </w:pPr>
          </w:p>
          <w:p>
            <w:pPr>
              <w:widowControl w:val="0"/>
              <w:jc w:val="both"/>
              <w:rPr>
                <w:lang w:eastAsia="zh-CN"/>
              </w:rPr>
            </w:pPr>
            <w:r>
              <w:rPr>
                <w:lang w:eastAsia="zh-CN"/>
              </w:rPr>
              <w:t xml:space="preserve">It is desirable if gNB can provide proper SS set configuration so that the total number of spans for all SS sets in any slot group does not exceed the defined maximum number of spans per slot group. However, there is also the case that the maximum number can be exceeded </w:t>
            </w:r>
            <w:r>
              <w:rPr>
                <w:rFonts w:hint="eastAsia"/>
                <w:lang w:eastAsia="zh-CN"/>
              </w:rPr>
              <w:t>in</w:t>
            </w:r>
            <w:r>
              <w:rPr>
                <w:lang w:eastAsia="zh-CN"/>
              </w:rPr>
              <w:t xml:space="preserve"> a slot group. Further, if the SS/PBCH block for the UE is changed, the slot/symbol position of </w:t>
            </w:r>
            <w:r>
              <w:rPr>
                <w:lang w:val="en-GB" w:eastAsia="zh-CN"/>
              </w:rPr>
              <w:t xml:space="preserve">the </w:t>
            </w:r>
            <w:r>
              <w:t xml:space="preserve">SS set with </w:t>
            </w:r>
            <w:r>
              <w:rPr>
                <w:i/>
                <w:iCs/>
              </w:rPr>
              <w:t>searchSpaceId</w:t>
            </w:r>
            <w:r>
              <w:t xml:space="preserve"> = 0 moves accordingly, which may impact the total number of spans in a slot group. A span of SS sets configured in a slot group, if it is not monitored by the UE based on a semi-static rule, may not be counted in the number of spans in the slot group. If the maximum number of spans in a slot group is exceeded, UE can drop one or more spans of at least group (1) SS sets so that the maximum number is not exceeded in the slot group.  </w:t>
            </w:r>
          </w:p>
          <w:p>
            <w:pPr>
              <w:widowControl w:val="0"/>
              <w:spacing w:before="240" w:after="0"/>
              <w:jc w:val="both"/>
              <w:rPr>
                <w:b/>
              </w:rPr>
            </w:pPr>
            <w:r>
              <w:rPr>
                <w:b/>
              </w:rPr>
              <w:t xml:space="preserve">Proposal 5: </w:t>
            </w:r>
          </w:p>
          <w:p>
            <w:pPr>
              <w:pStyle w:val="82"/>
              <w:widowControl w:val="0"/>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A span of SS sets configured in a slot group, if it is not monitored by the UE</w:t>
            </w:r>
            <w:r>
              <w:t xml:space="preserve"> </w:t>
            </w:r>
            <w:r>
              <w:rPr>
                <w:rFonts w:ascii="Times New Roman" w:hAnsi="Times New Roman"/>
                <w:sz w:val="20"/>
                <w:szCs w:val="20"/>
              </w:rPr>
              <w:t>based on a semi-static rule, may not be counted in the number of monitored spans in the slot group.</w:t>
            </w:r>
          </w:p>
          <w:p>
            <w:pPr>
              <w:pStyle w:val="82"/>
              <w:widowControl w:val="0"/>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If the maximum number of spans in a slot group is exceeded, UE can drop one or more spans of at least the group (1) SS sets</w:t>
            </w:r>
          </w:p>
          <w:p>
            <w:pPr>
              <w:widowControl w:val="0"/>
              <w:snapToGrid/>
              <w:spacing w:before="60" w:line="240" w:lineRule="auto"/>
              <w:jc w:val="both"/>
              <w:rPr>
                <w:b/>
                <w:sz w:val="20"/>
                <w:szCs w:val="20"/>
              </w:rPr>
            </w:pPr>
          </w:p>
        </w:tc>
      </w:tr>
    </w:tbl>
    <w:p>
      <w:pPr>
        <w:rPr>
          <w:lang w:eastAsia="zh-CN"/>
        </w:rPr>
      </w:pPr>
    </w:p>
    <w:p>
      <w:pPr>
        <w:pStyle w:val="4"/>
      </w:pPr>
      <w:r>
        <w:t>R1-2201735 (Ericsson)</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lang w:val="en-GB" w:eastAsia="ja-JP"/>
              </w:rPr>
            </w:pPr>
            <w:r>
              <w:rPr>
                <w:lang w:val="en-GB" w:eastAsia="ja-JP"/>
              </w:rPr>
              <w:t>The two working assumptions</w:t>
            </w:r>
          </w:p>
          <w:p>
            <w:pPr>
              <w:widowControl w:val="0"/>
              <w:spacing w:after="240"/>
              <w:ind w:left="562"/>
              <w:rPr>
                <w:lang w:eastAsia="zh-CN"/>
              </w:rPr>
            </w:pPr>
            <w:r>
              <w:rPr>
                <w:highlight w:val="darkYellow"/>
                <w:lang w:eastAsia="zh-CN"/>
              </w:rPr>
              <w:t>Working assumption:</w:t>
            </w:r>
            <w:r>
              <w:rPr>
                <w:lang w:eastAsia="zh-CN"/>
              </w:rPr>
              <w:t xml:space="preserve"> BD/CCE budget for (4,2), (4,1) is half that of X=8</w:t>
            </w:r>
          </w:p>
          <w:p>
            <w:pPr>
              <w:widowControl w:val="0"/>
              <w:ind w:left="567"/>
              <w:rPr>
                <w:lang w:eastAsia="zh-CN"/>
              </w:rPr>
            </w:pPr>
            <w:r>
              <w:rPr>
                <w:highlight w:val="darkYellow"/>
                <w:lang w:eastAsia="zh-CN"/>
              </w:rPr>
              <w:t>Working assumption</w:t>
            </w:r>
          </w:p>
          <w:p>
            <w:pPr>
              <w:widowControl w:val="0"/>
              <w:ind w:left="567"/>
            </w:pPr>
            <w:r>
              <w:t xml:space="preserve">The following values are adopted as minimum value of </w:t>
            </w:r>
            <m:oMath>
              <m:sSub>
                <m:sSubPr>
                  <m:ctrlPr>
                    <w:rPr>
                      <w:rFonts w:ascii="Cambria Math" w:hAnsi="Cambria Math"/>
                      <w:i/>
                    </w:rPr>
                  </m:ctrlPr>
                </m:sSubPr>
                <m:e>
                  <m:r>
                    <m:rPr>
                      <m:sty m:val="bi"/>
                    </m:rPr>
                    <w:rPr>
                      <w:rFonts w:ascii="Cambria Math" w:hAnsi="Cambria Math"/>
                    </w:rPr>
                    <m:t>P</m:t>
                  </m:r>
                  <m:ctrlPr>
                    <w:rPr>
                      <w:rFonts w:ascii="Cambria Math" w:hAnsi="Cambria Math"/>
                      <w:i/>
                    </w:rPr>
                  </m:ctrlPr>
                </m:e>
                <m:sub>
                  <m:r>
                    <m:rPr>
                      <m:sty m:val="bi"/>
                    </m:rPr>
                    <w:rPr>
                      <w:rFonts w:ascii="Cambria Math" w:hAnsi="Cambria Math"/>
                    </w:rPr>
                    <m:t>switch</m:t>
                  </m:r>
                  <m:ctrlPr>
                    <w:rPr>
                      <w:rFonts w:ascii="Cambria Math" w:hAnsi="Cambria Math"/>
                      <w:i/>
                    </w:rPr>
                  </m:ctrlPr>
                </m:sub>
              </m:sSub>
            </m:oMath>
            <w:r>
              <w:t xml:space="preserve"> for 120/480/960 kHz</w:t>
            </w:r>
          </w:p>
          <w:p>
            <w:pPr>
              <w:widowControl w:val="0"/>
              <w:numPr>
                <w:ilvl w:val="0"/>
                <w:numId w:val="81"/>
              </w:numPr>
              <w:autoSpaceDE/>
              <w:autoSpaceDN/>
              <w:adjustRightInd/>
              <w:spacing w:after="0"/>
              <w:ind w:left="1287"/>
              <w:rPr>
                <w:lang w:eastAsia="zh-CN"/>
              </w:rPr>
            </w:pPr>
            <w:r>
              <w:rPr>
                <w:lang w:eastAsia="zh-CN"/>
              </w:rPr>
              <w:t>Support only search space set group switching processing capability 1 with the following values</w:t>
            </w:r>
          </w:p>
          <w:p>
            <w:pPr>
              <w:widowControl w:val="0"/>
              <w:ind w:left="2007"/>
              <w:rPr>
                <w:lang w:eastAsia="zh-CN"/>
              </w:rPr>
            </w:pPr>
          </w:p>
          <w:tbl>
            <w:tblPr>
              <w:tblStyle w:val="54"/>
              <w:tblW w:w="3685" w:type="dxa"/>
              <w:tblInd w:w="226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300"/>
              <w:gridCol w:w="33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Pr>
              <w:tc>
                <w:tcPr>
                  <w:tcW w:w="300" w:type="dxa"/>
                  <w:shd w:val="clear" w:color="auto" w:fill="E0E0E0"/>
                  <w:vAlign w:val="center"/>
                </w:tcPr>
                <w:p>
                  <w:pPr>
                    <w:keepNext/>
                    <w:keepLines/>
                    <w:overflowPunct w:val="0"/>
                    <w:jc w:val="center"/>
                    <w:textAlignment w:val="baseline"/>
                    <w:rPr>
                      <w:rFonts w:eastAsia="Times New Roman"/>
                      <w:b/>
                      <w:szCs w:val="20"/>
                      <w:lang w:eastAsia="en-GB"/>
                    </w:rPr>
                  </w:pPr>
                  <m:oMathPara>
                    <m:oMath>
                      <m:r>
                        <m:rPr>
                          <m:sty m:val="bi"/>
                        </m:rPr>
                        <w:rPr>
                          <w:rFonts w:ascii="Cambria Math" w:hAnsi="Cambria Math"/>
                        </w:rPr>
                        <m:t>μ</m:t>
                      </m:r>
                    </m:oMath>
                  </m:oMathPara>
                </w:p>
              </w:tc>
              <w:tc>
                <w:tcPr>
                  <w:tcW w:w="3385" w:type="dxa"/>
                  <w:shd w:val="clear" w:color="auto" w:fill="E0E0E0"/>
                  <w:vAlign w:val="center"/>
                </w:tcPr>
                <w:p>
                  <w:pPr>
                    <w:keepNext/>
                    <w:keepLines/>
                    <w:overflowPunct w:val="0"/>
                    <w:jc w:val="center"/>
                    <w:textAlignment w:val="baseline"/>
                    <w:rPr>
                      <w:rFonts w:eastAsia="Times New Roman" w:cs="Arial"/>
                      <w:b/>
                      <w:sz w:val="18"/>
                      <w:szCs w:val="18"/>
                      <w:lang w:eastAsia="en-GB"/>
                    </w:rPr>
                  </w:pPr>
                  <w:r>
                    <w:rPr>
                      <w:rFonts w:eastAsia="Times New Roman"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ctrlPr>
                          <w:rPr>
                            <w:rFonts w:ascii="Cambria Math" w:hAnsi="Cambria Math" w:cs="Arial"/>
                            <w:szCs w:val="18"/>
                          </w:rPr>
                        </m:ctrlPr>
                      </m:e>
                      <m:sub>
                        <m:r>
                          <m:rPr>
                            <m:sty m:val="b"/>
                          </m:rPr>
                          <w:rPr>
                            <w:rFonts w:ascii="Cambria Math" w:hAnsi="Cambria Math" w:cs="Arial"/>
                            <w:szCs w:val="18"/>
                          </w:rPr>
                          <m:t>switch</m:t>
                        </m:r>
                        <m:ctrlPr>
                          <w:rPr>
                            <w:rFonts w:ascii="Cambria Math" w:hAnsi="Cambria Math" w:cs="Arial"/>
                            <w:szCs w:val="18"/>
                          </w:rPr>
                        </m:ctrlPr>
                      </m:sub>
                    </m:sSub>
                  </m:oMath>
                  <w:r>
                    <w:rPr>
                      <w:rFonts w:eastAsia="Times New Roman" w:cs="Arial"/>
                      <w:b/>
                      <w:sz w:val="18"/>
                      <w:szCs w:val="18"/>
                      <w:lang w:eastAsia="en-GB"/>
                    </w:rPr>
                    <w:t xml:space="preserve"> value for</w:t>
                  </w:r>
                </w:p>
                <w:p>
                  <w:pPr>
                    <w:keepNext/>
                    <w:keepLines/>
                    <w:overflowPunct w:val="0"/>
                    <w:jc w:val="center"/>
                    <w:textAlignment w:val="baseline"/>
                    <w:rPr>
                      <w:rFonts w:eastAsia="Times New Roman"/>
                      <w:b/>
                      <w:szCs w:val="20"/>
                      <w:lang w:eastAsia="en-GB"/>
                    </w:rPr>
                  </w:pPr>
                  <w:r>
                    <w:rPr>
                      <w:rFonts w:eastAsia="Times New Roman" w:cs="Arial"/>
                      <w:b/>
                      <w:sz w:val="18"/>
                      <w:szCs w:val="18"/>
                      <w:lang w:eastAsia="en-GB"/>
                    </w:rPr>
                    <w:t xml:space="preserve"> UE processing </w:t>
                  </w:r>
                  <w:r>
                    <w:rPr>
                      <w:rFonts w:eastAsia="Times New Roman" w:cs="Arial"/>
                      <w:b/>
                      <w:sz w:val="18"/>
                      <w:szCs w:val="18"/>
                      <w:lang w:eastAsia="zh-CN"/>
                    </w:rPr>
                    <w:t>capability 1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Pr>
              <w:tc>
                <w:tcPr>
                  <w:tcW w:w="300" w:type="dxa"/>
                  <w:vAlign w:val="center"/>
                </w:tcPr>
                <w:p>
                  <w:pPr>
                    <w:keepLines/>
                    <w:spacing w:before="40" w:after="40"/>
                    <w:jc w:val="center"/>
                    <w:rPr>
                      <w:rFonts w:eastAsia="宋体"/>
                      <w:szCs w:val="20"/>
                      <w:lang w:eastAsia="zh-CN"/>
                    </w:rPr>
                  </w:pPr>
                  <w:r>
                    <w:rPr>
                      <w:rFonts w:eastAsia="宋体"/>
                      <w:szCs w:val="20"/>
                      <w:lang w:eastAsia="zh-CN"/>
                    </w:rPr>
                    <w:t>3</w:t>
                  </w:r>
                </w:p>
              </w:tc>
              <w:tc>
                <w:tcPr>
                  <w:tcW w:w="3385" w:type="dxa"/>
                  <w:vAlign w:val="center"/>
                </w:tcPr>
                <w:p>
                  <w:pPr>
                    <w:keepLines/>
                    <w:spacing w:before="40" w:after="40"/>
                    <w:jc w:val="center"/>
                    <w:rPr>
                      <w:rFonts w:eastAsia="宋体"/>
                      <w:szCs w:val="20"/>
                      <w:lang w:eastAsia="zh-CN"/>
                    </w:rPr>
                  </w:pPr>
                  <w:r>
                    <w:rPr>
                      <w:rFonts w:eastAsia="宋体"/>
                      <w:szCs w:val="20"/>
                      <w:lang w:eastAsia="zh-CN"/>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Pr>
              <w:tc>
                <w:tcPr>
                  <w:tcW w:w="300" w:type="dxa"/>
                  <w:vAlign w:val="center"/>
                </w:tcPr>
                <w:p>
                  <w:pPr>
                    <w:keepLines/>
                    <w:spacing w:before="40" w:after="40"/>
                    <w:jc w:val="center"/>
                    <w:rPr>
                      <w:rFonts w:eastAsia="宋体"/>
                      <w:szCs w:val="20"/>
                      <w:lang w:eastAsia="zh-CN"/>
                    </w:rPr>
                  </w:pPr>
                  <w:r>
                    <w:rPr>
                      <w:rFonts w:eastAsia="宋体"/>
                      <w:szCs w:val="20"/>
                      <w:lang w:eastAsia="zh-CN"/>
                    </w:rPr>
                    <w:t>5</w:t>
                  </w:r>
                </w:p>
              </w:tc>
              <w:tc>
                <w:tcPr>
                  <w:tcW w:w="3385" w:type="dxa"/>
                  <w:vAlign w:val="center"/>
                </w:tcPr>
                <w:p>
                  <w:pPr>
                    <w:keepLines/>
                    <w:spacing w:before="40" w:after="40"/>
                    <w:jc w:val="center"/>
                    <w:rPr>
                      <w:rFonts w:eastAsia="宋体"/>
                      <w:szCs w:val="20"/>
                      <w:lang w:eastAsia="zh-CN"/>
                    </w:rPr>
                  </w:pPr>
                  <w:r>
                    <w:rPr>
                      <w:rFonts w:eastAsia="宋体"/>
                      <w:szCs w:val="20"/>
                      <w:lang w:eastAsia="zh-CN"/>
                    </w:rPr>
                    <w:t>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Pr>
              <w:tc>
                <w:tcPr>
                  <w:tcW w:w="300" w:type="dxa"/>
                  <w:vAlign w:val="center"/>
                </w:tcPr>
                <w:p>
                  <w:pPr>
                    <w:keepLines/>
                    <w:spacing w:before="40" w:after="40"/>
                    <w:jc w:val="center"/>
                    <w:rPr>
                      <w:rFonts w:eastAsia="宋体"/>
                      <w:szCs w:val="20"/>
                      <w:lang w:eastAsia="zh-CN"/>
                    </w:rPr>
                  </w:pPr>
                  <w:r>
                    <w:rPr>
                      <w:rFonts w:eastAsia="宋体"/>
                      <w:szCs w:val="20"/>
                      <w:lang w:eastAsia="zh-CN"/>
                    </w:rPr>
                    <w:t>6</w:t>
                  </w:r>
                </w:p>
              </w:tc>
              <w:tc>
                <w:tcPr>
                  <w:tcW w:w="3385" w:type="dxa"/>
                  <w:vAlign w:val="center"/>
                </w:tcPr>
                <w:p>
                  <w:pPr>
                    <w:keepLines/>
                    <w:spacing w:before="40" w:after="40"/>
                    <w:jc w:val="center"/>
                    <w:rPr>
                      <w:rFonts w:eastAsia="宋体"/>
                      <w:szCs w:val="20"/>
                      <w:lang w:eastAsia="zh-CN"/>
                    </w:rPr>
                  </w:pPr>
                  <w:r>
                    <w:rPr>
                      <w:rFonts w:eastAsia="宋体"/>
                      <w:szCs w:val="20"/>
                      <w:lang w:eastAsia="zh-CN"/>
                    </w:rPr>
                    <w:t>320</w:t>
                  </w:r>
                </w:p>
              </w:tc>
            </w:tr>
          </w:tbl>
          <w:p>
            <w:pPr>
              <w:widowControl w:val="0"/>
              <w:rPr>
                <w:lang w:val="en-GB" w:eastAsia="ja-JP"/>
              </w:rPr>
            </w:pPr>
          </w:p>
          <w:p>
            <w:pPr>
              <w:widowControl w:val="0"/>
              <w:rPr>
                <w:lang w:val="en-GB" w:eastAsia="ja-JP"/>
              </w:rPr>
            </w:pPr>
            <w:r>
              <w:rPr>
                <w:lang w:val="en-GB" w:eastAsia="ja-JP"/>
              </w:rPr>
              <w:t xml:space="preserve">have been captured and approved in TR 38.213 </w:t>
            </w:r>
            <w:r>
              <w:rPr>
                <w:lang w:val="en-GB" w:eastAsia="ja-JP"/>
              </w:rPr>
              <w:fldChar w:fldCharType="begin"/>
            </w:r>
            <w:r>
              <w:rPr>
                <w:lang w:val="en-GB" w:eastAsia="ja-JP"/>
              </w:rPr>
              <w:instrText xml:space="preserve"> REF _Ref95490128 \r \h </w:instrText>
            </w:r>
            <w:r>
              <w:rPr>
                <w:lang w:val="en-GB" w:eastAsia="ja-JP"/>
              </w:rPr>
              <w:fldChar w:fldCharType="separate"/>
            </w:r>
            <w:r>
              <w:rPr>
                <w:lang w:val="en-GB" w:eastAsia="ja-JP"/>
              </w:rPr>
              <w:t>[3]</w:t>
            </w:r>
            <w:r>
              <w:rPr>
                <w:lang w:val="en-GB" w:eastAsia="ja-JP"/>
              </w:rPr>
              <w:fldChar w:fldCharType="end"/>
            </w:r>
            <w:r>
              <w:rPr>
                <w:lang w:val="en-GB" w:eastAsia="ja-JP"/>
              </w:rPr>
              <w:t>. In our view, both can be considered confirmed.</w:t>
            </w:r>
          </w:p>
          <w:p>
            <w:pPr>
              <w:widowControl w:val="0"/>
              <w:tabs>
                <w:tab w:val="left" w:pos="360"/>
              </w:tabs>
              <w:jc w:val="both"/>
              <w:rPr>
                <w:rFonts w:eastAsia="Batang"/>
              </w:rPr>
            </w:pPr>
          </w:p>
          <w:p>
            <w:pPr>
              <w:widowControl w:val="0"/>
              <w:rPr>
                <w:iCs/>
                <w:lang w:val="en-GB" w:eastAsia="ja-JP"/>
              </w:rPr>
            </w:pPr>
            <w:r>
              <w:rPr>
                <w:rFonts w:eastAsia="Times New Roman"/>
                <w:iCs/>
                <w:lang w:val="en-GB" w:eastAsia="ja-JP"/>
              </w:rPr>
              <w:t xml:space="preserve">In the following text from 38.213 Section 10.1 </w:t>
            </w:r>
            <w:r>
              <w:rPr>
                <w:iCs/>
                <w:lang w:val="en-GB" w:eastAsia="ja-JP"/>
              </w:rPr>
              <w:fldChar w:fldCharType="begin"/>
            </w:r>
            <w:r>
              <w:rPr>
                <w:iCs/>
                <w:lang w:val="en-GB" w:eastAsia="ja-JP"/>
              </w:rPr>
              <w:instrText xml:space="preserve"> REF _Ref95490128 \r \h </w:instrText>
            </w:r>
            <w:r>
              <w:rPr>
                <w:iCs/>
                <w:lang w:val="en-GB" w:eastAsia="ja-JP"/>
              </w:rPr>
              <w:fldChar w:fldCharType="separate"/>
            </w:r>
            <w:r>
              <w:rPr>
                <w:iCs/>
                <w:lang w:val="en-GB" w:eastAsia="ja-JP"/>
              </w:rPr>
              <w:t>[3]</w:t>
            </w:r>
            <w:r>
              <w:rPr>
                <w:iCs/>
                <w:lang w:val="en-GB" w:eastAsia="ja-JP"/>
              </w:rPr>
              <w:fldChar w:fldCharType="end"/>
            </w:r>
            <w:r>
              <w:rPr>
                <w:iCs/>
                <w:lang w:val="en-GB" w:eastAsia="ja-JP"/>
              </w:rPr>
              <w:t xml:space="preserve">, </w:t>
            </w:r>
            <w:r>
              <w:rPr>
                <w:rFonts w:eastAsia="Times New Roman"/>
                <w:iCs/>
                <w:lang w:val="en-GB" w:eastAsia="ja-JP"/>
              </w:rPr>
              <w:t xml:space="preserve">the quantities </w:t>
            </w:r>
            <m:oMath>
              <m:sSubSup>
                <m:sSubSupPr>
                  <m:ctrlPr>
                    <w:rPr>
                      <w:rFonts w:ascii="Cambria Math" w:hAnsi="Cambria Math"/>
                      <w:iCs/>
                      <w:lang w:val="en-GB" w:eastAsia="ja-JP"/>
                    </w:rPr>
                  </m:ctrlPr>
                </m:sSubSupPr>
                <m:e>
                  <m:r>
                    <w:rPr>
                      <w:rFonts w:ascii="Cambria Math" w:hAnsi="Cambria Math"/>
                      <w:lang w:val="en-GB" w:eastAsia="ja-JP"/>
                    </w:rPr>
                    <m:t>M</m:t>
                  </m:r>
                  <m:ctrlPr>
                    <w:rPr>
                      <w:rFonts w:ascii="Cambria Math" w:hAnsi="Cambria Math"/>
                      <w:iCs/>
                      <w:lang w:val="en-GB" w:eastAsia="ja-JP"/>
                    </w:rPr>
                  </m:ctrlPr>
                </m:e>
                <m:sub>
                  <m:r>
                    <m:rPr>
                      <m:nor/>
                      <m:sty m:val="p"/>
                    </m:rPr>
                    <w:rPr>
                      <w:iCs/>
                      <w:lang w:val="en-GB" w:eastAsia="ja-JP"/>
                    </w:rPr>
                    <m:t>PDCCH</m:t>
                  </m:r>
                  <m:ctrlPr>
                    <w:rPr>
                      <w:rFonts w:ascii="Cambria Math" w:hAnsi="Cambria Math"/>
                      <w:iCs/>
                      <w:lang w:val="en-GB" w:eastAsia="ja-JP"/>
                    </w:rPr>
                  </m:ctrlPr>
                </m:sub>
                <m:sup>
                  <m:r>
                    <m:rPr>
                      <m:nor/>
                      <m:sty m:val="p"/>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ctrlPr>
                        <w:rPr>
                          <w:rFonts w:ascii="Cambria Math" w:hAnsi="Cambria Math"/>
                          <w:iCs/>
                          <w:lang w:val="en-GB" w:eastAsia="ja-JP"/>
                        </w:rPr>
                      </m:ctrlPr>
                    </m:e>
                    <m:sub>
                      <m:r>
                        <m:rPr>
                          <m:sty m:val="p"/>
                        </m:rPr>
                        <w:rPr>
                          <w:rFonts w:ascii="Cambria Math" w:hAnsi="Cambria Math"/>
                          <w:lang w:val="en-GB" w:eastAsia="ja-JP"/>
                        </w:rPr>
                        <m:t>s</m:t>
                      </m:r>
                      <m:ctrlPr>
                        <w:rPr>
                          <w:rFonts w:ascii="Cambria Math" w:hAnsi="Cambria Math"/>
                          <w:iCs/>
                          <w:lang w:val="en-GB" w:eastAsia="ja-JP"/>
                        </w:rPr>
                      </m:ctrlP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ctrlPr>
                        <w:rPr>
                          <w:rFonts w:ascii="Cambria Math" w:hAnsi="Cambria Math"/>
                          <w:iCs/>
                          <w:lang w:val="en-GB" w:eastAsia="ja-JP"/>
                        </w:rPr>
                      </m:ctrlPr>
                    </m:e>
                    <m:sub>
                      <m:r>
                        <m:rPr>
                          <m:sty m:val="p"/>
                        </m:rPr>
                        <w:rPr>
                          <w:rFonts w:ascii="Cambria Math" w:hAnsi="Cambria Math"/>
                          <w:lang w:val="en-GB" w:eastAsia="ja-JP"/>
                        </w:rPr>
                        <m:t>s</m:t>
                      </m:r>
                      <m:ctrlPr>
                        <w:rPr>
                          <w:rFonts w:ascii="Cambria Math" w:hAnsi="Cambria Math"/>
                          <w:iCs/>
                          <w:lang w:val="en-GB" w:eastAsia="ja-JP"/>
                        </w:rPr>
                      </m:ctrlPr>
                    </m:sub>
                  </m:sSub>
                  <m:r>
                    <m:rPr>
                      <m:nor/>
                      <m:sty m:val="p"/>
                    </m:rPr>
                    <w:rPr>
                      <w:iCs/>
                      <w:lang w:val="en-GB" w:eastAsia="ja-JP"/>
                    </w:rPr>
                    <m:t>),</m:t>
                  </m:r>
                  <m:r>
                    <m:rPr>
                      <m:sty m:val="p"/>
                    </m:rPr>
                    <w:rPr>
                      <w:rFonts w:ascii="Cambria Math" w:hAnsi="Cambria Math"/>
                      <w:lang w:val="en-GB" w:eastAsia="ja-JP"/>
                    </w:rPr>
                    <m:t>μ</m:t>
                  </m:r>
                  <m:ctrlPr>
                    <w:rPr>
                      <w:rFonts w:ascii="Cambria Math" w:hAnsi="Cambria Math"/>
                      <w:iCs/>
                      <w:lang w:val="en-GB" w:eastAsia="ja-JP"/>
                    </w:rPr>
                  </m:ctrlPr>
                </m:sup>
              </m:sSubSup>
              <m: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w:rPr>
                      <w:rFonts w:ascii="Cambria Math" w:hAnsi="Cambria Math"/>
                      <w:lang w:val="en-GB" w:eastAsia="ja-JP"/>
                    </w:rPr>
                    <m:t>C</m:t>
                  </m:r>
                  <m:ctrlPr>
                    <w:rPr>
                      <w:rFonts w:ascii="Cambria Math" w:hAnsi="Cambria Math"/>
                      <w:iCs/>
                      <w:lang w:val="en-GB" w:eastAsia="ja-JP"/>
                    </w:rPr>
                  </m:ctrlPr>
                </m:e>
                <m:sub>
                  <m:r>
                    <m:rPr>
                      <m:nor/>
                      <m:sty m:val="p"/>
                    </m:rPr>
                    <w:rPr>
                      <w:iCs/>
                      <w:lang w:val="en-GB" w:eastAsia="ja-JP"/>
                    </w:rPr>
                    <m:t>PDCCH</m:t>
                  </m:r>
                  <m:ctrlPr>
                    <w:rPr>
                      <w:rFonts w:ascii="Cambria Math" w:hAnsi="Cambria Math"/>
                      <w:iCs/>
                      <w:lang w:val="en-GB" w:eastAsia="ja-JP"/>
                    </w:rPr>
                  </m:ctrlPr>
                </m:sub>
                <m:sup>
                  <m:r>
                    <m:rPr>
                      <m:nor/>
                      <m:sty m:val="p"/>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ctrlPr>
                        <w:rPr>
                          <w:rFonts w:ascii="Cambria Math" w:hAnsi="Cambria Math"/>
                          <w:iCs/>
                          <w:lang w:val="en-GB" w:eastAsia="ja-JP"/>
                        </w:rPr>
                      </m:ctrlPr>
                    </m:e>
                    <m:sub>
                      <m:r>
                        <m:rPr>
                          <m:sty m:val="p"/>
                        </m:rPr>
                        <w:rPr>
                          <w:rFonts w:ascii="Cambria Math" w:hAnsi="Cambria Math"/>
                          <w:lang w:val="en-GB" w:eastAsia="ja-JP"/>
                        </w:rPr>
                        <m:t>s</m:t>
                      </m:r>
                      <m:ctrlPr>
                        <w:rPr>
                          <w:rFonts w:ascii="Cambria Math" w:hAnsi="Cambria Math"/>
                          <w:iCs/>
                          <w:lang w:val="en-GB" w:eastAsia="ja-JP"/>
                        </w:rPr>
                      </m:ctrlP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ctrlPr>
                        <w:rPr>
                          <w:rFonts w:ascii="Cambria Math" w:hAnsi="Cambria Math"/>
                          <w:iCs/>
                          <w:lang w:val="en-GB" w:eastAsia="ja-JP"/>
                        </w:rPr>
                      </m:ctrlPr>
                    </m:e>
                    <m:sub>
                      <m:r>
                        <m:rPr>
                          <m:sty m:val="p"/>
                        </m:rPr>
                        <w:rPr>
                          <w:rFonts w:ascii="Cambria Math" w:hAnsi="Cambria Math"/>
                          <w:lang w:val="en-GB" w:eastAsia="ja-JP"/>
                        </w:rPr>
                        <m:t>s</m:t>
                      </m:r>
                      <m:ctrlPr>
                        <w:rPr>
                          <w:rFonts w:ascii="Cambria Math" w:hAnsi="Cambria Math"/>
                          <w:iCs/>
                          <w:lang w:val="en-GB" w:eastAsia="ja-JP"/>
                        </w:rPr>
                      </m:ctrlPr>
                    </m:sub>
                  </m:sSub>
                  <m:r>
                    <m:rPr>
                      <m:nor/>
                      <m:sty m:val="p"/>
                    </m:rPr>
                    <w:rPr>
                      <w:iCs/>
                      <w:lang w:val="en-GB" w:eastAsia="ja-JP"/>
                    </w:rPr>
                    <m:t>),</m:t>
                  </m:r>
                  <m:r>
                    <m:rPr>
                      <m:sty m:val="p"/>
                    </m:rPr>
                    <w:rPr>
                      <w:rFonts w:ascii="Cambria Math" w:hAnsi="Cambria Math"/>
                      <w:lang w:val="en-GB" w:eastAsia="ja-JP"/>
                    </w:rPr>
                    <m:t>μ</m:t>
                  </m:r>
                  <m:ctrlPr>
                    <w:rPr>
                      <w:rFonts w:ascii="Cambria Math" w:hAnsi="Cambria Math"/>
                      <w:iCs/>
                      <w:lang w:val="en-GB" w:eastAsia="ja-JP"/>
                    </w:rPr>
                  </m:ctrlPr>
                </m:sup>
              </m:sSubSup>
            </m:oMath>
            <w:r>
              <w:rPr>
                <w:iCs/>
                <w:lang w:val="en-GB" w:eastAsia="ja-JP"/>
              </w:rPr>
              <w:t xml:space="preserve"> are used but not defined:</w:t>
            </w:r>
          </w:p>
          <w:p>
            <w:pPr>
              <w:widowControl w:val="0"/>
              <w:spacing w:after="180" w:line="240" w:lineRule="auto"/>
              <w:ind w:left="567"/>
              <w:rPr>
                <w:rFonts w:eastAsia="Yu Mincho"/>
                <w:szCs w:val="20"/>
                <w:lang w:val="en-GB"/>
              </w:rPr>
            </w:pPr>
            <w:r>
              <w:rPr>
                <w:rFonts w:eastAsia="Yu Mincho"/>
                <w:szCs w:val="20"/>
                <w:lang w:val="en-GB"/>
              </w:rPr>
              <w:t xml:space="preserve">The UE allocates PDCCH candidates </w:t>
            </w:r>
            <w:r>
              <w:rPr>
                <w:rFonts w:eastAsia="宋体"/>
                <w:szCs w:val="20"/>
                <w:lang w:val="en-GB"/>
              </w:rPr>
              <w:t xml:space="preserve">for monitoring </w:t>
            </w:r>
            <w:r>
              <w:rPr>
                <w:rFonts w:eastAsia="Yu Mincho"/>
                <w:szCs w:val="20"/>
                <w:lang w:val="en-GB"/>
              </w:rPr>
              <w:t xml:space="preserve">to USS sets for the primary cell having an </w:t>
            </w:r>
            <w:r>
              <w:rPr>
                <w:rFonts w:eastAsia="宋体"/>
                <w:szCs w:val="20"/>
                <w:lang w:val="en-GB"/>
              </w:rPr>
              <w:t xml:space="preserve">active DL BWP </w:t>
            </w:r>
            <w:r>
              <w:rPr>
                <w:rFonts w:eastAsia="Yu Mincho"/>
                <w:szCs w:val="20"/>
                <w:lang w:val="en-GB"/>
              </w:rPr>
              <w:t>with</w:t>
            </w:r>
            <w:r>
              <w:rPr>
                <w:rFonts w:eastAsia="宋体"/>
                <w:szCs w:val="20"/>
                <w:lang w:val="en-GB"/>
              </w:rPr>
              <w:t xml:space="preserve"> SCS configuration </w:t>
            </w:r>
            <m:oMath>
              <m:r>
                <w:rPr>
                  <w:rFonts w:ascii="Cambria Math" w:hAnsi="Cambria Math" w:eastAsia="宋体"/>
                  <w:szCs w:val="20"/>
                  <w:lang w:val="en-GB" w:eastAsia="zh-CN"/>
                </w:rPr>
                <m:t>μ</m:t>
              </m:r>
            </m:oMath>
            <w:r>
              <w:rPr>
                <w:rFonts w:eastAsia="宋体"/>
                <w:szCs w:val="20"/>
                <w:lang w:val="en-GB"/>
              </w:rPr>
              <w:t xml:space="preserve"> </w:t>
            </w:r>
            <w:r>
              <w:rPr>
                <w:rFonts w:eastAsia="Yu Mincho"/>
                <w:szCs w:val="20"/>
                <w:lang w:val="en-GB"/>
              </w:rPr>
              <w:t xml:space="preserve">in a </w:t>
            </w:r>
            <w:r>
              <w:rPr>
                <w:rFonts w:eastAsia="宋体"/>
                <w:szCs w:val="20"/>
                <w:lang w:val="en-GB"/>
              </w:rPr>
              <w:t xml:space="preserve">slot if the </w:t>
            </w:r>
            <w:r>
              <w:rPr>
                <w:rFonts w:eastAsia="宋体"/>
                <w:szCs w:val="20"/>
                <w:lang w:val="en-GB" w:eastAsia="ko-KR"/>
              </w:rPr>
              <w:t xml:space="preserve">UE is not provided </w:t>
            </w:r>
            <w:r>
              <w:rPr>
                <w:rFonts w:eastAsia="宋体"/>
                <w:i/>
                <w:szCs w:val="20"/>
                <w:lang w:val="en-GB"/>
              </w:rPr>
              <w:t>monitoringCapabilityConfig</w:t>
            </w:r>
            <w:r>
              <w:rPr>
                <w:rFonts w:eastAsia="宋体"/>
                <w:szCs w:val="20"/>
              </w:rPr>
              <w:t xml:space="preserve"> for the primary cell or if the UE is </w:t>
            </w:r>
            <w:r>
              <w:rPr>
                <w:rFonts w:eastAsia="宋体"/>
                <w:szCs w:val="20"/>
                <w:lang w:val="en-GB" w:eastAsia="ko-KR"/>
              </w:rPr>
              <w:t xml:space="preserve">provided </w:t>
            </w:r>
            <w:r>
              <w:rPr>
                <w:rFonts w:eastAsia="宋体"/>
                <w:i/>
                <w:szCs w:val="20"/>
                <w:lang w:val="en-GB"/>
              </w:rPr>
              <w:t>monitoringCapabilityConfig</w:t>
            </w:r>
            <w:r>
              <w:rPr>
                <w:rFonts w:eastAsia="宋体"/>
                <w:szCs w:val="20"/>
              </w:rPr>
              <w:t xml:space="preserve"> = </w:t>
            </w:r>
            <w:r>
              <w:rPr>
                <w:rFonts w:eastAsia="宋体"/>
                <w:i/>
                <w:szCs w:val="20"/>
                <w:lang w:val="en-GB"/>
              </w:rPr>
              <w:t>r1</w:t>
            </w:r>
            <w:r>
              <w:rPr>
                <w:rFonts w:eastAsia="宋体"/>
                <w:i/>
                <w:szCs w:val="20"/>
              </w:rPr>
              <w:t>5</w:t>
            </w:r>
            <w:r>
              <w:rPr>
                <w:rFonts w:eastAsia="宋体"/>
                <w:i/>
                <w:szCs w:val="20"/>
                <w:lang w:val="en-GB"/>
              </w:rPr>
              <w:t>monitoringcapability</w:t>
            </w:r>
            <w:r>
              <w:rPr>
                <w:rFonts w:eastAsia="宋体"/>
                <w:szCs w:val="20"/>
              </w:rPr>
              <w:t xml:space="preserve"> for the primary cell, or in the first span of each slot if the UE is </w:t>
            </w:r>
            <w:r>
              <w:rPr>
                <w:rFonts w:eastAsia="宋体"/>
                <w:szCs w:val="20"/>
                <w:lang w:val="en-GB" w:eastAsia="ko-KR"/>
              </w:rPr>
              <w:t xml:space="preserve">provided </w:t>
            </w:r>
            <w:r>
              <w:rPr>
                <w:rFonts w:eastAsia="宋体"/>
                <w:i/>
                <w:szCs w:val="20"/>
                <w:lang w:val="en-GB"/>
              </w:rPr>
              <w:t>monitoringCapabilityConfig</w:t>
            </w:r>
            <w:r>
              <w:rPr>
                <w:rFonts w:eastAsia="宋体"/>
                <w:szCs w:val="20"/>
              </w:rPr>
              <w:t xml:space="preserve"> = </w:t>
            </w:r>
            <w:r>
              <w:rPr>
                <w:rFonts w:eastAsia="宋体"/>
                <w:i/>
                <w:szCs w:val="20"/>
                <w:lang w:val="en-GB"/>
              </w:rPr>
              <w:t>r1</w:t>
            </w:r>
            <w:r>
              <w:rPr>
                <w:rFonts w:eastAsia="宋体"/>
                <w:i/>
                <w:szCs w:val="20"/>
              </w:rPr>
              <w:t>6</w:t>
            </w:r>
            <w:r>
              <w:rPr>
                <w:rFonts w:eastAsia="宋体"/>
                <w:i/>
                <w:szCs w:val="20"/>
                <w:lang w:val="en-GB"/>
              </w:rPr>
              <w:t>monitoringcapability</w:t>
            </w:r>
            <w:r>
              <w:rPr>
                <w:rFonts w:eastAsia="宋体"/>
                <w:szCs w:val="20"/>
              </w:rPr>
              <w:t xml:space="preserve"> for the primary cell,</w:t>
            </w:r>
            <w:r>
              <w:rPr>
                <w:rFonts w:eastAsia="宋体"/>
                <w:szCs w:val="20"/>
                <w:lang w:val="en-GB"/>
              </w:rPr>
              <w:t xml:space="preserve"> or in a group of </w:t>
            </w:r>
            <m:oMath>
              <m:sSub>
                <m:sSubPr>
                  <m:ctrlPr>
                    <w:rPr>
                      <w:rFonts w:ascii="Cambria Math" w:hAnsi="Cambria Math" w:eastAsia="宋体"/>
                      <w:i/>
                      <w:szCs w:val="20"/>
                      <w:lang w:val="en-GB" w:eastAsia="zh-CN"/>
                    </w:rPr>
                  </m:ctrlPr>
                </m:sSubPr>
                <m:e>
                  <m:r>
                    <w:rPr>
                      <w:rFonts w:ascii="Cambria Math" w:hAnsi="Cambria Math" w:eastAsia="宋体"/>
                      <w:szCs w:val="20"/>
                      <w:lang w:val="en-GB" w:eastAsia="zh-CN"/>
                    </w:rPr>
                    <m:t>X</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oMath>
            <w:r>
              <w:rPr>
                <w:rFonts w:eastAsia="宋体"/>
                <w:szCs w:val="20"/>
                <w:lang w:val="en-GB" w:eastAsia="zh-CN"/>
              </w:rPr>
              <w:t xml:space="preserve"> </w:t>
            </w:r>
            <w:r>
              <w:rPr>
                <w:rFonts w:eastAsia="宋体"/>
                <w:szCs w:val="20"/>
                <w:lang w:val="en-GB"/>
              </w:rPr>
              <w:t xml:space="preserve">slots for a corresponding combination </w:t>
            </w:r>
            <m:oMath>
              <m:d>
                <m:dPr>
                  <m:ctrlPr>
                    <w:rPr>
                      <w:rFonts w:ascii="Cambria Math" w:hAnsi="Cambria Math" w:eastAsia="宋体"/>
                      <w:i/>
                      <w:szCs w:val="20"/>
                      <w:lang w:val="en-GB"/>
                    </w:rPr>
                  </m:ctrlPr>
                </m:dPr>
                <m:e>
                  <m:sSub>
                    <m:sSubPr>
                      <m:ctrlPr>
                        <w:rPr>
                          <w:rFonts w:ascii="Cambria Math" w:hAnsi="Cambria Math" w:eastAsia="宋体"/>
                          <w:i/>
                          <w:szCs w:val="20"/>
                          <w:lang w:val="en-GB" w:eastAsia="zh-CN"/>
                        </w:rPr>
                      </m:ctrlPr>
                    </m:sSubPr>
                    <m:e>
                      <m:r>
                        <w:rPr>
                          <w:rFonts w:ascii="Cambria Math" w:hAnsi="Cambria Math" w:eastAsia="宋体"/>
                          <w:szCs w:val="20"/>
                          <w:lang w:val="en-GB" w:eastAsia="zh-CN"/>
                        </w:rPr>
                        <m:t>X</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r>
                    <w:rPr>
                      <w:rFonts w:ascii="Cambria Math" w:hAnsi="Cambria Math" w:eastAsia="宋体"/>
                      <w:szCs w:val="20"/>
                      <w:lang w:val="en-GB" w:eastAsia="zh-CN"/>
                    </w:rPr>
                    <m:t>,</m:t>
                  </m:r>
                  <m:sSub>
                    <m:sSubPr>
                      <m:ctrlPr>
                        <w:rPr>
                          <w:rFonts w:ascii="Cambria Math" w:hAnsi="Cambria Math" w:eastAsia="宋体"/>
                          <w:i/>
                          <w:szCs w:val="20"/>
                          <w:lang w:val="en-GB" w:eastAsia="zh-CN"/>
                        </w:rPr>
                      </m:ctrlPr>
                    </m:sSubPr>
                    <m:e>
                      <m:r>
                        <w:rPr>
                          <w:rFonts w:ascii="Cambria Math" w:hAnsi="Cambria Math" w:eastAsia="宋体"/>
                          <w:szCs w:val="20"/>
                          <w:lang w:val="en-GB" w:eastAsia="zh-CN"/>
                        </w:rPr>
                        <m:t>Y</m:t>
                      </m:r>
                      <m:ctrlPr>
                        <w:rPr>
                          <w:rFonts w:ascii="Cambria Math" w:hAnsi="Cambria Math" w:eastAsia="宋体"/>
                          <w:i/>
                          <w:szCs w:val="20"/>
                          <w:lang w:val="en-GB" w:eastAsia="zh-CN"/>
                        </w:rPr>
                      </m:ctrlPr>
                    </m:e>
                    <m:sub>
                      <m:r>
                        <w:rPr>
                          <w:rFonts w:ascii="Cambria Math" w:hAnsi="Cambria Math" w:eastAsia="宋体"/>
                          <w:szCs w:val="20"/>
                          <w:lang w:val="en-GB" w:eastAsia="zh-CN"/>
                        </w:rPr>
                        <m:t>s</m:t>
                      </m:r>
                      <m:ctrlPr>
                        <w:rPr>
                          <w:rFonts w:ascii="Cambria Math" w:hAnsi="Cambria Math" w:eastAsia="宋体"/>
                          <w:i/>
                          <w:szCs w:val="20"/>
                          <w:lang w:val="en-GB" w:eastAsia="zh-CN"/>
                        </w:rPr>
                      </m:ctrlPr>
                    </m:sub>
                  </m:sSub>
                  <m:ctrlPr>
                    <w:rPr>
                      <w:rFonts w:ascii="Cambria Math" w:hAnsi="Cambria Math" w:eastAsia="宋体"/>
                      <w:i/>
                      <w:szCs w:val="20"/>
                      <w:lang w:val="en-GB"/>
                    </w:rPr>
                  </m:ctrlPr>
                </m:e>
              </m:d>
            </m:oMath>
            <w:r>
              <w:rPr>
                <w:rFonts w:eastAsia="宋体"/>
                <w:szCs w:val="20"/>
                <w:lang w:val="en-GB"/>
              </w:rPr>
              <w:t xml:space="preserve"> </w:t>
            </w:r>
            <w:r>
              <w:rPr>
                <w:rFonts w:eastAsia="宋体"/>
                <w:szCs w:val="20"/>
              </w:rPr>
              <w:t xml:space="preserve">if the UE is </w:t>
            </w:r>
            <w:r>
              <w:rPr>
                <w:rFonts w:eastAsia="宋体"/>
                <w:szCs w:val="20"/>
                <w:lang w:val="en-GB" w:eastAsia="ko-KR"/>
              </w:rPr>
              <w:t xml:space="preserve">provided </w:t>
            </w:r>
            <w:r>
              <w:rPr>
                <w:rFonts w:eastAsia="宋体"/>
                <w:i/>
                <w:szCs w:val="20"/>
                <w:lang w:val="en-GB"/>
              </w:rPr>
              <w:t>monitoringCapabilityConfig</w:t>
            </w:r>
            <w:r>
              <w:rPr>
                <w:rFonts w:eastAsia="宋体"/>
                <w:szCs w:val="20"/>
              </w:rPr>
              <w:t xml:space="preserve"> = </w:t>
            </w:r>
            <w:r>
              <w:rPr>
                <w:rFonts w:eastAsia="宋体"/>
                <w:i/>
                <w:szCs w:val="20"/>
                <w:lang w:val="en-GB"/>
              </w:rPr>
              <w:t>r1</w:t>
            </w:r>
            <w:r>
              <w:rPr>
                <w:rFonts w:eastAsia="宋体"/>
                <w:i/>
                <w:szCs w:val="20"/>
              </w:rPr>
              <w:t>7</w:t>
            </w:r>
            <w:r>
              <w:rPr>
                <w:rFonts w:eastAsia="宋体"/>
                <w:i/>
                <w:szCs w:val="20"/>
                <w:lang w:val="en-GB"/>
              </w:rPr>
              <w:t>monitoringcapability</w:t>
            </w:r>
            <w:r>
              <w:rPr>
                <w:rFonts w:eastAsia="宋体"/>
                <w:szCs w:val="20"/>
              </w:rPr>
              <w:t xml:space="preserve"> for the primary cell</w:t>
            </w:r>
            <w:r>
              <w:rPr>
                <w:rFonts w:eastAsia="宋体"/>
                <w:szCs w:val="20"/>
                <w:lang w:val="en-GB" w:eastAsia="zh-CN"/>
              </w:rPr>
              <w:t>,</w:t>
            </w:r>
            <w:r>
              <w:rPr>
                <w:rFonts w:eastAsia="宋体"/>
                <w:szCs w:val="20"/>
                <w:lang w:val="en-GB"/>
              </w:rPr>
              <w:t xml:space="preserve"> </w:t>
            </w:r>
            <w:r>
              <w:rPr>
                <w:rFonts w:eastAsia="Yu Mincho"/>
                <w:szCs w:val="20"/>
                <w:lang w:val="en-GB"/>
              </w:rPr>
              <w:t xml:space="preserve">according to the following pseudocode. </w:t>
            </w:r>
            <w:r>
              <w:rPr>
                <w:rFonts w:eastAsia="宋体" w:cs="Calibri"/>
                <w:szCs w:val="20"/>
                <w:lang w:val="en-GB" w:eastAsia="zh-CN"/>
              </w:rPr>
              <w:t xml:space="preserve">If for the USS sets for scheduling on the primary cell the UE is not provided </w:t>
            </w:r>
            <w:r>
              <w:rPr>
                <w:rFonts w:eastAsia="宋体" w:cs="Calibri"/>
                <w:i/>
                <w:szCs w:val="20"/>
                <w:lang w:val="en-GB"/>
              </w:rPr>
              <w:t>coresetPoolIndex</w:t>
            </w:r>
            <w:r>
              <w:rPr>
                <w:rFonts w:eastAsia="宋体" w:cs="Calibri"/>
                <w:szCs w:val="20"/>
                <w:lang w:val="en-GB"/>
              </w:rPr>
              <w:t xml:space="preserve"> for first CORESETs, or is provided </w:t>
            </w:r>
            <w:r>
              <w:rPr>
                <w:rFonts w:eastAsia="宋体" w:cs="Calibri"/>
                <w:i/>
                <w:szCs w:val="20"/>
                <w:lang w:val="en-GB"/>
              </w:rPr>
              <w:t>coresetPoolIndex</w:t>
            </w:r>
            <w:r>
              <w:rPr>
                <w:rFonts w:eastAsia="宋体" w:cs="Calibri"/>
                <w:szCs w:val="20"/>
                <w:lang w:val="en-GB"/>
              </w:rPr>
              <w:t xml:space="preserve"> with value 0 for first CORESETs, and is provided </w:t>
            </w:r>
            <w:r>
              <w:rPr>
                <w:rFonts w:eastAsia="宋体" w:cs="Calibri"/>
                <w:i/>
                <w:szCs w:val="20"/>
                <w:lang w:val="en-GB"/>
              </w:rPr>
              <w:t>coresetPoolIndex</w:t>
            </w:r>
            <w:r>
              <w:rPr>
                <w:rFonts w:eastAsia="宋体" w:cs="Calibri"/>
                <w:szCs w:val="20"/>
                <w:lang w:val="en-GB"/>
              </w:rPr>
              <w:t xml:space="preserve"> with value 1 for second CORESETs,</w:t>
            </w:r>
            <w:r>
              <w:rPr>
                <w:rFonts w:eastAsia="宋体" w:cs="Calibri"/>
                <w:szCs w:val="20"/>
                <w:lang w:val="en-GB" w:eastAsia="zh-CN"/>
              </w:rPr>
              <w:t xml:space="preserve"> and if </w:t>
            </w:r>
            <m:oMath>
              <m:func>
                <m:funcPr>
                  <m:ctrlPr>
                    <w:rPr>
                      <w:rFonts w:ascii="Cambria Math" w:hAnsi="Cambria Math" w:eastAsia="宋体"/>
                      <w:i/>
                      <w:szCs w:val="20"/>
                      <w:lang w:val="en-GB"/>
                    </w:rPr>
                  </m:ctrlPr>
                </m:funcPr>
                <m:fName>
                  <m:r>
                    <w:rPr>
                      <w:rFonts w:ascii="Cambria Math" w:eastAsia="宋体"/>
                      <w:szCs w:val="20"/>
                      <w:lang w:val="en-GB"/>
                    </w:rPr>
                    <m:t>min</m:t>
                  </m:r>
                  <m:ctrlPr>
                    <w:rPr>
                      <w:rFonts w:ascii="Cambria Math" w:hAnsi="Cambria Math" w:eastAsia="宋体"/>
                      <w:i/>
                      <w:szCs w:val="20"/>
                      <w:lang w:val="en-GB"/>
                    </w:rPr>
                  </m:ctrlPr>
                </m:fName>
                <m:e>
                  <m:d>
                    <m:dPr>
                      <m:ctrlPr>
                        <w:rPr>
                          <w:rFonts w:ascii="Cambria Math" w:hAnsi="Cambria Math" w:eastAsia="宋体"/>
                          <w:i/>
                          <w:szCs w:val="20"/>
                          <w:lang w:val="en-GB"/>
                        </w:rPr>
                      </m:ctrlPr>
                    </m:dPr>
                    <m:e>
                      <m:sSubSup>
                        <m:sSubSupPr>
                          <m:ctrlPr>
                            <w:rPr>
                              <w:rFonts w:ascii="Cambria Math" w:hAnsi="Cambria Math" w:eastAsia="宋体"/>
                              <w:i/>
                              <w:szCs w:val="20"/>
                              <w:lang w:val="en-GB"/>
                            </w:rPr>
                          </m:ctrlPr>
                        </m:sSubSupPr>
                        <m:e>
                          <m:r>
                            <w:rPr>
                              <w:rFonts w:ascii="Cambria Math" w:hAnsi="Cambria Math" w:eastAsia="宋体" w:cs="Calibri"/>
                              <w:szCs w:val="20"/>
                              <w:lang w:val="en-GB"/>
                            </w:rPr>
                            <m:t>γ</m:t>
                          </m:r>
                          <m:r>
                            <w:rPr>
                              <w:rFonts w:ascii="Cambria Math" w:hAnsi="Cambria Math" w:eastAsia="宋体"/>
                              <w:szCs w:val="20"/>
                              <w:lang w:val="en-GB"/>
                            </w:rPr>
                            <m:t>∙</m:t>
                          </m:r>
                          <m:r>
                            <w:rPr>
                              <w:rFonts w:ascii="Cambria Math" w:eastAsia="宋体"/>
                              <w:szCs w:val="20"/>
                              <w:lang w:val="en-GB"/>
                            </w:rPr>
                            <m:t>M</m:t>
                          </m:r>
                          <m:ctrlPr>
                            <w:rPr>
                              <w:rFonts w:ascii="Cambria Math" w:hAnsi="Cambria Math" w:eastAsia="宋体"/>
                              <w:i/>
                              <w:szCs w:val="20"/>
                              <w:lang w:val="en-GB"/>
                            </w:rPr>
                          </m:ctrlPr>
                        </m:e>
                        <m:sub>
                          <m:r>
                            <m:rPr>
                              <m:nor/>
                              <m:sty m:val="p"/>
                            </m:rPr>
                            <w:rPr>
                              <w:rFonts w:ascii="Cambria Math" w:eastAsia="宋体"/>
                              <w:szCs w:val="20"/>
                              <w:lang w:val="en-GB"/>
                            </w:rPr>
                            <m:t>PDCCH</m:t>
                          </m:r>
                          <m:ctrlPr>
                            <w:rPr>
                              <w:rFonts w:ascii="Cambria Math" w:hAnsi="Cambria Math" w:eastAsia="宋体"/>
                              <w:szCs w:val="20"/>
                              <w:lang w:val="en-GB"/>
                            </w:rPr>
                          </m:ctrlPr>
                        </m:sub>
                        <m:sup>
                          <m:r>
                            <m:rPr>
                              <m:nor/>
                              <m:sty m:val="p"/>
                            </m:rPr>
                            <w:rPr>
                              <w:rFonts w:ascii="Cambria Math" w:eastAsia="宋体"/>
                              <w:szCs w:val="20"/>
                              <w:lang w:val="en-GB"/>
                            </w:rPr>
                            <m:t>max,slot,</m:t>
                          </m:r>
                          <m:r>
                            <w:rPr>
                              <w:rFonts w:ascii="Cambria Math" w:eastAsia="宋体"/>
                              <w:szCs w:val="20"/>
                              <w:lang w:val="en-GB"/>
                            </w:rPr>
                            <m:t>μ</m:t>
                          </m:r>
                          <m:ctrlPr>
                            <w:rPr>
                              <w:rFonts w:ascii="Cambria Math" w:hAnsi="Cambria Math" w:eastAsia="宋体"/>
                              <w:szCs w:val="20"/>
                              <w:lang w:val="en-GB"/>
                            </w:rPr>
                          </m:ctrlPr>
                        </m:sup>
                      </m:sSubSup>
                      <m:r>
                        <w:rPr>
                          <w:rFonts w:ascii="Cambria Math" w:eastAsia="宋体"/>
                          <w:szCs w:val="20"/>
                          <w:lang w:val="en-GB"/>
                        </w:rPr>
                        <m:t>,</m:t>
                      </m:r>
                      <m:sSubSup>
                        <m:sSubSupPr>
                          <m:ctrlPr>
                            <w:rPr>
                              <w:rFonts w:ascii="Cambria Math" w:hAnsi="Cambria Math" w:eastAsia="宋体"/>
                              <w:i/>
                              <w:szCs w:val="20"/>
                              <w:lang w:val="en-GB"/>
                            </w:rPr>
                          </m:ctrlPr>
                        </m:sSubSupPr>
                        <m:e>
                          <m:r>
                            <w:rPr>
                              <w:rFonts w:ascii="Cambria Math" w:eastAsia="宋体"/>
                              <w:szCs w:val="20"/>
                              <w:lang w:val="en-GB"/>
                            </w:rPr>
                            <m:t>M</m:t>
                          </m:r>
                          <m:ctrlPr>
                            <w:rPr>
                              <w:rFonts w:ascii="Cambria Math" w:hAnsi="Cambria Math" w:eastAsia="宋体"/>
                              <w:i/>
                              <w:szCs w:val="20"/>
                              <w:lang w:val="en-GB"/>
                            </w:rPr>
                          </m:ctrlPr>
                        </m:e>
                        <m:sub>
                          <m:r>
                            <m:rPr>
                              <m:nor/>
                              <m:sty m:val="p"/>
                            </m:rPr>
                            <w:rPr>
                              <w:rFonts w:ascii="Cambria Math" w:eastAsia="宋体"/>
                              <w:szCs w:val="20"/>
                              <w:lang w:val="en-GB"/>
                            </w:rPr>
                            <m:t>PDCCH</m:t>
                          </m:r>
                          <m:ctrlPr>
                            <w:rPr>
                              <w:rFonts w:ascii="Cambria Math" w:hAnsi="Cambria Math" w:eastAsia="宋体"/>
                              <w:szCs w:val="20"/>
                              <w:lang w:val="en-GB"/>
                            </w:rPr>
                          </m:ctrlPr>
                        </m:sub>
                        <m:sup>
                          <m:r>
                            <m:rPr>
                              <m:nor/>
                              <m:sty m:val="p"/>
                            </m:rPr>
                            <w:rPr>
                              <w:rFonts w:ascii="Cambria Math" w:eastAsia="宋体"/>
                              <w:szCs w:val="20"/>
                              <w:lang w:val="en-GB"/>
                            </w:rPr>
                            <m:t>total,slot,</m:t>
                          </m:r>
                          <m:r>
                            <w:rPr>
                              <w:rFonts w:ascii="Cambria Math" w:eastAsia="宋体"/>
                              <w:szCs w:val="20"/>
                              <w:lang w:val="en-GB"/>
                            </w:rPr>
                            <m:t>μ</m:t>
                          </m:r>
                          <m:ctrlPr>
                            <w:rPr>
                              <w:rFonts w:ascii="Cambria Math" w:hAnsi="Cambria Math" w:eastAsia="宋体"/>
                              <w:szCs w:val="20"/>
                              <w:lang w:val="en-GB"/>
                            </w:rPr>
                          </m:ctrlPr>
                        </m:sup>
                      </m:sSubSup>
                      <m:ctrlPr>
                        <w:rPr>
                          <w:rFonts w:ascii="Cambria Math" w:hAnsi="Cambria Math" w:eastAsia="宋体"/>
                          <w:i/>
                          <w:szCs w:val="20"/>
                          <w:lang w:val="en-GB"/>
                        </w:rPr>
                      </m:ctrlPr>
                    </m:e>
                  </m:d>
                  <m:ctrlPr>
                    <w:rPr>
                      <w:rFonts w:ascii="Cambria Math" w:hAnsi="Cambria Math" w:eastAsia="宋体"/>
                      <w:i/>
                      <w:szCs w:val="20"/>
                      <w:lang w:val="en-GB"/>
                    </w:rPr>
                  </m:ctrlPr>
                </m:e>
              </m:func>
              <m:r>
                <w:rPr>
                  <w:rFonts w:ascii="Cambria Math" w:hAnsi="Cambria Math" w:eastAsia="宋体" w:cs="Calibri"/>
                  <w:szCs w:val="20"/>
                  <w:lang w:val="en-GB"/>
                </w:rPr>
                <m:t>&gt;</m:t>
              </m:r>
              <m:func>
                <m:funcPr>
                  <m:ctrlPr>
                    <w:rPr>
                      <w:rFonts w:ascii="Cambria Math" w:hAnsi="Cambria Math" w:eastAsia="宋体"/>
                      <w:i/>
                      <w:szCs w:val="20"/>
                      <w:lang w:val="en-GB"/>
                    </w:rPr>
                  </m:ctrlPr>
                </m:funcPr>
                <m:fName>
                  <m:r>
                    <w:rPr>
                      <w:rFonts w:ascii="Cambria Math" w:eastAsia="宋体"/>
                      <w:szCs w:val="20"/>
                      <w:lang w:val="en-GB"/>
                    </w:rPr>
                    <m:t>min</m:t>
                  </m:r>
                  <m:ctrlPr>
                    <w:rPr>
                      <w:rFonts w:ascii="Cambria Math" w:hAnsi="Cambria Math" w:eastAsia="宋体"/>
                      <w:i/>
                      <w:szCs w:val="20"/>
                      <w:lang w:val="en-GB"/>
                    </w:rPr>
                  </m:ctrlPr>
                </m:fName>
                <m:e>
                  <m:d>
                    <m:dPr>
                      <m:ctrlPr>
                        <w:rPr>
                          <w:rFonts w:ascii="Cambria Math" w:hAnsi="Cambria Math" w:eastAsia="宋体"/>
                          <w:i/>
                          <w:szCs w:val="20"/>
                          <w:lang w:val="en-GB"/>
                        </w:rPr>
                      </m:ctrlPr>
                    </m:dPr>
                    <m:e>
                      <m:sSubSup>
                        <m:sSubSupPr>
                          <m:ctrlPr>
                            <w:rPr>
                              <w:rFonts w:ascii="Cambria Math" w:hAnsi="Cambria Math" w:eastAsia="宋体"/>
                              <w:i/>
                              <w:szCs w:val="20"/>
                              <w:lang w:val="en-GB"/>
                            </w:rPr>
                          </m:ctrlPr>
                        </m:sSubSupPr>
                        <m:e>
                          <m:r>
                            <w:rPr>
                              <w:rFonts w:ascii="Cambria Math" w:eastAsia="宋体"/>
                              <w:szCs w:val="20"/>
                              <w:lang w:val="en-GB"/>
                            </w:rPr>
                            <m:t>M</m:t>
                          </m:r>
                          <m:ctrlPr>
                            <w:rPr>
                              <w:rFonts w:ascii="Cambria Math" w:hAnsi="Cambria Math" w:eastAsia="宋体"/>
                              <w:i/>
                              <w:szCs w:val="20"/>
                              <w:lang w:val="en-GB"/>
                            </w:rPr>
                          </m:ctrlPr>
                        </m:e>
                        <m:sub>
                          <m:r>
                            <m:rPr>
                              <m:nor/>
                              <m:sty m:val="p"/>
                            </m:rPr>
                            <w:rPr>
                              <w:rFonts w:ascii="Cambria Math" w:eastAsia="宋体"/>
                              <w:szCs w:val="20"/>
                              <w:lang w:val="en-GB"/>
                            </w:rPr>
                            <m:t>PDCCH</m:t>
                          </m:r>
                          <m:ctrlPr>
                            <w:rPr>
                              <w:rFonts w:ascii="Cambria Math" w:hAnsi="Cambria Math" w:eastAsia="宋体"/>
                              <w:szCs w:val="20"/>
                              <w:lang w:val="en-GB"/>
                            </w:rPr>
                          </m:ctrlPr>
                        </m:sub>
                        <m:sup>
                          <m:r>
                            <m:rPr>
                              <m:nor/>
                              <m:sty m:val="p"/>
                            </m:rPr>
                            <w:rPr>
                              <w:rFonts w:ascii="Cambria Math" w:eastAsia="宋体"/>
                              <w:szCs w:val="20"/>
                              <w:lang w:val="en-GB"/>
                            </w:rPr>
                            <m:t>max,slot,</m:t>
                          </m:r>
                          <m:r>
                            <w:rPr>
                              <w:rFonts w:ascii="Cambria Math" w:eastAsia="宋体"/>
                              <w:szCs w:val="20"/>
                              <w:lang w:val="en-GB"/>
                            </w:rPr>
                            <m:t>μ</m:t>
                          </m:r>
                          <m:ctrlPr>
                            <w:rPr>
                              <w:rFonts w:ascii="Cambria Math" w:hAnsi="Cambria Math" w:eastAsia="宋体"/>
                              <w:szCs w:val="20"/>
                              <w:lang w:val="en-GB"/>
                            </w:rPr>
                          </m:ctrlPr>
                        </m:sup>
                      </m:sSubSup>
                      <m:r>
                        <w:rPr>
                          <w:rFonts w:ascii="Cambria Math" w:eastAsia="宋体"/>
                          <w:szCs w:val="20"/>
                          <w:lang w:val="en-GB"/>
                        </w:rPr>
                        <m:t>,</m:t>
                      </m:r>
                      <m:sSubSup>
                        <m:sSubSupPr>
                          <m:ctrlPr>
                            <w:rPr>
                              <w:rFonts w:ascii="Cambria Math" w:hAnsi="Cambria Math" w:eastAsia="宋体"/>
                              <w:i/>
                              <w:szCs w:val="20"/>
                              <w:lang w:val="en-GB"/>
                            </w:rPr>
                          </m:ctrlPr>
                        </m:sSubSupPr>
                        <m:e>
                          <m:r>
                            <w:rPr>
                              <w:rFonts w:ascii="Cambria Math" w:eastAsia="宋体"/>
                              <w:szCs w:val="20"/>
                              <w:lang w:val="en-GB"/>
                            </w:rPr>
                            <m:t>M</m:t>
                          </m:r>
                          <m:ctrlPr>
                            <w:rPr>
                              <w:rFonts w:ascii="Cambria Math" w:hAnsi="Cambria Math" w:eastAsia="宋体"/>
                              <w:i/>
                              <w:szCs w:val="20"/>
                              <w:lang w:val="en-GB"/>
                            </w:rPr>
                          </m:ctrlPr>
                        </m:e>
                        <m:sub>
                          <m:r>
                            <m:rPr>
                              <m:nor/>
                              <m:sty m:val="p"/>
                            </m:rPr>
                            <w:rPr>
                              <w:rFonts w:ascii="Cambria Math" w:eastAsia="宋体"/>
                              <w:szCs w:val="20"/>
                              <w:lang w:val="en-GB"/>
                            </w:rPr>
                            <m:t>PDCCH</m:t>
                          </m:r>
                          <m:ctrlPr>
                            <w:rPr>
                              <w:rFonts w:ascii="Cambria Math" w:hAnsi="Cambria Math" w:eastAsia="宋体"/>
                              <w:szCs w:val="20"/>
                              <w:lang w:val="en-GB"/>
                            </w:rPr>
                          </m:ctrlPr>
                        </m:sub>
                        <m:sup>
                          <m:r>
                            <m:rPr>
                              <m:nor/>
                              <m:sty m:val="p"/>
                            </m:rPr>
                            <w:rPr>
                              <w:rFonts w:ascii="Cambria Math" w:eastAsia="宋体"/>
                              <w:szCs w:val="20"/>
                              <w:lang w:val="en-GB"/>
                            </w:rPr>
                            <m:t>total,slot,</m:t>
                          </m:r>
                          <m:r>
                            <w:rPr>
                              <w:rFonts w:ascii="Cambria Math" w:eastAsia="宋体"/>
                              <w:szCs w:val="20"/>
                              <w:lang w:val="en-GB"/>
                            </w:rPr>
                            <m:t>μ</m:t>
                          </m:r>
                          <m:ctrlPr>
                            <w:rPr>
                              <w:rFonts w:ascii="Cambria Math" w:hAnsi="Cambria Math" w:eastAsia="宋体"/>
                              <w:szCs w:val="20"/>
                              <w:lang w:val="en-GB"/>
                            </w:rPr>
                          </m:ctrlPr>
                        </m:sup>
                      </m:sSubSup>
                      <m:ctrlPr>
                        <w:rPr>
                          <w:rFonts w:ascii="Cambria Math" w:hAnsi="Cambria Math" w:eastAsia="宋体"/>
                          <w:i/>
                          <w:szCs w:val="20"/>
                          <w:lang w:val="en-GB"/>
                        </w:rPr>
                      </m:ctrlPr>
                    </m:e>
                  </m:d>
                  <m:ctrlPr>
                    <w:rPr>
                      <w:rFonts w:ascii="Cambria Math" w:hAnsi="Cambria Math" w:eastAsia="宋体"/>
                      <w:i/>
                      <w:szCs w:val="20"/>
                      <w:lang w:val="en-GB"/>
                    </w:rPr>
                  </m:ctrlPr>
                </m:e>
              </m:func>
            </m:oMath>
            <w:r>
              <w:rPr>
                <w:rFonts w:eastAsia="宋体" w:cs="Calibri"/>
                <w:szCs w:val="20"/>
                <w:lang w:val="en-GB"/>
              </w:rPr>
              <w:t xml:space="preserve"> or </w:t>
            </w:r>
            <m:oMath>
              <m:func>
                <m:funcPr>
                  <m:ctrlPr>
                    <w:rPr>
                      <w:rFonts w:ascii="Cambria Math" w:hAnsi="Cambria Math" w:eastAsia="宋体"/>
                      <w:i/>
                      <w:szCs w:val="20"/>
                      <w:lang w:val="en-GB"/>
                    </w:rPr>
                  </m:ctrlPr>
                </m:funcPr>
                <m:fName>
                  <m:r>
                    <w:rPr>
                      <w:rFonts w:ascii="Cambria Math" w:eastAsia="宋体"/>
                      <w:szCs w:val="20"/>
                      <w:lang w:val="en-GB"/>
                    </w:rPr>
                    <m:t>min</m:t>
                  </m:r>
                  <m:ctrlPr>
                    <w:rPr>
                      <w:rFonts w:ascii="Cambria Math" w:hAnsi="Cambria Math" w:eastAsia="宋体"/>
                      <w:i/>
                      <w:szCs w:val="20"/>
                      <w:lang w:val="en-GB"/>
                    </w:rPr>
                  </m:ctrlPr>
                </m:fName>
                <m:e>
                  <m:d>
                    <m:dPr>
                      <m:ctrlPr>
                        <w:rPr>
                          <w:rFonts w:ascii="Cambria Math" w:hAnsi="Cambria Math" w:eastAsia="宋体"/>
                          <w:i/>
                          <w:szCs w:val="20"/>
                          <w:lang w:val="en-GB"/>
                        </w:rPr>
                      </m:ctrlPr>
                    </m:dPr>
                    <m:e>
                      <m:sSubSup>
                        <m:sSubSupPr>
                          <m:ctrlPr>
                            <w:rPr>
                              <w:rFonts w:ascii="Cambria Math" w:hAnsi="Cambria Math" w:eastAsia="宋体"/>
                              <w:i/>
                              <w:szCs w:val="20"/>
                              <w:lang w:val="en-GB"/>
                            </w:rPr>
                          </m:ctrlPr>
                        </m:sSubSupPr>
                        <m:e>
                          <m:r>
                            <w:rPr>
                              <w:rFonts w:ascii="Cambria Math" w:hAnsi="Cambria Math" w:eastAsia="宋体" w:cs="Calibri"/>
                              <w:szCs w:val="20"/>
                              <w:lang w:val="en-GB"/>
                            </w:rPr>
                            <m:t>γ</m:t>
                          </m:r>
                          <m:r>
                            <w:rPr>
                              <w:rFonts w:ascii="Cambria Math" w:hAnsi="Cambria Math" w:eastAsia="宋体"/>
                              <w:szCs w:val="20"/>
                              <w:lang w:val="en-GB"/>
                            </w:rPr>
                            <m:t>∙</m:t>
                          </m:r>
                          <m:r>
                            <w:rPr>
                              <w:rFonts w:ascii="Cambria Math" w:eastAsia="宋体"/>
                              <w:szCs w:val="20"/>
                              <w:lang w:val="en-GB"/>
                            </w:rPr>
                            <m:t>C</m:t>
                          </m:r>
                          <m:ctrlPr>
                            <w:rPr>
                              <w:rFonts w:ascii="Cambria Math" w:hAnsi="Cambria Math" w:eastAsia="宋体"/>
                              <w:i/>
                              <w:szCs w:val="20"/>
                              <w:lang w:val="en-GB"/>
                            </w:rPr>
                          </m:ctrlPr>
                        </m:e>
                        <m:sub>
                          <m:r>
                            <m:rPr>
                              <m:nor/>
                              <m:sty m:val="p"/>
                            </m:rPr>
                            <w:rPr>
                              <w:rFonts w:ascii="Cambria Math" w:eastAsia="宋体"/>
                              <w:szCs w:val="20"/>
                              <w:lang w:val="en-GB"/>
                            </w:rPr>
                            <m:t>PDCCH</m:t>
                          </m:r>
                          <m:ctrlPr>
                            <w:rPr>
                              <w:rFonts w:ascii="Cambria Math" w:hAnsi="Cambria Math" w:eastAsia="宋体"/>
                              <w:szCs w:val="20"/>
                              <w:lang w:val="en-GB"/>
                            </w:rPr>
                          </m:ctrlPr>
                        </m:sub>
                        <m:sup>
                          <m:r>
                            <m:rPr>
                              <m:nor/>
                              <m:sty m:val="p"/>
                            </m:rPr>
                            <w:rPr>
                              <w:rFonts w:ascii="Cambria Math" w:eastAsia="宋体"/>
                              <w:szCs w:val="20"/>
                              <w:lang w:val="en-GB"/>
                            </w:rPr>
                            <m:t>max,slot,</m:t>
                          </m:r>
                          <m:r>
                            <w:rPr>
                              <w:rFonts w:ascii="Cambria Math" w:eastAsia="宋体"/>
                              <w:szCs w:val="20"/>
                              <w:lang w:val="en-GB"/>
                            </w:rPr>
                            <m:t>μ</m:t>
                          </m:r>
                          <m:ctrlPr>
                            <w:rPr>
                              <w:rFonts w:ascii="Cambria Math" w:hAnsi="Cambria Math" w:eastAsia="宋体"/>
                              <w:szCs w:val="20"/>
                              <w:lang w:val="en-GB"/>
                            </w:rPr>
                          </m:ctrlPr>
                        </m:sup>
                      </m:sSubSup>
                      <m:r>
                        <w:rPr>
                          <w:rFonts w:ascii="Cambria Math" w:eastAsia="宋体"/>
                          <w:szCs w:val="20"/>
                          <w:lang w:val="en-GB"/>
                        </w:rPr>
                        <m:t>,</m:t>
                      </m:r>
                      <m:sSubSup>
                        <m:sSubSupPr>
                          <m:ctrlPr>
                            <w:rPr>
                              <w:rFonts w:ascii="Cambria Math" w:hAnsi="Cambria Math" w:eastAsia="宋体"/>
                              <w:i/>
                              <w:szCs w:val="20"/>
                              <w:lang w:val="en-GB"/>
                            </w:rPr>
                          </m:ctrlPr>
                        </m:sSubSupPr>
                        <m:e>
                          <m:r>
                            <w:rPr>
                              <w:rFonts w:ascii="Cambria Math" w:eastAsia="宋体"/>
                              <w:szCs w:val="20"/>
                              <w:lang w:val="en-GB"/>
                            </w:rPr>
                            <m:t>C</m:t>
                          </m:r>
                          <m:ctrlPr>
                            <w:rPr>
                              <w:rFonts w:ascii="Cambria Math" w:hAnsi="Cambria Math" w:eastAsia="宋体"/>
                              <w:i/>
                              <w:szCs w:val="20"/>
                              <w:lang w:val="en-GB"/>
                            </w:rPr>
                          </m:ctrlPr>
                        </m:e>
                        <m:sub>
                          <m:r>
                            <m:rPr>
                              <m:nor/>
                              <m:sty m:val="p"/>
                            </m:rPr>
                            <w:rPr>
                              <w:rFonts w:ascii="Cambria Math" w:eastAsia="宋体"/>
                              <w:szCs w:val="20"/>
                              <w:lang w:val="en-GB"/>
                            </w:rPr>
                            <m:t>PDCCH</m:t>
                          </m:r>
                          <m:ctrlPr>
                            <w:rPr>
                              <w:rFonts w:ascii="Cambria Math" w:hAnsi="Cambria Math" w:eastAsia="宋体"/>
                              <w:szCs w:val="20"/>
                              <w:lang w:val="en-GB"/>
                            </w:rPr>
                          </m:ctrlPr>
                        </m:sub>
                        <m:sup>
                          <m:r>
                            <m:rPr>
                              <m:nor/>
                              <m:sty m:val="p"/>
                            </m:rPr>
                            <w:rPr>
                              <w:rFonts w:ascii="Cambria Math" w:eastAsia="宋体"/>
                              <w:szCs w:val="20"/>
                              <w:lang w:val="en-GB"/>
                            </w:rPr>
                            <m:t>total,slot,</m:t>
                          </m:r>
                          <m:r>
                            <w:rPr>
                              <w:rFonts w:ascii="Cambria Math" w:eastAsia="宋体"/>
                              <w:szCs w:val="20"/>
                              <w:lang w:val="en-GB"/>
                            </w:rPr>
                            <m:t>μ</m:t>
                          </m:r>
                          <m:ctrlPr>
                            <w:rPr>
                              <w:rFonts w:ascii="Cambria Math" w:hAnsi="Cambria Math" w:eastAsia="宋体"/>
                              <w:szCs w:val="20"/>
                              <w:lang w:val="en-GB"/>
                            </w:rPr>
                          </m:ctrlPr>
                        </m:sup>
                      </m:sSubSup>
                      <m:ctrlPr>
                        <w:rPr>
                          <w:rFonts w:ascii="Cambria Math" w:hAnsi="Cambria Math" w:eastAsia="宋体"/>
                          <w:i/>
                          <w:szCs w:val="20"/>
                          <w:lang w:val="en-GB"/>
                        </w:rPr>
                      </m:ctrlPr>
                    </m:e>
                  </m:d>
                  <m:ctrlPr>
                    <w:rPr>
                      <w:rFonts w:ascii="Cambria Math" w:hAnsi="Cambria Math" w:eastAsia="宋体"/>
                      <w:i/>
                      <w:szCs w:val="20"/>
                      <w:lang w:val="en-GB"/>
                    </w:rPr>
                  </m:ctrlPr>
                </m:e>
              </m:func>
              <m:r>
                <w:rPr>
                  <w:rFonts w:ascii="Cambria Math" w:hAnsi="Cambria Math" w:eastAsia="宋体" w:cs="Calibri"/>
                  <w:szCs w:val="20"/>
                  <w:lang w:val="en-GB"/>
                </w:rPr>
                <m:t>&gt;</m:t>
              </m:r>
              <m:func>
                <m:funcPr>
                  <m:ctrlPr>
                    <w:rPr>
                      <w:rFonts w:ascii="Cambria Math" w:hAnsi="Cambria Math" w:eastAsia="宋体"/>
                      <w:i/>
                      <w:szCs w:val="20"/>
                      <w:lang w:val="en-GB"/>
                    </w:rPr>
                  </m:ctrlPr>
                </m:funcPr>
                <m:fName>
                  <m:r>
                    <w:rPr>
                      <w:rFonts w:ascii="Cambria Math" w:eastAsia="宋体"/>
                      <w:szCs w:val="20"/>
                      <w:lang w:val="en-GB"/>
                    </w:rPr>
                    <m:t>min</m:t>
                  </m:r>
                  <m:ctrlPr>
                    <w:rPr>
                      <w:rFonts w:ascii="Cambria Math" w:hAnsi="Cambria Math" w:eastAsia="宋体"/>
                      <w:i/>
                      <w:szCs w:val="20"/>
                      <w:lang w:val="en-GB"/>
                    </w:rPr>
                  </m:ctrlPr>
                </m:fName>
                <m:e>
                  <m:d>
                    <m:dPr>
                      <m:ctrlPr>
                        <w:rPr>
                          <w:rFonts w:ascii="Cambria Math" w:hAnsi="Cambria Math" w:eastAsia="宋体"/>
                          <w:i/>
                          <w:szCs w:val="20"/>
                          <w:lang w:val="en-GB"/>
                        </w:rPr>
                      </m:ctrlPr>
                    </m:dPr>
                    <m:e>
                      <m:sSubSup>
                        <m:sSubSupPr>
                          <m:ctrlPr>
                            <w:rPr>
                              <w:rFonts w:ascii="Cambria Math" w:hAnsi="Cambria Math" w:eastAsia="宋体"/>
                              <w:i/>
                              <w:szCs w:val="20"/>
                              <w:lang w:val="en-GB"/>
                            </w:rPr>
                          </m:ctrlPr>
                        </m:sSubSupPr>
                        <m:e>
                          <m:r>
                            <w:rPr>
                              <w:rFonts w:ascii="Cambria Math" w:eastAsia="宋体"/>
                              <w:szCs w:val="20"/>
                              <w:lang w:val="en-GB"/>
                            </w:rPr>
                            <m:t>C</m:t>
                          </m:r>
                          <m:ctrlPr>
                            <w:rPr>
                              <w:rFonts w:ascii="Cambria Math" w:hAnsi="Cambria Math" w:eastAsia="宋体"/>
                              <w:i/>
                              <w:szCs w:val="20"/>
                              <w:lang w:val="en-GB"/>
                            </w:rPr>
                          </m:ctrlPr>
                        </m:e>
                        <m:sub>
                          <m:r>
                            <m:rPr>
                              <m:nor/>
                              <m:sty m:val="p"/>
                            </m:rPr>
                            <w:rPr>
                              <w:rFonts w:ascii="Cambria Math" w:eastAsia="宋体"/>
                              <w:szCs w:val="20"/>
                              <w:lang w:val="en-GB"/>
                            </w:rPr>
                            <m:t>PDCCH</m:t>
                          </m:r>
                          <m:ctrlPr>
                            <w:rPr>
                              <w:rFonts w:ascii="Cambria Math" w:hAnsi="Cambria Math" w:eastAsia="宋体"/>
                              <w:szCs w:val="20"/>
                              <w:lang w:val="en-GB"/>
                            </w:rPr>
                          </m:ctrlPr>
                        </m:sub>
                        <m:sup>
                          <m:r>
                            <m:rPr>
                              <m:nor/>
                              <m:sty m:val="p"/>
                            </m:rPr>
                            <w:rPr>
                              <w:rFonts w:ascii="Cambria Math" w:eastAsia="宋体"/>
                              <w:szCs w:val="20"/>
                              <w:lang w:val="en-GB"/>
                            </w:rPr>
                            <m:t>max,slot,</m:t>
                          </m:r>
                          <m:r>
                            <w:rPr>
                              <w:rFonts w:ascii="Cambria Math" w:eastAsia="宋体"/>
                              <w:szCs w:val="20"/>
                              <w:lang w:val="en-GB"/>
                            </w:rPr>
                            <m:t>μ</m:t>
                          </m:r>
                          <m:ctrlPr>
                            <w:rPr>
                              <w:rFonts w:ascii="Cambria Math" w:hAnsi="Cambria Math" w:eastAsia="宋体"/>
                              <w:szCs w:val="20"/>
                              <w:lang w:val="en-GB"/>
                            </w:rPr>
                          </m:ctrlPr>
                        </m:sup>
                      </m:sSubSup>
                      <m:r>
                        <w:rPr>
                          <w:rFonts w:ascii="Cambria Math" w:eastAsia="宋体"/>
                          <w:szCs w:val="20"/>
                          <w:lang w:val="en-GB"/>
                        </w:rPr>
                        <m:t>,</m:t>
                      </m:r>
                      <m:sSubSup>
                        <m:sSubSupPr>
                          <m:ctrlPr>
                            <w:rPr>
                              <w:rFonts w:ascii="Cambria Math" w:hAnsi="Cambria Math" w:eastAsia="宋体"/>
                              <w:i/>
                              <w:szCs w:val="20"/>
                              <w:lang w:val="en-GB"/>
                            </w:rPr>
                          </m:ctrlPr>
                        </m:sSubSupPr>
                        <m:e>
                          <m:r>
                            <w:rPr>
                              <w:rFonts w:ascii="Cambria Math" w:eastAsia="宋体"/>
                              <w:szCs w:val="20"/>
                              <w:lang w:val="en-GB"/>
                            </w:rPr>
                            <m:t>C</m:t>
                          </m:r>
                          <m:ctrlPr>
                            <w:rPr>
                              <w:rFonts w:ascii="Cambria Math" w:hAnsi="Cambria Math" w:eastAsia="宋体"/>
                              <w:i/>
                              <w:szCs w:val="20"/>
                              <w:lang w:val="en-GB"/>
                            </w:rPr>
                          </m:ctrlPr>
                        </m:e>
                        <m:sub>
                          <m:r>
                            <m:rPr>
                              <m:nor/>
                              <m:sty m:val="p"/>
                            </m:rPr>
                            <w:rPr>
                              <w:rFonts w:ascii="Cambria Math" w:eastAsia="宋体"/>
                              <w:szCs w:val="20"/>
                              <w:lang w:val="en-GB"/>
                            </w:rPr>
                            <m:t>PDCCH</m:t>
                          </m:r>
                          <m:ctrlPr>
                            <w:rPr>
                              <w:rFonts w:ascii="Cambria Math" w:hAnsi="Cambria Math" w:eastAsia="宋体"/>
                              <w:szCs w:val="20"/>
                              <w:lang w:val="en-GB"/>
                            </w:rPr>
                          </m:ctrlPr>
                        </m:sub>
                        <m:sup>
                          <m:r>
                            <m:rPr>
                              <m:nor/>
                              <m:sty m:val="p"/>
                            </m:rPr>
                            <w:rPr>
                              <w:rFonts w:ascii="Cambria Math" w:eastAsia="宋体"/>
                              <w:szCs w:val="20"/>
                              <w:lang w:val="en-GB"/>
                            </w:rPr>
                            <m:t>total,slot,</m:t>
                          </m:r>
                          <m:r>
                            <w:rPr>
                              <w:rFonts w:ascii="Cambria Math" w:eastAsia="宋体"/>
                              <w:szCs w:val="20"/>
                              <w:lang w:val="en-GB"/>
                            </w:rPr>
                            <m:t>μ</m:t>
                          </m:r>
                          <m:ctrlPr>
                            <w:rPr>
                              <w:rFonts w:ascii="Cambria Math" w:hAnsi="Cambria Math" w:eastAsia="宋体"/>
                              <w:szCs w:val="20"/>
                              <w:lang w:val="en-GB"/>
                            </w:rPr>
                          </m:ctrlPr>
                        </m:sup>
                      </m:sSubSup>
                      <m:ctrlPr>
                        <w:rPr>
                          <w:rFonts w:ascii="Cambria Math" w:hAnsi="Cambria Math" w:eastAsia="宋体"/>
                          <w:i/>
                          <w:szCs w:val="20"/>
                          <w:lang w:val="en-GB"/>
                        </w:rPr>
                      </m:ctrlPr>
                    </m:e>
                  </m:d>
                  <m:ctrlPr>
                    <w:rPr>
                      <w:rFonts w:ascii="Cambria Math" w:hAnsi="Cambria Math" w:eastAsia="宋体"/>
                      <w:i/>
                      <w:szCs w:val="20"/>
                      <w:lang w:val="en-GB"/>
                    </w:rPr>
                  </m:ctrlPr>
                </m:e>
              </m:func>
            </m:oMath>
            <w:r>
              <w:rPr>
                <w:rFonts w:eastAsia="宋体" w:cs="Calibri"/>
                <w:szCs w:val="20"/>
                <w:lang w:val="en-GB"/>
              </w:rPr>
              <w:t xml:space="preserve">, the following pseudocode applies only to USS sets associated with the first CORESETs. </w:t>
            </w:r>
            <w:r>
              <w:rPr>
                <w:rFonts w:eastAsia="Yu Mincho"/>
                <w:szCs w:val="20"/>
                <w:lang w:val="en-GB"/>
              </w:rPr>
              <w:t xml:space="preserve">A UE does not expect to monitor PDCCH in a USS set without allocated PDCCH candidates </w:t>
            </w:r>
            <w:r>
              <w:rPr>
                <w:rFonts w:eastAsia="宋体"/>
                <w:szCs w:val="20"/>
                <w:lang w:val="en-GB"/>
              </w:rPr>
              <w:t>for monitoring</w:t>
            </w:r>
            <w:r>
              <w:rPr>
                <w:rFonts w:eastAsia="Yu Mincho"/>
                <w:szCs w:val="20"/>
                <w:lang w:val="en-GB"/>
              </w:rPr>
              <w:t xml:space="preserve">. In the following pseudocode, </w:t>
            </w:r>
            <w:r>
              <w:rPr>
                <w:rFonts w:eastAsia="宋体"/>
                <w:szCs w:val="20"/>
                <w:lang w:val="en-GB"/>
              </w:rPr>
              <w:t xml:space="preserve">if the UE is </w:t>
            </w:r>
            <w:r>
              <w:rPr>
                <w:rFonts w:eastAsia="宋体"/>
                <w:szCs w:val="20"/>
                <w:lang w:val="en-GB" w:eastAsia="ko-KR"/>
              </w:rPr>
              <w:t xml:space="preserve">provided </w:t>
            </w:r>
            <w:r>
              <w:rPr>
                <w:rFonts w:eastAsia="宋体"/>
                <w:i/>
                <w:szCs w:val="20"/>
                <w:lang w:val="en-GB"/>
              </w:rPr>
              <w:t>monitoringCapabilityConfig</w:t>
            </w:r>
            <w:r>
              <w:rPr>
                <w:rFonts w:eastAsia="宋体"/>
                <w:szCs w:val="20"/>
                <w:lang w:val="en-GB"/>
              </w:rPr>
              <w:t xml:space="preserve"> = </w:t>
            </w:r>
            <w:r>
              <w:rPr>
                <w:rFonts w:eastAsia="宋体"/>
                <w:i/>
                <w:szCs w:val="20"/>
                <w:lang w:val="en-GB"/>
              </w:rPr>
              <w:t>r1</w:t>
            </w:r>
            <w:r>
              <w:rPr>
                <w:rFonts w:eastAsia="宋体"/>
                <w:i/>
                <w:szCs w:val="20"/>
              </w:rPr>
              <w:t>6</w:t>
            </w:r>
            <w:r>
              <w:rPr>
                <w:rFonts w:eastAsia="宋体"/>
                <w:i/>
                <w:szCs w:val="20"/>
                <w:lang w:val="en-GB"/>
              </w:rPr>
              <w:t>monitoringcapability</w:t>
            </w:r>
            <w:r>
              <w:rPr>
                <w:rFonts w:eastAsia="宋体"/>
                <w:szCs w:val="20"/>
                <w:lang w:val="en-GB"/>
              </w:rPr>
              <w:t xml:space="preserve"> for the primary cell,</w:t>
            </w:r>
            <m:oMath>
              <m:r>
                <m:rPr>
                  <m:sty m:val="p"/>
                </m:rPr>
                <w:rPr>
                  <w:rFonts w:ascii="Cambria Math" w:hAnsi="Cambria Math" w:eastAsia="宋体"/>
                  <w:szCs w:val="20"/>
                  <w:lang w:val="en-GB"/>
                </w:rPr>
                <m:t xml:space="preserve"> </m:t>
              </m:r>
              <m:sSubSup>
                <m:sSubSupPr>
                  <m:ctrlPr>
                    <w:rPr>
                      <w:rFonts w:ascii="Cambria Math" w:hAnsi="Cambria Math" w:eastAsia="宋体"/>
                      <w:i/>
                      <w:iCs/>
                      <w:sz w:val="24"/>
                      <w:szCs w:val="24"/>
                      <w:lang w:val="en-GB"/>
                    </w:rPr>
                  </m:ctrlPr>
                </m:sSubSupPr>
                <m:e>
                  <m:r>
                    <w:rPr>
                      <w:rFonts w:ascii="Cambria Math" w:eastAsia="宋体"/>
                      <w:szCs w:val="20"/>
                      <w:lang w:val="en-GB"/>
                    </w:rPr>
                    <m:t>M</m:t>
                  </m:r>
                  <m:ctrlPr>
                    <w:rPr>
                      <w:rFonts w:ascii="Cambria Math" w:hAnsi="Cambria Math" w:eastAsia="宋体"/>
                      <w:i/>
                      <w:iCs/>
                      <w:sz w:val="24"/>
                      <w:szCs w:val="24"/>
                      <w:lang w:val="en-GB"/>
                    </w:rPr>
                  </m:ctrlPr>
                </m:e>
                <m:sub>
                  <m:r>
                    <m:rPr>
                      <m:nor/>
                      <m:sty m:val="p"/>
                    </m:rPr>
                    <w:rPr>
                      <w:rFonts w:ascii="Cambria Math" w:eastAsia="宋体"/>
                      <w:iCs/>
                      <w:szCs w:val="20"/>
                      <w:lang w:val="en-GB"/>
                    </w:rPr>
                    <m:t>PDCCH</m:t>
                  </m:r>
                  <m:ctrlPr>
                    <w:rPr>
                      <w:rFonts w:ascii="Cambria Math" w:hAnsi="Cambria Math" w:eastAsia="宋体"/>
                      <w:i/>
                      <w:iCs/>
                      <w:sz w:val="24"/>
                      <w:szCs w:val="24"/>
                      <w:lang w:val="en-GB"/>
                    </w:rPr>
                  </m:ctrlPr>
                </m:sub>
                <m:sup>
                  <m:r>
                    <m:rPr>
                      <m:nor/>
                      <m:sty m:val="p"/>
                    </m:rPr>
                    <w:rPr>
                      <w:rFonts w:ascii="Cambria Math" w:eastAsia="宋体"/>
                      <w:iCs/>
                      <w:szCs w:val="20"/>
                      <w:lang w:val="en-GB"/>
                    </w:rPr>
                    <m:t>max,slot,</m:t>
                  </m:r>
                  <m:r>
                    <m:rPr>
                      <m:sty m:val="p"/>
                    </m:rPr>
                    <w:rPr>
                      <w:rFonts w:ascii="Cambria Math" w:eastAsia="宋体"/>
                      <w:szCs w:val="20"/>
                      <w:lang w:val="en-GB"/>
                    </w:rPr>
                    <m:t>μ</m:t>
                  </m:r>
                  <m:ctrlPr>
                    <w:rPr>
                      <w:rFonts w:ascii="Cambria Math" w:hAnsi="Cambria Math" w:eastAsia="宋体"/>
                      <w:i/>
                      <w:iCs/>
                      <w:sz w:val="24"/>
                      <w:szCs w:val="24"/>
                      <w:lang w:val="en-GB"/>
                    </w:rPr>
                  </m:ctrlPr>
                </m:sup>
              </m:sSubSup>
              <m:r>
                <w:rPr>
                  <w:rFonts w:ascii="Cambria Math" w:hAnsi="Cambria Math" w:eastAsia="宋体"/>
                  <w:szCs w:val="20"/>
                  <w:lang w:val="en-GB"/>
                </w:rPr>
                <m:t xml:space="preserve"> </m:t>
              </m:r>
            </m:oMath>
            <w:r>
              <w:rPr>
                <w:rFonts w:eastAsia="宋体"/>
                <w:iCs/>
                <w:szCs w:val="20"/>
                <w:lang w:val="en-GB" w:eastAsia="zh-CN"/>
              </w:rPr>
              <w:t xml:space="preserve">and </w:t>
            </w:r>
            <m:oMath>
              <m:sSubSup>
                <m:sSubSupPr>
                  <m:ctrlPr>
                    <w:rPr>
                      <w:rFonts w:ascii="Cambria Math" w:hAnsi="Cambria Math" w:eastAsia="宋体"/>
                      <w:i/>
                      <w:iCs/>
                      <w:sz w:val="24"/>
                      <w:szCs w:val="24"/>
                      <w:lang w:val="en-GB"/>
                    </w:rPr>
                  </m:ctrlPr>
                </m:sSubSupPr>
                <m:e>
                  <m:r>
                    <w:rPr>
                      <w:rFonts w:ascii="Cambria Math" w:eastAsia="宋体"/>
                      <w:szCs w:val="20"/>
                      <w:lang w:val="en-GB"/>
                    </w:rPr>
                    <m:t>C</m:t>
                  </m:r>
                  <m:ctrlPr>
                    <w:rPr>
                      <w:rFonts w:ascii="Cambria Math" w:hAnsi="Cambria Math" w:eastAsia="宋体"/>
                      <w:i/>
                      <w:iCs/>
                      <w:sz w:val="24"/>
                      <w:szCs w:val="24"/>
                      <w:lang w:val="en-GB"/>
                    </w:rPr>
                  </m:ctrlPr>
                </m:e>
                <m:sub>
                  <m:r>
                    <m:rPr>
                      <m:nor/>
                      <m:sty m:val="p"/>
                    </m:rPr>
                    <w:rPr>
                      <w:rFonts w:ascii="Cambria Math" w:eastAsia="宋体"/>
                      <w:iCs/>
                      <w:szCs w:val="20"/>
                      <w:lang w:val="en-GB"/>
                    </w:rPr>
                    <m:t>PDCCH</m:t>
                  </m:r>
                  <m:ctrlPr>
                    <w:rPr>
                      <w:rFonts w:ascii="Cambria Math" w:hAnsi="Cambria Math" w:eastAsia="宋体"/>
                      <w:i/>
                      <w:iCs/>
                      <w:sz w:val="24"/>
                      <w:szCs w:val="24"/>
                      <w:lang w:val="en-GB"/>
                    </w:rPr>
                  </m:ctrlPr>
                </m:sub>
                <m:sup>
                  <m:r>
                    <m:rPr>
                      <m:nor/>
                      <m:sty m:val="p"/>
                    </m:rPr>
                    <w:rPr>
                      <w:rFonts w:ascii="Cambria Math" w:eastAsia="宋体"/>
                      <w:iCs/>
                      <w:szCs w:val="20"/>
                      <w:lang w:val="en-GB"/>
                    </w:rPr>
                    <m:t>max,slot,</m:t>
                  </m:r>
                  <m:r>
                    <m:rPr>
                      <m:sty m:val="p"/>
                    </m:rPr>
                    <w:rPr>
                      <w:rFonts w:ascii="Cambria Math" w:eastAsia="宋体"/>
                      <w:szCs w:val="20"/>
                      <w:lang w:val="en-GB"/>
                    </w:rPr>
                    <m:t>μ</m:t>
                  </m:r>
                  <m:ctrlPr>
                    <w:rPr>
                      <w:rFonts w:ascii="Cambria Math" w:hAnsi="Cambria Math" w:eastAsia="宋体"/>
                      <w:i/>
                      <w:iCs/>
                      <w:sz w:val="24"/>
                      <w:szCs w:val="24"/>
                      <w:lang w:val="en-GB"/>
                    </w:rPr>
                  </m:ctrlPr>
                </m:sup>
              </m:sSubSup>
              <m:r>
                <w:rPr>
                  <w:rFonts w:ascii="Cambria Math" w:hAnsi="Cambria Math" w:eastAsia="宋体"/>
                  <w:szCs w:val="20"/>
                  <w:lang w:val="en-GB"/>
                </w:rPr>
                <m:t xml:space="preserve"> </m:t>
              </m:r>
            </m:oMath>
            <w:r>
              <w:rPr>
                <w:rFonts w:eastAsia="宋体"/>
                <w:iCs/>
                <w:szCs w:val="20"/>
                <w:lang w:val="en-GB" w:eastAsia="zh-CN"/>
              </w:rPr>
              <w:t xml:space="preserve">are </w:t>
            </w:r>
            <w:r>
              <w:rPr>
                <w:rFonts w:eastAsia="宋体"/>
                <w:szCs w:val="20"/>
                <w:lang w:val="en-GB"/>
              </w:rPr>
              <w:t xml:space="preserve">replaced by </w:t>
            </w:r>
            <m:oMath>
              <m:sSubSup>
                <m:sSubSupPr>
                  <m:ctrlPr>
                    <w:rPr>
                      <w:rFonts w:ascii="Cambria Math" w:hAnsi="Cambria Math" w:eastAsia="宋体"/>
                      <w:iCs/>
                      <w:sz w:val="24"/>
                      <w:szCs w:val="24"/>
                      <w:lang w:val="en-GB"/>
                    </w:rPr>
                  </m:ctrlPr>
                </m:sSubSupPr>
                <m:e>
                  <m:r>
                    <w:rPr>
                      <w:rFonts w:ascii="Cambria Math" w:eastAsia="宋体"/>
                      <w:szCs w:val="20"/>
                      <w:lang w:val="en-GB"/>
                    </w:rPr>
                    <m:t>M</m:t>
                  </m:r>
                  <m:ctrlPr>
                    <w:rPr>
                      <w:rFonts w:ascii="Cambria Math" w:hAnsi="Cambria Math" w:eastAsia="宋体"/>
                      <w:iCs/>
                      <w:sz w:val="24"/>
                      <w:szCs w:val="24"/>
                      <w:lang w:val="en-GB"/>
                    </w:rPr>
                  </m:ctrlPr>
                </m:e>
                <m:sub>
                  <m:r>
                    <m:rPr>
                      <m:nor/>
                      <m:sty m:val="p"/>
                    </m:rPr>
                    <w:rPr>
                      <w:rFonts w:ascii="Cambria Math" w:eastAsia="宋体"/>
                      <w:iCs/>
                      <w:szCs w:val="20"/>
                      <w:lang w:val="en-GB"/>
                    </w:rPr>
                    <m:t>PDCCH</m:t>
                  </m:r>
                  <m:ctrlPr>
                    <w:rPr>
                      <w:rFonts w:ascii="Cambria Math" w:hAnsi="Cambria Math" w:eastAsia="宋体"/>
                      <w:iCs/>
                      <w:sz w:val="24"/>
                      <w:szCs w:val="24"/>
                      <w:lang w:val="en-GB"/>
                    </w:rPr>
                  </m:ctrlPr>
                </m:sub>
                <m:sup>
                  <m:r>
                    <m:rPr>
                      <m:nor/>
                      <m:sty m:val="p"/>
                    </m:rPr>
                    <w:rPr>
                      <w:rFonts w:ascii="Cambria Math" w:eastAsia="宋体"/>
                      <w:iCs/>
                      <w:szCs w:val="20"/>
                      <w:lang w:val="en-GB"/>
                    </w:rPr>
                    <m:t>max,(X,Y),</m:t>
                  </m:r>
                  <m:r>
                    <m:rPr>
                      <m:sty m:val="p"/>
                    </m:rPr>
                    <w:rPr>
                      <w:rFonts w:ascii="Cambria Math" w:eastAsia="宋体"/>
                      <w:szCs w:val="20"/>
                      <w:lang w:val="en-GB"/>
                    </w:rPr>
                    <m:t>μ</m:t>
                  </m:r>
                  <m:ctrlPr>
                    <w:rPr>
                      <w:rFonts w:ascii="Cambria Math" w:hAnsi="Cambria Math" w:eastAsia="宋体"/>
                      <w:iCs/>
                      <w:sz w:val="24"/>
                      <w:szCs w:val="24"/>
                      <w:lang w:val="en-GB"/>
                    </w:rPr>
                  </m:ctrlPr>
                </m:sup>
              </m:sSubSup>
              <m:r>
                <w:rPr>
                  <w:rFonts w:ascii="Cambria Math" w:hAnsi="Cambria Math" w:eastAsia="宋体"/>
                  <w:szCs w:val="20"/>
                  <w:lang w:val="en-GB"/>
                </w:rPr>
                <m:t xml:space="preserve"> </m:t>
              </m:r>
            </m:oMath>
            <w:r>
              <w:rPr>
                <w:rFonts w:eastAsia="宋体"/>
                <w:szCs w:val="20"/>
                <w:lang w:val="en-GB"/>
              </w:rPr>
              <w:t xml:space="preserve">and </w:t>
            </w:r>
            <m:oMath>
              <m:sSubSup>
                <m:sSubSupPr>
                  <m:ctrlPr>
                    <w:rPr>
                      <w:rFonts w:ascii="Cambria Math" w:hAnsi="Cambria Math" w:eastAsia="宋体"/>
                      <w:iCs/>
                      <w:sz w:val="24"/>
                      <w:szCs w:val="24"/>
                      <w:lang w:val="en-GB"/>
                    </w:rPr>
                  </m:ctrlPr>
                </m:sSubSupPr>
                <m:e>
                  <m:r>
                    <w:rPr>
                      <w:rFonts w:ascii="Cambria Math" w:eastAsia="宋体"/>
                      <w:szCs w:val="20"/>
                      <w:lang w:val="en-GB"/>
                    </w:rPr>
                    <m:t>C</m:t>
                  </m:r>
                  <m:ctrlPr>
                    <w:rPr>
                      <w:rFonts w:ascii="Cambria Math" w:hAnsi="Cambria Math" w:eastAsia="宋体"/>
                      <w:iCs/>
                      <w:sz w:val="24"/>
                      <w:szCs w:val="24"/>
                      <w:lang w:val="en-GB"/>
                    </w:rPr>
                  </m:ctrlPr>
                </m:e>
                <m:sub>
                  <m:r>
                    <m:rPr>
                      <m:nor/>
                      <m:sty m:val="p"/>
                    </m:rPr>
                    <w:rPr>
                      <w:rFonts w:ascii="Cambria Math" w:eastAsia="宋体"/>
                      <w:iCs/>
                      <w:szCs w:val="20"/>
                      <w:lang w:val="en-GB"/>
                    </w:rPr>
                    <m:t>PDCCH</m:t>
                  </m:r>
                  <m:ctrlPr>
                    <w:rPr>
                      <w:rFonts w:ascii="Cambria Math" w:hAnsi="Cambria Math" w:eastAsia="宋体"/>
                      <w:iCs/>
                      <w:sz w:val="24"/>
                      <w:szCs w:val="24"/>
                      <w:lang w:val="en-GB"/>
                    </w:rPr>
                  </m:ctrlPr>
                </m:sub>
                <m:sup>
                  <m:r>
                    <m:rPr>
                      <m:nor/>
                      <m:sty m:val="p"/>
                    </m:rPr>
                    <w:rPr>
                      <w:rFonts w:ascii="Cambria Math" w:eastAsia="宋体"/>
                      <w:iCs/>
                      <w:szCs w:val="20"/>
                      <w:lang w:val="en-GB"/>
                    </w:rPr>
                    <m:t>max,(X,Y),</m:t>
                  </m:r>
                  <m:r>
                    <m:rPr>
                      <m:sty m:val="p"/>
                    </m:rPr>
                    <w:rPr>
                      <w:rFonts w:ascii="Cambria Math" w:eastAsia="宋体"/>
                      <w:szCs w:val="20"/>
                      <w:lang w:val="en-GB"/>
                    </w:rPr>
                    <m:t>μ</m:t>
                  </m:r>
                  <m:ctrlPr>
                    <w:rPr>
                      <w:rFonts w:ascii="Cambria Math" w:hAnsi="Cambria Math" w:eastAsia="宋体"/>
                      <w:iCs/>
                      <w:sz w:val="24"/>
                      <w:szCs w:val="24"/>
                      <w:lang w:val="en-GB"/>
                    </w:rPr>
                  </m:ctrlPr>
                </m:sup>
              </m:sSubSup>
            </m:oMath>
            <w:r>
              <w:rPr>
                <w:rFonts w:eastAsia="宋体"/>
                <w:szCs w:val="20"/>
                <w:lang w:val="en-GB"/>
              </w:rPr>
              <w:t xml:space="preserve"> respectively, and </w:t>
            </w:r>
            <m:oMath>
              <m:sSubSup>
                <m:sSubSupPr>
                  <m:ctrlPr>
                    <w:rPr>
                      <w:rFonts w:ascii="Cambria Math" w:hAnsi="Cambria Math" w:eastAsia="宋体"/>
                      <w:i/>
                      <w:iCs/>
                      <w:sz w:val="24"/>
                      <w:szCs w:val="24"/>
                      <w:lang w:val="en-GB"/>
                    </w:rPr>
                  </m:ctrlPr>
                </m:sSubSupPr>
                <m:e>
                  <m:r>
                    <w:rPr>
                      <w:rFonts w:ascii="Cambria Math" w:eastAsia="宋体"/>
                      <w:szCs w:val="20"/>
                      <w:lang w:val="en-GB"/>
                    </w:rPr>
                    <m:t>M</m:t>
                  </m:r>
                  <m:ctrlPr>
                    <w:rPr>
                      <w:rFonts w:ascii="Cambria Math" w:hAnsi="Cambria Math" w:eastAsia="宋体"/>
                      <w:i/>
                      <w:iCs/>
                      <w:sz w:val="24"/>
                      <w:szCs w:val="24"/>
                      <w:lang w:val="en-GB"/>
                    </w:rPr>
                  </m:ctrlPr>
                </m:e>
                <m:sub>
                  <m:r>
                    <m:rPr>
                      <m:nor/>
                      <m:sty m:val="p"/>
                    </m:rPr>
                    <w:rPr>
                      <w:rFonts w:ascii="Cambria Math" w:eastAsia="宋体"/>
                      <w:iCs/>
                      <w:szCs w:val="20"/>
                      <w:lang w:val="en-GB"/>
                    </w:rPr>
                    <m:t>PDCCH</m:t>
                  </m:r>
                  <m:ctrlPr>
                    <w:rPr>
                      <w:rFonts w:ascii="Cambria Math" w:hAnsi="Cambria Math" w:eastAsia="宋体"/>
                      <w:i/>
                      <w:iCs/>
                      <w:sz w:val="24"/>
                      <w:szCs w:val="24"/>
                      <w:lang w:val="en-GB"/>
                    </w:rPr>
                  </m:ctrlPr>
                </m:sub>
                <m:sup>
                  <m:r>
                    <m:rPr>
                      <m:nor/>
                      <m:sty m:val="p"/>
                    </m:rPr>
                    <w:rPr>
                      <w:rFonts w:ascii="Cambria Math" w:eastAsia="宋体"/>
                      <w:iCs/>
                      <w:szCs w:val="20"/>
                      <w:lang w:val="en-GB"/>
                    </w:rPr>
                    <m:t>total,slot,</m:t>
                  </m:r>
                  <m:r>
                    <m:rPr>
                      <m:sty m:val="p"/>
                    </m:rPr>
                    <w:rPr>
                      <w:rFonts w:ascii="Cambria Math" w:eastAsia="宋体"/>
                      <w:szCs w:val="20"/>
                      <w:lang w:val="en-GB"/>
                    </w:rPr>
                    <m:t>μ</m:t>
                  </m:r>
                  <m:ctrlPr>
                    <w:rPr>
                      <w:rFonts w:ascii="Cambria Math" w:hAnsi="Cambria Math" w:eastAsia="宋体"/>
                      <w:i/>
                      <w:iCs/>
                      <w:sz w:val="24"/>
                      <w:szCs w:val="24"/>
                      <w:lang w:val="en-GB"/>
                    </w:rPr>
                  </m:ctrlPr>
                </m:sup>
              </m:sSubSup>
              <m:r>
                <w:rPr>
                  <w:rFonts w:ascii="Cambria Math" w:hAnsi="Cambria Math" w:eastAsia="宋体"/>
                  <w:szCs w:val="20"/>
                  <w:lang w:val="en-GB"/>
                </w:rPr>
                <m:t xml:space="preserve"> </m:t>
              </m:r>
            </m:oMath>
            <w:r>
              <w:rPr>
                <w:rFonts w:eastAsia="宋体"/>
                <w:iCs/>
                <w:szCs w:val="20"/>
                <w:lang w:val="en-GB" w:eastAsia="zh-CN"/>
              </w:rPr>
              <w:t xml:space="preserve">and </w:t>
            </w:r>
            <m:oMath>
              <m:sSubSup>
                <m:sSubSupPr>
                  <m:ctrlPr>
                    <w:rPr>
                      <w:rFonts w:ascii="Cambria Math" w:hAnsi="Cambria Math" w:eastAsia="宋体"/>
                      <w:i/>
                      <w:iCs/>
                      <w:sz w:val="24"/>
                      <w:szCs w:val="24"/>
                      <w:lang w:val="en-GB"/>
                    </w:rPr>
                  </m:ctrlPr>
                </m:sSubSupPr>
                <m:e>
                  <m:r>
                    <w:rPr>
                      <w:rFonts w:ascii="Cambria Math" w:eastAsia="宋体"/>
                      <w:szCs w:val="20"/>
                      <w:lang w:val="en-GB"/>
                    </w:rPr>
                    <m:t>C</m:t>
                  </m:r>
                  <m:ctrlPr>
                    <w:rPr>
                      <w:rFonts w:ascii="Cambria Math" w:hAnsi="Cambria Math" w:eastAsia="宋体"/>
                      <w:i/>
                      <w:iCs/>
                      <w:sz w:val="24"/>
                      <w:szCs w:val="24"/>
                      <w:lang w:val="en-GB"/>
                    </w:rPr>
                  </m:ctrlPr>
                </m:e>
                <m:sub>
                  <m:r>
                    <m:rPr>
                      <m:nor/>
                      <m:sty m:val="p"/>
                    </m:rPr>
                    <w:rPr>
                      <w:rFonts w:ascii="Cambria Math" w:eastAsia="宋体"/>
                      <w:iCs/>
                      <w:szCs w:val="20"/>
                      <w:lang w:val="en-GB"/>
                    </w:rPr>
                    <m:t>PDCCH</m:t>
                  </m:r>
                  <m:ctrlPr>
                    <w:rPr>
                      <w:rFonts w:ascii="Cambria Math" w:hAnsi="Cambria Math" w:eastAsia="宋体"/>
                      <w:i/>
                      <w:iCs/>
                      <w:sz w:val="24"/>
                      <w:szCs w:val="24"/>
                      <w:lang w:val="en-GB"/>
                    </w:rPr>
                  </m:ctrlPr>
                </m:sub>
                <m:sup>
                  <m:r>
                    <m:rPr>
                      <m:nor/>
                      <m:sty m:val="p"/>
                    </m:rPr>
                    <w:rPr>
                      <w:rFonts w:ascii="Cambria Math" w:eastAsia="宋体"/>
                      <w:iCs/>
                      <w:szCs w:val="20"/>
                      <w:lang w:val="en-GB"/>
                    </w:rPr>
                    <m:t>total,slot,</m:t>
                  </m:r>
                  <m:r>
                    <m:rPr>
                      <m:sty m:val="p"/>
                    </m:rPr>
                    <w:rPr>
                      <w:rFonts w:ascii="Cambria Math" w:eastAsia="宋体"/>
                      <w:szCs w:val="20"/>
                      <w:lang w:val="en-GB"/>
                    </w:rPr>
                    <m:t>μ</m:t>
                  </m:r>
                  <m:ctrlPr>
                    <w:rPr>
                      <w:rFonts w:ascii="Cambria Math" w:hAnsi="Cambria Math" w:eastAsia="宋体"/>
                      <w:i/>
                      <w:iCs/>
                      <w:sz w:val="24"/>
                      <w:szCs w:val="24"/>
                      <w:lang w:val="en-GB"/>
                    </w:rPr>
                  </m:ctrlPr>
                </m:sup>
              </m:sSubSup>
              <m:r>
                <w:rPr>
                  <w:rFonts w:ascii="Cambria Math" w:hAnsi="Cambria Math" w:eastAsia="宋体"/>
                  <w:szCs w:val="20"/>
                  <w:lang w:val="en-GB"/>
                </w:rPr>
                <m:t xml:space="preserve"> </m:t>
              </m:r>
            </m:oMath>
            <w:r>
              <w:rPr>
                <w:rFonts w:eastAsia="宋体"/>
                <w:iCs/>
                <w:szCs w:val="20"/>
                <w:lang w:val="en-GB" w:eastAsia="zh-CN"/>
              </w:rPr>
              <w:t xml:space="preserve">are </w:t>
            </w:r>
            <w:r>
              <w:rPr>
                <w:rFonts w:eastAsia="宋体"/>
                <w:szCs w:val="20"/>
                <w:lang w:val="en-GB"/>
              </w:rPr>
              <w:t xml:space="preserve">replaced by </w:t>
            </w:r>
            <m:oMath>
              <m:sSubSup>
                <m:sSubSupPr>
                  <m:ctrlPr>
                    <w:rPr>
                      <w:rFonts w:ascii="Cambria Math" w:hAnsi="Cambria Math" w:eastAsia="宋体"/>
                      <w:iCs/>
                      <w:sz w:val="24"/>
                      <w:szCs w:val="24"/>
                      <w:lang w:val="en-GB"/>
                    </w:rPr>
                  </m:ctrlPr>
                </m:sSubSupPr>
                <m:e>
                  <m:r>
                    <w:rPr>
                      <w:rFonts w:ascii="Cambria Math" w:eastAsia="宋体"/>
                      <w:szCs w:val="20"/>
                      <w:lang w:val="en-GB"/>
                    </w:rPr>
                    <m:t>M</m:t>
                  </m:r>
                  <m:ctrlPr>
                    <w:rPr>
                      <w:rFonts w:ascii="Cambria Math" w:hAnsi="Cambria Math" w:eastAsia="宋体"/>
                      <w:iCs/>
                      <w:sz w:val="24"/>
                      <w:szCs w:val="24"/>
                      <w:lang w:val="en-GB"/>
                    </w:rPr>
                  </m:ctrlPr>
                </m:e>
                <m:sub>
                  <m:r>
                    <m:rPr>
                      <m:nor/>
                      <m:sty m:val="p"/>
                    </m:rPr>
                    <w:rPr>
                      <w:rFonts w:ascii="Cambria Math" w:eastAsia="宋体"/>
                      <w:iCs/>
                      <w:szCs w:val="20"/>
                      <w:lang w:val="en-GB"/>
                    </w:rPr>
                    <m:t>PDCCH</m:t>
                  </m:r>
                  <m:ctrlPr>
                    <w:rPr>
                      <w:rFonts w:ascii="Cambria Math" w:hAnsi="Cambria Math" w:eastAsia="宋体"/>
                      <w:iCs/>
                      <w:sz w:val="24"/>
                      <w:szCs w:val="24"/>
                      <w:lang w:val="en-GB"/>
                    </w:rPr>
                  </m:ctrlPr>
                </m:sub>
                <m:sup>
                  <m:r>
                    <m:rPr>
                      <m:nor/>
                      <m:sty m:val="p"/>
                    </m:rPr>
                    <w:rPr>
                      <w:rFonts w:ascii="Cambria Math" w:eastAsia="宋体"/>
                      <w:iCs/>
                      <w:szCs w:val="20"/>
                      <w:lang w:val="en-GB"/>
                    </w:rPr>
                    <m:t>total,(X,Y),</m:t>
                  </m:r>
                  <m:r>
                    <m:rPr>
                      <m:sty m:val="p"/>
                    </m:rPr>
                    <w:rPr>
                      <w:rFonts w:ascii="Cambria Math" w:eastAsia="宋体"/>
                      <w:szCs w:val="20"/>
                      <w:lang w:val="en-GB"/>
                    </w:rPr>
                    <m:t>μ</m:t>
                  </m:r>
                  <m:ctrlPr>
                    <w:rPr>
                      <w:rFonts w:ascii="Cambria Math" w:hAnsi="Cambria Math" w:eastAsia="宋体"/>
                      <w:iCs/>
                      <w:sz w:val="24"/>
                      <w:szCs w:val="24"/>
                      <w:lang w:val="en-GB"/>
                    </w:rPr>
                  </m:ctrlPr>
                </m:sup>
              </m:sSubSup>
              <m:r>
                <w:rPr>
                  <w:rFonts w:ascii="Cambria Math" w:hAnsi="Cambria Math" w:eastAsia="宋体"/>
                  <w:szCs w:val="20"/>
                  <w:lang w:val="en-GB"/>
                </w:rPr>
                <m:t xml:space="preserve"> </m:t>
              </m:r>
            </m:oMath>
            <w:r>
              <w:rPr>
                <w:rFonts w:eastAsia="宋体"/>
                <w:szCs w:val="20"/>
                <w:lang w:val="en-GB"/>
              </w:rPr>
              <w:t xml:space="preserve">and </w:t>
            </w:r>
            <m:oMath>
              <m:sSubSup>
                <m:sSubSupPr>
                  <m:ctrlPr>
                    <w:rPr>
                      <w:rFonts w:ascii="Cambria Math" w:hAnsi="Cambria Math" w:eastAsia="宋体"/>
                      <w:iCs/>
                      <w:sz w:val="24"/>
                      <w:szCs w:val="24"/>
                      <w:lang w:val="en-GB"/>
                    </w:rPr>
                  </m:ctrlPr>
                </m:sSubSupPr>
                <m:e>
                  <m:r>
                    <w:rPr>
                      <w:rFonts w:ascii="Cambria Math" w:eastAsia="宋体"/>
                      <w:szCs w:val="20"/>
                      <w:lang w:val="en-GB"/>
                    </w:rPr>
                    <m:t>C</m:t>
                  </m:r>
                  <m:ctrlPr>
                    <w:rPr>
                      <w:rFonts w:ascii="Cambria Math" w:hAnsi="Cambria Math" w:eastAsia="宋体"/>
                      <w:iCs/>
                      <w:sz w:val="24"/>
                      <w:szCs w:val="24"/>
                      <w:lang w:val="en-GB"/>
                    </w:rPr>
                  </m:ctrlPr>
                </m:e>
                <m:sub>
                  <m:r>
                    <m:rPr>
                      <m:nor/>
                      <m:sty m:val="p"/>
                    </m:rPr>
                    <w:rPr>
                      <w:rFonts w:ascii="Cambria Math" w:eastAsia="宋体"/>
                      <w:iCs/>
                      <w:szCs w:val="20"/>
                      <w:lang w:val="en-GB"/>
                    </w:rPr>
                    <m:t>PDCCH</m:t>
                  </m:r>
                  <m:ctrlPr>
                    <w:rPr>
                      <w:rFonts w:ascii="Cambria Math" w:hAnsi="Cambria Math" w:eastAsia="宋体"/>
                      <w:iCs/>
                      <w:sz w:val="24"/>
                      <w:szCs w:val="24"/>
                      <w:lang w:val="en-GB"/>
                    </w:rPr>
                  </m:ctrlPr>
                </m:sub>
                <m:sup>
                  <m:r>
                    <m:rPr>
                      <m:nor/>
                      <m:sty m:val="p"/>
                    </m:rPr>
                    <w:rPr>
                      <w:rFonts w:ascii="Cambria Math" w:eastAsia="宋体"/>
                      <w:iCs/>
                      <w:szCs w:val="20"/>
                      <w:lang w:val="en-GB"/>
                    </w:rPr>
                    <m:t>total,(X,Y),</m:t>
                  </m:r>
                  <m:r>
                    <m:rPr>
                      <m:sty m:val="p"/>
                    </m:rPr>
                    <w:rPr>
                      <w:rFonts w:ascii="Cambria Math" w:eastAsia="宋体"/>
                      <w:szCs w:val="20"/>
                      <w:lang w:val="en-GB"/>
                    </w:rPr>
                    <m:t>μ</m:t>
                  </m:r>
                  <m:ctrlPr>
                    <w:rPr>
                      <w:rFonts w:ascii="Cambria Math" w:hAnsi="Cambria Math" w:eastAsia="宋体"/>
                      <w:iCs/>
                      <w:sz w:val="24"/>
                      <w:szCs w:val="24"/>
                      <w:lang w:val="en-GB"/>
                    </w:rPr>
                  </m:ctrlPr>
                </m:sup>
              </m:sSubSup>
            </m:oMath>
            <w:r>
              <w:rPr>
                <w:rFonts w:eastAsia="宋体"/>
                <w:szCs w:val="20"/>
                <w:lang w:val="en-GB"/>
              </w:rPr>
              <w:t xml:space="preserve"> respectively. </w:t>
            </w:r>
            <w:r>
              <w:rPr>
                <w:rFonts w:eastAsia="Yu Mincho"/>
                <w:szCs w:val="20"/>
                <w:lang w:val="en-GB"/>
              </w:rPr>
              <w:t xml:space="preserve">In the following pseudocode, </w:t>
            </w:r>
            <w:r>
              <w:rPr>
                <w:rFonts w:eastAsia="宋体"/>
                <w:szCs w:val="20"/>
                <w:lang w:val="en-GB"/>
              </w:rPr>
              <w:t xml:space="preserve">if the UE is </w:t>
            </w:r>
            <w:r>
              <w:rPr>
                <w:rFonts w:eastAsia="宋体"/>
                <w:szCs w:val="20"/>
                <w:lang w:val="en-GB" w:eastAsia="ko-KR"/>
              </w:rPr>
              <w:t xml:space="preserve">provided </w:t>
            </w:r>
            <w:r>
              <w:rPr>
                <w:rFonts w:eastAsia="宋体"/>
                <w:i/>
                <w:szCs w:val="20"/>
                <w:lang w:val="en-GB"/>
              </w:rPr>
              <w:t>monitoringCapabilityConfig</w:t>
            </w:r>
            <w:r>
              <w:rPr>
                <w:rFonts w:eastAsia="宋体"/>
                <w:szCs w:val="20"/>
                <w:lang w:val="en-GB"/>
              </w:rPr>
              <w:t xml:space="preserve"> = </w:t>
            </w:r>
            <w:r>
              <w:rPr>
                <w:rFonts w:eastAsia="宋体"/>
                <w:i/>
                <w:szCs w:val="20"/>
                <w:lang w:val="en-GB"/>
              </w:rPr>
              <w:t>r1</w:t>
            </w:r>
            <w:r>
              <w:rPr>
                <w:rFonts w:eastAsia="宋体"/>
                <w:i/>
                <w:szCs w:val="20"/>
              </w:rPr>
              <w:t>7</w:t>
            </w:r>
            <w:r>
              <w:rPr>
                <w:rFonts w:eastAsia="宋体"/>
                <w:i/>
                <w:szCs w:val="20"/>
                <w:lang w:val="en-GB"/>
              </w:rPr>
              <w:t>monitoringcapability</w:t>
            </w:r>
            <w:r>
              <w:rPr>
                <w:rFonts w:eastAsia="宋体"/>
                <w:szCs w:val="20"/>
                <w:lang w:val="en-GB"/>
              </w:rPr>
              <w:t xml:space="preserve"> for the primary cell,</w:t>
            </w:r>
            <m:oMath>
              <m:r>
                <m:rPr>
                  <m:sty m:val="p"/>
                </m:rPr>
                <w:rPr>
                  <w:rFonts w:ascii="Cambria Math" w:hAnsi="Cambria Math" w:eastAsia="宋体"/>
                  <w:szCs w:val="20"/>
                  <w:lang w:val="en-GB"/>
                </w:rPr>
                <m:t xml:space="preserve"> </m:t>
              </m:r>
              <m:sSubSup>
                <m:sSubSupPr>
                  <m:ctrlPr>
                    <w:rPr>
                      <w:rFonts w:ascii="Cambria Math" w:hAnsi="Cambria Math" w:eastAsia="宋体"/>
                      <w:i/>
                      <w:iCs/>
                      <w:sz w:val="24"/>
                      <w:szCs w:val="24"/>
                      <w:lang w:val="en-GB"/>
                    </w:rPr>
                  </m:ctrlPr>
                </m:sSubSupPr>
                <m:e>
                  <m:r>
                    <w:rPr>
                      <w:rFonts w:ascii="Cambria Math" w:eastAsia="宋体"/>
                      <w:szCs w:val="20"/>
                      <w:lang w:val="en-GB"/>
                    </w:rPr>
                    <m:t>M</m:t>
                  </m:r>
                  <m:ctrlPr>
                    <w:rPr>
                      <w:rFonts w:ascii="Cambria Math" w:hAnsi="Cambria Math" w:eastAsia="宋体"/>
                      <w:i/>
                      <w:iCs/>
                      <w:sz w:val="24"/>
                      <w:szCs w:val="24"/>
                      <w:lang w:val="en-GB"/>
                    </w:rPr>
                  </m:ctrlPr>
                </m:e>
                <m:sub>
                  <m:r>
                    <m:rPr>
                      <m:nor/>
                      <m:sty m:val="p"/>
                    </m:rPr>
                    <w:rPr>
                      <w:rFonts w:ascii="Cambria Math" w:eastAsia="宋体"/>
                      <w:iCs/>
                      <w:szCs w:val="20"/>
                      <w:lang w:val="en-GB"/>
                    </w:rPr>
                    <m:t>PDCCH</m:t>
                  </m:r>
                  <m:ctrlPr>
                    <w:rPr>
                      <w:rFonts w:ascii="Cambria Math" w:hAnsi="Cambria Math" w:eastAsia="宋体"/>
                      <w:i/>
                      <w:iCs/>
                      <w:sz w:val="24"/>
                      <w:szCs w:val="24"/>
                      <w:lang w:val="en-GB"/>
                    </w:rPr>
                  </m:ctrlPr>
                </m:sub>
                <m:sup>
                  <m:r>
                    <m:rPr>
                      <m:nor/>
                      <m:sty m:val="p"/>
                    </m:rPr>
                    <w:rPr>
                      <w:rFonts w:ascii="Cambria Math" w:eastAsia="宋体"/>
                      <w:iCs/>
                      <w:szCs w:val="20"/>
                      <w:lang w:val="en-GB"/>
                    </w:rPr>
                    <m:t>max,slot,</m:t>
                  </m:r>
                  <m:r>
                    <m:rPr>
                      <m:sty m:val="p"/>
                    </m:rPr>
                    <w:rPr>
                      <w:rFonts w:ascii="Cambria Math" w:eastAsia="宋体"/>
                      <w:szCs w:val="20"/>
                      <w:lang w:val="en-GB"/>
                    </w:rPr>
                    <m:t>μ</m:t>
                  </m:r>
                  <m:ctrlPr>
                    <w:rPr>
                      <w:rFonts w:ascii="Cambria Math" w:hAnsi="Cambria Math" w:eastAsia="宋体"/>
                      <w:i/>
                      <w:iCs/>
                      <w:sz w:val="24"/>
                      <w:szCs w:val="24"/>
                      <w:lang w:val="en-GB"/>
                    </w:rPr>
                  </m:ctrlPr>
                </m:sup>
              </m:sSubSup>
              <m:r>
                <w:rPr>
                  <w:rFonts w:ascii="Cambria Math" w:hAnsi="Cambria Math" w:eastAsia="宋体"/>
                  <w:szCs w:val="20"/>
                  <w:lang w:val="en-GB"/>
                </w:rPr>
                <m:t xml:space="preserve"> </m:t>
              </m:r>
            </m:oMath>
            <w:r>
              <w:rPr>
                <w:rFonts w:eastAsia="宋体"/>
                <w:iCs/>
                <w:szCs w:val="20"/>
                <w:lang w:val="en-GB" w:eastAsia="zh-CN"/>
              </w:rPr>
              <w:t xml:space="preserve">and </w:t>
            </w:r>
            <m:oMath>
              <m:sSubSup>
                <m:sSubSupPr>
                  <m:ctrlPr>
                    <w:rPr>
                      <w:rFonts w:ascii="Cambria Math" w:hAnsi="Cambria Math" w:eastAsia="宋体"/>
                      <w:i/>
                      <w:iCs/>
                      <w:sz w:val="24"/>
                      <w:szCs w:val="24"/>
                      <w:lang w:val="en-GB"/>
                    </w:rPr>
                  </m:ctrlPr>
                </m:sSubSupPr>
                <m:e>
                  <m:r>
                    <w:rPr>
                      <w:rFonts w:ascii="Cambria Math" w:eastAsia="宋体"/>
                      <w:szCs w:val="20"/>
                      <w:lang w:val="en-GB"/>
                    </w:rPr>
                    <m:t>C</m:t>
                  </m:r>
                  <m:ctrlPr>
                    <w:rPr>
                      <w:rFonts w:ascii="Cambria Math" w:hAnsi="Cambria Math" w:eastAsia="宋体"/>
                      <w:i/>
                      <w:iCs/>
                      <w:sz w:val="24"/>
                      <w:szCs w:val="24"/>
                      <w:lang w:val="en-GB"/>
                    </w:rPr>
                  </m:ctrlPr>
                </m:e>
                <m:sub>
                  <m:r>
                    <m:rPr>
                      <m:nor/>
                      <m:sty m:val="p"/>
                    </m:rPr>
                    <w:rPr>
                      <w:rFonts w:ascii="Cambria Math" w:eastAsia="宋体"/>
                      <w:iCs/>
                      <w:szCs w:val="20"/>
                      <w:lang w:val="en-GB"/>
                    </w:rPr>
                    <m:t>PDCCH</m:t>
                  </m:r>
                  <m:ctrlPr>
                    <w:rPr>
                      <w:rFonts w:ascii="Cambria Math" w:hAnsi="Cambria Math" w:eastAsia="宋体"/>
                      <w:i/>
                      <w:iCs/>
                      <w:sz w:val="24"/>
                      <w:szCs w:val="24"/>
                      <w:lang w:val="en-GB"/>
                    </w:rPr>
                  </m:ctrlPr>
                </m:sub>
                <m:sup>
                  <m:r>
                    <m:rPr>
                      <m:nor/>
                      <m:sty m:val="p"/>
                    </m:rPr>
                    <w:rPr>
                      <w:rFonts w:ascii="Cambria Math" w:eastAsia="宋体"/>
                      <w:iCs/>
                      <w:szCs w:val="20"/>
                      <w:lang w:val="en-GB"/>
                    </w:rPr>
                    <m:t>max,slot,</m:t>
                  </m:r>
                  <m:r>
                    <m:rPr>
                      <m:sty m:val="p"/>
                    </m:rPr>
                    <w:rPr>
                      <w:rFonts w:ascii="Cambria Math" w:eastAsia="宋体"/>
                      <w:szCs w:val="20"/>
                      <w:lang w:val="en-GB"/>
                    </w:rPr>
                    <m:t>μ</m:t>
                  </m:r>
                  <m:ctrlPr>
                    <w:rPr>
                      <w:rFonts w:ascii="Cambria Math" w:hAnsi="Cambria Math" w:eastAsia="宋体"/>
                      <w:i/>
                      <w:iCs/>
                      <w:sz w:val="24"/>
                      <w:szCs w:val="24"/>
                      <w:lang w:val="en-GB"/>
                    </w:rPr>
                  </m:ctrlPr>
                </m:sup>
              </m:sSubSup>
              <m:r>
                <w:rPr>
                  <w:rFonts w:ascii="Cambria Math" w:hAnsi="Cambria Math" w:eastAsia="宋体"/>
                  <w:szCs w:val="20"/>
                  <w:lang w:val="en-GB"/>
                </w:rPr>
                <m:t xml:space="preserve"> </m:t>
              </m:r>
            </m:oMath>
            <w:r>
              <w:rPr>
                <w:rFonts w:eastAsia="宋体"/>
                <w:iCs/>
                <w:szCs w:val="20"/>
                <w:lang w:val="en-GB" w:eastAsia="zh-CN"/>
              </w:rPr>
              <w:t xml:space="preserve">are </w:t>
            </w:r>
            <w:r>
              <w:rPr>
                <w:rFonts w:eastAsia="宋体"/>
                <w:szCs w:val="20"/>
                <w:lang w:val="en-GB"/>
              </w:rPr>
              <w:t xml:space="preserve">replaced by </w:t>
            </w:r>
            <m:oMath>
              <m:sSubSup>
                <m:sSubSupPr>
                  <m:ctrlPr>
                    <w:rPr>
                      <w:rFonts w:ascii="Cambria Math" w:hAnsi="Cambria Math" w:eastAsia="宋体"/>
                      <w:iCs/>
                      <w:sz w:val="24"/>
                      <w:szCs w:val="24"/>
                      <w:lang w:val="en-GB"/>
                    </w:rPr>
                  </m:ctrlPr>
                </m:sSubSupPr>
                <m:e>
                  <m:r>
                    <w:rPr>
                      <w:rFonts w:ascii="Cambria Math" w:eastAsia="宋体"/>
                      <w:szCs w:val="20"/>
                      <w:lang w:val="en-GB"/>
                    </w:rPr>
                    <m:t>M</m:t>
                  </m:r>
                  <m:ctrlPr>
                    <w:rPr>
                      <w:rFonts w:ascii="Cambria Math" w:hAnsi="Cambria Math" w:eastAsia="宋体"/>
                      <w:iCs/>
                      <w:sz w:val="24"/>
                      <w:szCs w:val="24"/>
                      <w:lang w:val="en-GB"/>
                    </w:rPr>
                  </m:ctrlPr>
                </m:e>
                <m:sub>
                  <m:r>
                    <m:rPr>
                      <m:nor/>
                      <m:sty m:val="p"/>
                    </m:rPr>
                    <w:rPr>
                      <w:rFonts w:ascii="Cambria Math" w:eastAsia="宋体"/>
                      <w:iCs/>
                      <w:szCs w:val="20"/>
                      <w:lang w:val="en-GB"/>
                    </w:rPr>
                    <m:t>PDCCH</m:t>
                  </m:r>
                  <m:ctrlPr>
                    <w:rPr>
                      <w:rFonts w:ascii="Cambria Math" w:hAnsi="Cambria Math" w:eastAsia="宋体"/>
                      <w:iCs/>
                      <w:sz w:val="24"/>
                      <w:szCs w:val="24"/>
                      <w:lang w:val="en-GB"/>
                    </w:rPr>
                  </m:ctrlPr>
                </m:sub>
                <m:sup>
                  <m:r>
                    <m:rPr>
                      <m:nor/>
                      <m:sty m:val="p"/>
                    </m:rPr>
                    <w:rPr>
                      <w:rFonts w:ascii="Cambria Math" w:eastAsia="宋体"/>
                      <w:iCs/>
                      <w:szCs w:val="20"/>
                      <w:lang w:val="en-GB"/>
                    </w:rPr>
                    <m:t>max,(</m:t>
                  </m:r>
                  <m:sSub>
                    <m:sSubPr>
                      <m:ctrlPr>
                        <w:rPr>
                          <w:rFonts w:ascii="Cambria Math" w:hAnsi="Cambria Math" w:eastAsia="宋体"/>
                          <w:iCs/>
                          <w:szCs w:val="20"/>
                          <w:lang w:val="en-GB" w:eastAsia="zh-CN"/>
                        </w:rPr>
                      </m:ctrlPr>
                    </m:sSubPr>
                    <m:e>
                      <m:r>
                        <m:rPr>
                          <m:sty m:val="p"/>
                        </m:rPr>
                        <w:rPr>
                          <w:rFonts w:ascii="Cambria Math" w:hAnsi="Cambria Math" w:eastAsia="宋体"/>
                          <w:szCs w:val="20"/>
                          <w:lang w:val="en-GB" w:eastAsia="zh-CN"/>
                        </w:rPr>
                        <m:t>X</m:t>
                      </m:r>
                      <m:ctrlPr>
                        <w:rPr>
                          <w:rFonts w:ascii="Cambria Math" w:hAnsi="Cambria Math" w:eastAsia="宋体"/>
                          <w:iCs/>
                          <w:szCs w:val="20"/>
                          <w:lang w:val="en-GB" w:eastAsia="zh-CN"/>
                        </w:rPr>
                      </m:ctrlPr>
                    </m:e>
                    <m:sub>
                      <m:r>
                        <m:rPr>
                          <m:sty m:val="p"/>
                        </m:rPr>
                        <w:rPr>
                          <w:rFonts w:ascii="Cambria Math" w:hAnsi="Cambria Math" w:eastAsia="宋体"/>
                          <w:szCs w:val="20"/>
                          <w:lang w:val="en-GB" w:eastAsia="zh-CN"/>
                        </w:rPr>
                        <m:t>s</m:t>
                      </m:r>
                      <m:ctrlPr>
                        <w:rPr>
                          <w:rFonts w:ascii="Cambria Math" w:hAnsi="Cambria Math" w:eastAsia="宋体"/>
                          <w:iCs/>
                          <w:szCs w:val="20"/>
                          <w:lang w:val="en-GB" w:eastAsia="zh-CN"/>
                        </w:rPr>
                      </m:ctrlPr>
                    </m:sub>
                  </m:sSub>
                  <m:r>
                    <m:rPr>
                      <m:sty m:val="p"/>
                    </m:rPr>
                    <w:rPr>
                      <w:rFonts w:ascii="Cambria Math" w:hAnsi="Cambria Math" w:eastAsia="宋体"/>
                      <w:szCs w:val="20"/>
                      <w:lang w:val="en-GB" w:eastAsia="zh-CN"/>
                    </w:rPr>
                    <m:t>,</m:t>
                  </m:r>
                  <m:sSub>
                    <m:sSubPr>
                      <m:ctrlPr>
                        <w:rPr>
                          <w:rFonts w:ascii="Cambria Math" w:hAnsi="Cambria Math" w:eastAsia="宋体"/>
                          <w:iCs/>
                          <w:szCs w:val="20"/>
                          <w:lang w:val="en-GB" w:eastAsia="zh-CN"/>
                        </w:rPr>
                      </m:ctrlPr>
                    </m:sSubPr>
                    <m:e>
                      <m:r>
                        <m:rPr>
                          <m:sty m:val="p"/>
                        </m:rPr>
                        <w:rPr>
                          <w:rFonts w:ascii="Cambria Math" w:hAnsi="Cambria Math" w:eastAsia="宋体"/>
                          <w:szCs w:val="20"/>
                          <w:lang w:val="en-GB" w:eastAsia="zh-CN"/>
                        </w:rPr>
                        <m:t>Y</m:t>
                      </m:r>
                      <m:ctrlPr>
                        <w:rPr>
                          <w:rFonts w:ascii="Cambria Math" w:hAnsi="Cambria Math" w:eastAsia="宋体"/>
                          <w:iCs/>
                          <w:szCs w:val="20"/>
                          <w:lang w:val="en-GB" w:eastAsia="zh-CN"/>
                        </w:rPr>
                      </m:ctrlPr>
                    </m:e>
                    <m:sub>
                      <m:r>
                        <m:rPr>
                          <m:sty m:val="p"/>
                        </m:rPr>
                        <w:rPr>
                          <w:rFonts w:ascii="Cambria Math" w:hAnsi="Cambria Math" w:eastAsia="宋体"/>
                          <w:szCs w:val="20"/>
                          <w:lang w:val="en-GB" w:eastAsia="zh-CN"/>
                        </w:rPr>
                        <m:t>s</m:t>
                      </m:r>
                      <m:ctrlPr>
                        <w:rPr>
                          <w:rFonts w:ascii="Cambria Math" w:hAnsi="Cambria Math" w:eastAsia="宋体"/>
                          <w:iCs/>
                          <w:szCs w:val="20"/>
                          <w:lang w:val="en-GB" w:eastAsia="zh-CN"/>
                        </w:rPr>
                      </m:ctrlPr>
                    </m:sub>
                  </m:sSub>
                  <m:r>
                    <m:rPr>
                      <m:nor/>
                      <m:sty m:val="p"/>
                    </m:rPr>
                    <w:rPr>
                      <w:rFonts w:ascii="Cambria Math" w:eastAsia="宋体"/>
                      <w:iCs/>
                      <w:szCs w:val="20"/>
                      <w:lang w:val="en-GB"/>
                    </w:rPr>
                    <m:t>),</m:t>
                  </m:r>
                  <m:r>
                    <m:rPr>
                      <m:sty m:val="p"/>
                    </m:rPr>
                    <w:rPr>
                      <w:rFonts w:ascii="Cambria Math" w:eastAsia="宋体"/>
                      <w:szCs w:val="20"/>
                      <w:lang w:val="en-GB"/>
                    </w:rPr>
                    <m:t>μ</m:t>
                  </m:r>
                  <m:ctrlPr>
                    <w:rPr>
                      <w:rFonts w:ascii="Cambria Math" w:hAnsi="Cambria Math" w:eastAsia="宋体"/>
                      <w:iCs/>
                      <w:sz w:val="24"/>
                      <w:szCs w:val="24"/>
                      <w:lang w:val="en-GB"/>
                    </w:rPr>
                  </m:ctrlPr>
                </m:sup>
              </m:sSubSup>
              <m:r>
                <w:rPr>
                  <w:rFonts w:ascii="Cambria Math" w:hAnsi="Cambria Math" w:eastAsia="宋体"/>
                  <w:szCs w:val="20"/>
                  <w:lang w:val="en-GB"/>
                </w:rPr>
                <m:t xml:space="preserve"> </m:t>
              </m:r>
            </m:oMath>
            <w:r>
              <w:rPr>
                <w:rFonts w:eastAsia="宋体"/>
                <w:szCs w:val="20"/>
                <w:lang w:val="en-GB"/>
              </w:rPr>
              <w:t xml:space="preserve">and </w:t>
            </w:r>
            <m:oMath>
              <m:sSubSup>
                <m:sSubSupPr>
                  <m:ctrlPr>
                    <w:rPr>
                      <w:rFonts w:ascii="Cambria Math" w:hAnsi="Cambria Math" w:eastAsia="宋体"/>
                      <w:iCs/>
                      <w:sz w:val="24"/>
                      <w:szCs w:val="24"/>
                      <w:lang w:val="en-GB"/>
                    </w:rPr>
                  </m:ctrlPr>
                </m:sSubSupPr>
                <m:e>
                  <m:r>
                    <w:rPr>
                      <w:rFonts w:ascii="Cambria Math" w:eastAsia="宋体"/>
                      <w:szCs w:val="20"/>
                      <w:lang w:val="en-GB"/>
                    </w:rPr>
                    <m:t>C</m:t>
                  </m:r>
                  <m:ctrlPr>
                    <w:rPr>
                      <w:rFonts w:ascii="Cambria Math" w:hAnsi="Cambria Math" w:eastAsia="宋体"/>
                      <w:iCs/>
                      <w:sz w:val="24"/>
                      <w:szCs w:val="24"/>
                      <w:lang w:val="en-GB"/>
                    </w:rPr>
                  </m:ctrlPr>
                </m:e>
                <m:sub>
                  <m:r>
                    <m:rPr>
                      <m:nor/>
                      <m:sty m:val="p"/>
                    </m:rPr>
                    <w:rPr>
                      <w:rFonts w:ascii="Cambria Math" w:eastAsia="宋体"/>
                      <w:iCs/>
                      <w:szCs w:val="20"/>
                      <w:lang w:val="en-GB"/>
                    </w:rPr>
                    <m:t>PDCCH</m:t>
                  </m:r>
                  <m:ctrlPr>
                    <w:rPr>
                      <w:rFonts w:ascii="Cambria Math" w:hAnsi="Cambria Math" w:eastAsia="宋体"/>
                      <w:iCs/>
                      <w:sz w:val="24"/>
                      <w:szCs w:val="24"/>
                      <w:lang w:val="en-GB"/>
                    </w:rPr>
                  </m:ctrlPr>
                </m:sub>
                <m:sup>
                  <m:r>
                    <m:rPr>
                      <m:nor/>
                      <m:sty m:val="p"/>
                    </m:rPr>
                    <w:rPr>
                      <w:rFonts w:ascii="Cambria Math" w:eastAsia="宋体"/>
                      <w:iCs/>
                      <w:szCs w:val="20"/>
                      <w:lang w:val="en-GB"/>
                    </w:rPr>
                    <m:t>max,(</m:t>
                  </m:r>
                  <m:sSub>
                    <m:sSubPr>
                      <m:ctrlPr>
                        <w:rPr>
                          <w:rFonts w:ascii="Cambria Math" w:hAnsi="Cambria Math" w:eastAsia="宋体"/>
                          <w:iCs/>
                          <w:szCs w:val="20"/>
                          <w:lang w:val="en-GB" w:eastAsia="zh-CN"/>
                        </w:rPr>
                      </m:ctrlPr>
                    </m:sSubPr>
                    <m:e>
                      <m:r>
                        <m:rPr>
                          <m:sty m:val="p"/>
                        </m:rPr>
                        <w:rPr>
                          <w:rFonts w:ascii="Cambria Math" w:hAnsi="Cambria Math" w:eastAsia="宋体"/>
                          <w:szCs w:val="20"/>
                          <w:lang w:val="en-GB" w:eastAsia="zh-CN"/>
                        </w:rPr>
                        <m:t>X</m:t>
                      </m:r>
                      <m:ctrlPr>
                        <w:rPr>
                          <w:rFonts w:ascii="Cambria Math" w:hAnsi="Cambria Math" w:eastAsia="宋体"/>
                          <w:iCs/>
                          <w:szCs w:val="20"/>
                          <w:lang w:val="en-GB" w:eastAsia="zh-CN"/>
                        </w:rPr>
                      </m:ctrlPr>
                    </m:e>
                    <m:sub>
                      <m:r>
                        <m:rPr>
                          <m:sty m:val="p"/>
                        </m:rPr>
                        <w:rPr>
                          <w:rFonts w:ascii="Cambria Math" w:hAnsi="Cambria Math" w:eastAsia="宋体"/>
                          <w:szCs w:val="20"/>
                          <w:lang w:val="en-GB" w:eastAsia="zh-CN"/>
                        </w:rPr>
                        <m:t>s</m:t>
                      </m:r>
                      <m:ctrlPr>
                        <w:rPr>
                          <w:rFonts w:ascii="Cambria Math" w:hAnsi="Cambria Math" w:eastAsia="宋体"/>
                          <w:iCs/>
                          <w:szCs w:val="20"/>
                          <w:lang w:val="en-GB" w:eastAsia="zh-CN"/>
                        </w:rPr>
                      </m:ctrlPr>
                    </m:sub>
                  </m:sSub>
                  <m:r>
                    <m:rPr>
                      <m:sty m:val="p"/>
                    </m:rPr>
                    <w:rPr>
                      <w:rFonts w:ascii="Cambria Math" w:hAnsi="Cambria Math" w:eastAsia="宋体"/>
                      <w:szCs w:val="20"/>
                      <w:lang w:val="en-GB" w:eastAsia="zh-CN"/>
                    </w:rPr>
                    <m:t>,</m:t>
                  </m:r>
                  <m:sSub>
                    <m:sSubPr>
                      <m:ctrlPr>
                        <w:rPr>
                          <w:rFonts w:ascii="Cambria Math" w:hAnsi="Cambria Math" w:eastAsia="宋体"/>
                          <w:iCs/>
                          <w:szCs w:val="20"/>
                          <w:lang w:val="en-GB" w:eastAsia="zh-CN"/>
                        </w:rPr>
                      </m:ctrlPr>
                    </m:sSubPr>
                    <m:e>
                      <m:r>
                        <m:rPr>
                          <m:sty m:val="p"/>
                        </m:rPr>
                        <w:rPr>
                          <w:rFonts w:ascii="Cambria Math" w:hAnsi="Cambria Math" w:eastAsia="宋体"/>
                          <w:szCs w:val="20"/>
                          <w:lang w:val="en-GB" w:eastAsia="zh-CN"/>
                        </w:rPr>
                        <m:t>Y</m:t>
                      </m:r>
                      <m:ctrlPr>
                        <w:rPr>
                          <w:rFonts w:ascii="Cambria Math" w:hAnsi="Cambria Math" w:eastAsia="宋体"/>
                          <w:iCs/>
                          <w:szCs w:val="20"/>
                          <w:lang w:val="en-GB" w:eastAsia="zh-CN"/>
                        </w:rPr>
                      </m:ctrlPr>
                    </m:e>
                    <m:sub>
                      <m:r>
                        <m:rPr>
                          <m:sty m:val="p"/>
                        </m:rPr>
                        <w:rPr>
                          <w:rFonts w:ascii="Cambria Math" w:hAnsi="Cambria Math" w:eastAsia="宋体"/>
                          <w:szCs w:val="20"/>
                          <w:lang w:val="en-GB" w:eastAsia="zh-CN"/>
                        </w:rPr>
                        <m:t>s</m:t>
                      </m:r>
                      <m:ctrlPr>
                        <w:rPr>
                          <w:rFonts w:ascii="Cambria Math" w:hAnsi="Cambria Math" w:eastAsia="宋体"/>
                          <w:iCs/>
                          <w:szCs w:val="20"/>
                          <w:lang w:val="en-GB" w:eastAsia="zh-CN"/>
                        </w:rPr>
                      </m:ctrlPr>
                    </m:sub>
                  </m:sSub>
                  <m:r>
                    <m:rPr>
                      <m:nor/>
                      <m:sty m:val="p"/>
                    </m:rPr>
                    <w:rPr>
                      <w:rFonts w:ascii="Cambria Math" w:eastAsia="宋体"/>
                      <w:iCs/>
                      <w:szCs w:val="20"/>
                      <w:lang w:val="en-GB"/>
                    </w:rPr>
                    <m:t>),</m:t>
                  </m:r>
                  <m:r>
                    <m:rPr>
                      <m:sty m:val="p"/>
                    </m:rPr>
                    <w:rPr>
                      <w:rFonts w:ascii="Cambria Math" w:eastAsia="宋体"/>
                      <w:szCs w:val="20"/>
                      <w:lang w:val="en-GB"/>
                    </w:rPr>
                    <m:t>μ</m:t>
                  </m:r>
                  <m:ctrlPr>
                    <w:rPr>
                      <w:rFonts w:ascii="Cambria Math" w:hAnsi="Cambria Math" w:eastAsia="宋体"/>
                      <w:iCs/>
                      <w:sz w:val="24"/>
                      <w:szCs w:val="24"/>
                      <w:lang w:val="en-GB"/>
                    </w:rPr>
                  </m:ctrlPr>
                </m:sup>
              </m:sSubSup>
            </m:oMath>
            <w:r>
              <w:rPr>
                <w:rFonts w:eastAsia="宋体"/>
                <w:szCs w:val="20"/>
                <w:lang w:val="en-GB"/>
              </w:rPr>
              <w:t xml:space="preserve"> respectively, and </w:t>
            </w:r>
            <m:oMath>
              <m:sSubSup>
                <m:sSubSupPr>
                  <m:ctrlPr>
                    <w:rPr>
                      <w:rFonts w:ascii="Cambria Math" w:hAnsi="Cambria Math" w:eastAsia="宋体"/>
                      <w:i/>
                      <w:iCs/>
                      <w:sz w:val="24"/>
                      <w:szCs w:val="24"/>
                      <w:highlight w:val="yellow"/>
                      <w:lang w:val="en-GB"/>
                    </w:rPr>
                  </m:ctrlPr>
                </m:sSubSupPr>
                <m:e>
                  <m:r>
                    <w:rPr>
                      <w:rFonts w:ascii="Cambria Math" w:eastAsia="宋体"/>
                      <w:szCs w:val="20"/>
                      <w:highlight w:val="yellow"/>
                      <w:lang w:val="en-GB"/>
                    </w:rPr>
                    <m:t>M</m:t>
                  </m:r>
                  <m:ctrlPr>
                    <w:rPr>
                      <w:rFonts w:ascii="Cambria Math" w:hAnsi="Cambria Math" w:eastAsia="宋体"/>
                      <w:i/>
                      <w:iCs/>
                      <w:sz w:val="24"/>
                      <w:szCs w:val="24"/>
                      <w:highlight w:val="yellow"/>
                      <w:lang w:val="en-GB"/>
                    </w:rPr>
                  </m:ctrlPr>
                </m:e>
                <m:sub>
                  <m:r>
                    <m:rPr>
                      <m:nor/>
                      <m:sty m:val="p"/>
                    </m:rPr>
                    <w:rPr>
                      <w:rFonts w:ascii="Cambria Math" w:eastAsia="宋体"/>
                      <w:iCs/>
                      <w:szCs w:val="20"/>
                      <w:highlight w:val="yellow"/>
                      <w:lang w:val="en-GB"/>
                    </w:rPr>
                    <m:t>PDCCH</m:t>
                  </m:r>
                  <m:ctrlPr>
                    <w:rPr>
                      <w:rFonts w:ascii="Cambria Math" w:hAnsi="Cambria Math" w:eastAsia="宋体"/>
                      <w:i/>
                      <w:iCs/>
                      <w:sz w:val="24"/>
                      <w:szCs w:val="24"/>
                      <w:highlight w:val="yellow"/>
                      <w:lang w:val="en-GB"/>
                    </w:rPr>
                  </m:ctrlPr>
                </m:sub>
                <m:sup>
                  <m:r>
                    <m:rPr>
                      <m:nor/>
                      <m:sty m:val="p"/>
                    </m:rPr>
                    <w:rPr>
                      <w:rFonts w:ascii="Cambria Math" w:eastAsia="宋体"/>
                      <w:iCs/>
                      <w:szCs w:val="20"/>
                      <w:highlight w:val="yellow"/>
                      <w:lang w:val="en-GB"/>
                    </w:rPr>
                    <m:t>total,slot,</m:t>
                  </m:r>
                  <m:r>
                    <m:rPr>
                      <m:sty m:val="p"/>
                    </m:rPr>
                    <w:rPr>
                      <w:rFonts w:ascii="Cambria Math" w:eastAsia="宋体"/>
                      <w:szCs w:val="20"/>
                      <w:highlight w:val="yellow"/>
                      <w:lang w:val="en-GB"/>
                    </w:rPr>
                    <m:t>μ</m:t>
                  </m:r>
                  <m:ctrlPr>
                    <w:rPr>
                      <w:rFonts w:ascii="Cambria Math" w:hAnsi="Cambria Math" w:eastAsia="宋体"/>
                      <w:i/>
                      <w:iCs/>
                      <w:sz w:val="24"/>
                      <w:szCs w:val="24"/>
                      <w:highlight w:val="yellow"/>
                      <w:lang w:val="en-GB"/>
                    </w:rPr>
                  </m:ctrlPr>
                </m:sup>
              </m:sSubSup>
              <m:r>
                <w:rPr>
                  <w:rFonts w:ascii="Cambria Math" w:hAnsi="Cambria Math" w:eastAsia="宋体"/>
                  <w:szCs w:val="20"/>
                  <w:highlight w:val="yellow"/>
                  <w:lang w:val="en-GB"/>
                </w:rPr>
                <m:t xml:space="preserve"> </m:t>
              </m:r>
            </m:oMath>
            <w:r>
              <w:rPr>
                <w:rFonts w:eastAsia="宋体"/>
                <w:iCs/>
                <w:szCs w:val="20"/>
                <w:highlight w:val="yellow"/>
                <w:lang w:val="en-GB" w:eastAsia="zh-CN"/>
              </w:rPr>
              <w:t xml:space="preserve">and </w:t>
            </w:r>
            <m:oMath>
              <m:sSubSup>
                <m:sSubSupPr>
                  <m:ctrlPr>
                    <w:rPr>
                      <w:rFonts w:ascii="Cambria Math" w:hAnsi="Cambria Math" w:eastAsia="宋体"/>
                      <w:i/>
                      <w:iCs/>
                      <w:sz w:val="24"/>
                      <w:szCs w:val="24"/>
                      <w:highlight w:val="yellow"/>
                      <w:lang w:val="en-GB"/>
                    </w:rPr>
                  </m:ctrlPr>
                </m:sSubSupPr>
                <m:e>
                  <m:r>
                    <w:rPr>
                      <w:rFonts w:ascii="Cambria Math" w:eastAsia="宋体"/>
                      <w:szCs w:val="20"/>
                      <w:highlight w:val="yellow"/>
                      <w:lang w:val="en-GB"/>
                    </w:rPr>
                    <m:t>C</m:t>
                  </m:r>
                  <m:ctrlPr>
                    <w:rPr>
                      <w:rFonts w:ascii="Cambria Math" w:hAnsi="Cambria Math" w:eastAsia="宋体"/>
                      <w:i/>
                      <w:iCs/>
                      <w:sz w:val="24"/>
                      <w:szCs w:val="24"/>
                      <w:highlight w:val="yellow"/>
                      <w:lang w:val="en-GB"/>
                    </w:rPr>
                  </m:ctrlPr>
                </m:e>
                <m:sub>
                  <m:r>
                    <m:rPr>
                      <m:nor/>
                      <m:sty m:val="p"/>
                    </m:rPr>
                    <w:rPr>
                      <w:rFonts w:ascii="Cambria Math" w:eastAsia="宋体"/>
                      <w:iCs/>
                      <w:szCs w:val="20"/>
                      <w:highlight w:val="yellow"/>
                      <w:lang w:val="en-GB"/>
                    </w:rPr>
                    <m:t>PDCCH</m:t>
                  </m:r>
                  <m:ctrlPr>
                    <w:rPr>
                      <w:rFonts w:ascii="Cambria Math" w:hAnsi="Cambria Math" w:eastAsia="宋体"/>
                      <w:i/>
                      <w:iCs/>
                      <w:sz w:val="24"/>
                      <w:szCs w:val="24"/>
                      <w:highlight w:val="yellow"/>
                      <w:lang w:val="en-GB"/>
                    </w:rPr>
                  </m:ctrlPr>
                </m:sub>
                <m:sup>
                  <m:r>
                    <m:rPr>
                      <m:nor/>
                      <m:sty m:val="p"/>
                    </m:rPr>
                    <w:rPr>
                      <w:rFonts w:ascii="Cambria Math" w:eastAsia="宋体"/>
                      <w:iCs/>
                      <w:szCs w:val="20"/>
                      <w:highlight w:val="yellow"/>
                      <w:lang w:val="en-GB"/>
                    </w:rPr>
                    <m:t>total,slot,</m:t>
                  </m:r>
                  <m:r>
                    <m:rPr>
                      <m:sty m:val="p"/>
                    </m:rPr>
                    <w:rPr>
                      <w:rFonts w:ascii="Cambria Math" w:eastAsia="宋体"/>
                      <w:szCs w:val="20"/>
                      <w:highlight w:val="yellow"/>
                      <w:lang w:val="en-GB"/>
                    </w:rPr>
                    <m:t>μ</m:t>
                  </m:r>
                  <m:ctrlPr>
                    <w:rPr>
                      <w:rFonts w:ascii="Cambria Math" w:hAnsi="Cambria Math" w:eastAsia="宋体"/>
                      <w:i/>
                      <w:iCs/>
                      <w:sz w:val="24"/>
                      <w:szCs w:val="24"/>
                      <w:highlight w:val="yellow"/>
                      <w:lang w:val="en-GB"/>
                    </w:rPr>
                  </m:ctrlPr>
                </m:sup>
              </m:sSubSup>
              <m:r>
                <w:rPr>
                  <w:rFonts w:ascii="Cambria Math" w:hAnsi="Cambria Math" w:eastAsia="宋体"/>
                  <w:szCs w:val="20"/>
                  <w:highlight w:val="yellow"/>
                  <w:lang w:val="en-GB"/>
                </w:rPr>
                <m:t xml:space="preserve"> </m:t>
              </m:r>
            </m:oMath>
            <w:r>
              <w:rPr>
                <w:rFonts w:eastAsia="宋体"/>
                <w:iCs/>
                <w:szCs w:val="20"/>
                <w:highlight w:val="yellow"/>
                <w:lang w:val="en-GB" w:eastAsia="zh-CN"/>
              </w:rPr>
              <w:t xml:space="preserve">are </w:t>
            </w:r>
            <w:r>
              <w:rPr>
                <w:rFonts w:eastAsia="宋体"/>
                <w:szCs w:val="20"/>
                <w:highlight w:val="yellow"/>
                <w:lang w:val="en-GB"/>
              </w:rPr>
              <w:t xml:space="preserve">replaced by </w:t>
            </w:r>
            <m:oMath>
              <m:sSubSup>
                <m:sSubSupPr>
                  <m:ctrlPr>
                    <w:rPr>
                      <w:rFonts w:ascii="Cambria Math" w:hAnsi="Cambria Math" w:eastAsia="宋体"/>
                      <w:iCs/>
                      <w:sz w:val="24"/>
                      <w:szCs w:val="24"/>
                      <w:highlight w:val="yellow"/>
                      <w:lang w:val="en-GB"/>
                    </w:rPr>
                  </m:ctrlPr>
                </m:sSubSupPr>
                <m:e>
                  <m:r>
                    <w:rPr>
                      <w:rFonts w:ascii="Cambria Math" w:eastAsia="宋体"/>
                      <w:szCs w:val="20"/>
                      <w:highlight w:val="yellow"/>
                      <w:lang w:val="en-GB"/>
                    </w:rPr>
                    <m:t>M</m:t>
                  </m:r>
                  <m:ctrlPr>
                    <w:rPr>
                      <w:rFonts w:ascii="Cambria Math" w:hAnsi="Cambria Math" w:eastAsia="宋体"/>
                      <w:iCs/>
                      <w:sz w:val="24"/>
                      <w:szCs w:val="24"/>
                      <w:highlight w:val="yellow"/>
                      <w:lang w:val="en-GB"/>
                    </w:rPr>
                  </m:ctrlPr>
                </m:e>
                <m:sub>
                  <m:r>
                    <m:rPr>
                      <m:nor/>
                      <m:sty m:val="p"/>
                    </m:rPr>
                    <w:rPr>
                      <w:rFonts w:ascii="Cambria Math" w:eastAsia="宋体"/>
                      <w:iCs/>
                      <w:szCs w:val="20"/>
                      <w:highlight w:val="yellow"/>
                      <w:lang w:val="en-GB"/>
                    </w:rPr>
                    <m:t>PDCCH</m:t>
                  </m:r>
                  <m:ctrlPr>
                    <w:rPr>
                      <w:rFonts w:ascii="Cambria Math" w:hAnsi="Cambria Math" w:eastAsia="宋体"/>
                      <w:iCs/>
                      <w:sz w:val="24"/>
                      <w:szCs w:val="24"/>
                      <w:highlight w:val="yellow"/>
                      <w:lang w:val="en-GB"/>
                    </w:rPr>
                  </m:ctrlPr>
                </m:sub>
                <m:sup>
                  <m:r>
                    <m:rPr>
                      <m:nor/>
                      <m:sty m:val="p"/>
                    </m:rPr>
                    <w:rPr>
                      <w:rFonts w:ascii="Cambria Math" w:eastAsia="宋体"/>
                      <w:iCs/>
                      <w:szCs w:val="20"/>
                      <w:highlight w:val="yellow"/>
                      <w:lang w:val="en-GB"/>
                    </w:rPr>
                    <m:t>total,(</m:t>
                  </m:r>
                  <m:sSub>
                    <m:sSubPr>
                      <m:ctrlPr>
                        <w:rPr>
                          <w:rFonts w:ascii="Cambria Math" w:hAnsi="Cambria Math" w:eastAsia="宋体"/>
                          <w:iCs/>
                          <w:szCs w:val="20"/>
                          <w:highlight w:val="yellow"/>
                          <w:lang w:val="en-GB" w:eastAsia="zh-CN"/>
                        </w:rPr>
                      </m:ctrlPr>
                    </m:sSubPr>
                    <m:e>
                      <m:r>
                        <m:rPr>
                          <m:sty m:val="p"/>
                        </m:rPr>
                        <w:rPr>
                          <w:rFonts w:ascii="Cambria Math" w:hAnsi="Cambria Math" w:eastAsia="宋体"/>
                          <w:szCs w:val="20"/>
                          <w:highlight w:val="yellow"/>
                          <w:lang w:val="en-GB" w:eastAsia="zh-CN"/>
                        </w:rPr>
                        <m:t>X</m:t>
                      </m:r>
                      <m:ctrlPr>
                        <w:rPr>
                          <w:rFonts w:ascii="Cambria Math" w:hAnsi="Cambria Math" w:eastAsia="宋体"/>
                          <w:iCs/>
                          <w:szCs w:val="20"/>
                          <w:highlight w:val="yellow"/>
                          <w:lang w:val="en-GB" w:eastAsia="zh-CN"/>
                        </w:rPr>
                      </m:ctrlPr>
                    </m:e>
                    <m:sub>
                      <m:r>
                        <m:rPr>
                          <m:sty m:val="p"/>
                        </m:rPr>
                        <w:rPr>
                          <w:rFonts w:ascii="Cambria Math" w:hAnsi="Cambria Math" w:eastAsia="宋体"/>
                          <w:szCs w:val="20"/>
                          <w:highlight w:val="yellow"/>
                          <w:lang w:val="en-GB" w:eastAsia="zh-CN"/>
                        </w:rPr>
                        <m:t>s</m:t>
                      </m:r>
                      <m:ctrlPr>
                        <w:rPr>
                          <w:rFonts w:ascii="Cambria Math" w:hAnsi="Cambria Math" w:eastAsia="宋体"/>
                          <w:iCs/>
                          <w:szCs w:val="20"/>
                          <w:highlight w:val="yellow"/>
                          <w:lang w:val="en-GB" w:eastAsia="zh-CN"/>
                        </w:rPr>
                      </m:ctrlPr>
                    </m:sub>
                  </m:sSub>
                  <m:r>
                    <m:rPr>
                      <m:sty m:val="p"/>
                    </m:rPr>
                    <w:rPr>
                      <w:rFonts w:ascii="Cambria Math" w:hAnsi="Cambria Math" w:eastAsia="宋体"/>
                      <w:szCs w:val="20"/>
                      <w:highlight w:val="yellow"/>
                      <w:lang w:val="en-GB" w:eastAsia="zh-CN"/>
                    </w:rPr>
                    <m:t>,</m:t>
                  </m:r>
                  <m:sSub>
                    <m:sSubPr>
                      <m:ctrlPr>
                        <w:rPr>
                          <w:rFonts w:ascii="Cambria Math" w:hAnsi="Cambria Math" w:eastAsia="宋体"/>
                          <w:iCs/>
                          <w:szCs w:val="20"/>
                          <w:highlight w:val="yellow"/>
                          <w:lang w:val="en-GB" w:eastAsia="zh-CN"/>
                        </w:rPr>
                      </m:ctrlPr>
                    </m:sSubPr>
                    <m:e>
                      <m:r>
                        <m:rPr>
                          <m:sty m:val="p"/>
                        </m:rPr>
                        <w:rPr>
                          <w:rFonts w:ascii="Cambria Math" w:hAnsi="Cambria Math" w:eastAsia="宋体"/>
                          <w:szCs w:val="20"/>
                          <w:highlight w:val="yellow"/>
                          <w:lang w:val="en-GB" w:eastAsia="zh-CN"/>
                        </w:rPr>
                        <m:t>Y</m:t>
                      </m:r>
                      <m:ctrlPr>
                        <w:rPr>
                          <w:rFonts w:ascii="Cambria Math" w:hAnsi="Cambria Math" w:eastAsia="宋体"/>
                          <w:iCs/>
                          <w:szCs w:val="20"/>
                          <w:highlight w:val="yellow"/>
                          <w:lang w:val="en-GB" w:eastAsia="zh-CN"/>
                        </w:rPr>
                      </m:ctrlPr>
                    </m:e>
                    <m:sub>
                      <m:r>
                        <m:rPr>
                          <m:sty m:val="p"/>
                        </m:rPr>
                        <w:rPr>
                          <w:rFonts w:ascii="Cambria Math" w:hAnsi="Cambria Math" w:eastAsia="宋体"/>
                          <w:szCs w:val="20"/>
                          <w:highlight w:val="yellow"/>
                          <w:lang w:val="en-GB" w:eastAsia="zh-CN"/>
                        </w:rPr>
                        <m:t>s</m:t>
                      </m:r>
                      <m:ctrlPr>
                        <w:rPr>
                          <w:rFonts w:ascii="Cambria Math" w:hAnsi="Cambria Math" w:eastAsia="宋体"/>
                          <w:iCs/>
                          <w:szCs w:val="20"/>
                          <w:highlight w:val="yellow"/>
                          <w:lang w:val="en-GB" w:eastAsia="zh-CN"/>
                        </w:rPr>
                      </m:ctrlPr>
                    </m:sub>
                  </m:sSub>
                  <m:r>
                    <m:rPr>
                      <m:nor/>
                      <m:sty m:val="p"/>
                    </m:rPr>
                    <w:rPr>
                      <w:rFonts w:ascii="Cambria Math" w:eastAsia="宋体"/>
                      <w:iCs/>
                      <w:szCs w:val="20"/>
                      <w:highlight w:val="yellow"/>
                      <w:lang w:val="en-GB"/>
                    </w:rPr>
                    <m:t>),</m:t>
                  </m:r>
                  <m:r>
                    <m:rPr>
                      <m:sty m:val="p"/>
                    </m:rPr>
                    <w:rPr>
                      <w:rFonts w:ascii="Cambria Math" w:eastAsia="宋体"/>
                      <w:szCs w:val="20"/>
                      <w:highlight w:val="yellow"/>
                      <w:lang w:val="en-GB"/>
                    </w:rPr>
                    <m:t>μ</m:t>
                  </m:r>
                  <m:ctrlPr>
                    <w:rPr>
                      <w:rFonts w:ascii="Cambria Math" w:hAnsi="Cambria Math" w:eastAsia="宋体"/>
                      <w:iCs/>
                      <w:sz w:val="24"/>
                      <w:szCs w:val="24"/>
                      <w:highlight w:val="yellow"/>
                      <w:lang w:val="en-GB"/>
                    </w:rPr>
                  </m:ctrlPr>
                </m:sup>
              </m:sSubSup>
              <m:r>
                <w:rPr>
                  <w:rFonts w:ascii="Cambria Math" w:hAnsi="Cambria Math" w:eastAsia="宋体"/>
                  <w:szCs w:val="20"/>
                  <w:highlight w:val="yellow"/>
                  <w:lang w:val="en-GB"/>
                </w:rPr>
                <m:t xml:space="preserve"> </m:t>
              </m:r>
            </m:oMath>
            <w:r>
              <w:rPr>
                <w:rFonts w:eastAsia="宋体"/>
                <w:szCs w:val="20"/>
                <w:highlight w:val="yellow"/>
                <w:lang w:val="en-GB"/>
              </w:rPr>
              <w:t xml:space="preserve">and </w:t>
            </w:r>
            <m:oMath>
              <m:sSubSup>
                <m:sSubSupPr>
                  <m:ctrlPr>
                    <w:rPr>
                      <w:rFonts w:ascii="Cambria Math" w:hAnsi="Cambria Math" w:eastAsia="宋体"/>
                      <w:iCs/>
                      <w:sz w:val="24"/>
                      <w:szCs w:val="24"/>
                      <w:highlight w:val="yellow"/>
                      <w:lang w:val="en-GB"/>
                    </w:rPr>
                  </m:ctrlPr>
                </m:sSubSupPr>
                <m:e>
                  <m:r>
                    <w:rPr>
                      <w:rFonts w:ascii="Cambria Math" w:eastAsia="宋体"/>
                      <w:szCs w:val="20"/>
                      <w:highlight w:val="yellow"/>
                      <w:lang w:val="en-GB"/>
                    </w:rPr>
                    <m:t>C</m:t>
                  </m:r>
                  <m:ctrlPr>
                    <w:rPr>
                      <w:rFonts w:ascii="Cambria Math" w:hAnsi="Cambria Math" w:eastAsia="宋体"/>
                      <w:iCs/>
                      <w:sz w:val="24"/>
                      <w:szCs w:val="24"/>
                      <w:highlight w:val="yellow"/>
                      <w:lang w:val="en-GB"/>
                    </w:rPr>
                  </m:ctrlPr>
                </m:e>
                <m:sub>
                  <m:r>
                    <m:rPr>
                      <m:nor/>
                      <m:sty m:val="p"/>
                    </m:rPr>
                    <w:rPr>
                      <w:rFonts w:ascii="Cambria Math" w:eastAsia="宋体"/>
                      <w:iCs/>
                      <w:szCs w:val="20"/>
                      <w:highlight w:val="yellow"/>
                      <w:lang w:val="en-GB"/>
                    </w:rPr>
                    <m:t>PDCCH</m:t>
                  </m:r>
                  <m:ctrlPr>
                    <w:rPr>
                      <w:rFonts w:ascii="Cambria Math" w:hAnsi="Cambria Math" w:eastAsia="宋体"/>
                      <w:iCs/>
                      <w:sz w:val="24"/>
                      <w:szCs w:val="24"/>
                      <w:highlight w:val="yellow"/>
                      <w:lang w:val="en-GB"/>
                    </w:rPr>
                  </m:ctrlPr>
                </m:sub>
                <m:sup>
                  <m:r>
                    <m:rPr>
                      <m:nor/>
                      <m:sty m:val="p"/>
                    </m:rPr>
                    <w:rPr>
                      <w:rFonts w:ascii="Cambria Math" w:eastAsia="宋体"/>
                      <w:iCs/>
                      <w:szCs w:val="20"/>
                      <w:highlight w:val="yellow"/>
                      <w:lang w:val="en-GB"/>
                    </w:rPr>
                    <m:t>total,(</m:t>
                  </m:r>
                  <m:sSub>
                    <m:sSubPr>
                      <m:ctrlPr>
                        <w:rPr>
                          <w:rFonts w:ascii="Cambria Math" w:hAnsi="Cambria Math" w:eastAsia="宋体"/>
                          <w:iCs/>
                          <w:szCs w:val="20"/>
                          <w:highlight w:val="yellow"/>
                          <w:lang w:val="en-GB" w:eastAsia="zh-CN"/>
                        </w:rPr>
                      </m:ctrlPr>
                    </m:sSubPr>
                    <m:e>
                      <m:r>
                        <m:rPr>
                          <m:sty m:val="p"/>
                        </m:rPr>
                        <w:rPr>
                          <w:rFonts w:ascii="Cambria Math" w:hAnsi="Cambria Math" w:eastAsia="宋体"/>
                          <w:szCs w:val="20"/>
                          <w:highlight w:val="yellow"/>
                          <w:lang w:val="en-GB" w:eastAsia="zh-CN"/>
                        </w:rPr>
                        <m:t>X</m:t>
                      </m:r>
                      <m:ctrlPr>
                        <w:rPr>
                          <w:rFonts w:ascii="Cambria Math" w:hAnsi="Cambria Math" w:eastAsia="宋体"/>
                          <w:iCs/>
                          <w:szCs w:val="20"/>
                          <w:highlight w:val="yellow"/>
                          <w:lang w:val="en-GB" w:eastAsia="zh-CN"/>
                        </w:rPr>
                      </m:ctrlPr>
                    </m:e>
                    <m:sub>
                      <m:r>
                        <m:rPr>
                          <m:sty m:val="p"/>
                        </m:rPr>
                        <w:rPr>
                          <w:rFonts w:ascii="Cambria Math" w:hAnsi="Cambria Math" w:eastAsia="宋体"/>
                          <w:szCs w:val="20"/>
                          <w:highlight w:val="yellow"/>
                          <w:lang w:val="en-GB" w:eastAsia="zh-CN"/>
                        </w:rPr>
                        <m:t>s</m:t>
                      </m:r>
                      <m:ctrlPr>
                        <w:rPr>
                          <w:rFonts w:ascii="Cambria Math" w:hAnsi="Cambria Math" w:eastAsia="宋体"/>
                          <w:iCs/>
                          <w:szCs w:val="20"/>
                          <w:highlight w:val="yellow"/>
                          <w:lang w:val="en-GB" w:eastAsia="zh-CN"/>
                        </w:rPr>
                      </m:ctrlPr>
                    </m:sub>
                  </m:sSub>
                  <m:r>
                    <m:rPr>
                      <m:sty m:val="p"/>
                    </m:rPr>
                    <w:rPr>
                      <w:rFonts w:ascii="Cambria Math" w:hAnsi="Cambria Math" w:eastAsia="宋体"/>
                      <w:szCs w:val="20"/>
                      <w:highlight w:val="yellow"/>
                      <w:lang w:val="en-GB" w:eastAsia="zh-CN"/>
                    </w:rPr>
                    <m:t>,</m:t>
                  </m:r>
                  <m:sSub>
                    <m:sSubPr>
                      <m:ctrlPr>
                        <w:rPr>
                          <w:rFonts w:ascii="Cambria Math" w:hAnsi="Cambria Math" w:eastAsia="宋体"/>
                          <w:iCs/>
                          <w:szCs w:val="20"/>
                          <w:highlight w:val="yellow"/>
                          <w:lang w:val="en-GB" w:eastAsia="zh-CN"/>
                        </w:rPr>
                      </m:ctrlPr>
                    </m:sSubPr>
                    <m:e>
                      <m:r>
                        <m:rPr>
                          <m:sty m:val="p"/>
                        </m:rPr>
                        <w:rPr>
                          <w:rFonts w:ascii="Cambria Math" w:hAnsi="Cambria Math" w:eastAsia="宋体"/>
                          <w:szCs w:val="20"/>
                          <w:highlight w:val="yellow"/>
                          <w:lang w:val="en-GB" w:eastAsia="zh-CN"/>
                        </w:rPr>
                        <m:t>Y</m:t>
                      </m:r>
                      <m:ctrlPr>
                        <w:rPr>
                          <w:rFonts w:ascii="Cambria Math" w:hAnsi="Cambria Math" w:eastAsia="宋体"/>
                          <w:iCs/>
                          <w:szCs w:val="20"/>
                          <w:highlight w:val="yellow"/>
                          <w:lang w:val="en-GB" w:eastAsia="zh-CN"/>
                        </w:rPr>
                      </m:ctrlPr>
                    </m:e>
                    <m:sub>
                      <m:r>
                        <m:rPr>
                          <m:sty m:val="p"/>
                        </m:rPr>
                        <w:rPr>
                          <w:rFonts w:ascii="Cambria Math" w:hAnsi="Cambria Math" w:eastAsia="宋体"/>
                          <w:szCs w:val="20"/>
                          <w:highlight w:val="yellow"/>
                          <w:lang w:val="en-GB" w:eastAsia="zh-CN"/>
                        </w:rPr>
                        <m:t>s</m:t>
                      </m:r>
                      <m:ctrlPr>
                        <w:rPr>
                          <w:rFonts w:ascii="Cambria Math" w:hAnsi="Cambria Math" w:eastAsia="宋体"/>
                          <w:iCs/>
                          <w:szCs w:val="20"/>
                          <w:highlight w:val="yellow"/>
                          <w:lang w:val="en-GB" w:eastAsia="zh-CN"/>
                        </w:rPr>
                      </m:ctrlPr>
                    </m:sub>
                  </m:sSub>
                  <m:r>
                    <m:rPr>
                      <m:nor/>
                      <m:sty m:val="p"/>
                    </m:rPr>
                    <w:rPr>
                      <w:rFonts w:ascii="Cambria Math" w:eastAsia="宋体"/>
                      <w:iCs/>
                      <w:szCs w:val="20"/>
                      <w:highlight w:val="yellow"/>
                      <w:lang w:val="en-GB"/>
                    </w:rPr>
                    <m:t>),</m:t>
                  </m:r>
                  <m:r>
                    <m:rPr>
                      <m:sty m:val="p"/>
                    </m:rPr>
                    <w:rPr>
                      <w:rFonts w:ascii="Cambria Math" w:eastAsia="宋体"/>
                      <w:szCs w:val="20"/>
                      <w:highlight w:val="yellow"/>
                      <w:lang w:val="en-GB"/>
                    </w:rPr>
                    <m:t>μ</m:t>
                  </m:r>
                  <m:ctrlPr>
                    <w:rPr>
                      <w:rFonts w:ascii="Cambria Math" w:hAnsi="Cambria Math" w:eastAsia="宋体"/>
                      <w:iCs/>
                      <w:sz w:val="24"/>
                      <w:szCs w:val="24"/>
                      <w:highlight w:val="yellow"/>
                      <w:lang w:val="en-GB"/>
                    </w:rPr>
                  </m:ctrlPr>
                </m:sup>
              </m:sSubSup>
            </m:oMath>
            <w:r>
              <w:rPr>
                <w:rFonts w:eastAsia="宋体"/>
                <w:szCs w:val="20"/>
                <w:highlight w:val="yellow"/>
                <w:lang w:val="en-GB"/>
              </w:rPr>
              <w:t xml:space="preserve"> respectively</w:t>
            </w:r>
            <w:r>
              <w:rPr>
                <w:rFonts w:eastAsia="宋体"/>
                <w:szCs w:val="20"/>
                <w:lang w:val="en-GB"/>
              </w:rPr>
              <w:t>.</w:t>
            </w:r>
          </w:p>
          <w:p>
            <w:pPr>
              <w:widowControl w:val="0"/>
              <w:rPr>
                <w:iCs/>
                <w:szCs w:val="20"/>
                <w:lang w:val="en-GB" w:eastAsia="ja-JP"/>
              </w:rPr>
            </w:pPr>
            <w:r>
              <w:rPr>
                <w:lang w:val="en-GB" w:eastAsia="ja-JP"/>
              </w:rPr>
              <w:t xml:space="preserve">The quantities can be defined following the same Rel-15 PDCCH monitoring capability allocation for carrier aggregation cases. The main difference for Rel-17 is that, in addition to difference in numerology </w:t>
            </w:r>
            <m:oMath>
              <m:r>
                <w:rPr>
                  <w:rFonts w:ascii="Cambria Math" w:hAnsi="Cambria Math"/>
                  <w:lang w:val="en-GB" w:eastAsia="ja-JP"/>
                </w:rPr>
                <m:t>μ</m:t>
              </m:r>
            </m:oMath>
            <w:r>
              <w:rPr>
                <w:lang w:val="en-GB" w:eastAsia="ja-JP"/>
              </w:rPr>
              <w:t xml:space="preserve">, different cells may be configured with different </w:t>
            </w:r>
            <m:oMath>
              <m:d>
                <m:dPr>
                  <m:ctrlPr>
                    <w:rPr>
                      <w:rFonts w:ascii="Cambria Math" w:hAnsi="Cambria Math" w:cs="Arial"/>
                      <w:i/>
                      <w:szCs w:val="20"/>
                      <w:lang w:val="en-GB" w:eastAsia="ja-JP"/>
                    </w:rPr>
                  </m:ctrlPr>
                </m:dPr>
                <m:e>
                  <m:sSub>
                    <m:sSubPr>
                      <m:ctrlPr>
                        <w:rPr>
                          <w:rFonts w:ascii="Cambria Math" w:hAnsi="Cambria Math" w:cs="Arial"/>
                          <w:i/>
                          <w:szCs w:val="20"/>
                          <w:lang w:val="en-GB" w:eastAsia="ja-JP"/>
                        </w:rPr>
                      </m:ctrlPr>
                    </m:sSubPr>
                    <m:e>
                      <m:r>
                        <w:rPr>
                          <w:rFonts w:ascii="Cambria Math" w:hAnsi="Cambria Math" w:cs="Arial"/>
                          <w:szCs w:val="20"/>
                          <w:lang w:val="en-GB" w:eastAsia="ja-JP"/>
                        </w:rPr>
                        <m:t>X</m:t>
                      </m:r>
                      <m:ctrlPr>
                        <w:rPr>
                          <w:rFonts w:ascii="Cambria Math" w:hAnsi="Cambria Math" w:cs="Arial"/>
                          <w:i/>
                          <w:szCs w:val="20"/>
                          <w:lang w:val="en-GB" w:eastAsia="ja-JP"/>
                        </w:rPr>
                      </m:ctrlPr>
                    </m:e>
                    <m:sub>
                      <m:r>
                        <w:rPr>
                          <w:rFonts w:ascii="Cambria Math" w:hAnsi="Cambria Math" w:cs="Arial"/>
                          <w:szCs w:val="20"/>
                          <w:lang w:val="en-GB" w:eastAsia="ja-JP"/>
                        </w:rPr>
                        <m:t>s</m:t>
                      </m:r>
                      <m:ctrlPr>
                        <w:rPr>
                          <w:rFonts w:ascii="Cambria Math" w:hAnsi="Cambria Math" w:cs="Arial"/>
                          <w:i/>
                          <w:szCs w:val="20"/>
                          <w:lang w:val="en-GB" w:eastAsia="ja-JP"/>
                        </w:rPr>
                      </m:ctrlPr>
                    </m:sub>
                  </m:sSub>
                  <m:r>
                    <w:rPr>
                      <w:rFonts w:ascii="Cambria Math" w:hAnsi="Cambria Math" w:cs="Arial"/>
                      <w:szCs w:val="20"/>
                      <w:lang w:val="en-GB" w:eastAsia="ja-JP"/>
                    </w:rPr>
                    <m:t>,</m:t>
                  </m:r>
                  <m:sSub>
                    <m:sSubPr>
                      <m:ctrlPr>
                        <w:rPr>
                          <w:rFonts w:ascii="Cambria Math" w:hAnsi="Cambria Math" w:cs="Arial"/>
                          <w:i/>
                          <w:szCs w:val="20"/>
                          <w:lang w:val="en-GB" w:eastAsia="ja-JP"/>
                        </w:rPr>
                      </m:ctrlPr>
                    </m:sSubPr>
                    <m:e>
                      <m:r>
                        <w:rPr>
                          <w:rFonts w:ascii="Cambria Math" w:hAnsi="Cambria Math" w:cs="Arial"/>
                          <w:szCs w:val="20"/>
                          <w:lang w:val="en-GB" w:eastAsia="ja-JP"/>
                        </w:rPr>
                        <m:t>Y</m:t>
                      </m:r>
                      <m:ctrlPr>
                        <w:rPr>
                          <w:rFonts w:ascii="Cambria Math" w:hAnsi="Cambria Math" w:cs="Arial"/>
                          <w:i/>
                          <w:szCs w:val="20"/>
                          <w:lang w:val="en-GB" w:eastAsia="ja-JP"/>
                        </w:rPr>
                      </m:ctrlPr>
                    </m:e>
                    <m:sub>
                      <m:r>
                        <w:rPr>
                          <w:rFonts w:ascii="Cambria Math" w:hAnsi="Cambria Math" w:cs="Arial"/>
                          <w:szCs w:val="20"/>
                          <w:lang w:val="en-GB" w:eastAsia="ja-JP"/>
                        </w:rPr>
                        <m:t>s</m:t>
                      </m:r>
                      <m:ctrlPr>
                        <w:rPr>
                          <w:rFonts w:ascii="Cambria Math" w:hAnsi="Cambria Math" w:cs="Arial"/>
                          <w:i/>
                          <w:szCs w:val="20"/>
                          <w:lang w:val="en-GB" w:eastAsia="ja-JP"/>
                        </w:rPr>
                      </m:ctrlPr>
                    </m:sub>
                  </m:sSub>
                  <m:ctrlPr>
                    <w:rPr>
                      <w:rFonts w:ascii="Cambria Math" w:hAnsi="Cambria Math" w:cs="Arial"/>
                      <w:i/>
                      <w:szCs w:val="20"/>
                      <w:lang w:val="en-GB" w:eastAsia="ja-JP"/>
                    </w:rPr>
                  </m:ctrlPr>
                </m:e>
              </m:d>
            </m:oMath>
            <w:r>
              <w:rPr>
                <w:szCs w:val="20"/>
                <w:lang w:val="en-GB" w:eastAsia="ja-JP"/>
              </w:rPr>
              <w:t xml:space="preserve">. Since slot groups start at a subframe boundary, the slot groups for serving cells with identical </w:t>
            </w:r>
            <m:oMath>
              <m:r>
                <w:rPr>
                  <w:rFonts w:ascii="Cambria Math" w:hAnsi="Cambria Math"/>
                  <w:lang w:val="en-GB" w:eastAsia="ja-JP"/>
                </w:rPr>
                <m:t>μ</m:t>
              </m:r>
            </m:oMath>
            <w:r>
              <w:rPr>
                <w:lang w:val="en-GB" w:eastAsia="ja-JP"/>
              </w:rPr>
              <w:t xml:space="preserve"> and </w:t>
            </w:r>
            <m:oMath>
              <m:sSub>
                <m:sSubPr>
                  <m:ctrlPr>
                    <w:rPr>
                      <w:rFonts w:ascii="Cambria Math" w:hAnsi="Cambria Math"/>
                      <w:i/>
                      <w:lang w:val="en-GB" w:eastAsia="ja-JP"/>
                    </w:rPr>
                  </m:ctrlPr>
                </m:sSubPr>
                <m:e>
                  <m:r>
                    <w:rPr>
                      <w:rFonts w:ascii="Cambria Math" w:hAnsi="Cambria Math"/>
                      <w:lang w:val="en-GB" w:eastAsia="ja-JP"/>
                    </w:rPr>
                    <m:t>X</m:t>
                  </m:r>
                  <m:ctrlPr>
                    <w:rPr>
                      <w:rFonts w:ascii="Cambria Math" w:hAnsi="Cambria Math"/>
                      <w:i/>
                      <w:lang w:val="en-GB" w:eastAsia="ja-JP"/>
                    </w:rPr>
                  </m:ctrlPr>
                </m:e>
                <m:sub>
                  <m:r>
                    <w:rPr>
                      <w:rFonts w:ascii="Cambria Math" w:hAnsi="Cambria Math"/>
                      <w:lang w:val="en-GB" w:eastAsia="ja-JP"/>
                    </w:rPr>
                    <m:t>s</m:t>
                  </m:r>
                  <m:ctrlPr>
                    <w:rPr>
                      <w:rFonts w:ascii="Cambria Math" w:hAnsi="Cambria Math"/>
                      <w:i/>
                      <w:lang w:val="en-GB" w:eastAsia="ja-JP"/>
                    </w:rPr>
                  </m:ctrlPr>
                </m:sub>
              </m:sSub>
            </m:oMath>
            <w:r>
              <w:rPr>
                <w:lang w:val="en-GB" w:eastAsia="ja-JP"/>
              </w:rPr>
              <w:t xml:space="preserve"> are aligned. The configuration of </w:t>
            </w:r>
            <m:oMath>
              <m:sSub>
                <m:sSubPr>
                  <m:ctrlPr>
                    <w:rPr>
                      <w:rFonts w:ascii="Cambria Math" w:hAnsi="Cambria Math"/>
                      <w:i/>
                      <w:lang w:val="en-GB" w:eastAsia="ja-JP"/>
                    </w:rPr>
                  </m:ctrlPr>
                </m:sSubPr>
                <m:e>
                  <m:r>
                    <w:rPr>
                      <w:rFonts w:ascii="Cambria Math" w:hAnsi="Cambria Math"/>
                      <w:lang w:val="en-GB" w:eastAsia="ja-JP"/>
                    </w:rPr>
                    <m:t>Y</m:t>
                  </m:r>
                  <m:ctrlPr>
                    <w:rPr>
                      <w:rFonts w:ascii="Cambria Math" w:hAnsi="Cambria Math"/>
                      <w:i/>
                      <w:lang w:val="en-GB" w:eastAsia="ja-JP"/>
                    </w:rPr>
                  </m:ctrlPr>
                </m:e>
                <m:sub>
                  <m:r>
                    <w:rPr>
                      <w:rFonts w:ascii="Cambria Math" w:hAnsi="Cambria Math"/>
                      <w:lang w:val="en-GB" w:eastAsia="ja-JP"/>
                    </w:rPr>
                    <m:t>s</m:t>
                  </m:r>
                  <m:ctrlPr>
                    <w:rPr>
                      <w:rFonts w:ascii="Cambria Math" w:hAnsi="Cambria Math"/>
                      <w:i/>
                      <w:lang w:val="en-GB" w:eastAsia="ja-JP"/>
                    </w:rPr>
                  </m:ctrlPr>
                </m:sub>
              </m:sSub>
            </m:oMath>
            <w:r>
              <w:rPr>
                <w:lang w:val="en-GB" w:eastAsia="ja-JP"/>
              </w:rPr>
              <w:t xml:space="preserve"> does not impact the slot group alignment between different serving cells. Note further that </w:t>
            </w:r>
            <m:oMath>
              <m:sSubSup>
                <m:sSubSupPr>
                  <m:ctrlPr>
                    <w:rPr>
                      <w:rFonts w:ascii="Cambria Math" w:hAnsi="Cambria Math" w:cs="Arial"/>
                      <w:i/>
                      <w:iCs/>
                      <w:szCs w:val="20"/>
                      <w:lang w:val="en-GB" w:eastAsia="ja-JP"/>
                    </w:rPr>
                  </m:ctrlPr>
                </m:sSubSupPr>
                <m:e>
                  <m:r>
                    <w:rPr>
                      <w:rFonts w:ascii="Cambria Math" w:hAnsi="Cambria Math" w:cs="Arial"/>
                      <w:szCs w:val="20"/>
                      <w:lang w:val="en-GB" w:eastAsia="ja-JP"/>
                    </w:rPr>
                    <m:t>M</m:t>
                  </m:r>
                  <m:ctrlPr>
                    <w:rPr>
                      <w:rFonts w:ascii="Cambria Math" w:hAnsi="Cambria Math" w:cs="Arial"/>
                      <w:i/>
                      <w:iCs/>
                      <w:szCs w:val="20"/>
                      <w:lang w:val="en-GB" w:eastAsia="ja-JP"/>
                    </w:rPr>
                  </m:ctrlPr>
                </m:e>
                <m:sub>
                  <m:r>
                    <w:rPr>
                      <w:rFonts w:ascii="Cambria Math" w:hAnsi="Cambria Math" w:cs="Arial"/>
                      <w:szCs w:val="20"/>
                      <w:lang w:val="en-GB" w:eastAsia="ja-JP"/>
                    </w:rPr>
                    <m:t>PDCCH</m:t>
                  </m:r>
                  <m:ctrlPr>
                    <w:rPr>
                      <w:rFonts w:ascii="Cambria Math" w:hAnsi="Cambria Math" w:cs="Arial"/>
                      <w:i/>
                      <w:iCs/>
                      <w:szCs w:val="20"/>
                      <w:lang w:val="en-GB" w:eastAsia="ja-JP"/>
                    </w:rPr>
                  </m:ctrlPr>
                </m:sub>
                <m:sup>
                  <m:r>
                    <w:rPr>
                      <w:rFonts w:ascii="Cambria Math" w:hAnsi="Cambria Math" w:cs="Arial"/>
                      <w:szCs w:val="20"/>
                      <w:lang w:val="en-GB" w:eastAsia="ja-JP"/>
                    </w:rPr>
                    <m:t>max,</m:t>
                  </m:r>
                  <m:d>
                    <m:dPr>
                      <m:ctrlPr>
                        <w:rPr>
                          <w:rFonts w:ascii="Cambria Math" w:hAnsi="Cambria Math" w:cs="Arial"/>
                          <w:i/>
                          <w:iCs/>
                          <w:szCs w:val="20"/>
                          <w:lang w:val="en-GB" w:eastAsia="ja-JP"/>
                        </w:rPr>
                      </m:ctrlPr>
                    </m:dPr>
                    <m:e>
                      <m:sSub>
                        <m:sSubPr>
                          <m:ctrlPr>
                            <w:rPr>
                              <w:rFonts w:ascii="Cambria Math" w:hAnsi="Cambria Math" w:cs="Arial"/>
                              <w:i/>
                              <w:iCs/>
                              <w:szCs w:val="20"/>
                              <w:lang w:val="en-GB" w:eastAsia="ja-JP"/>
                            </w:rPr>
                          </m:ctrlPr>
                        </m:sSubPr>
                        <m:e>
                          <m:r>
                            <w:rPr>
                              <w:rFonts w:ascii="Cambria Math" w:hAnsi="Cambria Math" w:cs="Arial"/>
                              <w:szCs w:val="20"/>
                              <w:lang w:val="en-GB" w:eastAsia="ja-JP"/>
                            </w:rPr>
                            <m:t>X</m:t>
                          </m:r>
                          <m:ctrlPr>
                            <w:rPr>
                              <w:rFonts w:ascii="Cambria Math" w:hAnsi="Cambria Math" w:cs="Arial"/>
                              <w:i/>
                              <w:iCs/>
                              <w:szCs w:val="20"/>
                              <w:lang w:val="en-GB" w:eastAsia="ja-JP"/>
                            </w:rPr>
                          </m:ctrlPr>
                        </m:e>
                        <m:sub>
                          <m:r>
                            <w:rPr>
                              <w:rFonts w:ascii="Cambria Math" w:hAnsi="Cambria Math" w:cs="Arial"/>
                              <w:szCs w:val="20"/>
                              <w:lang w:val="en-GB" w:eastAsia="ja-JP"/>
                            </w:rPr>
                            <m:t>s</m:t>
                          </m:r>
                          <m:ctrlPr>
                            <w:rPr>
                              <w:rFonts w:ascii="Cambria Math" w:hAnsi="Cambria Math" w:cs="Arial"/>
                              <w:i/>
                              <w:iCs/>
                              <w:szCs w:val="20"/>
                              <w:lang w:val="en-GB" w:eastAsia="ja-JP"/>
                            </w:rPr>
                          </m:ctrlPr>
                        </m:sub>
                      </m:sSub>
                      <m:r>
                        <w:rPr>
                          <w:rFonts w:ascii="Cambria Math" w:hAnsi="Cambria Math" w:cs="Arial"/>
                          <w:szCs w:val="20"/>
                          <w:lang w:val="en-GB" w:eastAsia="ja-JP"/>
                        </w:rPr>
                        <m:t>,</m:t>
                      </m:r>
                      <m:sSub>
                        <m:sSubPr>
                          <m:ctrlPr>
                            <w:rPr>
                              <w:rFonts w:ascii="Cambria Math" w:hAnsi="Cambria Math" w:cs="Arial"/>
                              <w:i/>
                              <w:iCs/>
                              <w:szCs w:val="20"/>
                              <w:lang w:val="en-GB" w:eastAsia="ja-JP"/>
                            </w:rPr>
                          </m:ctrlPr>
                        </m:sSubPr>
                        <m:e>
                          <m:r>
                            <w:rPr>
                              <w:rFonts w:ascii="Cambria Math" w:hAnsi="Cambria Math" w:cs="Arial"/>
                              <w:szCs w:val="20"/>
                              <w:lang w:val="en-GB" w:eastAsia="ja-JP"/>
                            </w:rPr>
                            <m:t>Y</m:t>
                          </m:r>
                          <m:ctrlPr>
                            <w:rPr>
                              <w:rFonts w:ascii="Cambria Math" w:hAnsi="Cambria Math" w:cs="Arial"/>
                              <w:i/>
                              <w:iCs/>
                              <w:szCs w:val="20"/>
                              <w:lang w:val="en-GB" w:eastAsia="ja-JP"/>
                            </w:rPr>
                          </m:ctrlPr>
                        </m:e>
                        <m:sub>
                          <m:r>
                            <w:rPr>
                              <w:rFonts w:ascii="Cambria Math" w:hAnsi="Cambria Math" w:cs="Arial"/>
                              <w:szCs w:val="20"/>
                              <w:lang w:val="en-GB" w:eastAsia="ja-JP"/>
                            </w:rPr>
                            <m:t>s</m:t>
                          </m:r>
                          <m:ctrlPr>
                            <w:rPr>
                              <w:rFonts w:ascii="Cambria Math" w:hAnsi="Cambria Math" w:cs="Arial"/>
                              <w:i/>
                              <w:iCs/>
                              <w:szCs w:val="20"/>
                              <w:lang w:val="en-GB" w:eastAsia="ja-JP"/>
                            </w:rPr>
                          </m:ctrlPr>
                        </m:sub>
                      </m:sSub>
                      <m:ctrlPr>
                        <w:rPr>
                          <w:rFonts w:ascii="Cambria Math" w:hAnsi="Cambria Math" w:cs="Arial"/>
                          <w:i/>
                          <w:iCs/>
                          <w:szCs w:val="20"/>
                          <w:lang w:val="en-GB" w:eastAsia="ja-JP"/>
                        </w:rPr>
                      </m:ctrlPr>
                    </m:e>
                  </m:d>
                  <m:r>
                    <w:rPr>
                      <w:rFonts w:ascii="Cambria Math" w:hAnsi="Cambria Math" w:cs="Arial"/>
                      <w:szCs w:val="20"/>
                      <w:lang w:val="en-GB" w:eastAsia="ja-JP"/>
                    </w:rPr>
                    <m:t>,μ</m:t>
                  </m:r>
                  <m:ctrlPr>
                    <w:rPr>
                      <w:rFonts w:ascii="Cambria Math" w:hAnsi="Cambria Math" w:cs="Arial"/>
                      <w:i/>
                      <w:iCs/>
                      <w:szCs w:val="20"/>
                      <w:lang w:val="en-GB" w:eastAsia="ja-JP"/>
                    </w:rPr>
                  </m:ctrlPr>
                </m:sup>
              </m:sSubSup>
            </m:oMath>
            <w:r>
              <w:rPr>
                <w:iCs/>
                <w:szCs w:val="20"/>
                <w:lang w:val="en-GB" w:eastAsia="ja-JP"/>
              </w:rPr>
              <w:t xml:space="preserve"> and </w:t>
            </w:r>
            <m:oMath>
              <m:sSubSup>
                <m:sSubSupPr>
                  <m:ctrlPr>
                    <w:rPr>
                      <w:rFonts w:ascii="Cambria Math" w:hAnsi="Cambria Math" w:cs="Arial"/>
                      <w:i/>
                      <w:iCs/>
                      <w:szCs w:val="20"/>
                      <w:lang w:val="en-GB" w:eastAsia="ja-JP"/>
                    </w:rPr>
                  </m:ctrlPr>
                </m:sSubSupPr>
                <m:e>
                  <m:r>
                    <w:rPr>
                      <w:rFonts w:ascii="Cambria Math" w:hAnsi="Cambria Math" w:cs="Arial"/>
                      <w:szCs w:val="20"/>
                      <w:lang w:val="en-GB" w:eastAsia="ja-JP"/>
                    </w:rPr>
                    <m:t>C</m:t>
                  </m:r>
                  <m:ctrlPr>
                    <w:rPr>
                      <w:rFonts w:ascii="Cambria Math" w:hAnsi="Cambria Math" w:cs="Arial"/>
                      <w:i/>
                      <w:iCs/>
                      <w:szCs w:val="20"/>
                      <w:lang w:val="en-GB" w:eastAsia="ja-JP"/>
                    </w:rPr>
                  </m:ctrlPr>
                </m:e>
                <m:sub>
                  <m:r>
                    <w:rPr>
                      <w:rFonts w:ascii="Cambria Math" w:hAnsi="Cambria Math" w:cs="Arial"/>
                      <w:szCs w:val="20"/>
                      <w:lang w:val="en-GB" w:eastAsia="ja-JP"/>
                    </w:rPr>
                    <m:t>PDCCH</m:t>
                  </m:r>
                  <m:ctrlPr>
                    <w:rPr>
                      <w:rFonts w:ascii="Cambria Math" w:hAnsi="Cambria Math" w:cs="Arial"/>
                      <w:i/>
                      <w:iCs/>
                      <w:szCs w:val="20"/>
                      <w:lang w:val="en-GB" w:eastAsia="ja-JP"/>
                    </w:rPr>
                  </m:ctrlPr>
                </m:sub>
                <m:sup>
                  <m:r>
                    <w:rPr>
                      <w:rFonts w:ascii="Cambria Math" w:hAnsi="Cambria Math" w:cs="Arial"/>
                      <w:szCs w:val="20"/>
                      <w:lang w:val="en-GB" w:eastAsia="ja-JP"/>
                    </w:rPr>
                    <m:t>max,</m:t>
                  </m:r>
                  <m:d>
                    <m:dPr>
                      <m:ctrlPr>
                        <w:rPr>
                          <w:rFonts w:ascii="Cambria Math" w:hAnsi="Cambria Math" w:cs="Arial"/>
                          <w:i/>
                          <w:iCs/>
                          <w:szCs w:val="20"/>
                          <w:lang w:val="en-GB" w:eastAsia="ja-JP"/>
                        </w:rPr>
                      </m:ctrlPr>
                    </m:dPr>
                    <m:e>
                      <m:sSub>
                        <m:sSubPr>
                          <m:ctrlPr>
                            <w:rPr>
                              <w:rFonts w:ascii="Cambria Math" w:hAnsi="Cambria Math" w:cs="Arial"/>
                              <w:i/>
                              <w:iCs/>
                              <w:szCs w:val="20"/>
                              <w:lang w:val="en-GB" w:eastAsia="ja-JP"/>
                            </w:rPr>
                          </m:ctrlPr>
                        </m:sSubPr>
                        <m:e>
                          <m:r>
                            <w:rPr>
                              <w:rFonts w:ascii="Cambria Math" w:hAnsi="Cambria Math" w:cs="Arial"/>
                              <w:szCs w:val="20"/>
                              <w:lang w:val="en-GB" w:eastAsia="ja-JP"/>
                            </w:rPr>
                            <m:t>X</m:t>
                          </m:r>
                          <m:ctrlPr>
                            <w:rPr>
                              <w:rFonts w:ascii="Cambria Math" w:hAnsi="Cambria Math" w:cs="Arial"/>
                              <w:i/>
                              <w:iCs/>
                              <w:szCs w:val="20"/>
                              <w:lang w:val="en-GB" w:eastAsia="ja-JP"/>
                            </w:rPr>
                          </m:ctrlPr>
                        </m:e>
                        <m:sub>
                          <m:r>
                            <w:rPr>
                              <w:rFonts w:ascii="Cambria Math" w:hAnsi="Cambria Math" w:cs="Arial"/>
                              <w:szCs w:val="20"/>
                              <w:lang w:val="en-GB" w:eastAsia="ja-JP"/>
                            </w:rPr>
                            <m:t>s</m:t>
                          </m:r>
                          <m:ctrlPr>
                            <w:rPr>
                              <w:rFonts w:ascii="Cambria Math" w:hAnsi="Cambria Math" w:cs="Arial"/>
                              <w:i/>
                              <w:iCs/>
                              <w:szCs w:val="20"/>
                              <w:lang w:val="en-GB" w:eastAsia="ja-JP"/>
                            </w:rPr>
                          </m:ctrlPr>
                        </m:sub>
                      </m:sSub>
                      <m:r>
                        <w:rPr>
                          <w:rFonts w:ascii="Cambria Math" w:hAnsi="Cambria Math" w:cs="Arial"/>
                          <w:szCs w:val="20"/>
                          <w:lang w:val="en-GB" w:eastAsia="ja-JP"/>
                        </w:rPr>
                        <m:t>,</m:t>
                      </m:r>
                      <m:sSub>
                        <m:sSubPr>
                          <m:ctrlPr>
                            <w:rPr>
                              <w:rFonts w:ascii="Cambria Math" w:hAnsi="Cambria Math" w:cs="Arial"/>
                              <w:i/>
                              <w:iCs/>
                              <w:szCs w:val="20"/>
                              <w:lang w:val="en-GB" w:eastAsia="ja-JP"/>
                            </w:rPr>
                          </m:ctrlPr>
                        </m:sSubPr>
                        <m:e>
                          <m:r>
                            <w:rPr>
                              <w:rFonts w:ascii="Cambria Math" w:hAnsi="Cambria Math" w:cs="Arial"/>
                              <w:szCs w:val="20"/>
                              <w:lang w:val="en-GB" w:eastAsia="ja-JP"/>
                            </w:rPr>
                            <m:t>Y</m:t>
                          </m:r>
                          <m:ctrlPr>
                            <w:rPr>
                              <w:rFonts w:ascii="Cambria Math" w:hAnsi="Cambria Math" w:cs="Arial"/>
                              <w:i/>
                              <w:iCs/>
                              <w:szCs w:val="20"/>
                              <w:lang w:val="en-GB" w:eastAsia="ja-JP"/>
                            </w:rPr>
                          </m:ctrlPr>
                        </m:e>
                        <m:sub>
                          <m:r>
                            <w:rPr>
                              <w:rFonts w:ascii="Cambria Math" w:hAnsi="Cambria Math" w:cs="Arial"/>
                              <w:szCs w:val="20"/>
                              <w:lang w:val="en-GB" w:eastAsia="ja-JP"/>
                            </w:rPr>
                            <m:t>s</m:t>
                          </m:r>
                          <m:ctrlPr>
                            <w:rPr>
                              <w:rFonts w:ascii="Cambria Math" w:hAnsi="Cambria Math" w:cs="Arial"/>
                              <w:i/>
                              <w:iCs/>
                              <w:szCs w:val="20"/>
                              <w:lang w:val="en-GB" w:eastAsia="ja-JP"/>
                            </w:rPr>
                          </m:ctrlPr>
                        </m:sub>
                      </m:sSub>
                      <m:ctrlPr>
                        <w:rPr>
                          <w:rFonts w:ascii="Cambria Math" w:hAnsi="Cambria Math" w:cs="Arial"/>
                          <w:i/>
                          <w:iCs/>
                          <w:szCs w:val="20"/>
                          <w:lang w:val="en-GB" w:eastAsia="ja-JP"/>
                        </w:rPr>
                      </m:ctrlPr>
                    </m:e>
                  </m:d>
                  <m:r>
                    <w:rPr>
                      <w:rFonts w:ascii="Cambria Math" w:hAnsi="Cambria Math" w:cs="Arial"/>
                      <w:szCs w:val="20"/>
                      <w:lang w:val="en-GB" w:eastAsia="ja-JP"/>
                    </w:rPr>
                    <m:t>,μ</m:t>
                  </m:r>
                  <m:ctrlPr>
                    <w:rPr>
                      <w:rFonts w:ascii="Cambria Math" w:hAnsi="Cambria Math" w:cs="Arial"/>
                      <w:i/>
                      <w:iCs/>
                      <w:szCs w:val="20"/>
                      <w:lang w:val="en-GB" w:eastAsia="ja-JP"/>
                    </w:rPr>
                  </m:ctrlPr>
                </m:sup>
              </m:sSubSup>
            </m:oMath>
            <w:r>
              <w:rPr>
                <w:iCs/>
                <w:szCs w:val="20"/>
                <w:lang w:val="en-GB" w:eastAsia="ja-JP"/>
              </w:rPr>
              <w:t xml:space="preserve"> depend on </w:t>
            </w:r>
            <m:oMath>
              <m:sSub>
                <m:sSubPr>
                  <m:ctrlPr>
                    <w:rPr>
                      <w:rFonts w:ascii="Cambria Math" w:hAnsi="Cambria Math"/>
                      <w:i/>
                      <w:iCs/>
                      <w:szCs w:val="20"/>
                      <w:lang w:val="en-GB" w:eastAsia="ja-JP"/>
                    </w:rPr>
                  </m:ctrlPr>
                </m:sSubPr>
                <m:e>
                  <m:r>
                    <w:rPr>
                      <w:rFonts w:ascii="Cambria Math" w:hAnsi="Cambria Math"/>
                      <w:szCs w:val="20"/>
                      <w:lang w:val="en-GB" w:eastAsia="ja-JP"/>
                    </w:rPr>
                    <m:t>X</m:t>
                  </m:r>
                  <m:ctrlPr>
                    <w:rPr>
                      <w:rFonts w:ascii="Cambria Math" w:hAnsi="Cambria Math"/>
                      <w:i/>
                      <w:iCs/>
                      <w:szCs w:val="20"/>
                      <w:lang w:val="en-GB" w:eastAsia="ja-JP"/>
                    </w:rPr>
                  </m:ctrlPr>
                </m:e>
                <m:sub>
                  <m:r>
                    <w:rPr>
                      <w:rFonts w:ascii="Cambria Math" w:hAnsi="Cambria Math"/>
                      <w:szCs w:val="20"/>
                      <w:lang w:val="en-GB" w:eastAsia="ja-JP"/>
                    </w:rPr>
                    <m:t>s</m:t>
                  </m:r>
                  <m:ctrlPr>
                    <w:rPr>
                      <w:rFonts w:ascii="Cambria Math" w:hAnsi="Cambria Math"/>
                      <w:i/>
                      <w:iCs/>
                      <w:szCs w:val="20"/>
                      <w:lang w:val="en-GB" w:eastAsia="ja-JP"/>
                    </w:rPr>
                  </m:ctrlPr>
                </m:sub>
              </m:sSub>
            </m:oMath>
            <w:r>
              <w:rPr>
                <w:iCs/>
                <w:szCs w:val="20"/>
                <w:lang w:val="en-GB" w:eastAsia="ja-JP"/>
              </w:rPr>
              <w:t xml:space="preserve">, but not </w:t>
            </w:r>
            <m:oMath>
              <m:sSub>
                <m:sSubPr>
                  <m:ctrlPr>
                    <w:rPr>
                      <w:rFonts w:ascii="Cambria Math" w:hAnsi="Cambria Math"/>
                      <w:i/>
                      <w:iCs/>
                      <w:szCs w:val="20"/>
                      <w:lang w:val="en-GB" w:eastAsia="ja-JP"/>
                    </w:rPr>
                  </m:ctrlPr>
                </m:sSubPr>
                <m:e>
                  <m:r>
                    <w:rPr>
                      <w:rFonts w:ascii="Cambria Math" w:hAnsi="Cambria Math"/>
                      <w:szCs w:val="20"/>
                      <w:lang w:val="en-GB" w:eastAsia="ja-JP"/>
                    </w:rPr>
                    <m:t>Y</m:t>
                  </m:r>
                  <m:ctrlPr>
                    <w:rPr>
                      <w:rFonts w:ascii="Cambria Math" w:hAnsi="Cambria Math"/>
                      <w:i/>
                      <w:iCs/>
                      <w:szCs w:val="20"/>
                      <w:lang w:val="en-GB" w:eastAsia="ja-JP"/>
                    </w:rPr>
                  </m:ctrlPr>
                </m:e>
                <m:sub>
                  <m:r>
                    <w:rPr>
                      <w:rFonts w:ascii="Cambria Math" w:hAnsi="Cambria Math"/>
                      <w:szCs w:val="20"/>
                      <w:lang w:val="en-GB" w:eastAsia="ja-JP"/>
                    </w:rPr>
                    <m:t>s</m:t>
                  </m:r>
                  <m:ctrlPr>
                    <w:rPr>
                      <w:rFonts w:ascii="Cambria Math" w:hAnsi="Cambria Math"/>
                      <w:i/>
                      <w:iCs/>
                      <w:szCs w:val="20"/>
                      <w:lang w:val="en-GB" w:eastAsia="ja-JP"/>
                    </w:rPr>
                  </m:ctrlPr>
                </m:sub>
              </m:sSub>
            </m:oMath>
          </w:p>
          <w:p>
            <w:pPr>
              <w:pStyle w:val="82"/>
              <w:widowControl w:val="0"/>
              <w:numPr>
                <w:ilvl w:val="0"/>
                <w:numId w:val="97"/>
              </w:numPr>
              <w:snapToGrid/>
              <w:spacing w:after="120"/>
              <w:jc w:val="both"/>
              <w:rPr>
                <w:rFonts w:ascii="Arial" w:hAnsi="Arial" w:cs="Arial"/>
                <w:sz w:val="20"/>
                <w:szCs w:val="20"/>
                <w:lang w:val="en-GB" w:eastAsia="ja-JP"/>
              </w:rPr>
            </w:pPr>
            <w:r>
              <w:rPr>
                <w:rFonts w:ascii="Arial" w:hAnsi="Arial" w:cs="Arial"/>
                <w:iCs/>
                <w:sz w:val="20"/>
                <w:szCs w:val="20"/>
                <w:lang w:val="en-GB" w:eastAsia="ja-JP"/>
              </w:rPr>
              <w:t xml:space="preserve">In our view, the distribution of available BD/CE budgets amongst multiple cells can be properly done based on the grouping of </w:t>
            </w:r>
            <w:r>
              <w:rPr>
                <w:rFonts w:ascii="Arial" w:hAnsi="Arial" w:cs="Arial"/>
                <w:sz w:val="20"/>
                <w:szCs w:val="20"/>
                <w:lang w:val="en-GB" w:eastAsia="ja-JP"/>
              </w:rPr>
              <w:t xml:space="preserve">numerology </w:t>
            </w:r>
            <m:oMath>
              <m:r>
                <w:rPr>
                  <w:rFonts w:ascii="Cambria Math" w:hAnsi="Cambria Math" w:cs="Arial"/>
                  <w:sz w:val="20"/>
                  <w:szCs w:val="20"/>
                  <w:lang w:val="en-GB" w:eastAsia="ja-JP"/>
                </w:rPr>
                <m:t>μ</m:t>
              </m:r>
            </m:oMath>
            <w:r>
              <w:rPr>
                <w:rFonts w:ascii="Arial" w:hAnsi="Arial" w:cs="Arial"/>
                <w:sz w:val="20"/>
                <w:szCs w:val="20"/>
                <w:lang w:val="en-GB" w:eastAsia="ja-JP"/>
              </w:rPr>
              <w:t xml:space="preserve"> and configuration of </w:t>
            </w:r>
            <m:oMath>
              <m:sSub>
                <m:sSubPr>
                  <m:ctrlPr>
                    <w:rPr>
                      <w:rFonts w:ascii="Cambria Math" w:hAnsi="Cambria Math" w:cs="Arial"/>
                      <w:i/>
                      <w:sz w:val="20"/>
                      <w:szCs w:val="20"/>
                      <w:lang w:val="en-GB" w:eastAsia="ja-JP"/>
                    </w:rPr>
                  </m:ctrlPr>
                </m:sSubPr>
                <m:e>
                  <m:r>
                    <w:rPr>
                      <w:rFonts w:ascii="Cambria Math" w:hAnsi="Cambria Math" w:cs="Arial"/>
                      <w:sz w:val="20"/>
                      <w:szCs w:val="20"/>
                      <w:lang w:val="en-GB" w:eastAsia="ja-JP"/>
                    </w:rPr>
                    <m:t>X</m:t>
                  </m:r>
                  <m:ctrlPr>
                    <w:rPr>
                      <w:rFonts w:ascii="Cambria Math" w:hAnsi="Cambria Math" w:cs="Arial"/>
                      <w:i/>
                      <w:sz w:val="20"/>
                      <w:szCs w:val="20"/>
                      <w:lang w:val="en-GB" w:eastAsia="ja-JP"/>
                    </w:rPr>
                  </m:ctrlPr>
                </m:e>
                <m:sub>
                  <m:r>
                    <w:rPr>
                      <w:rFonts w:ascii="Cambria Math" w:hAnsi="Cambria Math" w:cs="Arial"/>
                      <w:sz w:val="20"/>
                      <w:szCs w:val="20"/>
                      <w:lang w:val="en-GB" w:eastAsia="ja-JP"/>
                    </w:rPr>
                    <m:t>s</m:t>
                  </m:r>
                  <m:ctrlPr>
                    <w:rPr>
                      <w:rFonts w:ascii="Cambria Math" w:hAnsi="Cambria Math" w:cs="Arial"/>
                      <w:i/>
                      <w:sz w:val="20"/>
                      <w:szCs w:val="20"/>
                      <w:lang w:val="en-GB" w:eastAsia="ja-JP"/>
                    </w:rPr>
                  </m:ctrlPr>
                </m:sub>
              </m:sSub>
            </m:oMath>
            <w:r>
              <w:rPr>
                <w:rFonts w:ascii="Arial" w:hAnsi="Arial" w:cs="Arial"/>
                <w:sz w:val="20"/>
                <w:szCs w:val="20"/>
                <w:lang w:val="en-GB" w:eastAsia="ja-JP"/>
              </w:rPr>
              <w:t xml:space="preserve"> of cells as follows. If the number of cells is no more than than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N</m:t>
                  </m:r>
                  <m:ctrlPr>
                    <w:rPr>
                      <w:rFonts w:ascii="Cambria Math" w:hAnsi="Cambria Math" w:cs="Arial"/>
                      <w:sz w:val="20"/>
                      <w:szCs w:val="20"/>
                      <w:lang w:val="en-GB" w:eastAsia="ja-JP"/>
                    </w:rPr>
                  </m:ctrlPr>
                </m:e>
                <m:sub>
                  <m:r>
                    <m:rPr>
                      <m:nor/>
                      <m:sty m:val="p"/>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sty m:val="p"/>
                    </m:rPr>
                    <w:rPr>
                      <w:rFonts w:ascii="Arial" w:hAnsi="Arial" w:cs="Arial"/>
                      <w:sz w:val="20"/>
                      <w:szCs w:val="20"/>
                      <w:lang w:val="en-GB" w:eastAsia="ja-JP"/>
                    </w:rPr>
                    <m:t>cap</m:t>
                  </m:r>
                  <m:ctrlPr>
                    <w:rPr>
                      <w:rFonts w:ascii="Cambria Math" w:hAnsi="Cambria Math" w:cs="Arial"/>
                      <w:sz w:val="20"/>
                      <w:szCs w:val="20"/>
                      <w:lang w:val="en-GB" w:eastAsia="ja-JP"/>
                    </w:rPr>
                  </m:ctrlPr>
                </m:sup>
              </m:sSubSup>
            </m:oMath>
            <w:r>
              <w:rPr>
                <w:rFonts w:ascii="Arial" w:hAnsi="Arial" w:cs="Arial"/>
                <w:sz w:val="20"/>
                <w:szCs w:val="20"/>
                <w:lang w:val="en-GB" w:eastAsia="ja-JP"/>
              </w:rPr>
              <w:t xml:space="preserve">,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M</m:t>
                  </m:r>
                  <m:ctrlPr>
                    <w:rPr>
                      <w:rFonts w:ascii="Cambria Math" w:hAnsi="Cambria Math" w:cs="Arial"/>
                      <w:sz w:val="20"/>
                      <w:szCs w:val="20"/>
                      <w:lang w:val="en-GB" w:eastAsia="ja-JP"/>
                    </w:rPr>
                  </m:ctrlPr>
                </m:e>
                <m:sub>
                  <m:r>
                    <m:rPr>
                      <m:nor/>
                      <m:sty m:val="p"/>
                    </m:rPr>
                    <w:rPr>
                      <w:rFonts w:ascii="Arial" w:hAnsi="Arial" w:cs="Arial"/>
                      <w:sz w:val="20"/>
                      <w:szCs w:val="20"/>
                      <w:lang w:val="en-GB" w:eastAsia="ja-JP"/>
                    </w:rPr>
                    <m:t>PDCCH</m:t>
                  </m:r>
                  <m:ctrlPr>
                    <w:rPr>
                      <w:rFonts w:ascii="Cambria Math" w:hAnsi="Cambria Math" w:cs="Arial"/>
                      <w:sz w:val="20"/>
                      <w:szCs w:val="20"/>
                      <w:lang w:val="en-GB" w:eastAsia="ja-JP"/>
                    </w:rPr>
                  </m:ctrlPr>
                </m:sub>
                <m:sup>
                  <m:r>
                    <m:rPr>
                      <m:nor/>
                      <m:sty m:val="p"/>
                    </m:rPr>
                    <w:rPr>
                      <w:rFonts w:ascii="Arial" w:hAnsi="Arial" w:cs="Arial"/>
                      <w:sz w:val="20"/>
                      <w:szCs w:val="20"/>
                      <w:lang w:val="en-GB" w:eastAsia="ja-JP"/>
                    </w:rPr>
                    <m:t>total,(</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X</m:t>
                      </m:r>
                      <m:ctrlPr>
                        <w:rPr>
                          <w:rFonts w:ascii="Cambria Math" w:hAnsi="Cambria Math" w:cs="Arial"/>
                          <w:sz w:val="20"/>
                          <w:szCs w:val="20"/>
                          <w:lang w:val="en-GB" w:eastAsia="ja-JP"/>
                        </w:rPr>
                      </m:ctrlPr>
                    </m:e>
                    <m:sub>
                      <m:r>
                        <m:rPr>
                          <m:sty m:val="p"/>
                        </m:rPr>
                        <w:rPr>
                          <w:rFonts w:ascii="Cambria Math" w:hAnsi="Cambria Math" w:cs="Arial"/>
                          <w:sz w:val="20"/>
                          <w:szCs w:val="20"/>
                          <w:lang w:val="en-GB" w:eastAsia="ja-JP"/>
                        </w:rPr>
                        <m:t>s</m:t>
                      </m:r>
                      <m:ctrlPr>
                        <w:rPr>
                          <w:rFonts w:ascii="Cambria Math" w:hAnsi="Cambria Math" w:cs="Arial"/>
                          <w:sz w:val="20"/>
                          <w:szCs w:val="20"/>
                          <w:lang w:val="en-GB" w:eastAsia="ja-JP"/>
                        </w:rPr>
                      </m:ctrlP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Y</m:t>
                      </m:r>
                      <m:ctrlPr>
                        <w:rPr>
                          <w:rFonts w:ascii="Cambria Math" w:hAnsi="Cambria Math" w:cs="Arial"/>
                          <w:sz w:val="20"/>
                          <w:szCs w:val="20"/>
                          <w:lang w:val="en-GB" w:eastAsia="ja-JP"/>
                        </w:rPr>
                      </m:ctrlPr>
                    </m:e>
                    <m:sub>
                      <m:r>
                        <m:rPr>
                          <m:sty m:val="p"/>
                        </m:rPr>
                        <w:rPr>
                          <w:rFonts w:ascii="Cambria Math" w:hAnsi="Cambria Math" w:cs="Arial"/>
                          <w:sz w:val="20"/>
                          <w:szCs w:val="20"/>
                          <w:lang w:val="en-GB" w:eastAsia="ja-JP"/>
                        </w:rPr>
                        <m:t>s</m:t>
                      </m:r>
                      <m:ctrlPr>
                        <w:rPr>
                          <w:rFonts w:ascii="Cambria Math" w:hAnsi="Cambria Math" w:cs="Arial"/>
                          <w:sz w:val="20"/>
                          <w:szCs w:val="20"/>
                          <w:lang w:val="en-GB" w:eastAsia="ja-JP"/>
                        </w:rPr>
                      </m:ctrlPr>
                    </m:sub>
                  </m:sSub>
                  <m:r>
                    <m:rPr>
                      <m:nor/>
                      <m:sty m:val="p"/>
                    </m:rPr>
                    <w:rPr>
                      <w:rFonts w:ascii="Arial" w:hAnsi="Arial" w:cs="Arial"/>
                      <w:sz w:val="20"/>
                      <w:szCs w:val="20"/>
                      <w:lang w:val="en-GB" w:eastAsia="ja-JP"/>
                    </w:rPr>
                    <m:t>),</m:t>
                  </m:r>
                  <m:r>
                    <m:rPr>
                      <m:sty m:val="p"/>
                    </m:rPr>
                    <w:rPr>
                      <w:rFonts w:ascii="Cambria Math" w:hAnsi="Cambria Math" w:cs="Arial"/>
                      <w:sz w:val="20"/>
                      <w:szCs w:val="20"/>
                      <w:lang w:val="en-GB" w:eastAsia="ja-JP"/>
                    </w:rPr>
                    <m:t>μ</m:t>
                  </m:r>
                  <m:ctrlPr>
                    <w:rPr>
                      <w:rFonts w:ascii="Cambria Math" w:hAnsi="Cambria Math" w:cs="Arial"/>
                      <w:sz w:val="20"/>
                      <w:szCs w:val="20"/>
                      <w:lang w:val="en-GB" w:eastAsia="ja-JP"/>
                    </w:rPr>
                  </m:ctrlPr>
                </m:sup>
              </m:sSubSup>
              <m:r>
                <m:rPr>
                  <m:sty m:val="p"/>
                </m:rPr>
                <w:rPr>
                  <w:rFonts w:ascii="Cambria Math" w:hAnsi="Cambria Math" w:cs="Arial"/>
                  <w:sz w:val="20"/>
                  <w:szCs w:val="20"/>
                  <w:lang w:val="en-GB" w:eastAsia="ja-JP"/>
                </w:rPr>
                <m:t>=</m:t>
              </m:r>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M</m:t>
                  </m:r>
                  <m:ctrlPr>
                    <w:rPr>
                      <w:rFonts w:ascii="Cambria Math" w:hAnsi="Cambria Math" w:cs="Arial"/>
                      <w:sz w:val="20"/>
                      <w:szCs w:val="20"/>
                      <w:lang w:val="en-GB" w:eastAsia="ja-JP"/>
                    </w:rPr>
                  </m:ctrlPr>
                </m:e>
                <m:sub>
                  <m:r>
                    <w:rPr>
                      <w:rFonts w:ascii="Cambria Math" w:hAnsi="Cambria Math" w:cs="Arial"/>
                      <w:sz w:val="20"/>
                      <w:szCs w:val="20"/>
                      <w:lang w:val="en-GB" w:eastAsia="ja-JP"/>
                    </w:rPr>
                    <m:t>PDCCH</m:t>
                  </m:r>
                  <m:ctrlPr>
                    <w:rPr>
                      <w:rFonts w:ascii="Cambria Math" w:hAnsi="Cambria Math" w:cs="Arial"/>
                      <w:sz w:val="20"/>
                      <w:szCs w:val="20"/>
                      <w:lang w:val="en-GB" w:eastAsia="ja-JP"/>
                    </w:rPr>
                  </m:ctrlPr>
                </m:sub>
                <m:sup>
                  <m:r>
                    <w:rPr>
                      <w:rFonts w:ascii="Cambria Math" w:hAnsi="Cambria Math" w:cs="Arial"/>
                      <w:sz w:val="20"/>
                      <w:szCs w:val="20"/>
                      <w:lang w:val="en-GB" w:eastAsia="ja-JP"/>
                    </w:rPr>
                    <m:t>max</m:t>
                  </m:r>
                  <m:r>
                    <m:rPr>
                      <m:sty m:val="p"/>
                    </m:rPr>
                    <w:rPr>
                      <w:rFonts w:ascii="Cambria Math" w:hAnsi="Cambria Math" w:cs="Arial"/>
                      <w:sz w:val="20"/>
                      <w:szCs w:val="20"/>
                      <w:lang w:val="en-GB" w:eastAsia="ja-JP"/>
                    </w:rPr>
                    <m:t>,</m:t>
                  </m:r>
                  <m:d>
                    <m:dPr>
                      <m:ctrlPr>
                        <w:rPr>
                          <w:rFonts w:ascii="Cambria Math" w:hAnsi="Cambria Math" w:cs="Arial"/>
                          <w:sz w:val="20"/>
                          <w:szCs w:val="20"/>
                          <w:lang w:val="en-GB" w:eastAsia="ja-JP"/>
                        </w:rPr>
                      </m:ctrlPr>
                    </m:dPr>
                    <m:e>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X</m:t>
                          </m:r>
                          <m:ctrlPr>
                            <w:rPr>
                              <w:rFonts w:ascii="Cambria Math" w:hAnsi="Cambria Math" w:cs="Arial"/>
                              <w:sz w:val="20"/>
                              <w:szCs w:val="20"/>
                              <w:lang w:val="en-GB" w:eastAsia="ja-JP"/>
                            </w:rPr>
                          </m:ctrlPr>
                        </m:e>
                        <m:sub>
                          <m:r>
                            <w:rPr>
                              <w:rFonts w:ascii="Cambria Math" w:hAnsi="Cambria Math" w:cs="Arial"/>
                              <w:sz w:val="20"/>
                              <w:szCs w:val="20"/>
                              <w:lang w:val="en-GB" w:eastAsia="ja-JP"/>
                            </w:rPr>
                            <m:t>s</m:t>
                          </m:r>
                          <m:ctrlPr>
                            <w:rPr>
                              <w:rFonts w:ascii="Cambria Math" w:hAnsi="Cambria Math" w:cs="Arial"/>
                              <w:sz w:val="20"/>
                              <w:szCs w:val="20"/>
                              <w:lang w:val="en-GB" w:eastAsia="ja-JP"/>
                            </w:rPr>
                          </m:ctrlP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Y</m:t>
                          </m:r>
                          <m:ctrlPr>
                            <w:rPr>
                              <w:rFonts w:ascii="Cambria Math" w:hAnsi="Cambria Math" w:cs="Arial"/>
                              <w:sz w:val="20"/>
                              <w:szCs w:val="20"/>
                              <w:lang w:val="en-GB" w:eastAsia="ja-JP"/>
                            </w:rPr>
                          </m:ctrlPr>
                        </m:e>
                        <m:sub>
                          <m:r>
                            <w:rPr>
                              <w:rFonts w:ascii="Cambria Math" w:hAnsi="Cambria Math" w:cs="Arial"/>
                              <w:sz w:val="20"/>
                              <w:szCs w:val="20"/>
                              <w:lang w:val="en-GB" w:eastAsia="ja-JP"/>
                            </w:rPr>
                            <m:t>s</m:t>
                          </m:r>
                          <m:ctrlPr>
                            <w:rPr>
                              <w:rFonts w:ascii="Cambria Math" w:hAnsi="Cambria Math" w:cs="Arial"/>
                              <w:sz w:val="20"/>
                              <w:szCs w:val="20"/>
                              <w:lang w:val="en-GB" w:eastAsia="ja-JP"/>
                            </w:rPr>
                          </m:ctrlPr>
                        </m:sub>
                      </m:sSub>
                      <m:ctrlPr>
                        <w:rPr>
                          <w:rFonts w:ascii="Cambria Math" w:hAnsi="Cambria Math" w:cs="Arial"/>
                          <w:sz w:val="20"/>
                          <w:szCs w:val="20"/>
                          <w:lang w:val="en-GB" w:eastAsia="ja-JP"/>
                        </w:rPr>
                      </m:ctrlPr>
                    </m:e>
                  </m:d>
                  <m:r>
                    <m:rPr>
                      <m:sty m:val="p"/>
                    </m:rPr>
                    <w:rPr>
                      <w:rFonts w:ascii="Cambria Math" w:hAnsi="Cambria Math" w:cs="Arial"/>
                      <w:sz w:val="20"/>
                      <w:szCs w:val="20"/>
                      <w:lang w:val="en-GB" w:eastAsia="ja-JP"/>
                    </w:rPr>
                    <m:t>,</m:t>
                  </m:r>
                  <m:r>
                    <w:rPr>
                      <w:rFonts w:ascii="Cambria Math" w:hAnsi="Cambria Math" w:cs="Arial"/>
                      <w:sz w:val="20"/>
                      <w:szCs w:val="20"/>
                      <w:lang w:val="en-GB" w:eastAsia="ja-JP"/>
                    </w:rPr>
                    <m:t>μ</m:t>
                  </m:r>
                  <m:ctrlPr>
                    <w:rPr>
                      <w:rFonts w:ascii="Cambria Math" w:hAnsi="Cambria Math" w:cs="Arial"/>
                      <w:sz w:val="20"/>
                      <w:szCs w:val="20"/>
                      <w:lang w:val="en-GB" w:eastAsia="ja-JP"/>
                    </w:rPr>
                  </m:ctrlPr>
                </m:sup>
              </m:sSubSup>
            </m:oMath>
            <w:r>
              <w:rPr>
                <w:rFonts w:ascii="Arial" w:hAnsi="Arial" w:cs="Arial"/>
                <w:sz w:val="20"/>
                <w:szCs w:val="20"/>
                <w:lang w:val="en-GB" w:eastAsia="ja-JP"/>
              </w:rPr>
              <w:t xml:space="preserve"> and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C</m:t>
                  </m:r>
                  <m:ctrlPr>
                    <w:rPr>
                      <w:rFonts w:ascii="Cambria Math" w:hAnsi="Cambria Math" w:cs="Arial"/>
                      <w:sz w:val="20"/>
                      <w:szCs w:val="20"/>
                      <w:lang w:val="en-GB" w:eastAsia="ja-JP"/>
                    </w:rPr>
                  </m:ctrlPr>
                </m:e>
                <m:sub>
                  <m:r>
                    <m:rPr>
                      <m:nor/>
                      <m:sty m:val="p"/>
                    </m:rPr>
                    <w:rPr>
                      <w:rFonts w:ascii="Arial" w:hAnsi="Arial" w:cs="Arial"/>
                      <w:sz w:val="20"/>
                      <w:szCs w:val="20"/>
                      <w:lang w:val="en-GB" w:eastAsia="ja-JP"/>
                    </w:rPr>
                    <m:t>PDCCH</m:t>
                  </m:r>
                  <m:ctrlPr>
                    <w:rPr>
                      <w:rFonts w:ascii="Cambria Math" w:hAnsi="Cambria Math" w:cs="Arial"/>
                      <w:sz w:val="20"/>
                      <w:szCs w:val="20"/>
                      <w:lang w:val="en-GB" w:eastAsia="ja-JP"/>
                    </w:rPr>
                  </m:ctrlPr>
                </m:sub>
                <m:sup>
                  <m:r>
                    <m:rPr>
                      <m:nor/>
                      <m:sty m:val="p"/>
                    </m:rPr>
                    <w:rPr>
                      <w:rFonts w:ascii="Arial" w:hAnsi="Arial" w:cs="Arial"/>
                      <w:sz w:val="20"/>
                      <w:szCs w:val="20"/>
                      <w:lang w:val="en-GB" w:eastAsia="ja-JP"/>
                    </w:rPr>
                    <m:t>total,(</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X</m:t>
                      </m:r>
                      <m:ctrlPr>
                        <w:rPr>
                          <w:rFonts w:ascii="Cambria Math" w:hAnsi="Cambria Math" w:cs="Arial"/>
                          <w:sz w:val="20"/>
                          <w:szCs w:val="20"/>
                          <w:lang w:val="en-GB" w:eastAsia="ja-JP"/>
                        </w:rPr>
                      </m:ctrlPr>
                    </m:e>
                    <m:sub>
                      <m:r>
                        <m:rPr>
                          <m:sty m:val="p"/>
                        </m:rPr>
                        <w:rPr>
                          <w:rFonts w:ascii="Cambria Math" w:hAnsi="Cambria Math" w:cs="Arial"/>
                          <w:sz w:val="20"/>
                          <w:szCs w:val="20"/>
                          <w:lang w:val="en-GB" w:eastAsia="ja-JP"/>
                        </w:rPr>
                        <m:t>s</m:t>
                      </m:r>
                      <m:ctrlPr>
                        <w:rPr>
                          <w:rFonts w:ascii="Cambria Math" w:hAnsi="Cambria Math" w:cs="Arial"/>
                          <w:sz w:val="20"/>
                          <w:szCs w:val="20"/>
                          <w:lang w:val="en-GB" w:eastAsia="ja-JP"/>
                        </w:rPr>
                      </m:ctrlP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Y</m:t>
                      </m:r>
                      <m:ctrlPr>
                        <w:rPr>
                          <w:rFonts w:ascii="Cambria Math" w:hAnsi="Cambria Math" w:cs="Arial"/>
                          <w:sz w:val="20"/>
                          <w:szCs w:val="20"/>
                          <w:lang w:val="en-GB" w:eastAsia="ja-JP"/>
                        </w:rPr>
                      </m:ctrlPr>
                    </m:e>
                    <m:sub>
                      <m:r>
                        <m:rPr>
                          <m:sty m:val="p"/>
                        </m:rPr>
                        <w:rPr>
                          <w:rFonts w:ascii="Cambria Math" w:hAnsi="Cambria Math" w:cs="Arial"/>
                          <w:sz w:val="20"/>
                          <w:szCs w:val="20"/>
                          <w:lang w:val="en-GB" w:eastAsia="ja-JP"/>
                        </w:rPr>
                        <m:t>s</m:t>
                      </m:r>
                      <m:ctrlPr>
                        <w:rPr>
                          <w:rFonts w:ascii="Cambria Math" w:hAnsi="Cambria Math" w:cs="Arial"/>
                          <w:sz w:val="20"/>
                          <w:szCs w:val="20"/>
                          <w:lang w:val="en-GB" w:eastAsia="ja-JP"/>
                        </w:rPr>
                      </m:ctrlPr>
                    </m:sub>
                  </m:sSub>
                  <m:r>
                    <m:rPr>
                      <m:nor/>
                      <m:sty m:val="p"/>
                    </m:rPr>
                    <w:rPr>
                      <w:rFonts w:ascii="Arial" w:hAnsi="Arial" w:cs="Arial"/>
                      <w:sz w:val="20"/>
                      <w:szCs w:val="20"/>
                      <w:lang w:val="en-GB" w:eastAsia="ja-JP"/>
                    </w:rPr>
                    <m:t>),</m:t>
                  </m:r>
                  <m:r>
                    <m:rPr>
                      <m:sty m:val="p"/>
                    </m:rPr>
                    <w:rPr>
                      <w:rFonts w:ascii="Cambria Math" w:hAnsi="Cambria Math" w:cs="Arial"/>
                      <w:sz w:val="20"/>
                      <w:szCs w:val="20"/>
                      <w:lang w:val="en-GB" w:eastAsia="ja-JP"/>
                    </w:rPr>
                    <m:t>μ</m:t>
                  </m:r>
                  <m:ctrlPr>
                    <w:rPr>
                      <w:rFonts w:ascii="Cambria Math" w:hAnsi="Cambria Math" w:cs="Arial"/>
                      <w:sz w:val="20"/>
                      <w:szCs w:val="20"/>
                      <w:lang w:val="en-GB" w:eastAsia="ja-JP"/>
                    </w:rPr>
                  </m:ctrlPr>
                </m:sup>
              </m:sSubSup>
              <m:r>
                <m:rPr>
                  <m:sty m:val="p"/>
                </m:rPr>
                <w:rPr>
                  <w:rFonts w:ascii="Cambria Math" w:hAnsi="Cambria Math" w:cs="Arial"/>
                  <w:sz w:val="20"/>
                  <w:szCs w:val="20"/>
                  <w:lang w:val="en-GB" w:eastAsia="ja-JP"/>
                </w:rPr>
                <m:t>=</m:t>
              </m:r>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C</m:t>
                  </m:r>
                  <m:ctrlPr>
                    <w:rPr>
                      <w:rFonts w:ascii="Cambria Math" w:hAnsi="Cambria Math" w:cs="Arial"/>
                      <w:sz w:val="20"/>
                      <w:szCs w:val="20"/>
                      <w:lang w:val="en-GB" w:eastAsia="ja-JP"/>
                    </w:rPr>
                  </m:ctrlPr>
                </m:e>
                <m:sub>
                  <m:r>
                    <w:rPr>
                      <w:rFonts w:ascii="Cambria Math" w:hAnsi="Cambria Math" w:cs="Arial"/>
                      <w:sz w:val="20"/>
                      <w:szCs w:val="20"/>
                      <w:lang w:val="en-GB" w:eastAsia="ja-JP"/>
                    </w:rPr>
                    <m:t>PDCCH</m:t>
                  </m:r>
                  <m:ctrlPr>
                    <w:rPr>
                      <w:rFonts w:ascii="Cambria Math" w:hAnsi="Cambria Math" w:cs="Arial"/>
                      <w:sz w:val="20"/>
                      <w:szCs w:val="20"/>
                      <w:lang w:val="en-GB" w:eastAsia="ja-JP"/>
                    </w:rPr>
                  </m:ctrlPr>
                </m:sub>
                <m:sup>
                  <m:r>
                    <w:rPr>
                      <w:rFonts w:ascii="Cambria Math" w:hAnsi="Cambria Math" w:cs="Arial"/>
                      <w:sz w:val="20"/>
                      <w:szCs w:val="20"/>
                      <w:lang w:val="en-GB" w:eastAsia="ja-JP"/>
                    </w:rPr>
                    <m:t>max</m:t>
                  </m:r>
                  <m:r>
                    <m:rPr>
                      <m:sty m:val="p"/>
                    </m:rPr>
                    <w:rPr>
                      <w:rFonts w:ascii="Cambria Math" w:hAnsi="Cambria Math" w:cs="Arial"/>
                      <w:sz w:val="20"/>
                      <w:szCs w:val="20"/>
                      <w:lang w:val="en-GB" w:eastAsia="ja-JP"/>
                    </w:rPr>
                    <m:t>,</m:t>
                  </m:r>
                  <m:d>
                    <m:dPr>
                      <m:ctrlPr>
                        <w:rPr>
                          <w:rFonts w:ascii="Cambria Math" w:hAnsi="Cambria Math" w:cs="Arial"/>
                          <w:sz w:val="20"/>
                          <w:szCs w:val="20"/>
                          <w:lang w:val="en-GB" w:eastAsia="ja-JP"/>
                        </w:rPr>
                      </m:ctrlPr>
                    </m:dPr>
                    <m:e>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X</m:t>
                          </m:r>
                          <m:ctrlPr>
                            <w:rPr>
                              <w:rFonts w:ascii="Cambria Math" w:hAnsi="Cambria Math" w:cs="Arial"/>
                              <w:sz w:val="20"/>
                              <w:szCs w:val="20"/>
                              <w:lang w:val="en-GB" w:eastAsia="ja-JP"/>
                            </w:rPr>
                          </m:ctrlPr>
                        </m:e>
                        <m:sub>
                          <m:r>
                            <w:rPr>
                              <w:rFonts w:ascii="Cambria Math" w:hAnsi="Cambria Math" w:cs="Arial"/>
                              <w:sz w:val="20"/>
                              <w:szCs w:val="20"/>
                              <w:lang w:val="en-GB" w:eastAsia="ja-JP"/>
                            </w:rPr>
                            <m:t>s</m:t>
                          </m:r>
                          <m:ctrlPr>
                            <w:rPr>
                              <w:rFonts w:ascii="Cambria Math" w:hAnsi="Cambria Math" w:cs="Arial"/>
                              <w:sz w:val="20"/>
                              <w:szCs w:val="20"/>
                              <w:lang w:val="en-GB" w:eastAsia="ja-JP"/>
                            </w:rPr>
                          </m:ctrlP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Y</m:t>
                          </m:r>
                          <m:ctrlPr>
                            <w:rPr>
                              <w:rFonts w:ascii="Cambria Math" w:hAnsi="Cambria Math" w:cs="Arial"/>
                              <w:sz w:val="20"/>
                              <w:szCs w:val="20"/>
                              <w:lang w:val="en-GB" w:eastAsia="ja-JP"/>
                            </w:rPr>
                          </m:ctrlPr>
                        </m:e>
                        <m:sub>
                          <m:r>
                            <w:rPr>
                              <w:rFonts w:ascii="Cambria Math" w:hAnsi="Cambria Math" w:cs="Arial"/>
                              <w:sz w:val="20"/>
                              <w:szCs w:val="20"/>
                              <w:lang w:val="en-GB" w:eastAsia="ja-JP"/>
                            </w:rPr>
                            <m:t>s</m:t>
                          </m:r>
                          <m:ctrlPr>
                            <w:rPr>
                              <w:rFonts w:ascii="Cambria Math" w:hAnsi="Cambria Math" w:cs="Arial"/>
                              <w:sz w:val="20"/>
                              <w:szCs w:val="20"/>
                              <w:lang w:val="en-GB" w:eastAsia="ja-JP"/>
                            </w:rPr>
                          </m:ctrlPr>
                        </m:sub>
                      </m:sSub>
                      <m:ctrlPr>
                        <w:rPr>
                          <w:rFonts w:ascii="Cambria Math" w:hAnsi="Cambria Math" w:cs="Arial"/>
                          <w:sz w:val="20"/>
                          <w:szCs w:val="20"/>
                          <w:lang w:val="en-GB" w:eastAsia="ja-JP"/>
                        </w:rPr>
                      </m:ctrlPr>
                    </m:e>
                  </m:d>
                  <m:r>
                    <m:rPr>
                      <m:sty m:val="p"/>
                    </m:rPr>
                    <w:rPr>
                      <w:rFonts w:ascii="Cambria Math" w:hAnsi="Cambria Math" w:cs="Arial"/>
                      <w:sz w:val="20"/>
                      <w:szCs w:val="20"/>
                      <w:lang w:val="en-GB" w:eastAsia="ja-JP"/>
                    </w:rPr>
                    <m:t>,</m:t>
                  </m:r>
                  <m:r>
                    <w:rPr>
                      <w:rFonts w:ascii="Cambria Math" w:hAnsi="Cambria Math" w:cs="Arial"/>
                      <w:sz w:val="20"/>
                      <w:szCs w:val="20"/>
                      <w:lang w:val="en-GB" w:eastAsia="ja-JP"/>
                    </w:rPr>
                    <m:t>μ</m:t>
                  </m:r>
                  <m:ctrlPr>
                    <w:rPr>
                      <w:rFonts w:ascii="Cambria Math" w:hAnsi="Cambria Math" w:cs="Arial"/>
                      <w:sz w:val="20"/>
                      <w:szCs w:val="20"/>
                      <w:lang w:val="en-GB" w:eastAsia="ja-JP"/>
                    </w:rPr>
                  </m:ctrlPr>
                </m:sup>
              </m:sSubSup>
            </m:oMath>
            <w:r>
              <w:rPr>
                <w:rFonts w:ascii="Arial" w:hAnsi="Arial" w:cs="Arial"/>
                <w:sz w:val="20"/>
                <w:szCs w:val="20"/>
                <w:lang w:val="en-GB" w:eastAsia="ja-JP"/>
              </w:rPr>
              <w:t>.</w:t>
            </w:r>
          </w:p>
          <w:p>
            <w:pPr>
              <w:pStyle w:val="82"/>
              <w:widowControl w:val="0"/>
              <w:numPr>
                <w:ilvl w:val="0"/>
                <w:numId w:val="97"/>
              </w:numPr>
              <w:snapToGrid/>
              <w:spacing w:after="120"/>
              <w:jc w:val="both"/>
              <w:rPr>
                <w:rFonts w:ascii="Arial" w:hAnsi="Arial" w:cs="Arial"/>
                <w:sz w:val="20"/>
                <w:szCs w:val="20"/>
                <w:lang w:val="en-GB" w:eastAsia="ja-JP"/>
              </w:rPr>
            </w:pPr>
            <w:r>
              <w:rPr>
                <w:rFonts w:ascii="Arial" w:hAnsi="Arial" w:cs="Arial"/>
                <w:sz w:val="20"/>
                <w:szCs w:val="20"/>
                <w:lang w:val="en-GB" w:eastAsia="ja-JP"/>
              </w:rPr>
              <w:t xml:space="preserve">If the number of cells is more than than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ctrlPr>
                    <w:rPr>
                      <w:rFonts w:ascii="Cambria Math" w:hAnsi="Cambria Math" w:cs="Arial"/>
                      <w:i/>
                      <w:sz w:val="20"/>
                      <w:szCs w:val="20"/>
                      <w:lang w:val="en-GB" w:eastAsia="ja-JP"/>
                    </w:rPr>
                  </m:ctrlPr>
                </m:e>
                <m:sub>
                  <m:r>
                    <m:rPr>
                      <m:nor/>
                      <m:sty m:val="p"/>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sty m:val="p"/>
                    </m:rPr>
                    <w:rPr>
                      <w:rFonts w:ascii="Arial" w:hAnsi="Arial" w:cs="Arial"/>
                      <w:sz w:val="20"/>
                      <w:szCs w:val="20"/>
                      <w:lang w:val="en-GB" w:eastAsia="ja-JP"/>
                    </w:rPr>
                    <m:t>cap</m:t>
                  </m:r>
                  <m:ctrlPr>
                    <w:rPr>
                      <w:rFonts w:ascii="Cambria Math" w:hAnsi="Cambria Math" w:cs="Arial"/>
                      <w:sz w:val="20"/>
                      <w:szCs w:val="20"/>
                      <w:lang w:val="en-GB" w:eastAsia="ja-JP"/>
                    </w:rPr>
                  </m:ctrlPr>
                </m:sup>
              </m:sSubSup>
            </m:oMath>
            <w:r>
              <w:rPr>
                <w:rFonts w:ascii="Arial" w:hAnsi="Arial" w:cs="Arial"/>
                <w:sz w:val="20"/>
                <w:szCs w:val="20"/>
                <w:lang w:val="en-GB" w:eastAsia="ja-JP"/>
              </w:rPr>
              <w:t xml:space="preserve">, the number of blind decodes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ctrlPr>
                    <w:rPr>
                      <w:rFonts w:ascii="Cambria Math" w:hAnsi="Cambria Math" w:cs="Arial"/>
                      <w:i/>
                      <w:sz w:val="20"/>
                      <w:szCs w:val="20"/>
                      <w:lang w:val="en-GB" w:eastAsia="ja-JP"/>
                    </w:rPr>
                  </m:ctrlPr>
                </m:e>
                <m:sub>
                  <m:r>
                    <m:rPr>
                      <m:nor/>
                      <m:sty m:val="p"/>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sty m:val="p"/>
                    </m:rPr>
                    <w:rPr>
                      <w:rFonts w:ascii="Arial" w:hAnsi="Arial" w:cs="Arial"/>
                      <w:sz w:val="20"/>
                      <w:szCs w:val="20"/>
                      <w:lang w:val="en-GB" w:eastAsia="ja-JP"/>
                    </w:rPr>
                    <m:t>cap</m:t>
                  </m:r>
                  <m:ctrlPr>
                    <w:rPr>
                      <w:rFonts w:ascii="Cambria Math" w:hAnsi="Cambria Math" w:cs="Arial"/>
                      <w:sz w:val="20"/>
                      <w:szCs w:val="20"/>
                      <w:lang w:val="en-GB" w:eastAsia="ja-JP"/>
                    </w:rPr>
                  </m:ctrlPr>
                </m:sup>
              </m:sSubSup>
              <m:r>
                <w:rPr>
                  <w:rFonts w:ascii="Cambria Math" w:hAnsi="Cambria Math" w:cs="Arial"/>
                  <w:sz w:val="20"/>
                  <w:szCs w:val="20"/>
                  <w:lang w:val="en-GB" w:eastAsia="ja-JP"/>
                </w:rPr>
                <m:t>⋅</m:t>
              </m:r>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M</m:t>
                  </m:r>
                  <m:ctrlPr>
                    <w:rPr>
                      <w:rFonts w:ascii="Cambria Math" w:hAnsi="Cambria Math" w:cs="Arial"/>
                      <w:i/>
                      <w:iCs/>
                      <w:sz w:val="20"/>
                      <w:szCs w:val="20"/>
                      <w:lang w:val="en-GB" w:eastAsia="ja-JP"/>
                    </w:rPr>
                  </m:ctrlPr>
                </m:e>
                <m:sub>
                  <m:r>
                    <w:rPr>
                      <w:rFonts w:ascii="Cambria Math" w:hAnsi="Cambria Math" w:cs="Arial"/>
                      <w:sz w:val="20"/>
                      <w:szCs w:val="20"/>
                      <w:lang w:val="en-GB" w:eastAsia="ja-JP"/>
                    </w:rPr>
                    <m:t>PDCCH</m:t>
                  </m:r>
                  <m:ctrlPr>
                    <w:rPr>
                      <w:rFonts w:ascii="Cambria Math" w:hAnsi="Cambria Math" w:cs="Arial"/>
                      <w:i/>
                      <w:iCs/>
                      <w:sz w:val="20"/>
                      <w:szCs w:val="20"/>
                      <w:lang w:val="en-GB" w:eastAsia="ja-JP"/>
                    </w:rPr>
                  </m:ctrlP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ctrlPr>
                            <w:rPr>
                              <w:rFonts w:ascii="Cambria Math" w:hAnsi="Cambria Math" w:cs="Arial"/>
                              <w:i/>
                              <w:iCs/>
                              <w:sz w:val="20"/>
                              <w:szCs w:val="20"/>
                              <w:lang w:val="en-GB" w:eastAsia="ja-JP"/>
                            </w:rPr>
                          </m:ctrlPr>
                        </m:e>
                        <m:sub>
                          <m:r>
                            <w:rPr>
                              <w:rFonts w:ascii="Cambria Math" w:hAnsi="Cambria Math" w:cs="Arial"/>
                              <w:sz w:val="20"/>
                              <w:szCs w:val="20"/>
                              <w:lang w:val="en-GB" w:eastAsia="ja-JP"/>
                            </w:rPr>
                            <m:t>s</m:t>
                          </m:r>
                          <m:ctrlPr>
                            <w:rPr>
                              <w:rFonts w:ascii="Cambria Math" w:hAnsi="Cambria Math" w:cs="Arial"/>
                              <w:i/>
                              <w:iCs/>
                              <w:sz w:val="20"/>
                              <w:szCs w:val="20"/>
                              <w:lang w:val="en-GB" w:eastAsia="ja-JP"/>
                            </w:rPr>
                          </m:ctrlP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ctrlPr>
                            <w:rPr>
                              <w:rFonts w:ascii="Cambria Math" w:hAnsi="Cambria Math" w:cs="Arial"/>
                              <w:i/>
                              <w:iCs/>
                              <w:sz w:val="20"/>
                              <w:szCs w:val="20"/>
                              <w:lang w:val="en-GB" w:eastAsia="ja-JP"/>
                            </w:rPr>
                          </m:ctrlPr>
                        </m:e>
                        <m:sub>
                          <m:r>
                            <w:rPr>
                              <w:rFonts w:ascii="Cambria Math" w:hAnsi="Cambria Math" w:cs="Arial"/>
                              <w:sz w:val="20"/>
                              <w:szCs w:val="20"/>
                              <w:lang w:val="en-GB" w:eastAsia="ja-JP"/>
                            </w:rPr>
                            <m:t>s</m:t>
                          </m:r>
                          <m:ctrlPr>
                            <w:rPr>
                              <w:rFonts w:ascii="Cambria Math" w:hAnsi="Cambria Math" w:cs="Arial"/>
                              <w:i/>
                              <w:iCs/>
                              <w:sz w:val="20"/>
                              <w:szCs w:val="20"/>
                              <w:lang w:val="en-GB" w:eastAsia="ja-JP"/>
                            </w:rPr>
                          </m:ctrlPr>
                        </m:sub>
                      </m:sSub>
                      <m:ctrlPr>
                        <w:rPr>
                          <w:rFonts w:ascii="Cambria Math" w:hAnsi="Cambria Math" w:cs="Arial"/>
                          <w:i/>
                          <w:iCs/>
                          <w:sz w:val="20"/>
                          <w:szCs w:val="20"/>
                          <w:lang w:val="en-GB" w:eastAsia="ja-JP"/>
                        </w:rPr>
                      </m:ctrlPr>
                    </m:e>
                  </m:d>
                  <m:r>
                    <w:rPr>
                      <w:rFonts w:ascii="Cambria Math" w:hAnsi="Cambria Math" w:cs="Arial"/>
                      <w:sz w:val="20"/>
                      <w:szCs w:val="20"/>
                      <w:lang w:val="en-GB" w:eastAsia="ja-JP"/>
                    </w:rPr>
                    <m:t>,μ</m:t>
                  </m:r>
                  <m:ctrlPr>
                    <w:rPr>
                      <w:rFonts w:ascii="Cambria Math" w:hAnsi="Cambria Math" w:cs="Arial"/>
                      <w:i/>
                      <w:iCs/>
                      <w:sz w:val="20"/>
                      <w:szCs w:val="20"/>
                      <w:lang w:val="en-GB" w:eastAsia="ja-JP"/>
                    </w:rPr>
                  </m:ctrlPr>
                </m:sup>
              </m:sSubSup>
            </m:oMath>
            <w:r>
              <w:rPr>
                <w:rFonts w:ascii="Arial" w:hAnsi="Arial" w:cs="Arial"/>
                <w:iCs/>
                <w:sz w:val="20"/>
                <w:szCs w:val="20"/>
                <w:lang w:val="en-GB" w:eastAsia="ja-JP"/>
              </w:rPr>
              <w:t xml:space="preserve"> is distributed to </w:t>
            </w:r>
            <m:oMath>
              <m:sSubSup>
                <m:sSubSupPr>
                  <m:ctrlPr>
                    <w:rPr>
                      <w:rFonts w:ascii="Cambria Math" w:hAnsi="Cambria Math" w:cs="Arial"/>
                      <w:iCs/>
                      <w:sz w:val="20"/>
                      <w:szCs w:val="20"/>
                      <w:lang w:val="en-GB" w:eastAsia="ja-JP"/>
                    </w:rPr>
                  </m:ctrlPr>
                </m:sSubSupPr>
                <m:e>
                  <m:r>
                    <w:rPr>
                      <w:rFonts w:ascii="Cambria Math" w:hAnsi="Cambria Math" w:cs="Arial"/>
                      <w:sz w:val="20"/>
                      <w:szCs w:val="20"/>
                      <w:lang w:val="en-GB" w:eastAsia="ja-JP"/>
                    </w:rPr>
                    <m:t>M</m:t>
                  </m:r>
                  <m:ctrlPr>
                    <w:rPr>
                      <w:rFonts w:ascii="Cambria Math" w:hAnsi="Cambria Math" w:cs="Arial"/>
                      <w:iCs/>
                      <w:sz w:val="20"/>
                      <w:szCs w:val="20"/>
                      <w:lang w:val="en-GB" w:eastAsia="ja-JP"/>
                    </w:rPr>
                  </m:ctrlPr>
                </m:e>
                <m:sub>
                  <m:r>
                    <m:rPr>
                      <m:nor/>
                      <m:sty m:val="p"/>
                    </m:rPr>
                    <w:rPr>
                      <w:rFonts w:ascii="Arial" w:hAnsi="Arial" w:cs="Arial"/>
                      <w:iCs/>
                      <w:sz w:val="20"/>
                      <w:szCs w:val="20"/>
                      <w:lang w:val="en-GB" w:eastAsia="ja-JP"/>
                    </w:rPr>
                    <m:t>PDCCH</m:t>
                  </m:r>
                  <m:ctrlPr>
                    <w:rPr>
                      <w:rFonts w:ascii="Cambria Math" w:hAnsi="Cambria Math" w:cs="Arial"/>
                      <w:iCs/>
                      <w:sz w:val="20"/>
                      <w:szCs w:val="20"/>
                      <w:lang w:val="en-GB" w:eastAsia="ja-JP"/>
                    </w:rPr>
                  </m:ctrlPr>
                </m:sub>
                <m:sup>
                  <m:r>
                    <m:rPr>
                      <m:nor/>
                      <m:sty m:val="p"/>
                    </m:rPr>
                    <w:rPr>
                      <w:rFonts w:ascii="Arial" w:hAnsi="Arial" w:cs="Arial"/>
                      <w:iCs/>
                      <w:sz w:val="20"/>
                      <w:szCs w:val="20"/>
                      <w:lang w:val="en-GB" w:eastAsia="ja-JP"/>
                    </w:rPr>
                    <m:t>total,(</m:t>
                  </m:r>
                  <m:sSub>
                    <m:sSubPr>
                      <m:ctrlPr>
                        <w:rPr>
                          <w:rFonts w:ascii="Cambria Math" w:hAnsi="Cambria Math" w:cs="Arial"/>
                          <w:iCs/>
                          <w:sz w:val="20"/>
                          <w:szCs w:val="20"/>
                          <w:lang w:val="en-GB" w:eastAsia="ja-JP"/>
                        </w:rPr>
                      </m:ctrlPr>
                    </m:sSubPr>
                    <m:e>
                      <m:r>
                        <m:rPr>
                          <m:sty m:val="p"/>
                        </m:rPr>
                        <w:rPr>
                          <w:rFonts w:ascii="Cambria Math" w:hAnsi="Cambria Math" w:cs="Arial"/>
                          <w:sz w:val="20"/>
                          <w:szCs w:val="20"/>
                          <w:lang w:val="en-GB" w:eastAsia="ja-JP"/>
                        </w:rPr>
                        <m:t>X</m:t>
                      </m:r>
                      <m:ctrlPr>
                        <w:rPr>
                          <w:rFonts w:ascii="Cambria Math" w:hAnsi="Cambria Math" w:cs="Arial"/>
                          <w:iCs/>
                          <w:sz w:val="20"/>
                          <w:szCs w:val="20"/>
                          <w:lang w:val="en-GB" w:eastAsia="ja-JP"/>
                        </w:rPr>
                      </m:ctrlPr>
                    </m:e>
                    <m:sub>
                      <m:r>
                        <m:rPr>
                          <m:sty m:val="p"/>
                        </m:rPr>
                        <w:rPr>
                          <w:rFonts w:ascii="Cambria Math" w:hAnsi="Cambria Math" w:cs="Arial"/>
                          <w:sz w:val="20"/>
                          <w:szCs w:val="20"/>
                          <w:lang w:val="en-GB" w:eastAsia="ja-JP"/>
                        </w:rPr>
                        <m:t>s</m:t>
                      </m:r>
                      <m:ctrlPr>
                        <w:rPr>
                          <w:rFonts w:ascii="Cambria Math" w:hAnsi="Cambria Math" w:cs="Arial"/>
                          <w:iCs/>
                          <w:sz w:val="20"/>
                          <w:szCs w:val="20"/>
                          <w:lang w:val="en-GB" w:eastAsia="ja-JP"/>
                        </w:rPr>
                      </m:ctrlPr>
                    </m:sub>
                  </m:sSub>
                  <m:r>
                    <m:rPr>
                      <m:sty m:val="p"/>
                    </m:rPr>
                    <w:rPr>
                      <w:rFonts w:ascii="Cambria Math" w:hAnsi="Cambria Math" w:cs="Arial"/>
                      <w:sz w:val="20"/>
                      <w:szCs w:val="20"/>
                      <w:lang w:val="en-GB" w:eastAsia="ja-JP"/>
                    </w:rPr>
                    <m:t>,</m:t>
                  </m:r>
                  <m:sSub>
                    <m:sSubPr>
                      <m:ctrlPr>
                        <w:rPr>
                          <w:rFonts w:ascii="Cambria Math" w:hAnsi="Cambria Math" w:cs="Arial"/>
                          <w:iCs/>
                          <w:sz w:val="20"/>
                          <w:szCs w:val="20"/>
                          <w:lang w:val="en-GB" w:eastAsia="ja-JP"/>
                        </w:rPr>
                      </m:ctrlPr>
                    </m:sSubPr>
                    <m:e>
                      <m:r>
                        <m:rPr>
                          <m:sty m:val="p"/>
                        </m:rPr>
                        <w:rPr>
                          <w:rFonts w:ascii="Cambria Math" w:hAnsi="Cambria Math" w:cs="Arial"/>
                          <w:sz w:val="20"/>
                          <w:szCs w:val="20"/>
                          <w:lang w:val="en-GB" w:eastAsia="ja-JP"/>
                        </w:rPr>
                        <m:t>Y</m:t>
                      </m:r>
                      <m:ctrlPr>
                        <w:rPr>
                          <w:rFonts w:ascii="Cambria Math" w:hAnsi="Cambria Math" w:cs="Arial"/>
                          <w:iCs/>
                          <w:sz w:val="20"/>
                          <w:szCs w:val="20"/>
                          <w:lang w:val="en-GB" w:eastAsia="ja-JP"/>
                        </w:rPr>
                      </m:ctrlPr>
                    </m:e>
                    <m:sub>
                      <m:r>
                        <m:rPr>
                          <m:sty m:val="p"/>
                        </m:rPr>
                        <w:rPr>
                          <w:rFonts w:ascii="Cambria Math" w:hAnsi="Cambria Math" w:cs="Arial"/>
                          <w:sz w:val="20"/>
                          <w:szCs w:val="20"/>
                          <w:lang w:val="en-GB" w:eastAsia="ja-JP"/>
                        </w:rPr>
                        <m:t>s</m:t>
                      </m:r>
                      <m:ctrlPr>
                        <w:rPr>
                          <w:rFonts w:ascii="Cambria Math" w:hAnsi="Cambria Math" w:cs="Arial"/>
                          <w:iCs/>
                          <w:sz w:val="20"/>
                          <w:szCs w:val="20"/>
                          <w:lang w:val="en-GB" w:eastAsia="ja-JP"/>
                        </w:rPr>
                      </m:ctrlPr>
                    </m:sub>
                  </m:sSub>
                  <m:r>
                    <m:rPr>
                      <m:nor/>
                      <m:sty m:val="p"/>
                    </m:rPr>
                    <w:rPr>
                      <w:rFonts w:ascii="Arial" w:hAnsi="Arial" w:cs="Arial"/>
                      <w:iCs/>
                      <w:sz w:val="20"/>
                      <w:szCs w:val="20"/>
                      <w:lang w:val="en-GB" w:eastAsia="ja-JP"/>
                    </w:rPr>
                    <m:t>),</m:t>
                  </m:r>
                  <m:r>
                    <m:rPr>
                      <m:sty m:val="p"/>
                    </m:rPr>
                    <w:rPr>
                      <w:rFonts w:ascii="Cambria Math" w:hAnsi="Cambria Math" w:cs="Arial"/>
                      <w:sz w:val="20"/>
                      <w:szCs w:val="20"/>
                      <w:lang w:val="en-GB" w:eastAsia="ja-JP"/>
                    </w:rPr>
                    <m:t>μ</m:t>
                  </m:r>
                  <m:ctrlPr>
                    <w:rPr>
                      <w:rFonts w:ascii="Cambria Math" w:hAnsi="Cambria Math" w:cs="Arial"/>
                      <w:iCs/>
                      <w:sz w:val="20"/>
                      <w:szCs w:val="20"/>
                      <w:lang w:val="en-GB" w:eastAsia="ja-JP"/>
                    </w:rPr>
                  </m:ctrlPr>
                </m:sup>
              </m:sSubSup>
            </m:oMath>
            <w:r>
              <w:rPr>
                <w:rFonts w:ascii="Arial" w:hAnsi="Arial" w:cs="Arial"/>
                <w:iCs/>
                <w:sz w:val="20"/>
                <w:szCs w:val="20"/>
                <w:lang w:val="en-GB" w:eastAsia="ja-JP"/>
              </w:rPr>
              <w:t xml:space="preserve"> based on a weighting of number of cells with numerology </w:t>
            </w:r>
            <m:oMath>
              <m:r>
                <w:rPr>
                  <w:rFonts w:ascii="Cambria Math" w:hAnsi="Cambria Math" w:cs="Arial"/>
                  <w:sz w:val="20"/>
                  <w:szCs w:val="20"/>
                  <w:lang w:val="en-GB" w:eastAsia="ja-JP"/>
                </w:rPr>
                <m:t>μ</m:t>
              </m:r>
            </m:oMath>
            <w:r>
              <w:rPr>
                <w:rFonts w:ascii="Arial" w:hAnsi="Arial" w:cs="Arial"/>
                <w:iCs/>
                <w:sz w:val="20"/>
                <w:szCs w:val="20"/>
                <w:lang w:val="en-GB" w:eastAsia="ja-JP"/>
              </w:rPr>
              <w:t xml:space="preserve"> among all cells configured </w:t>
            </w:r>
            <w:r>
              <w:rPr>
                <w:rFonts w:ascii="Arial" w:hAnsi="Arial" w:cs="Arial"/>
                <w:sz w:val="20"/>
                <w:szCs w:val="20"/>
                <w:lang w:val="en-GB" w:eastAsia="ja-JP"/>
              </w:rPr>
              <w:t xml:space="preserve">with the same </w:t>
            </w:r>
            <m:oMath>
              <m:sSub>
                <m:sSubPr>
                  <m:ctrlPr>
                    <w:rPr>
                      <w:rFonts w:ascii="Cambria Math" w:hAnsi="Cambria Math"/>
                      <w:i/>
                      <w:lang w:val="en-GB" w:eastAsia="ja-JP"/>
                    </w:rPr>
                  </m:ctrlPr>
                </m:sSubPr>
                <m:e>
                  <m:r>
                    <w:rPr>
                      <w:rFonts w:ascii="Cambria Math" w:hAnsi="Cambria Math"/>
                      <w:lang w:val="en-GB" w:eastAsia="ja-JP"/>
                    </w:rPr>
                    <m:t>X</m:t>
                  </m:r>
                  <m:ctrlPr>
                    <w:rPr>
                      <w:rFonts w:ascii="Cambria Math" w:hAnsi="Cambria Math"/>
                      <w:i/>
                      <w:lang w:val="en-GB" w:eastAsia="ja-JP"/>
                    </w:rPr>
                  </m:ctrlPr>
                </m:e>
                <m:sub>
                  <m:r>
                    <w:rPr>
                      <w:rFonts w:ascii="Cambria Math" w:hAnsi="Cambria Math"/>
                      <w:lang w:val="en-GB" w:eastAsia="ja-JP"/>
                    </w:rPr>
                    <m:t>s</m:t>
                  </m:r>
                  <m:ctrlPr>
                    <w:rPr>
                      <w:rFonts w:ascii="Cambria Math" w:hAnsi="Cambria Math"/>
                      <w:i/>
                      <w:lang w:val="en-GB" w:eastAsia="ja-JP"/>
                    </w:rPr>
                  </m:ctrlPr>
                </m:sub>
              </m:sSub>
            </m:oMath>
            <w:r>
              <w:rPr>
                <w:rFonts w:ascii="Arial" w:hAnsi="Arial" w:cs="Arial"/>
                <w:sz w:val="20"/>
                <w:szCs w:val="20"/>
                <w:lang w:val="en-GB" w:eastAsia="ja-JP"/>
              </w:rPr>
              <w:t xml:space="preserve">; and the total number of available channel estimation CCEs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ctrlPr>
                    <w:rPr>
                      <w:rFonts w:ascii="Cambria Math" w:hAnsi="Cambria Math" w:cs="Arial"/>
                      <w:i/>
                      <w:sz w:val="20"/>
                      <w:szCs w:val="20"/>
                      <w:lang w:val="en-GB" w:eastAsia="ja-JP"/>
                    </w:rPr>
                  </m:ctrlPr>
                </m:e>
                <m:sub>
                  <m:r>
                    <m:rPr>
                      <m:nor/>
                      <m:sty m:val="p"/>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sty m:val="p"/>
                    </m:rPr>
                    <w:rPr>
                      <w:rFonts w:ascii="Arial" w:hAnsi="Arial" w:cs="Arial"/>
                      <w:sz w:val="20"/>
                      <w:szCs w:val="20"/>
                      <w:lang w:val="en-GB" w:eastAsia="ja-JP"/>
                    </w:rPr>
                    <m:t>cap</m:t>
                  </m:r>
                  <m:ctrlPr>
                    <w:rPr>
                      <w:rFonts w:ascii="Cambria Math" w:hAnsi="Cambria Math" w:cs="Arial"/>
                      <w:sz w:val="20"/>
                      <w:szCs w:val="20"/>
                      <w:lang w:val="en-GB" w:eastAsia="ja-JP"/>
                    </w:rPr>
                  </m:ctrlPr>
                </m:sup>
              </m:sSubSup>
              <m:r>
                <w:rPr>
                  <w:rFonts w:ascii="Cambria Math" w:hAnsi="Cambria Math" w:cs="Arial"/>
                  <w:sz w:val="20"/>
                  <w:szCs w:val="20"/>
                  <w:lang w:val="en-GB" w:eastAsia="ja-JP"/>
                </w:rPr>
                <m:t>⋅</m:t>
              </m:r>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ctrlPr>
                    <w:rPr>
                      <w:rFonts w:ascii="Cambria Math" w:hAnsi="Cambria Math" w:cs="Arial"/>
                      <w:i/>
                      <w:iCs/>
                      <w:sz w:val="20"/>
                      <w:szCs w:val="20"/>
                      <w:lang w:val="en-GB" w:eastAsia="ja-JP"/>
                    </w:rPr>
                  </m:ctrlPr>
                </m:e>
                <m:sub>
                  <m:r>
                    <w:rPr>
                      <w:rFonts w:ascii="Cambria Math" w:hAnsi="Cambria Math" w:cs="Arial"/>
                      <w:sz w:val="20"/>
                      <w:szCs w:val="20"/>
                      <w:lang w:val="en-GB" w:eastAsia="ja-JP"/>
                    </w:rPr>
                    <m:t>PDCCH</m:t>
                  </m:r>
                  <m:ctrlPr>
                    <w:rPr>
                      <w:rFonts w:ascii="Cambria Math" w:hAnsi="Cambria Math" w:cs="Arial"/>
                      <w:i/>
                      <w:iCs/>
                      <w:sz w:val="20"/>
                      <w:szCs w:val="20"/>
                      <w:lang w:val="en-GB" w:eastAsia="ja-JP"/>
                    </w:rPr>
                  </m:ctrlP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ctrlPr>
                            <w:rPr>
                              <w:rFonts w:ascii="Cambria Math" w:hAnsi="Cambria Math" w:cs="Arial"/>
                              <w:i/>
                              <w:iCs/>
                              <w:sz w:val="20"/>
                              <w:szCs w:val="20"/>
                              <w:lang w:val="en-GB" w:eastAsia="ja-JP"/>
                            </w:rPr>
                          </m:ctrlPr>
                        </m:e>
                        <m:sub>
                          <m:r>
                            <w:rPr>
                              <w:rFonts w:ascii="Cambria Math" w:hAnsi="Cambria Math" w:cs="Arial"/>
                              <w:sz w:val="20"/>
                              <w:szCs w:val="20"/>
                              <w:lang w:val="en-GB" w:eastAsia="ja-JP"/>
                            </w:rPr>
                            <m:t>s</m:t>
                          </m:r>
                          <m:ctrlPr>
                            <w:rPr>
                              <w:rFonts w:ascii="Cambria Math" w:hAnsi="Cambria Math" w:cs="Arial"/>
                              <w:i/>
                              <w:iCs/>
                              <w:sz w:val="20"/>
                              <w:szCs w:val="20"/>
                              <w:lang w:val="en-GB" w:eastAsia="ja-JP"/>
                            </w:rPr>
                          </m:ctrlP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ctrlPr>
                            <w:rPr>
                              <w:rFonts w:ascii="Cambria Math" w:hAnsi="Cambria Math" w:cs="Arial"/>
                              <w:i/>
                              <w:iCs/>
                              <w:sz w:val="20"/>
                              <w:szCs w:val="20"/>
                              <w:lang w:val="en-GB" w:eastAsia="ja-JP"/>
                            </w:rPr>
                          </m:ctrlPr>
                        </m:e>
                        <m:sub>
                          <m:r>
                            <w:rPr>
                              <w:rFonts w:ascii="Cambria Math" w:hAnsi="Cambria Math" w:cs="Arial"/>
                              <w:sz w:val="20"/>
                              <w:szCs w:val="20"/>
                              <w:lang w:val="en-GB" w:eastAsia="ja-JP"/>
                            </w:rPr>
                            <m:t>s</m:t>
                          </m:r>
                          <m:ctrlPr>
                            <w:rPr>
                              <w:rFonts w:ascii="Cambria Math" w:hAnsi="Cambria Math" w:cs="Arial"/>
                              <w:i/>
                              <w:iCs/>
                              <w:sz w:val="20"/>
                              <w:szCs w:val="20"/>
                              <w:lang w:val="en-GB" w:eastAsia="ja-JP"/>
                            </w:rPr>
                          </m:ctrlPr>
                        </m:sub>
                      </m:sSub>
                      <m:ctrlPr>
                        <w:rPr>
                          <w:rFonts w:ascii="Cambria Math" w:hAnsi="Cambria Math" w:cs="Arial"/>
                          <w:i/>
                          <w:iCs/>
                          <w:sz w:val="20"/>
                          <w:szCs w:val="20"/>
                          <w:lang w:val="en-GB" w:eastAsia="ja-JP"/>
                        </w:rPr>
                      </m:ctrlPr>
                    </m:e>
                  </m:d>
                  <m:r>
                    <w:rPr>
                      <w:rFonts w:ascii="Cambria Math" w:hAnsi="Cambria Math" w:cs="Arial"/>
                      <w:sz w:val="20"/>
                      <w:szCs w:val="20"/>
                      <w:lang w:val="en-GB" w:eastAsia="ja-JP"/>
                    </w:rPr>
                    <m:t>,μ</m:t>
                  </m:r>
                  <m:ctrlPr>
                    <w:rPr>
                      <w:rFonts w:ascii="Cambria Math" w:hAnsi="Cambria Math" w:cs="Arial"/>
                      <w:i/>
                      <w:iCs/>
                      <w:sz w:val="20"/>
                      <w:szCs w:val="20"/>
                      <w:lang w:val="en-GB" w:eastAsia="ja-JP"/>
                    </w:rPr>
                  </m:ctrlPr>
                </m:sup>
              </m:sSubSup>
            </m:oMath>
            <w:r>
              <w:rPr>
                <w:rFonts w:ascii="Arial" w:hAnsi="Arial" w:cs="Arial"/>
                <w:iCs/>
                <w:sz w:val="20"/>
                <w:szCs w:val="20"/>
                <w:lang w:val="en-GB" w:eastAsia="ja-JP"/>
              </w:rPr>
              <w:t xml:space="preserve"> is distributed to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ctrlPr>
                    <w:rPr>
                      <w:rFonts w:ascii="Cambria Math" w:hAnsi="Cambria Math" w:cs="Arial"/>
                      <w:i/>
                      <w:iCs/>
                      <w:sz w:val="20"/>
                      <w:szCs w:val="20"/>
                      <w:lang w:val="en-GB" w:eastAsia="ja-JP"/>
                    </w:rPr>
                  </m:ctrlPr>
                </m:e>
                <m:sub>
                  <m:r>
                    <w:rPr>
                      <w:rFonts w:ascii="Cambria Math" w:hAnsi="Cambria Math" w:cs="Arial"/>
                      <w:sz w:val="20"/>
                      <w:szCs w:val="20"/>
                      <w:lang w:val="en-GB" w:eastAsia="ja-JP"/>
                    </w:rPr>
                    <m:t>PDCCH</m:t>
                  </m:r>
                  <m:ctrlPr>
                    <w:rPr>
                      <w:rFonts w:ascii="Cambria Math" w:hAnsi="Cambria Math" w:cs="Arial"/>
                      <w:i/>
                      <w:iCs/>
                      <w:sz w:val="20"/>
                      <w:szCs w:val="20"/>
                      <w:lang w:val="en-GB" w:eastAsia="ja-JP"/>
                    </w:rPr>
                  </m:ctrlP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ctrlPr>
                            <w:rPr>
                              <w:rFonts w:ascii="Cambria Math" w:hAnsi="Cambria Math" w:cs="Arial"/>
                              <w:i/>
                              <w:iCs/>
                              <w:sz w:val="20"/>
                              <w:szCs w:val="20"/>
                              <w:lang w:val="en-GB" w:eastAsia="ja-JP"/>
                            </w:rPr>
                          </m:ctrlPr>
                        </m:e>
                        <m:sub>
                          <m:r>
                            <w:rPr>
                              <w:rFonts w:ascii="Cambria Math" w:hAnsi="Cambria Math" w:cs="Arial"/>
                              <w:sz w:val="20"/>
                              <w:szCs w:val="20"/>
                              <w:lang w:val="en-GB" w:eastAsia="ja-JP"/>
                            </w:rPr>
                            <m:t>s</m:t>
                          </m:r>
                          <m:ctrlPr>
                            <w:rPr>
                              <w:rFonts w:ascii="Cambria Math" w:hAnsi="Cambria Math" w:cs="Arial"/>
                              <w:i/>
                              <w:iCs/>
                              <w:sz w:val="20"/>
                              <w:szCs w:val="20"/>
                              <w:lang w:val="en-GB" w:eastAsia="ja-JP"/>
                            </w:rPr>
                          </m:ctrlP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ctrlPr>
                            <w:rPr>
                              <w:rFonts w:ascii="Cambria Math" w:hAnsi="Cambria Math" w:cs="Arial"/>
                              <w:i/>
                              <w:iCs/>
                              <w:sz w:val="20"/>
                              <w:szCs w:val="20"/>
                              <w:lang w:val="en-GB" w:eastAsia="ja-JP"/>
                            </w:rPr>
                          </m:ctrlPr>
                        </m:e>
                        <m:sub>
                          <m:r>
                            <w:rPr>
                              <w:rFonts w:ascii="Cambria Math" w:hAnsi="Cambria Math" w:cs="Arial"/>
                              <w:sz w:val="20"/>
                              <w:szCs w:val="20"/>
                              <w:lang w:val="en-GB" w:eastAsia="ja-JP"/>
                            </w:rPr>
                            <m:t>s</m:t>
                          </m:r>
                          <m:ctrlPr>
                            <w:rPr>
                              <w:rFonts w:ascii="Cambria Math" w:hAnsi="Cambria Math" w:cs="Arial"/>
                              <w:i/>
                              <w:iCs/>
                              <w:sz w:val="20"/>
                              <w:szCs w:val="20"/>
                              <w:lang w:val="en-GB" w:eastAsia="ja-JP"/>
                            </w:rPr>
                          </m:ctrlPr>
                        </m:sub>
                      </m:sSub>
                      <m:ctrlPr>
                        <w:rPr>
                          <w:rFonts w:ascii="Cambria Math" w:hAnsi="Cambria Math" w:cs="Arial"/>
                          <w:i/>
                          <w:iCs/>
                          <w:sz w:val="20"/>
                          <w:szCs w:val="20"/>
                          <w:lang w:val="en-GB" w:eastAsia="ja-JP"/>
                        </w:rPr>
                      </m:ctrlPr>
                    </m:e>
                  </m:d>
                  <m:r>
                    <w:rPr>
                      <w:rFonts w:ascii="Cambria Math" w:hAnsi="Cambria Math" w:cs="Arial"/>
                      <w:sz w:val="20"/>
                      <w:szCs w:val="20"/>
                      <w:lang w:val="en-GB" w:eastAsia="ja-JP"/>
                    </w:rPr>
                    <m:t>,μ</m:t>
                  </m:r>
                  <m:ctrlPr>
                    <w:rPr>
                      <w:rFonts w:ascii="Cambria Math" w:hAnsi="Cambria Math" w:cs="Arial"/>
                      <w:i/>
                      <w:iCs/>
                      <w:sz w:val="20"/>
                      <w:szCs w:val="20"/>
                      <w:lang w:val="en-GB" w:eastAsia="ja-JP"/>
                    </w:rPr>
                  </m:ctrlPr>
                </m:sup>
              </m:sSubSup>
            </m:oMath>
            <w:r>
              <w:rPr>
                <w:rFonts w:ascii="Arial" w:hAnsi="Arial" w:cs="Arial"/>
                <w:iCs/>
                <w:sz w:val="20"/>
                <w:szCs w:val="20"/>
                <w:lang w:val="en-GB" w:eastAsia="ja-JP"/>
              </w:rPr>
              <w:t xml:space="preserve"> based on a weighting of number of cells with numerology </w:t>
            </w:r>
            <m:oMath>
              <m:r>
                <w:rPr>
                  <w:rFonts w:ascii="Cambria Math" w:hAnsi="Cambria Math" w:cs="Arial"/>
                  <w:sz w:val="20"/>
                  <w:szCs w:val="20"/>
                  <w:lang w:val="en-GB" w:eastAsia="ja-JP"/>
                </w:rPr>
                <m:t>μ</m:t>
              </m:r>
            </m:oMath>
            <w:r>
              <w:rPr>
                <w:rFonts w:ascii="Arial" w:hAnsi="Arial" w:cs="Arial"/>
                <w:iCs/>
                <w:sz w:val="20"/>
                <w:szCs w:val="20"/>
                <w:lang w:val="en-GB" w:eastAsia="ja-JP"/>
              </w:rPr>
              <w:t xml:space="preserve"> among all cells configured </w:t>
            </w:r>
            <w:r>
              <w:rPr>
                <w:rFonts w:ascii="Arial" w:hAnsi="Arial" w:cs="Arial"/>
                <w:sz w:val="20"/>
                <w:szCs w:val="20"/>
                <w:lang w:val="en-GB" w:eastAsia="ja-JP"/>
              </w:rPr>
              <w:t xml:space="preserve">with the same </w:t>
            </w:r>
            <m:oMath>
              <m:sSub>
                <m:sSubPr>
                  <m:ctrlPr>
                    <w:rPr>
                      <w:rFonts w:ascii="Cambria Math" w:hAnsi="Cambria Math"/>
                      <w:i/>
                      <w:lang w:val="en-GB" w:eastAsia="ja-JP"/>
                    </w:rPr>
                  </m:ctrlPr>
                </m:sSubPr>
                <m:e>
                  <m:r>
                    <w:rPr>
                      <w:rFonts w:ascii="Cambria Math" w:hAnsi="Cambria Math"/>
                      <w:lang w:val="en-GB" w:eastAsia="ja-JP"/>
                    </w:rPr>
                    <m:t>X</m:t>
                  </m:r>
                  <m:ctrlPr>
                    <w:rPr>
                      <w:rFonts w:ascii="Cambria Math" w:hAnsi="Cambria Math"/>
                      <w:i/>
                      <w:lang w:val="en-GB" w:eastAsia="ja-JP"/>
                    </w:rPr>
                  </m:ctrlPr>
                </m:e>
                <m:sub>
                  <m:r>
                    <w:rPr>
                      <w:rFonts w:ascii="Cambria Math" w:hAnsi="Cambria Math"/>
                      <w:lang w:val="en-GB" w:eastAsia="ja-JP"/>
                    </w:rPr>
                    <m:t>s</m:t>
                  </m:r>
                  <m:ctrlPr>
                    <w:rPr>
                      <w:rFonts w:ascii="Cambria Math" w:hAnsi="Cambria Math"/>
                      <w:i/>
                      <w:lang w:val="en-GB" w:eastAsia="ja-JP"/>
                    </w:rPr>
                  </m:ctrlPr>
                </m:sub>
              </m:sSub>
            </m:oMath>
            <w:r>
              <w:rPr>
                <w:rFonts w:ascii="Arial" w:hAnsi="Arial" w:cs="Arial"/>
                <w:sz w:val="20"/>
                <w:szCs w:val="20"/>
                <w:lang w:val="en-GB" w:eastAsia="ja-JP"/>
              </w:rPr>
              <w:t xml:space="preserve">. Both quantities are still upper bounded by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M</m:t>
                  </m:r>
                  <m:ctrlPr>
                    <w:rPr>
                      <w:rFonts w:ascii="Cambria Math" w:hAnsi="Cambria Math" w:cs="Arial"/>
                      <w:i/>
                      <w:iCs/>
                      <w:sz w:val="20"/>
                      <w:szCs w:val="20"/>
                      <w:lang w:val="en-GB" w:eastAsia="ja-JP"/>
                    </w:rPr>
                  </m:ctrlPr>
                </m:e>
                <m:sub>
                  <m:r>
                    <w:rPr>
                      <w:rFonts w:ascii="Cambria Math" w:hAnsi="Cambria Math" w:cs="Arial"/>
                      <w:sz w:val="20"/>
                      <w:szCs w:val="20"/>
                      <w:lang w:val="en-GB" w:eastAsia="ja-JP"/>
                    </w:rPr>
                    <m:t>PDCCH</m:t>
                  </m:r>
                  <m:ctrlPr>
                    <w:rPr>
                      <w:rFonts w:ascii="Cambria Math" w:hAnsi="Cambria Math" w:cs="Arial"/>
                      <w:i/>
                      <w:iCs/>
                      <w:sz w:val="20"/>
                      <w:szCs w:val="20"/>
                      <w:lang w:val="en-GB" w:eastAsia="ja-JP"/>
                    </w:rPr>
                  </m:ctrlP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ctrlPr>
                            <w:rPr>
                              <w:rFonts w:ascii="Cambria Math" w:hAnsi="Cambria Math" w:cs="Arial"/>
                              <w:i/>
                              <w:iCs/>
                              <w:sz w:val="20"/>
                              <w:szCs w:val="20"/>
                              <w:lang w:val="en-GB" w:eastAsia="ja-JP"/>
                            </w:rPr>
                          </m:ctrlPr>
                        </m:e>
                        <m:sub>
                          <m:r>
                            <w:rPr>
                              <w:rFonts w:ascii="Cambria Math" w:hAnsi="Cambria Math" w:cs="Arial"/>
                              <w:sz w:val="20"/>
                              <w:szCs w:val="20"/>
                              <w:lang w:val="en-GB" w:eastAsia="ja-JP"/>
                            </w:rPr>
                            <m:t>s</m:t>
                          </m:r>
                          <m:ctrlPr>
                            <w:rPr>
                              <w:rFonts w:ascii="Cambria Math" w:hAnsi="Cambria Math" w:cs="Arial"/>
                              <w:i/>
                              <w:iCs/>
                              <w:sz w:val="20"/>
                              <w:szCs w:val="20"/>
                              <w:lang w:val="en-GB" w:eastAsia="ja-JP"/>
                            </w:rPr>
                          </m:ctrlP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ctrlPr>
                            <w:rPr>
                              <w:rFonts w:ascii="Cambria Math" w:hAnsi="Cambria Math" w:cs="Arial"/>
                              <w:i/>
                              <w:iCs/>
                              <w:sz w:val="20"/>
                              <w:szCs w:val="20"/>
                              <w:lang w:val="en-GB" w:eastAsia="ja-JP"/>
                            </w:rPr>
                          </m:ctrlPr>
                        </m:e>
                        <m:sub>
                          <m:r>
                            <w:rPr>
                              <w:rFonts w:ascii="Cambria Math" w:hAnsi="Cambria Math" w:cs="Arial"/>
                              <w:sz w:val="20"/>
                              <w:szCs w:val="20"/>
                              <w:lang w:val="en-GB" w:eastAsia="ja-JP"/>
                            </w:rPr>
                            <m:t>s</m:t>
                          </m:r>
                          <m:ctrlPr>
                            <w:rPr>
                              <w:rFonts w:ascii="Cambria Math" w:hAnsi="Cambria Math" w:cs="Arial"/>
                              <w:i/>
                              <w:iCs/>
                              <w:sz w:val="20"/>
                              <w:szCs w:val="20"/>
                              <w:lang w:val="en-GB" w:eastAsia="ja-JP"/>
                            </w:rPr>
                          </m:ctrlPr>
                        </m:sub>
                      </m:sSub>
                      <m:ctrlPr>
                        <w:rPr>
                          <w:rFonts w:ascii="Cambria Math" w:hAnsi="Cambria Math" w:cs="Arial"/>
                          <w:i/>
                          <w:iCs/>
                          <w:sz w:val="20"/>
                          <w:szCs w:val="20"/>
                          <w:lang w:val="en-GB" w:eastAsia="ja-JP"/>
                        </w:rPr>
                      </m:ctrlPr>
                    </m:e>
                  </m:d>
                  <m:r>
                    <w:rPr>
                      <w:rFonts w:ascii="Cambria Math" w:hAnsi="Cambria Math" w:cs="Arial"/>
                      <w:sz w:val="20"/>
                      <w:szCs w:val="20"/>
                      <w:lang w:val="en-GB" w:eastAsia="ja-JP"/>
                    </w:rPr>
                    <m:t>,μ</m:t>
                  </m:r>
                  <m:ctrlPr>
                    <w:rPr>
                      <w:rFonts w:ascii="Cambria Math" w:hAnsi="Cambria Math" w:cs="Arial"/>
                      <w:i/>
                      <w:iCs/>
                      <w:sz w:val="20"/>
                      <w:szCs w:val="20"/>
                      <w:lang w:val="en-GB" w:eastAsia="ja-JP"/>
                    </w:rPr>
                  </m:ctrlPr>
                </m:sup>
              </m:sSubSup>
            </m:oMath>
            <w:r>
              <w:rPr>
                <w:rFonts w:ascii="Arial" w:hAnsi="Arial" w:cs="Arial"/>
                <w:iCs/>
                <w:sz w:val="20"/>
                <w:szCs w:val="20"/>
                <w:lang w:val="en-GB" w:eastAsia="ja-JP"/>
              </w:rPr>
              <w:t xml:space="preserve"> and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ctrlPr>
                    <w:rPr>
                      <w:rFonts w:ascii="Cambria Math" w:hAnsi="Cambria Math" w:cs="Arial"/>
                      <w:i/>
                      <w:iCs/>
                      <w:sz w:val="20"/>
                      <w:szCs w:val="20"/>
                      <w:lang w:val="en-GB" w:eastAsia="ja-JP"/>
                    </w:rPr>
                  </m:ctrlPr>
                </m:e>
                <m:sub>
                  <m:r>
                    <w:rPr>
                      <w:rFonts w:ascii="Cambria Math" w:hAnsi="Cambria Math" w:cs="Arial"/>
                      <w:sz w:val="20"/>
                      <w:szCs w:val="20"/>
                      <w:lang w:val="en-GB" w:eastAsia="ja-JP"/>
                    </w:rPr>
                    <m:t>PDCCH</m:t>
                  </m:r>
                  <m:ctrlPr>
                    <w:rPr>
                      <w:rFonts w:ascii="Cambria Math" w:hAnsi="Cambria Math" w:cs="Arial"/>
                      <w:i/>
                      <w:iCs/>
                      <w:sz w:val="20"/>
                      <w:szCs w:val="20"/>
                      <w:lang w:val="en-GB" w:eastAsia="ja-JP"/>
                    </w:rPr>
                  </m:ctrlP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ctrlPr>
                            <w:rPr>
                              <w:rFonts w:ascii="Cambria Math" w:hAnsi="Cambria Math" w:cs="Arial"/>
                              <w:i/>
                              <w:iCs/>
                              <w:sz w:val="20"/>
                              <w:szCs w:val="20"/>
                              <w:lang w:val="en-GB" w:eastAsia="ja-JP"/>
                            </w:rPr>
                          </m:ctrlPr>
                        </m:e>
                        <m:sub>
                          <m:r>
                            <w:rPr>
                              <w:rFonts w:ascii="Cambria Math" w:hAnsi="Cambria Math" w:cs="Arial"/>
                              <w:sz w:val="20"/>
                              <w:szCs w:val="20"/>
                              <w:lang w:val="en-GB" w:eastAsia="ja-JP"/>
                            </w:rPr>
                            <m:t>s</m:t>
                          </m:r>
                          <m:ctrlPr>
                            <w:rPr>
                              <w:rFonts w:ascii="Cambria Math" w:hAnsi="Cambria Math" w:cs="Arial"/>
                              <w:i/>
                              <w:iCs/>
                              <w:sz w:val="20"/>
                              <w:szCs w:val="20"/>
                              <w:lang w:val="en-GB" w:eastAsia="ja-JP"/>
                            </w:rPr>
                          </m:ctrlP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ctrlPr>
                            <w:rPr>
                              <w:rFonts w:ascii="Cambria Math" w:hAnsi="Cambria Math" w:cs="Arial"/>
                              <w:i/>
                              <w:iCs/>
                              <w:sz w:val="20"/>
                              <w:szCs w:val="20"/>
                              <w:lang w:val="en-GB" w:eastAsia="ja-JP"/>
                            </w:rPr>
                          </m:ctrlPr>
                        </m:e>
                        <m:sub>
                          <m:r>
                            <w:rPr>
                              <w:rFonts w:ascii="Cambria Math" w:hAnsi="Cambria Math" w:cs="Arial"/>
                              <w:sz w:val="20"/>
                              <w:szCs w:val="20"/>
                              <w:lang w:val="en-GB" w:eastAsia="ja-JP"/>
                            </w:rPr>
                            <m:t>s</m:t>
                          </m:r>
                          <m:ctrlPr>
                            <w:rPr>
                              <w:rFonts w:ascii="Cambria Math" w:hAnsi="Cambria Math" w:cs="Arial"/>
                              <w:i/>
                              <w:iCs/>
                              <w:sz w:val="20"/>
                              <w:szCs w:val="20"/>
                              <w:lang w:val="en-GB" w:eastAsia="ja-JP"/>
                            </w:rPr>
                          </m:ctrlPr>
                        </m:sub>
                      </m:sSub>
                      <m:ctrlPr>
                        <w:rPr>
                          <w:rFonts w:ascii="Cambria Math" w:hAnsi="Cambria Math" w:cs="Arial"/>
                          <w:i/>
                          <w:iCs/>
                          <w:sz w:val="20"/>
                          <w:szCs w:val="20"/>
                          <w:lang w:val="en-GB" w:eastAsia="ja-JP"/>
                        </w:rPr>
                      </m:ctrlPr>
                    </m:e>
                  </m:d>
                  <m:r>
                    <w:rPr>
                      <w:rFonts w:ascii="Cambria Math" w:hAnsi="Cambria Math" w:cs="Arial"/>
                      <w:sz w:val="20"/>
                      <w:szCs w:val="20"/>
                      <w:lang w:val="en-GB" w:eastAsia="ja-JP"/>
                    </w:rPr>
                    <m:t>,μ</m:t>
                  </m:r>
                  <m:ctrlPr>
                    <w:rPr>
                      <w:rFonts w:ascii="Cambria Math" w:hAnsi="Cambria Math" w:cs="Arial"/>
                      <w:i/>
                      <w:iCs/>
                      <w:sz w:val="20"/>
                      <w:szCs w:val="20"/>
                      <w:lang w:val="en-GB" w:eastAsia="ja-JP"/>
                    </w:rPr>
                  </m:ctrlPr>
                </m:sup>
              </m:sSubSup>
            </m:oMath>
            <w:r>
              <w:rPr>
                <w:rFonts w:ascii="Arial" w:hAnsi="Arial" w:cs="Arial"/>
                <w:iCs/>
                <w:sz w:val="20"/>
                <w:szCs w:val="20"/>
                <w:lang w:val="en-GB" w:eastAsia="ja-JP"/>
              </w:rPr>
              <w:t>, respectively.</w:t>
            </w:r>
          </w:p>
          <w:p>
            <w:pPr>
              <w:widowControl w:val="0"/>
              <w:rPr>
                <w:lang w:val="en-GB" w:eastAsia="ja-JP"/>
              </w:rPr>
            </w:pPr>
            <w:r>
              <w:rPr>
                <w:lang w:val="en-GB" w:eastAsia="ja-JP"/>
              </w:rPr>
              <w:t xml:space="preserve">There is no need to further sub-divide this grouping based on the configuration of </w:t>
            </w:r>
            <m:oMath>
              <m:sSub>
                <m:sSubPr>
                  <m:ctrlPr>
                    <w:rPr>
                      <w:rFonts w:ascii="Cambria Math" w:hAnsi="Cambria Math"/>
                      <w:i/>
                      <w:lang w:val="en-GB" w:eastAsia="ja-JP"/>
                    </w:rPr>
                  </m:ctrlPr>
                </m:sSubPr>
                <m:e>
                  <m:r>
                    <w:rPr>
                      <w:rFonts w:ascii="Cambria Math" w:hAnsi="Cambria Math"/>
                      <w:lang w:val="en-GB" w:eastAsia="ja-JP"/>
                    </w:rPr>
                    <m:t>Y</m:t>
                  </m:r>
                  <m:ctrlPr>
                    <w:rPr>
                      <w:rFonts w:ascii="Cambria Math" w:hAnsi="Cambria Math"/>
                      <w:i/>
                      <w:lang w:val="en-GB" w:eastAsia="ja-JP"/>
                    </w:rPr>
                  </m:ctrlPr>
                </m:e>
                <m:sub>
                  <m:r>
                    <w:rPr>
                      <w:rFonts w:ascii="Cambria Math" w:hAnsi="Cambria Math"/>
                      <w:lang w:val="en-GB" w:eastAsia="ja-JP"/>
                    </w:rPr>
                    <m:t>s</m:t>
                  </m:r>
                  <m:ctrlPr>
                    <w:rPr>
                      <w:rFonts w:ascii="Cambria Math" w:hAnsi="Cambria Math"/>
                      <w:i/>
                      <w:lang w:val="en-GB" w:eastAsia="ja-JP"/>
                    </w:rPr>
                  </m:ctrlPr>
                </m:sub>
              </m:sSub>
            </m:oMath>
            <w:r>
              <w:rPr>
                <w:lang w:val="en-GB" w:eastAsia="ja-JP"/>
              </w:rPr>
              <w:t xml:space="preserve">. Furthermore, conversion of numerology </w:t>
            </w:r>
            <m:oMath>
              <m:r>
                <w:rPr>
                  <w:rFonts w:ascii="Cambria Math" w:hAnsi="Cambria Math"/>
                  <w:lang w:val="en-GB" w:eastAsia="ja-JP"/>
                </w:rPr>
                <m:t>μ</m:t>
              </m:r>
            </m:oMath>
            <w:r>
              <w:rPr>
                <w:lang w:val="en-GB" w:eastAsia="ja-JP"/>
              </w:rPr>
              <w:t xml:space="preserve"> and configuration of </w:t>
            </w:r>
            <m:oMath>
              <m:sSub>
                <m:sSubPr>
                  <m:ctrlPr>
                    <w:rPr>
                      <w:rFonts w:ascii="Cambria Math" w:hAnsi="Cambria Math"/>
                      <w:i/>
                      <w:lang w:val="en-GB" w:eastAsia="ja-JP"/>
                    </w:rPr>
                  </m:ctrlPr>
                </m:sSubPr>
                <m:e>
                  <m:r>
                    <w:rPr>
                      <w:rFonts w:ascii="Cambria Math" w:hAnsi="Cambria Math"/>
                      <w:lang w:val="en-GB" w:eastAsia="ja-JP"/>
                    </w:rPr>
                    <m:t>X</m:t>
                  </m:r>
                  <m:ctrlPr>
                    <w:rPr>
                      <w:rFonts w:ascii="Cambria Math" w:hAnsi="Cambria Math"/>
                      <w:i/>
                      <w:lang w:val="en-GB" w:eastAsia="ja-JP"/>
                    </w:rPr>
                  </m:ctrlPr>
                </m:e>
                <m:sub>
                  <m:r>
                    <w:rPr>
                      <w:rFonts w:ascii="Cambria Math" w:hAnsi="Cambria Math"/>
                      <w:lang w:val="en-GB" w:eastAsia="ja-JP"/>
                    </w:rPr>
                    <m:t>s</m:t>
                  </m:r>
                  <m:ctrlPr>
                    <w:rPr>
                      <w:rFonts w:ascii="Cambria Math" w:hAnsi="Cambria Math"/>
                      <w:i/>
                      <w:lang w:val="en-GB" w:eastAsia="ja-JP"/>
                    </w:rPr>
                  </m:ctrlPr>
                </m:sub>
              </m:sSub>
            </m:oMath>
            <w:r>
              <w:rPr>
                <w:lang w:val="en-GB" w:eastAsia="ja-JP"/>
              </w:rPr>
              <w:t xml:space="preserve"> to equivalent numerology with slot-based monitoring, as proposed by some sources, appears unnecessary optimization that complicates and impedes stabilization and finalization of the Rel-17 specs.</w:t>
            </w:r>
          </w:p>
          <w:p>
            <w:pPr>
              <w:pStyle w:val="212"/>
              <w:widowControl w:val="0"/>
              <w:tabs>
                <w:tab w:val="left" w:pos="1584"/>
                <w:tab w:val="clear" w:pos="2722"/>
              </w:tabs>
              <w:spacing w:before="120" w:after="120" w:line="240" w:lineRule="auto"/>
              <w:jc w:val="both"/>
            </w:pPr>
            <w:r>
              <w:rPr>
                <w:lang w:val="en-GB" w:eastAsia="ja-JP"/>
              </w:rPr>
              <w:t xml:space="preserve">For per-slot group monitoring, </w:t>
            </w:r>
            <m:oMath>
              <m:sSubSup>
                <m:sSubSupPr>
                  <m:ctrlPr>
                    <w:rPr>
                      <w:rFonts w:ascii="Cambria Math" w:hAnsi="Cambria Math"/>
                      <w:iCs/>
                      <w:lang w:val="en-GB" w:eastAsia="ja-JP"/>
                    </w:rPr>
                  </m:ctrlPr>
                </m:sSubSupPr>
                <m:e>
                  <m:r>
                    <m:rPr>
                      <m:sty m:val="bi"/>
                    </m:rPr>
                    <w:rPr>
                      <w:rFonts w:ascii="Cambria Math" w:hAnsi="Cambria Math"/>
                      <w:lang w:val="en-GB" w:eastAsia="ja-JP"/>
                    </w:rPr>
                    <m:t>M</m:t>
                  </m:r>
                  <m:ctrlPr>
                    <w:rPr>
                      <w:rFonts w:ascii="Cambria Math" w:hAnsi="Cambria Math"/>
                      <w:iCs/>
                      <w:lang w:val="en-GB" w:eastAsia="ja-JP"/>
                    </w:rPr>
                  </m:ctrlPr>
                </m:e>
                <m:sub>
                  <m:r>
                    <m:rPr>
                      <m:nor/>
                      <m:sty m:val="p"/>
                    </m:rPr>
                    <w:rPr>
                      <w:iCs/>
                      <w:lang w:val="en-GB" w:eastAsia="ja-JP"/>
                    </w:rPr>
                    <m:t>PDCCH</m:t>
                  </m:r>
                  <m:ctrlPr>
                    <w:rPr>
                      <w:rFonts w:ascii="Cambria Math" w:hAnsi="Cambria Math"/>
                      <w:iCs/>
                      <w:lang w:val="en-GB" w:eastAsia="ja-JP"/>
                    </w:rPr>
                  </m:ctrlPr>
                </m:sub>
                <m:sup>
                  <m:r>
                    <m:rPr>
                      <m:nor/>
                      <m:sty m:val="p"/>
                    </m:rPr>
                    <w:rPr>
                      <w:iCs/>
                      <w:lang w:val="en-GB" w:eastAsia="ja-JP"/>
                    </w:rPr>
                    <m:t>total,(</m:t>
                  </m:r>
                  <m:sSub>
                    <m:sSubPr>
                      <m:ctrlPr>
                        <w:rPr>
                          <w:rFonts w:ascii="Cambria Math" w:hAnsi="Cambria Math"/>
                          <w:iCs/>
                          <w:lang w:val="en-GB" w:eastAsia="ja-JP"/>
                        </w:rPr>
                      </m:ctrlPr>
                    </m:sSubPr>
                    <m:e>
                      <m:r>
                        <m:rPr>
                          <m:sty m:val="b"/>
                        </m:rPr>
                        <w:rPr>
                          <w:rFonts w:ascii="Cambria Math" w:hAnsi="Cambria Math"/>
                          <w:lang w:val="en-GB" w:eastAsia="ja-JP"/>
                        </w:rPr>
                        <m:t>X</m:t>
                      </m:r>
                      <m:ctrlPr>
                        <w:rPr>
                          <w:rFonts w:ascii="Cambria Math" w:hAnsi="Cambria Math"/>
                          <w:iCs/>
                          <w:lang w:val="en-GB" w:eastAsia="ja-JP"/>
                        </w:rPr>
                      </m:ctrlPr>
                    </m:e>
                    <m:sub>
                      <m:r>
                        <m:rPr>
                          <m:sty m:val="b"/>
                        </m:rPr>
                        <w:rPr>
                          <w:rFonts w:ascii="Cambria Math" w:hAnsi="Cambria Math"/>
                          <w:lang w:val="en-GB" w:eastAsia="ja-JP"/>
                        </w:rPr>
                        <m:t>s</m:t>
                      </m:r>
                      <m:ctrlPr>
                        <w:rPr>
                          <w:rFonts w:ascii="Cambria Math" w:hAnsi="Cambria Math"/>
                          <w:iCs/>
                          <w:lang w:val="en-GB" w:eastAsia="ja-JP"/>
                        </w:rPr>
                      </m:ctrlPr>
                    </m:sub>
                  </m:sSub>
                  <m:r>
                    <m:rPr>
                      <m:sty m:val="b"/>
                    </m:rPr>
                    <w:rPr>
                      <w:rFonts w:ascii="Cambria Math" w:hAnsi="Cambria Math"/>
                      <w:lang w:val="en-GB" w:eastAsia="ja-JP"/>
                    </w:rPr>
                    <m:t>,</m:t>
                  </m:r>
                  <m:sSub>
                    <m:sSubPr>
                      <m:ctrlPr>
                        <w:rPr>
                          <w:rFonts w:ascii="Cambria Math" w:hAnsi="Cambria Math"/>
                          <w:iCs/>
                          <w:lang w:val="en-GB" w:eastAsia="ja-JP"/>
                        </w:rPr>
                      </m:ctrlPr>
                    </m:sSubPr>
                    <m:e>
                      <m:r>
                        <m:rPr>
                          <m:sty m:val="b"/>
                        </m:rPr>
                        <w:rPr>
                          <w:rFonts w:ascii="Cambria Math" w:hAnsi="Cambria Math"/>
                          <w:lang w:val="en-GB" w:eastAsia="ja-JP"/>
                        </w:rPr>
                        <m:t>Y</m:t>
                      </m:r>
                      <m:ctrlPr>
                        <w:rPr>
                          <w:rFonts w:ascii="Cambria Math" w:hAnsi="Cambria Math"/>
                          <w:iCs/>
                          <w:lang w:val="en-GB" w:eastAsia="ja-JP"/>
                        </w:rPr>
                      </m:ctrlPr>
                    </m:e>
                    <m:sub>
                      <m:r>
                        <m:rPr>
                          <m:sty m:val="b"/>
                        </m:rPr>
                        <w:rPr>
                          <w:rFonts w:ascii="Cambria Math" w:hAnsi="Cambria Math"/>
                          <w:lang w:val="en-GB" w:eastAsia="ja-JP"/>
                        </w:rPr>
                        <m:t>s</m:t>
                      </m:r>
                      <m:ctrlPr>
                        <w:rPr>
                          <w:rFonts w:ascii="Cambria Math" w:hAnsi="Cambria Math"/>
                          <w:iCs/>
                          <w:lang w:val="en-GB" w:eastAsia="ja-JP"/>
                        </w:rPr>
                      </m:ctrlPr>
                    </m:sub>
                  </m:sSub>
                  <m:r>
                    <m:rPr>
                      <m:nor/>
                      <m:sty m:val="p"/>
                    </m:rPr>
                    <w:rPr>
                      <w:iCs/>
                      <w:lang w:val="en-GB" w:eastAsia="ja-JP"/>
                    </w:rPr>
                    <m:t>),</m:t>
                  </m:r>
                  <m:r>
                    <m:rPr>
                      <m:sty m:val="b"/>
                    </m:rPr>
                    <w:rPr>
                      <w:rFonts w:ascii="Cambria Math" w:hAnsi="Cambria Math"/>
                      <w:lang w:val="en-GB" w:eastAsia="ja-JP"/>
                    </w:rPr>
                    <m:t>μ</m:t>
                  </m:r>
                  <m:ctrlPr>
                    <w:rPr>
                      <w:rFonts w:ascii="Cambria Math" w:hAnsi="Cambria Math"/>
                      <w:iCs/>
                      <w:lang w:val="en-GB" w:eastAsia="ja-JP"/>
                    </w:rPr>
                  </m:ctrlPr>
                </m:sup>
              </m:sSubSup>
              <m:r>
                <m:rPr>
                  <m:sty m:val="bi"/>
                </m:rP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m:rPr>
                      <m:sty m:val="bi"/>
                    </m:rPr>
                    <w:rPr>
                      <w:rFonts w:ascii="Cambria Math" w:hAnsi="Cambria Math"/>
                      <w:lang w:val="en-GB" w:eastAsia="ja-JP"/>
                    </w:rPr>
                    <m:t>C</m:t>
                  </m:r>
                  <m:ctrlPr>
                    <w:rPr>
                      <w:rFonts w:ascii="Cambria Math" w:hAnsi="Cambria Math"/>
                      <w:iCs/>
                      <w:lang w:val="en-GB" w:eastAsia="ja-JP"/>
                    </w:rPr>
                  </m:ctrlPr>
                </m:e>
                <m:sub>
                  <m:r>
                    <m:rPr>
                      <m:nor/>
                      <m:sty m:val="p"/>
                    </m:rPr>
                    <w:rPr>
                      <w:iCs/>
                      <w:lang w:val="en-GB" w:eastAsia="ja-JP"/>
                    </w:rPr>
                    <m:t>PDCCH</m:t>
                  </m:r>
                  <m:ctrlPr>
                    <w:rPr>
                      <w:rFonts w:ascii="Cambria Math" w:hAnsi="Cambria Math"/>
                      <w:iCs/>
                      <w:lang w:val="en-GB" w:eastAsia="ja-JP"/>
                    </w:rPr>
                  </m:ctrlPr>
                </m:sub>
                <m:sup>
                  <m:r>
                    <m:rPr>
                      <m:nor/>
                      <m:sty m:val="p"/>
                    </m:rPr>
                    <w:rPr>
                      <w:iCs/>
                      <w:lang w:val="en-GB" w:eastAsia="ja-JP"/>
                    </w:rPr>
                    <m:t>total,(</m:t>
                  </m:r>
                  <m:sSub>
                    <m:sSubPr>
                      <m:ctrlPr>
                        <w:rPr>
                          <w:rFonts w:ascii="Cambria Math" w:hAnsi="Cambria Math"/>
                          <w:iCs/>
                          <w:lang w:val="en-GB" w:eastAsia="ja-JP"/>
                        </w:rPr>
                      </m:ctrlPr>
                    </m:sSubPr>
                    <m:e>
                      <m:r>
                        <m:rPr>
                          <m:sty m:val="b"/>
                        </m:rPr>
                        <w:rPr>
                          <w:rFonts w:ascii="Cambria Math" w:hAnsi="Cambria Math"/>
                          <w:lang w:val="en-GB" w:eastAsia="ja-JP"/>
                        </w:rPr>
                        <m:t>X</m:t>
                      </m:r>
                      <m:ctrlPr>
                        <w:rPr>
                          <w:rFonts w:ascii="Cambria Math" w:hAnsi="Cambria Math"/>
                          <w:iCs/>
                          <w:lang w:val="en-GB" w:eastAsia="ja-JP"/>
                        </w:rPr>
                      </m:ctrlPr>
                    </m:e>
                    <m:sub>
                      <m:r>
                        <m:rPr>
                          <m:sty m:val="b"/>
                        </m:rPr>
                        <w:rPr>
                          <w:rFonts w:ascii="Cambria Math" w:hAnsi="Cambria Math"/>
                          <w:lang w:val="en-GB" w:eastAsia="ja-JP"/>
                        </w:rPr>
                        <m:t>s</m:t>
                      </m:r>
                      <m:ctrlPr>
                        <w:rPr>
                          <w:rFonts w:ascii="Cambria Math" w:hAnsi="Cambria Math"/>
                          <w:iCs/>
                          <w:lang w:val="en-GB" w:eastAsia="ja-JP"/>
                        </w:rPr>
                      </m:ctrlPr>
                    </m:sub>
                  </m:sSub>
                  <m:r>
                    <m:rPr>
                      <m:sty m:val="b"/>
                    </m:rPr>
                    <w:rPr>
                      <w:rFonts w:ascii="Cambria Math" w:hAnsi="Cambria Math"/>
                      <w:lang w:val="en-GB" w:eastAsia="ja-JP"/>
                    </w:rPr>
                    <m:t>,</m:t>
                  </m:r>
                  <m:sSub>
                    <m:sSubPr>
                      <m:ctrlPr>
                        <w:rPr>
                          <w:rFonts w:ascii="Cambria Math" w:hAnsi="Cambria Math"/>
                          <w:iCs/>
                          <w:lang w:val="en-GB" w:eastAsia="ja-JP"/>
                        </w:rPr>
                      </m:ctrlPr>
                    </m:sSubPr>
                    <m:e>
                      <m:r>
                        <m:rPr>
                          <m:sty m:val="b"/>
                        </m:rPr>
                        <w:rPr>
                          <w:rFonts w:ascii="Cambria Math" w:hAnsi="Cambria Math"/>
                          <w:lang w:val="en-GB" w:eastAsia="ja-JP"/>
                        </w:rPr>
                        <m:t>Y</m:t>
                      </m:r>
                      <m:ctrlPr>
                        <w:rPr>
                          <w:rFonts w:ascii="Cambria Math" w:hAnsi="Cambria Math"/>
                          <w:iCs/>
                          <w:lang w:val="en-GB" w:eastAsia="ja-JP"/>
                        </w:rPr>
                      </m:ctrlPr>
                    </m:e>
                    <m:sub>
                      <m:r>
                        <m:rPr>
                          <m:sty m:val="b"/>
                        </m:rPr>
                        <w:rPr>
                          <w:rFonts w:ascii="Cambria Math" w:hAnsi="Cambria Math"/>
                          <w:lang w:val="en-GB" w:eastAsia="ja-JP"/>
                        </w:rPr>
                        <m:t>s</m:t>
                      </m:r>
                      <m:ctrlPr>
                        <w:rPr>
                          <w:rFonts w:ascii="Cambria Math" w:hAnsi="Cambria Math"/>
                          <w:iCs/>
                          <w:lang w:val="en-GB" w:eastAsia="ja-JP"/>
                        </w:rPr>
                      </m:ctrlPr>
                    </m:sub>
                  </m:sSub>
                  <m:r>
                    <m:rPr>
                      <m:nor/>
                      <m:sty m:val="p"/>
                    </m:rPr>
                    <w:rPr>
                      <w:iCs/>
                      <w:lang w:val="en-GB" w:eastAsia="ja-JP"/>
                    </w:rPr>
                    <m:t>),</m:t>
                  </m:r>
                  <m:r>
                    <m:rPr>
                      <m:sty m:val="b"/>
                    </m:rPr>
                    <w:rPr>
                      <w:rFonts w:ascii="Cambria Math" w:hAnsi="Cambria Math"/>
                      <w:lang w:val="en-GB" w:eastAsia="ja-JP"/>
                    </w:rPr>
                    <m:t>μ</m:t>
                  </m:r>
                  <m:ctrlPr>
                    <w:rPr>
                      <w:rFonts w:ascii="Cambria Math" w:hAnsi="Cambria Math"/>
                      <w:iCs/>
                      <w:lang w:val="en-GB" w:eastAsia="ja-JP"/>
                    </w:rPr>
                  </m:ctrlPr>
                </m:sup>
              </m:sSubSup>
            </m:oMath>
            <w:r>
              <w:rPr>
                <w:rFonts w:eastAsiaTheme="minorEastAsia"/>
                <w:iCs/>
                <w:lang w:val="en-GB" w:eastAsia="ja-JP"/>
              </w:rPr>
              <w:t xml:space="preserve"> should be defined in TS 38.213 following the same </w:t>
            </w:r>
            <w:r>
              <w:rPr>
                <w:lang w:val="en-GB" w:eastAsia="ja-JP"/>
              </w:rPr>
              <w:t xml:space="preserve">PDCCH monitoring capability allocation for carrier aggregation cases for the case of per-slot monitoring, except the grouping is based on numerology </w:t>
            </w:r>
            <m:oMath>
              <m:r>
                <m:rPr>
                  <m:sty m:val="bi"/>
                </m:rPr>
                <w:rPr>
                  <w:rFonts w:ascii="Cambria Math" w:hAnsi="Cambria Math"/>
                  <w:lang w:val="en-GB" w:eastAsia="ja-JP"/>
                </w:rPr>
                <m:t>μ</m:t>
              </m:r>
            </m:oMath>
            <w:r>
              <w:rPr>
                <w:rFonts w:eastAsiaTheme="minorEastAsia"/>
                <w:lang w:val="en-GB" w:eastAsia="ja-JP"/>
              </w:rPr>
              <w:t xml:space="preserve"> and configuration of </w:t>
            </w:r>
            <m:oMath>
              <m:sSub>
                <m:sSubPr>
                  <m:ctrlPr>
                    <w:rPr>
                      <w:rFonts w:ascii="Cambria Math" w:hAnsi="Cambria Math" w:eastAsiaTheme="minorEastAsia"/>
                      <w:i/>
                      <w:lang w:val="en-GB" w:eastAsia="ja-JP"/>
                    </w:rPr>
                  </m:ctrlPr>
                </m:sSubPr>
                <m:e>
                  <m:r>
                    <m:rPr>
                      <m:sty m:val="bi"/>
                    </m:rPr>
                    <w:rPr>
                      <w:rFonts w:ascii="Cambria Math" w:hAnsi="Cambria Math" w:eastAsiaTheme="minorEastAsia"/>
                      <w:lang w:val="en-GB" w:eastAsia="ja-JP"/>
                    </w:rPr>
                    <m:t>X</m:t>
                  </m:r>
                  <m:ctrlPr>
                    <w:rPr>
                      <w:rFonts w:ascii="Cambria Math" w:hAnsi="Cambria Math" w:eastAsiaTheme="minorEastAsia"/>
                      <w:i/>
                      <w:lang w:val="en-GB" w:eastAsia="ja-JP"/>
                    </w:rPr>
                  </m:ctrlPr>
                </m:e>
                <m:sub>
                  <m:r>
                    <m:rPr>
                      <m:sty m:val="bi"/>
                    </m:rPr>
                    <w:rPr>
                      <w:rFonts w:ascii="Cambria Math" w:hAnsi="Cambria Math" w:eastAsiaTheme="minorEastAsia"/>
                      <w:lang w:val="en-GB" w:eastAsia="ja-JP"/>
                    </w:rPr>
                    <m:t>s</m:t>
                  </m:r>
                  <m:ctrlPr>
                    <w:rPr>
                      <w:rFonts w:ascii="Cambria Math" w:hAnsi="Cambria Math" w:eastAsiaTheme="minorEastAsia"/>
                      <w:i/>
                      <w:lang w:val="en-GB" w:eastAsia="ja-JP"/>
                    </w:rPr>
                  </m:ctrlPr>
                </m:sub>
              </m:sSub>
            </m:oMath>
            <w:r>
              <w:rPr>
                <w:lang w:eastAsia="zh-CN"/>
              </w:rPr>
              <w:t>.</w:t>
            </w:r>
          </w:p>
          <w:p>
            <w:pPr>
              <w:widowControl w:val="0"/>
              <w:rPr>
                <w:lang w:val="en-GB"/>
              </w:rPr>
            </w:pPr>
            <w:r>
              <w:rPr>
                <w:lang w:val="en-GB"/>
              </w:rPr>
              <w:t xml:space="preserve">Recommend TP#2 to the spec editor which defines how to allocate the BD/CCE budget to 480/960 kHs SCS cells configured for per-slot group monitoring. Note: this still requires that for cells with SCS </w:t>
            </w:r>
            <w:r>
              <w:rPr>
                <w:rFonts w:cs="Arial"/>
                <w:lang w:val="en-GB"/>
              </w:rPr>
              <w:t>≤</w:t>
            </w:r>
            <w:r>
              <w:rPr>
                <w:lang w:val="en-GB"/>
              </w:rPr>
              <w:t xml:space="preserve"> 120 kHz configured for per-slot or per-span monitoring, adjustment of the Rel-15/16 allocation formulas will be needed.</w:t>
            </w:r>
          </w:p>
          <w:p>
            <w:pPr>
              <w:widowControl w:val="0"/>
              <w:rPr>
                <w:lang w:val="en-GB" w:eastAsia="ja-JP"/>
              </w:rPr>
            </w:pPr>
          </w:p>
          <w:p>
            <w:pPr>
              <w:pStyle w:val="227"/>
              <w:widowControl w:val="0"/>
              <w:tabs>
                <w:tab w:val="clear" w:pos="1304"/>
              </w:tabs>
              <w:rPr>
                <w:lang w:val="en-GB"/>
              </w:rPr>
            </w:pPr>
            <w:r>
              <w:rPr>
                <w:lang w:val="en-GB"/>
              </w:rPr>
              <w:t>It is not needed to specify that within a group of Xs slots, the UE is not be expected to process information from more than one DCI format with CRC scrambled by a given RNTI associated with Group (2) SSs, i.e., SI-RNTI, P-RNTI, RA-RNTI, MsgB-RNTI.</w:t>
            </w:r>
          </w:p>
          <w:p>
            <w:pPr>
              <w:pStyle w:val="212"/>
              <w:widowControl w:val="0"/>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lang w:val="en-GB"/>
              </w:rPr>
            </w:pPr>
          </w:p>
        </w:tc>
      </w:tr>
    </w:tbl>
    <w:p>
      <w:pPr>
        <w:rPr>
          <w:lang w:val="en-GB" w:eastAsia="zh-CN"/>
        </w:rPr>
      </w:pPr>
    </w:p>
    <w:p>
      <w:pPr>
        <w:pStyle w:val="4"/>
      </w:pPr>
      <w:r>
        <w:t>R1-2201765 (Apple)</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i/>
                <w:iCs/>
              </w:rPr>
            </w:pPr>
            <w:r>
              <w:rPr>
                <w:b/>
                <w:bCs/>
                <w:i/>
                <w:iCs/>
                <w:lang w:val="en-GB"/>
              </w:rPr>
              <w:t xml:space="preserve">Proposal 4: </w:t>
            </w:r>
            <w:r>
              <w:rPr>
                <w:i/>
                <w:iCs/>
              </w:rPr>
              <w:t>Accept the working assumption Based on the working assumption, t</w:t>
            </w:r>
            <w:r>
              <w:rPr>
                <w:rFonts w:ascii="Times" w:hAnsi="Times" w:eastAsia="Batang"/>
                <w:i/>
                <w:iCs/>
                <w:lang w:val="en-GB"/>
              </w:rPr>
              <w:t>he BD/CCE budget for</w:t>
            </w:r>
            <w:r>
              <w:rPr>
                <w:i/>
                <w:iCs/>
              </w:rPr>
              <w:t xml:space="preserve"> X = 4 with 960 kHz, ie. (X,Y) = {</w:t>
            </w:r>
            <w:r>
              <w:rPr>
                <w:rFonts w:ascii="Times" w:hAnsi="Times" w:eastAsia="Batang"/>
                <w:i/>
                <w:iCs/>
                <w:lang w:val="en-GB"/>
              </w:rPr>
              <w:t>(4,2), (4,1)</w:t>
            </w:r>
            <w:r>
              <w:rPr>
                <w:i/>
                <w:iCs/>
              </w:rPr>
              <w:t>}</w:t>
            </w:r>
            <w:r>
              <w:rPr>
                <w:rFonts w:ascii="Times" w:hAnsi="Times" w:eastAsia="Batang"/>
                <w:i/>
                <w:iCs/>
                <w:lang w:val="en-GB"/>
              </w:rPr>
              <w:t xml:space="preserve"> is half that of X=8</w:t>
            </w:r>
            <w:r>
              <w:rPr>
                <w:i/>
                <w:iCs/>
              </w:rPr>
              <w:t xml:space="preserve"> i.e. BD/CCE = 10/16.</w:t>
            </w:r>
          </w:p>
          <w:p>
            <w:pPr>
              <w:pStyle w:val="82"/>
              <w:widowControl w:val="0"/>
              <w:numPr>
                <w:ilvl w:val="0"/>
                <w:numId w:val="72"/>
              </w:numPr>
              <w:spacing w:line="240" w:lineRule="auto"/>
              <w:jc w:val="both"/>
              <w:rPr>
                <w:b/>
                <w:bCs/>
                <w:i/>
                <w:iCs/>
              </w:rPr>
            </w:pPr>
            <w:r>
              <w:rPr>
                <w:i/>
                <w:iCs/>
              </w:rPr>
              <w:t>The gNB should configure the aggregation levels to match the CCE budget e.g. only AL 4 and 8 allowed.</w:t>
            </w:r>
          </w:p>
          <w:p>
            <w:pPr>
              <w:widowControl w:val="0"/>
              <w:jc w:val="both"/>
              <w:rPr>
                <w:b/>
                <w:u w:val="single"/>
              </w:rPr>
            </w:pPr>
          </w:p>
          <w:p>
            <w:pPr>
              <w:widowControl w:val="0"/>
              <w:jc w:val="both"/>
              <w:rPr>
                <w:i/>
                <w:iCs/>
                <w:lang w:val="en-GB"/>
              </w:rPr>
            </w:pPr>
            <w:r>
              <w:rPr>
                <w:b/>
                <w:bCs/>
                <w:i/>
                <w:iCs/>
              </w:rPr>
              <w:t>Proposal 5:</w:t>
            </w:r>
            <w:r>
              <w:rPr>
                <w:i/>
                <w:iCs/>
              </w:rPr>
              <w:t xml:space="preserve"> </w:t>
            </w:r>
            <w:r>
              <w:rPr>
                <w:i/>
                <w:iCs/>
                <w:lang w:val="en-GB"/>
              </w:rPr>
              <w:t xml:space="preserve">If a UE is provided </w:t>
            </w:r>
          </w:p>
          <w:p>
            <w:pPr>
              <w:widowControl w:val="0"/>
              <w:jc w:val="both"/>
              <w:rPr>
                <w:i/>
                <w:iCs/>
              </w:rPr>
            </w:pPr>
            <w:r>
              <w:rPr>
                <w:i/>
                <w:iCs/>
              </w:rPr>
              <w:t>-</w:t>
            </w:r>
            <w:r>
              <w:rPr>
                <w:i/>
                <w:iCs/>
              </w:rPr>
              <w:tab/>
            </w:r>
            <w:r>
              <w:rPr>
                <w:i/>
                <w:iCs/>
              </w:rPr>
              <w:t xml:space="preserve">one or more search space sets by corresponding one or more of searchSpaceZero, searchSpaceSIB1, searchSpaceOtherSystemInformation, pagingSearchSpace, or ra-SearchSpace, or a CSS set by PDCCH-Config, and </w:t>
            </w:r>
          </w:p>
          <w:p>
            <w:pPr>
              <w:widowControl w:val="0"/>
              <w:jc w:val="both"/>
              <w:rPr>
                <w:i/>
                <w:iCs/>
                <w:lang w:val="it-IT"/>
              </w:rPr>
            </w:pPr>
            <w:r>
              <w:rPr>
                <w:i/>
                <w:iCs/>
                <w:lang w:val="it-IT"/>
              </w:rPr>
              <w:t>-</w:t>
            </w:r>
            <w:r>
              <w:rPr>
                <w:i/>
                <w:iCs/>
                <w:lang w:val="it-IT"/>
              </w:rPr>
              <w:tab/>
            </w:r>
            <w:r>
              <w:rPr>
                <w:i/>
                <w:iCs/>
                <w:lang w:val="it-IT"/>
              </w:rPr>
              <w:t>a SI-RNTI, a P-RNTI, a RA-RNTI, a MsgB-RNTI, a SFI-RNTI,</w:t>
            </w:r>
          </w:p>
          <w:p>
            <w:pPr>
              <w:widowControl w:val="0"/>
              <w:jc w:val="both"/>
              <w:rPr>
                <w:i/>
                <w:iCs/>
              </w:rPr>
            </w:pPr>
            <w:r>
              <w:rPr>
                <w:i/>
                <w:iCs/>
              </w:rPr>
              <w:t>then, for a RNTI from any of these RNTIs, the UE does not expect to process information from more than one DCI format with CRC scrambled with the RNTI per multi-slot</w:t>
            </w:r>
          </w:p>
          <w:p>
            <w:pPr>
              <w:widowControl w:val="0"/>
              <w:jc w:val="both"/>
              <w:rPr>
                <w:bCs/>
              </w:rPr>
            </w:pPr>
          </w:p>
          <w:p>
            <w:pPr>
              <w:widowControl w:val="0"/>
              <w:jc w:val="both"/>
              <w:rPr>
                <w:i/>
                <w:iCs/>
              </w:rPr>
            </w:pPr>
            <w:r>
              <w:rPr>
                <w:b/>
                <w:bCs/>
                <w:i/>
                <w:iCs/>
              </w:rPr>
              <w:t>Proposal 7:</w:t>
            </w:r>
            <w:r>
              <w:rPr>
                <w:i/>
                <w:iCs/>
              </w:rPr>
              <w:t xml:space="preserve"> Additional dropping rules for PDCCH multi-slot monitoring should be defined to limit back-to-back SS monitoring between Group 1 and Group 2 SSs across multiple slot-groups. A window-based approach around the CSS maybe considered to determine whether or not a USS monitoring occasion is dropped or not for PDCCH monitoring</w:t>
            </w:r>
          </w:p>
          <w:p>
            <w:pPr>
              <w:widowControl w:val="0"/>
              <w:jc w:val="both"/>
              <w:rPr>
                <w:bCs/>
              </w:rPr>
            </w:pPr>
          </w:p>
          <w:p>
            <w:pPr>
              <w:widowControl w:val="0"/>
              <w:jc w:val="both"/>
              <w:rPr>
                <w:i/>
                <w:iCs/>
              </w:rPr>
            </w:pPr>
            <w:r>
              <w:rPr>
                <w:b/>
                <w:bCs/>
                <w:i/>
                <w:iCs/>
              </w:rPr>
              <w:t>Proposal 11:</w:t>
            </w:r>
            <w:r>
              <w:rPr>
                <w:i/>
                <w:iCs/>
              </w:rPr>
              <w:t xml:space="preserve"> Within a group of serving cells with multi-slot-based capability, the serving cells with the same SCS and Xs value are grouped together to follow a total BD/CCE budget</w:t>
            </w:r>
          </w:p>
          <w:p>
            <w:pPr>
              <w:widowControl w:val="0"/>
              <w:jc w:val="both"/>
              <w:rPr>
                <w:b/>
                <w:u w:val="single"/>
              </w:rPr>
            </w:pPr>
          </w:p>
        </w:tc>
      </w:tr>
    </w:tbl>
    <w:p>
      <w:pPr>
        <w:rPr>
          <w:lang w:eastAsia="zh-CN"/>
        </w:rPr>
      </w:pPr>
    </w:p>
    <w:p>
      <w:pPr>
        <w:rPr>
          <w:lang w:eastAsia="zh-CN"/>
        </w:rPr>
      </w:pPr>
    </w:p>
    <w:p>
      <w:pPr>
        <w:pStyle w:val="4"/>
      </w:pPr>
      <w:r>
        <w:t>R1-2201914 (Xiaomi)</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lang w:eastAsia="zh-CN"/>
              </w:rPr>
            </w:pPr>
            <w:r>
              <w:rPr>
                <w:lang w:eastAsia="zh-CN"/>
              </w:rPr>
              <w:t>From previous agreement, UE has a mandatory PDCCH monitoring capability and can also report an optionally supported capability to gNB. S</w:t>
            </w:r>
            <w:r>
              <w:rPr>
                <w:rFonts w:hint="eastAsia"/>
                <w:lang w:eastAsia="zh-CN"/>
              </w:rPr>
              <w:t>o</w:t>
            </w:r>
            <w:r>
              <w:rPr>
                <w:lang w:eastAsia="zh-CN"/>
              </w:rPr>
              <w:t xml:space="preserve"> it would be possible that gNB</w:t>
            </w:r>
            <w:r>
              <w:rPr>
                <w:rFonts w:hint="eastAsia"/>
                <w:lang w:eastAsia="zh-CN"/>
              </w:rPr>
              <w:t xml:space="preserve"> may</w:t>
            </w:r>
            <w:r>
              <w:rPr>
                <w:lang w:eastAsia="zh-CN"/>
              </w:rPr>
              <w:t xml:space="preserve"> configure optional PDCCH monitoring capability on some serving cells but leave other cells with mandatory capapbility. And there can be different SCS on different serving cells, so the applied multi-slot PDCCH monitoring capability can also be different. From our point of view, since we have very few time left, it is more preferred not to do PDCCH monitoring capability sharing among multiple serving cells. When UE is configured with multiple serving cells, within each serving cell, UE apply multi-slot PDCCH monitoring capability for a single serving cell independently. </w:t>
            </w:r>
          </w:p>
          <w:p>
            <w:pPr>
              <w:widowControl w:val="0"/>
              <w:jc w:val="both"/>
              <w:rPr>
                <w:lang w:eastAsia="zh-CN"/>
              </w:rPr>
            </w:pPr>
            <w:r>
              <w:rPr>
                <w:b/>
                <w:i/>
                <w:lang w:eastAsia="zh-CN"/>
              </w:rPr>
              <w:t>Proposal 1: When UE is configured with multiple serving cells, within each serving cell, UE apply multi-slot PDCCH monitoring capability</w:t>
            </w:r>
            <w:r>
              <w:t xml:space="preserve"> </w:t>
            </w:r>
            <w:r>
              <w:rPr>
                <w:b/>
                <w:i/>
                <w:lang w:eastAsia="zh-CN"/>
              </w:rPr>
              <w:t>for a single serving cell independently.</w:t>
            </w:r>
          </w:p>
          <w:p>
            <w:pPr>
              <w:widowControl w:val="0"/>
              <w:jc w:val="both"/>
              <w:rPr>
                <w:lang w:eastAsia="zh-CN"/>
              </w:rPr>
            </w:pPr>
            <w:r>
              <w:rPr>
                <w:lang w:eastAsia="zh-CN"/>
              </w:rPr>
              <w:t>Related TP can be as follows,</w:t>
            </w:r>
          </w:p>
          <w:p>
            <w:pPr>
              <w:widowControl w:val="0"/>
              <w:spacing w:before="240" w:beforeLines="100"/>
              <w:rPr>
                <w:b/>
                <w:sz w:val="24"/>
                <w:lang w:eastAsia="zh-CN"/>
              </w:rPr>
            </w:pPr>
            <w:bookmarkStart w:id="94" w:name="OLE_LINK27"/>
            <w:bookmarkStart w:id="95" w:name="OLE_LINK28"/>
            <w:r>
              <w:rPr>
                <w:b/>
                <w:sz w:val="24"/>
                <w:lang w:eastAsia="zh-CN"/>
              </w:rPr>
              <w:t>TP#1 for TS 38.213 Clause 10</w:t>
            </w:r>
          </w:p>
          <w:p>
            <w:pPr>
              <w:widowControl w:val="0"/>
              <w:rPr>
                <w:lang w:eastAsia="zh-CN"/>
              </w:rPr>
            </w:pPr>
            <w:r>
              <w:rPr>
                <w:lang w:eastAsia="zh-CN"/>
              </w:rPr>
              <w:t>============================= Unchanged part omitted =========================================</w:t>
            </w:r>
          </w:p>
          <w:p>
            <w:pPr>
              <w:widowControl w:val="0"/>
              <w:rPr>
                <w:b/>
                <w:sz w:val="28"/>
                <w:szCs w:val="28"/>
                <w:lang w:eastAsia="zh-CN"/>
              </w:rPr>
            </w:pPr>
            <w:r>
              <w:rPr>
                <w:b/>
                <w:sz w:val="28"/>
                <w:szCs w:val="28"/>
              </w:rPr>
              <w:t>10</w:t>
            </w:r>
            <w:r>
              <w:rPr>
                <w:rFonts w:hint="eastAsia"/>
                <w:b/>
                <w:sz w:val="28"/>
                <w:szCs w:val="28"/>
              </w:rPr>
              <w:tab/>
            </w:r>
            <w:r>
              <w:rPr>
                <w:b/>
                <w:sz w:val="28"/>
                <w:szCs w:val="28"/>
              </w:rPr>
              <w:tab/>
            </w:r>
            <w:r>
              <w:rPr>
                <w:b/>
                <w:sz w:val="28"/>
                <w:szCs w:val="28"/>
              </w:rPr>
              <w:t>UE procedure for receiving control information</w:t>
            </w:r>
          </w:p>
          <w:p>
            <w:pPr>
              <w:widowControl w:val="0"/>
            </w:pPr>
            <w:r>
              <w:t xml:space="preserve">If the UE is configured with a SCG, the UE shall apply the procedures described in this clause for both MCG and SCG </w:t>
            </w:r>
            <w:r>
              <w:rPr>
                <w:rFonts w:eastAsia="Yu Mincho"/>
              </w:rPr>
              <w:t>except for PDCCH monitoring in Type0/0A/2-PDCCH CSS sets where the UE is not required to apply the procedures in this clause for the SCG</w:t>
            </w:r>
          </w:p>
          <w:p>
            <w:pPr>
              <w:pStyle w:val="103"/>
              <w:widowControl w:val="0"/>
            </w:pPr>
            <w:r>
              <w:t>-</w:t>
            </w:r>
            <w:r>
              <w:tab/>
            </w:r>
            <w:r>
              <w:t xml:space="preserve">When the procedures are applied for MCG, the terms </w:t>
            </w:r>
            <w:r>
              <w:rPr>
                <w:lang w:val="en-US"/>
              </w:rPr>
              <w:t>'secondary cell', 'secondary cells'</w:t>
            </w:r>
            <w:r>
              <w:t xml:space="preserve"> </w:t>
            </w:r>
            <w:r>
              <w:rPr>
                <w:lang w:val="en-US"/>
              </w:rPr>
              <w:t xml:space="preserve">, </w:t>
            </w:r>
            <w:r>
              <w:t>'serving cell'</w:t>
            </w:r>
            <w:r>
              <w:rPr>
                <w:lang w:val="en-US"/>
              </w:rPr>
              <w:t xml:space="preserve">, </w:t>
            </w:r>
            <w:r>
              <w:t xml:space="preserve">'serving cells' in this clause refer to </w:t>
            </w:r>
            <w:r>
              <w:rPr>
                <w:lang w:val="en-US"/>
              </w:rPr>
              <w:t xml:space="preserve">secondary cell, secondary cells, </w:t>
            </w:r>
            <w:r>
              <w:t>serving cell</w:t>
            </w:r>
            <w:r>
              <w:rPr>
                <w:lang w:val="en-US"/>
              </w:rPr>
              <w:t xml:space="preserve">, </w:t>
            </w:r>
            <w:r>
              <w:t>serving cells belonging to the MCG</w:t>
            </w:r>
            <w:r>
              <w:rPr>
                <w:lang w:val="en-US"/>
              </w:rPr>
              <w:t xml:space="preserve"> respectively</w:t>
            </w:r>
            <w:r>
              <w:t>.</w:t>
            </w:r>
          </w:p>
          <w:p>
            <w:pPr>
              <w:pStyle w:val="103"/>
              <w:widowControl w:val="0"/>
            </w:pPr>
            <w:r>
              <w:t>-</w:t>
            </w:r>
            <w:r>
              <w:tab/>
            </w:r>
            <w:r>
              <w:t xml:space="preserve">When the procedures are applied for SCG, the terms </w:t>
            </w:r>
            <w:r>
              <w:rPr>
                <w:lang w:val="en-US"/>
              </w:rPr>
              <w:t>'secondary cell', 'secondary cells',</w:t>
            </w:r>
            <w:r>
              <w:t xml:space="preserve"> 'serving cell'</w:t>
            </w:r>
            <w:r>
              <w:rPr>
                <w:lang w:val="en-US"/>
              </w:rPr>
              <w:t xml:space="preserve">, </w:t>
            </w:r>
            <w:r>
              <w:t xml:space="preserve">'serving cells' in this clause refer to </w:t>
            </w:r>
            <w:r>
              <w:rPr>
                <w:lang w:val="en-US"/>
              </w:rPr>
              <w:t xml:space="preserve">secondary cell, secondary cells (not including PSCell), </w:t>
            </w:r>
            <w:r>
              <w:t>serving cell</w:t>
            </w:r>
            <w:r>
              <w:rPr>
                <w:lang w:val="en-US"/>
              </w:rPr>
              <w:t xml:space="preserve">, </w:t>
            </w:r>
            <w:r>
              <w:t>serving cells belonging to the SCG</w:t>
            </w:r>
            <w:r>
              <w:rPr>
                <w:lang w:val="en-US"/>
              </w:rPr>
              <w:t xml:space="preserve"> respectively</w:t>
            </w:r>
            <w:r>
              <w:t>. The term 'primary cell' in this clause refers to the PSCell of the SCG.</w:t>
            </w:r>
          </w:p>
          <w:p>
            <w:pPr>
              <w:widowControl w:val="0"/>
            </w:pPr>
            <w:r>
              <w:t>A UE monitors a set of PDCCH candidates in one or more CORESETs on the active DL BWP on each activated serving cell configured with PDCCH monitoring according to corresponding search space sets where monitoring implies decoding each PDCCH candidate according to the monitored DCI formats.</w:t>
            </w:r>
          </w:p>
          <w:p>
            <w:pPr>
              <w:widowControl w:val="0"/>
            </w:pPr>
            <w:r>
              <w:t xml:space="preserve">If a UE is provided </w:t>
            </w:r>
            <w:r>
              <w:rPr>
                <w:i/>
              </w:rPr>
              <w:t>monitoringCapabilityConfig</w:t>
            </w:r>
            <w:r>
              <w:t xml:space="preserve"> for a serving cell, the UE obtains an indication to monitor PDCCH on the serving cell for a maximum number of PDCCH candidates and non-overlapping CCEs </w:t>
            </w:r>
          </w:p>
          <w:p>
            <w:pPr>
              <w:pStyle w:val="103"/>
              <w:widowControl w:val="0"/>
              <w:rPr>
                <w:lang w:val="en-US"/>
              </w:rPr>
            </w:pPr>
            <w:r>
              <w:t>-</w:t>
            </w:r>
            <w:r>
              <w:tab/>
            </w:r>
            <w:r>
              <w:rPr>
                <w:lang w:val="en-US"/>
              </w:rPr>
              <w:t xml:space="preserve">per slot, as in Tables 10.1-2 and 10.1-3, </w:t>
            </w:r>
            <w:r>
              <w:rPr>
                <w:szCs w:val="22"/>
              </w:rPr>
              <w:t xml:space="preserve">if </w:t>
            </w:r>
            <w:r>
              <w:rPr>
                <w:i/>
                <w:lang w:val="en-US"/>
              </w:rPr>
              <w:t>monitoringCapabilityConfig</w:t>
            </w:r>
            <w:r>
              <w:rPr>
                <w:szCs w:val="22"/>
              </w:rPr>
              <w:t xml:space="preserve"> </w:t>
            </w:r>
            <w:r>
              <w:rPr>
                <w:szCs w:val="22"/>
                <w:lang w:val="en-US"/>
              </w:rPr>
              <w:t>=</w:t>
            </w:r>
            <w:r>
              <w:rPr>
                <w:szCs w:val="22"/>
              </w:rPr>
              <w:t xml:space="preserve"> </w:t>
            </w:r>
            <w:r>
              <w:rPr>
                <w:i/>
              </w:rPr>
              <w:t>r1</w:t>
            </w:r>
            <w:r>
              <w:rPr>
                <w:i/>
                <w:lang w:val="en-US"/>
              </w:rPr>
              <w:t>5</w:t>
            </w:r>
            <w:r>
              <w:rPr>
                <w:i/>
              </w:rPr>
              <w:t>monitoringcapability</w:t>
            </w:r>
            <w:r>
              <w:rPr>
                <w:szCs w:val="22"/>
                <w:lang w:val="en-US"/>
              </w:rPr>
              <w:t xml:space="preserve">, </w:t>
            </w:r>
            <w:r>
              <w:rPr>
                <w:lang w:val="en-US"/>
              </w:rPr>
              <w:t xml:space="preserve">or </w:t>
            </w:r>
          </w:p>
          <w:p>
            <w:pPr>
              <w:pStyle w:val="103"/>
              <w:widowControl w:val="0"/>
              <w:rPr>
                <w:i/>
              </w:rPr>
            </w:pPr>
            <w:r>
              <w:t>-</w:t>
            </w:r>
            <w:r>
              <w:tab/>
            </w:r>
            <w:r>
              <w:rPr>
                <w:lang w:val="en-US"/>
              </w:rPr>
              <w:t xml:space="preserve">per span, as in Tables 10.1-2A and 10.1-3A, </w:t>
            </w:r>
            <w:r>
              <w:rPr>
                <w:szCs w:val="22"/>
              </w:rPr>
              <w:t xml:space="preserve">if </w:t>
            </w:r>
            <w:r>
              <w:rPr>
                <w:i/>
                <w:lang w:val="en-US"/>
              </w:rPr>
              <w:t>monitoringCapabilityConfig</w:t>
            </w:r>
            <w:r>
              <w:rPr>
                <w:szCs w:val="22"/>
              </w:rPr>
              <w:t xml:space="preserve"> </w:t>
            </w:r>
            <w:r>
              <w:rPr>
                <w:szCs w:val="22"/>
                <w:lang w:val="en-US"/>
              </w:rPr>
              <w:t>=</w:t>
            </w:r>
            <w:r>
              <w:rPr>
                <w:szCs w:val="22"/>
              </w:rPr>
              <w:t xml:space="preserve"> </w:t>
            </w:r>
            <w:r>
              <w:rPr>
                <w:i/>
              </w:rPr>
              <w:t>r16monitoringcapability</w:t>
            </w:r>
          </w:p>
          <w:p>
            <w:pPr>
              <w:pStyle w:val="103"/>
              <w:widowControl w:val="0"/>
              <w:rPr>
                <w:lang w:val="en-US" w:eastAsia="zh-CN"/>
              </w:rPr>
            </w:pPr>
            <w:ins w:id="991" w:author="Fu Ting" w:date="2022-01-05T12:00:00Z">
              <w:r>
                <w:rPr>
                  <w:rFonts w:hint="eastAsia"/>
                  <w:lang w:val="en-US" w:eastAsia="zh-CN"/>
                </w:rPr>
                <w:t>-</w:t>
              </w:r>
            </w:ins>
            <w:ins w:id="992" w:author="Fu Ting" w:date="2022-01-05T12:00:00Z">
              <w:r>
                <w:rPr>
                  <w:lang w:val="en-US" w:eastAsia="zh-CN"/>
                </w:rPr>
                <w:tab/>
              </w:r>
            </w:ins>
            <w:ins w:id="993" w:author="Fu Ting" w:date="2022-01-05T12:00:00Z">
              <w:r>
                <w:rPr>
                  <w:lang w:val="en-US" w:eastAsia="zh-CN"/>
                </w:rPr>
                <w:t xml:space="preserve">per multi-slot, as in </w:t>
              </w:r>
            </w:ins>
            <w:ins w:id="994" w:author="Fu Ting" w:date="2022-01-05T12:01:00Z">
              <w:r>
                <w:rPr>
                  <w:lang w:val="en-US"/>
                </w:rPr>
                <w:t xml:space="preserve">Tables [xxx,TBD], </w:t>
              </w:r>
            </w:ins>
            <w:ins w:id="995" w:author="Fu Ting" w:date="2022-01-05T12:01:00Z">
              <w:r>
                <w:rPr>
                  <w:rFonts w:hint="eastAsia"/>
                  <w:lang w:val="en-US" w:eastAsia="zh-CN"/>
                </w:rPr>
                <w:t>if</w:t>
              </w:r>
            </w:ins>
            <w:ins w:id="996" w:author="Fu Ting" w:date="2022-01-05T12:01:00Z">
              <w:r>
                <w:rPr>
                  <w:lang w:val="en-US" w:eastAsia="zh-CN"/>
                </w:rPr>
                <w:t xml:space="preserve"> </w:t>
              </w:r>
            </w:ins>
            <w:ins w:id="997" w:author="Fu Ting" w:date="2022-01-05T12:01:00Z">
              <w:r>
                <w:rPr>
                  <w:i/>
                  <w:lang w:val="en-US"/>
                </w:rPr>
                <w:t>monitoringCapabilityConfig</w:t>
              </w:r>
            </w:ins>
            <w:ins w:id="998" w:author="Fu Ting" w:date="2022-01-05T12:01:00Z">
              <w:r>
                <w:rPr>
                  <w:szCs w:val="22"/>
                </w:rPr>
                <w:t xml:space="preserve"> </w:t>
              </w:r>
            </w:ins>
            <w:ins w:id="999" w:author="Fu Ting" w:date="2022-01-05T12:01:00Z">
              <w:r>
                <w:rPr>
                  <w:szCs w:val="22"/>
                  <w:lang w:val="en-US"/>
                </w:rPr>
                <w:t>=</w:t>
              </w:r>
            </w:ins>
            <w:ins w:id="1000" w:author="Fu Ting" w:date="2022-01-05T12:01:00Z">
              <w:r>
                <w:rPr>
                  <w:szCs w:val="22"/>
                </w:rPr>
                <w:t xml:space="preserve"> </w:t>
              </w:r>
            </w:ins>
            <w:ins w:id="1001" w:author="Fu Ting" w:date="2022-01-05T12:01:00Z">
              <w:r>
                <w:rPr>
                  <w:i/>
                </w:rPr>
                <w:t>r17monitoringcapability</w:t>
              </w:r>
            </w:ins>
          </w:p>
          <w:p>
            <w:pPr>
              <w:widowControl w:val="0"/>
              <w:rPr>
                <w:ins w:id="1002" w:author="Fu Ting" w:date="2022-01-05T12:07:00Z"/>
                <w:lang w:eastAsia="zh-CN"/>
              </w:rPr>
            </w:pPr>
            <w:ins w:id="1003" w:author="Fu Ting" w:date="2022-01-05T12:02:00Z">
              <w:r>
                <w:rPr>
                  <w:rFonts w:hint="eastAsia"/>
                  <w:lang w:eastAsia="zh-CN"/>
                </w:rPr>
                <w:t>For</w:t>
              </w:r>
            </w:ins>
            <w:ins w:id="1004" w:author="Fu Ting" w:date="2022-01-05T12:02:00Z">
              <w:r>
                <w:rPr>
                  <w:lang w:eastAsia="zh-CN"/>
                </w:rPr>
                <w:t xml:space="preserve"> FR1 and FR2-1, if</w:t>
              </w:r>
            </w:ins>
            <w:del w:id="1005" w:author="Fu Ting" w:date="2022-01-05T12:02:00Z">
              <w:r>
                <w:rPr/>
                <w:delText>If</w:delText>
              </w:r>
            </w:del>
            <w:r>
              <w:t xml:space="preserve"> the UE is not provided </w:t>
            </w:r>
            <w:r>
              <w:rPr>
                <w:i/>
              </w:rPr>
              <w:t>monitoringCapabilityConfig</w:t>
            </w:r>
            <w:r>
              <w:t xml:space="preserve">, the UE monitors PDCCH on the serving cell for a maximum number of PDCCH candidates and non-overlapping CCEs per slot. </w:t>
            </w:r>
            <w:ins w:id="1006" w:author="Fu Ting" w:date="2022-01-05T12:02:00Z">
              <w:r>
                <w:rPr/>
                <w:t xml:space="preserve">For </w:t>
              </w:r>
            </w:ins>
            <w:ins w:id="1007" w:author="Fu Ting" w:date="2022-01-05T12:03:00Z">
              <w:r>
                <w:rPr>
                  <w:lang w:eastAsia="zh-CN"/>
                </w:rPr>
                <w:t>FR2-2, if</w:t>
              </w:r>
            </w:ins>
            <w:ins w:id="1008" w:author="Fu Ting" w:date="2022-01-05T12:03:00Z">
              <w:r>
                <w:rPr/>
                <w:t xml:space="preserve"> the UE is not provided </w:t>
              </w:r>
            </w:ins>
            <w:ins w:id="1009" w:author="Fu Ting" w:date="2022-01-05T12:03:00Z">
              <w:r>
                <w:rPr>
                  <w:i/>
                </w:rPr>
                <w:t>monitoringCapabilityConfig</w:t>
              </w:r>
            </w:ins>
            <w:ins w:id="1010" w:author="Fu Ting" w:date="2022-01-05T12:03:00Z">
              <w:r>
                <w:rPr/>
                <w:t xml:space="preserve">, the UE monitors PDCCH on the serving cell for a maximum number of PDCCH candidates and non-overlapping CCEs per </w:t>
              </w:r>
            </w:ins>
            <w:ins w:id="1011" w:author="Fu Ting" w:date="2022-01-05T12:04:00Z">
              <w:r>
                <w:rPr/>
                <w:t xml:space="preserve">X </w:t>
              </w:r>
            </w:ins>
            <w:ins w:id="1012" w:author="Fu Ting" w:date="2022-01-05T12:03:00Z">
              <w:r>
                <w:rPr/>
                <w:t xml:space="preserve">multi-slot as in </w:t>
              </w:r>
            </w:ins>
            <w:ins w:id="1013" w:author="Fu Ting" w:date="2022-01-05T12:04:00Z">
              <w:r>
                <w:rPr>
                  <w:rFonts w:hint="eastAsia"/>
                  <w:lang w:eastAsia="zh-CN"/>
                </w:rPr>
                <w:t>Tables</w:t>
              </w:r>
            </w:ins>
            <w:ins w:id="1014" w:author="Fu Ting" w:date="2022-01-05T12:04:00Z">
              <w:r>
                <w:rPr/>
                <w:t xml:space="preserve"> </w:t>
              </w:r>
            </w:ins>
            <w:ins w:id="1015" w:author="Fu Ting" w:date="2022-01-05T12:04:00Z">
              <w:r>
                <w:rPr>
                  <w:rFonts w:hint="eastAsia"/>
                  <w:lang w:eastAsia="zh-CN"/>
                </w:rPr>
                <w:t>[</w:t>
              </w:r>
            </w:ins>
            <w:ins w:id="1016" w:author="Fu Ting" w:date="2022-01-05T12:04:00Z">
              <w:r>
                <w:rPr>
                  <w:lang w:eastAsia="zh-CN"/>
                </w:rPr>
                <w:t xml:space="preserve">xxx,TBD], </w:t>
              </w:r>
            </w:ins>
            <w:ins w:id="1017" w:author="Fu Ting" w:date="2022-01-05T12:04:00Z">
              <w:r>
                <w:rPr>
                  <w:rFonts w:hint="eastAsia"/>
                  <w:lang w:eastAsia="zh-CN"/>
                </w:rPr>
                <w:t>with</w:t>
              </w:r>
            </w:ins>
            <w:ins w:id="1018" w:author="Fu Ting" w:date="2022-01-05T12:04:00Z">
              <w:r>
                <w:rPr>
                  <w:lang w:eastAsia="zh-CN"/>
                </w:rPr>
                <w:t xml:space="preserve"> X=4 </w:t>
              </w:r>
            </w:ins>
            <w:ins w:id="1019" w:author="Fu Ting" w:date="2022-01-05T12:05:00Z">
              <w:r>
                <w:rPr>
                  <w:rFonts w:hint="eastAsia"/>
                  <w:lang w:eastAsia="zh-CN"/>
                </w:rPr>
                <w:t>for</w:t>
              </w:r>
            </w:ins>
            <w:ins w:id="1020" w:author="Fu Ting" w:date="2022-01-05T12:05:00Z">
              <w:r>
                <w:rPr>
                  <w:lang w:eastAsia="zh-CN"/>
                </w:rPr>
                <w:t xml:space="preserve"> </w:t>
              </w:r>
            </w:ins>
            <w:ins w:id="1021" w:author="Fu Ting" w:date="2022-01-05T12:05:00Z">
              <w:r>
                <w:rPr>
                  <w:lang w:eastAsia="ko-KR"/>
                </w:rPr>
                <w:t>SCS configuration of</w:t>
              </w:r>
            </w:ins>
            <w:ins w:id="1022" w:author="Fu Ting" w:date="2022-01-05T12:04:00Z">
              <w:r>
                <w:rPr>
                  <w:lang w:eastAsia="zh-CN"/>
                </w:rPr>
                <w:t xml:space="preserve"> </w:t>
              </w:r>
            </w:ins>
            <w:ins w:id="1023" w:author="Fu Ting" w:date="2022-01-05T12:06:00Z"/>
            <w:ins w:id="1024" w:author="Fu Ting" w:date="2022-01-05T12:06:00Z"/>
            <w:ins w:id="1025" w:author="Fu Ting" w:date="2022-01-05T12:06:00Z"/>
            <w:ins w:id="1026" w:author="Fu Ting" w:date="2022-01-05T12:06:00Z">
              <w:r>
                <w:rPr>
                  <w:position w:val="-10"/>
                  <w:lang w:eastAsia="zh-CN"/>
                </w:rPr>
                <w:object>
                  <v:shape id="_x0000_i1050" o:spt="75" type="#_x0000_t75" style="height:15pt;width:18.75pt;" o:ole="t" filled="f" o:preferrelative="t" stroked="f" coordsize="21600,21600">
                    <v:path/>
                    <v:fill on="f" focussize="0,0"/>
                    <v:stroke on="f" joinstyle="miter"/>
                    <v:imagedata r:id="rId63" o:title=""/>
                    <o:lock v:ext="edit" aspectratio="t"/>
                    <w10:wrap type="none"/>
                    <w10:anchorlock/>
                  </v:shape>
                  <o:OLEObject Type="Embed" ProgID="Equation.DSMT4" ShapeID="_x0000_i1050" DrawAspect="Content" ObjectID="_1468075747" r:id="rId62">
                    <o:LockedField>false</o:LockedField>
                  </o:OLEObject>
                </w:object>
              </w:r>
            </w:ins>
            <w:ins w:id="1028" w:author="Fu Ting" w:date="2022-01-05T12:06:00Z"/>
            <w:ins w:id="1029" w:author="Fu Ting" w:date="2022-01-05T12:06:00Z">
              <w:r>
                <w:rPr>
                  <w:lang w:eastAsia="zh-CN"/>
                </w:rPr>
                <w:t xml:space="preserve"> </w:t>
              </w:r>
            </w:ins>
            <w:ins w:id="1030" w:author="Fu Ting" w:date="2022-01-05T12:06:00Z">
              <w:r>
                <w:rPr>
                  <w:rFonts w:hint="eastAsia"/>
                  <w:lang w:eastAsia="zh-CN"/>
                </w:rPr>
                <w:t>and</w:t>
              </w:r>
            </w:ins>
            <w:ins w:id="1031" w:author="Fu Ting" w:date="2022-01-05T12:06:00Z">
              <w:r>
                <w:rPr>
                  <w:lang w:eastAsia="zh-CN"/>
                </w:rPr>
                <w:t xml:space="preserve"> X=8 </w:t>
              </w:r>
            </w:ins>
            <w:ins w:id="1032" w:author="Fu Ting" w:date="2022-01-05T12:06:00Z">
              <w:r>
                <w:rPr>
                  <w:rFonts w:hint="eastAsia"/>
                  <w:lang w:eastAsia="zh-CN"/>
                </w:rPr>
                <w:t>for</w:t>
              </w:r>
            </w:ins>
            <w:ins w:id="1033" w:author="Fu Ting" w:date="2022-01-05T12:06:00Z">
              <w:r>
                <w:rPr>
                  <w:lang w:eastAsia="zh-CN"/>
                </w:rPr>
                <w:t xml:space="preserve"> </w:t>
              </w:r>
            </w:ins>
            <w:ins w:id="1034" w:author="Fu Ting" w:date="2022-01-05T12:06:00Z">
              <w:r>
                <w:rPr>
                  <w:lang w:eastAsia="ko-KR"/>
                </w:rPr>
                <w:t xml:space="preserve">SCS configuration of </w:t>
              </w:r>
            </w:ins>
            <w:ins w:id="1035" w:author="Fu Ting" w:date="2022-01-05T12:06:00Z"/>
            <w:ins w:id="1036" w:author="Fu Ting" w:date="2022-01-05T12:06:00Z"/>
            <w:ins w:id="1037" w:author="Fu Ting" w:date="2022-01-05T12:06:00Z"/>
            <w:ins w:id="1038" w:author="Fu Ting" w:date="2022-01-05T12:06:00Z">
              <w:r>
                <w:rPr>
                  <w:position w:val="-10"/>
                  <w:lang w:eastAsia="ko-KR"/>
                </w:rPr>
                <w:object>
                  <v:shape id="_x0000_i1051" o:spt="75" type="#_x0000_t75" style="height:15pt;width:18.75pt;" o:ole="t" filled="f" o:preferrelative="t" stroked="f" coordsize="21600,21600">
                    <v:path/>
                    <v:fill on="f" focussize="0,0"/>
                    <v:stroke on="f" joinstyle="miter"/>
                    <v:imagedata r:id="rId65" o:title=""/>
                    <o:lock v:ext="edit" aspectratio="t"/>
                    <w10:wrap type="none"/>
                    <w10:anchorlock/>
                  </v:shape>
                  <o:OLEObject Type="Embed" ProgID="Equation.DSMT4" ShapeID="_x0000_i1051" DrawAspect="Content" ObjectID="_1468075748" r:id="rId64">
                    <o:LockedField>false</o:LockedField>
                  </o:OLEObject>
                </w:object>
              </w:r>
            </w:ins>
            <w:ins w:id="1040" w:author="Fu Ting" w:date="2022-01-05T12:06:00Z"/>
            <w:ins w:id="1041" w:author="Fu Ting" w:date="2022-01-05T12:07:00Z">
              <w:r>
                <w:rPr>
                  <w:rFonts w:hint="eastAsia"/>
                  <w:lang w:eastAsia="zh-CN"/>
                </w:rPr>
                <w:t>.</w:t>
              </w:r>
            </w:ins>
          </w:p>
          <w:p>
            <w:pPr>
              <w:widowControl w:val="0"/>
              <w:rPr>
                <w:lang w:eastAsia="zh-CN"/>
              </w:rPr>
            </w:pPr>
            <w:ins w:id="1042" w:author="Fu Ting" w:date="2022-01-05T12:08:00Z">
              <w:r>
                <w:rPr/>
                <w:t xml:space="preserve">For </w:t>
              </w:r>
            </w:ins>
            <w:ins w:id="1043" w:author="Fu Ting" w:date="2022-01-05T12:08:00Z">
              <w:r>
                <w:rPr>
                  <w:lang w:eastAsia="zh-CN"/>
                </w:rPr>
                <w:t>FR2-2, if</w:t>
              </w:r>
            </w:ins>
            <w:ins w:id="1044" w:author="Fu Ting" w:date="2022-01-05T12:08:00Z">
              <w:r>
                <w:rPr/>
                <w:t xml:space="preserve"> the UE is configured with </w:t>
              </w:r>
            </w:ins>
            <w:ins w:id="1045" w:author="Fu Ting" w:date="2022-01-05T12:11:00Z">
              <w:r>
                <w:rPr/>
                <w:t>multiple serving cells, within each serving cell, UE apply multi-slot PDCCH monitoring capability</w:t>
              </w:r>
            </w:ins>
            <w:ins w:id="1046" w:author="Fu Ting" w:date="2022-01-05T12:20:00Z">
              <w:r>
                <w:rPr>
                  <w:lang w:eastAsia="zh-CN"/>
                </w:rPr>
                <w:t xml:space="preserve"> for a single serving cell</w:t>
              </w:r>
            </w:ins>
            <w:ins w:id="1047" w:author="Fu Ting" w:date="2022-01-05T12:11:00Z">
              <w:r>
                <w:rPr/>
                <w:t xml:space="preserve"> </w:t>
              </w:r>
            </w:ins>
            <w:ins w:id="1048" w:author="Fu Ting" w:date="2022-01-05T12:16:00Z">
              <w:r>
                <w:rPr/>
                <w:t>independently.</w:t>
              </w:r>
            </w:ins>
          </w:p>
          <w:p>
            <w:pPr>
              <w:widowControl w:val="0"/>
              <w:rPr>
                <w:lang w:eastAsia="zh-CN"/>
              </w:rPr>
            </w:pPr>
            <w:r>
              <w:rPr>
                <w:lang w:eastAsia="ko-KR"/>
              </w:rPr>
              <w:t xml:space="preserve">A UE can indicate a capability to monitor PDCCH according to one or more of the combinations </w:t>
            </w:r>
            <m:oMath>
              <m:d>
                <m:dPr>
                  <m:ctrlPr>
                    <w:rPr>
                      <w:rFonts w:ascii="Cambria Math" w:hAnsi="Cambria Math"/>
                      <w:lang w:eastAsia="zh-CN"/>
                    </w:rPr>
                  </m:ctrlPr>
                </m:dPr>
                <m:e>
                  <m:r>
                    <m:rPr>
                      <m:sty m:val="p"/>
                    </m:rPr>
                    <w:rPr>
                      <w:rFonts w:ascii="Cambria Math" w:hAnsi="Cambria Math"/>
                      <w:lang w:eastAsia="zh-CN"/>
                    </w:rPr>
                    <m:t>X,Y</m:t>
                  </m:r>
                  <m:ctrlPr>
                    <w:rPr>
                      <w:rFonts w:ascii="Cambria Math" w:hAnsi="Cambria Math"/>
                      <w:lang w:eastAsia="zh-CN"/>
                    </w:rPr>
                  </m:ctrlP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eastAsia="等线"/>
              </w:rPr>
              <w:t xml:space="preserve">A span is a number of consecutive symbols in a slot where the UE is configured to monitor PDCCH. </w:t>
            </w:r>
            <w:r>
              <w:t>Each PDCCH monitoring occasion is within one span</w:t>
            </w:r>
            <w:r>
              <w:rPr>
                <w:rFonts w:eastAsia="等线"/>
              </w:rPr>
              <w:t xml:space="preserve">. </w:t>
            </w:r>
            <w:r>
              <w:t xml:space="preserve">If a UE monitors PDCCH on a cell according to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ctrlPr>
                    <w:rPr>
                      <w:rFonts w:ascii="Cambria Math" w:hAnsi="Cambria Math"/>
                      <w:lang w:eastAsia="zh-CN"/>
                    </w:rPr>
                  </m:ctrlPr>
                </m:e>
              </m:d>
            </m:oMath>
            <w:r>
              <w:rPr>
                <w:lang w:eastAsia="zh-CN"/>
              </w:rPr>
              <w:t xml:space="preserve">, </w:t>
            </w:r>
            <w:r>
              <w:t xml:space="preserve">the UE supports PDCCH monitoring occasions in any symbol of a slot with minimum time separation of </w:t>
            </w:r>
            <m:oMath>
              <m:r>
                <w:rPr>
                  <w:rFonts w:ascii="Cambria Math" w:hAnsi="Cambria Math"/>
                  <w:lang w:eastAsia="zh-CN"/>
                </w:rPr>
                <m:t>X</m:t>
              </m:r>
            </m:oMath>
            <w:r>
              <w:t xml:space="preserve"> symbols between the first symbol of two consecutive spans, including across slots. </w:t>
            </w:r>
            <w:r>
              <w:rPr>
                <w:color w:val="000000"/>
              </w:rPr>
              <w:t xml:space="preserve">A span starts at a first symbol where a PDCCH monitoring occasion starts and ends at a last symbol where a PDCCH monitoring occasion ends, where the number of symbols of the span is up to </w:t>
            </w:r>
            <m:oMath>
              <m:r>
                <w:rPr>
                  <w:rFonts w:ascii="Cambria Math" w:hAnsi="Cambria Math"/>
                  <w:color w:val="000000"/>
                </w:rPr>
                <m:t>Y</m:t>
              </m:r>
            </m:oMath>
            <w:r>
              <w:rPr>
                <w:color w:val="000000"/>
              </w:rPr>
              <w:t>.</w:t>
            </w:r>
          </w:p>
          <w:p>
            <w:pPr>
              <w:widowControl w:val="0"/>
              <w:rPr>
                <w:lang w:eastAsia="zh-CN"/>
              </w:rPr>
            </w:pPr>
            <w:r>
              <w:rPr>
                <w:lang w:eastAsia="zh-CN"/>
              </w:rPr>
              <w:t>============================= Unchanged part omitted ============================</w:t>
            </w:r>
            <w:bookmarkEnd w:id="94"/>
            <w:bookmarkEnd w:id="95"/>
            <w:r>
              <w:rPr>
                <w:lang w:eastAsia="zh-CN"/>
              </w:rPr>
              <w:t>=============</w:t>
            </w:r>
          </w:p>
          <w:p>
            <w:pPr>
              <w:widowControl w:val="0"/>
              <w:rPr>
                <w:lang w:eastAsia="zh-CN"/>
              </w:rPr>
            </w:pPr>
          </w:p>
        </w:tc>
      </w:tr>
    </w:tbl>
    <w:p>
      <w:pPr>
        <w:rPr>
          <w:lang w:eastAsia="zh-CN"/>
        </w:rPr>
      </w:pPr>
    </w:p>
    <w:p>
      <w:pPr>
        <w:pStyle w:val="4"/>
      </w:pPr>
      <w:r>
        <w:t>R1-2202005 (Samsung)</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widowControl w:val="0"/>
              <w:spacing w:after="0"/>
              <w:jc w:val="both"/>
            </w:pPr>
            <w:r>
              <w:t xml:space="preserve">When a UE supports CA or NR-DC operation in NR from 52.6 GHz to 71 GHz, UE can be configured with multiple downlink cells for multi-slot based PDCCH monitoring. It’s necessary to determine </w:t>
            </w:r>
            <w:r>
              <w:rPr>
                <w:bCs/>
              </w:rPr>
              <w:t xml:space="preserve">a </w:t>
            </w:r>
            <w:r>
              <w:t xml:space="preserve">capability to monitor a maximum number of PDCCH candidates and a maximum number of non-overlapped CCEs that corresponds to </w:t>
            </w:r>
            <m:oMath>
              <m:sSubSup>
                <m:sSubSupPr>
                  <m:ctrlPr>
                    <w:rPr>
                      <w:rFonts w:ascii="Cambria Math" w:hAnsi="Cambria Math"/>
                    </w:rPr>
                  </m:ctrlPr>
                </m:sSubSupPr>
                <m:e>
                  <m:r>
                    <w:rPr>
                      <w:rFonts w:ascii="Cambria Math" w:hAnsi="Cambria Math"/>
                    </w:rPr>
                    <m:t>N</m:t>
                  </m:r>
                  <m:ctrlPr>
                    <w:rPr>
                      <w:rFonts w:ascii="Cambria Math" w:hAnsi="Cambria Math"/>
                    </w:rPr>
                  </m:ctrlPr>
                </m:e>
                <m:sub>
                  <m:r>
                    <m:rPr>
                      <m:nor/>
                      <m:sty m:val="p"/>
                    </m:rPr>
                    <m:t>cells</m:t>
                  </m:r>
                  <m:ctrlPr>
                    <w:rPr>
                      <w:rFonts w:ascii="Cambria Math" w:hAnsi="Cambria Math"/>
                    </w:rPr>
                  </m:ctrlPr>
                </m:sub>
                <m:sup>
                  <m:r>
                    <m:rPr>
                      <m:nor/>
                      <m:sty m:val="p"/>
                    </m:rPr>
                    <m:t>cap</m:t>
                  </m:r>
                  <m:ctrlPr>
                    <w:rPr>
                      <w:rFonts w:ascii="Cambria Math" w:hAnsi="Cambria Math"/>
                    </w:rPr>
                  </m:ctrlPr>
                </m:sup>
              </m:sSubSup>
            </m:oMath>
            <w:r>
              <w:t xml:space="preserve"> downlink cells, which is in analogy to </w:t>
            </w:r>
            <m:oMath>
              <m:sSubSup>
                <m:sSubSupPr>
                  <m:ctrlPr>
                    <w:rPr>
                      <w:rFonts w:ascii="Cambria Math" w:hAnsi="Cambria Math"/>
                    </w:rPr>
                  </m:ctrlPr>
                </m:sSubSupPr>
                <m:e>
                  <m:r>
                    <m:rPr>
                      <m:sty m:val="p"/>
                    </m:rPr>
                    <w:rPr>
                      <w:rFonts w:ascii="Cambria Math" w:hAnsi="Cambria Math"/>
                    </w:rPr>
                    <m:t> </m:t>
                  </m:r>
                  <m:r>
                    <w:rPr>
                      <w:rFonts w:ascii="Cambria Math" w:hAnsi="Cambria Math"/>
                    </w:rPr>
                    <m:t>N</m:t>
                  </m:r>
                  <m:ctrlPr>
                    <w:rPr>
                      <w:rFonts w:ascii="Cambria Math" w:hAnsi="Cambria Math"/>
                    </w:rPr>
                  </m:ctrlPr>
                </m:e>
                <m:sub>
                  <m:r>
                    <m:rPr>
                      <m:sty m:val="p"/>
                    </m:rPr>
                    <w:rPr>
                      <w:rFonts w:ascii="Cambria Math" w:hAnsi="Cambria Math"/>
                    </w:rPr>
                    <m:t>cells</m:t>
                  </m:r>
                  <m:ctrlPr>
                    <w:rPr>
                      <w:rFonts w:ascii="Cambria Math" w:hAnsi="Cambria Math"/>
                    </w:rPr>
                  </m:ctrlPr>
                </m:sub>
                <m:sup>
                  <m:r>
                    <m:rPr>
                      <m:sty m:val="p"/>
                    </m:rPr>
                    <w:rPr>
                      <w:rFonts w:ascii="Cambria Math" w:hAnsi="Cambria Math"/>
                    </w:rPr>
                    <m:t>cap-r15</m:t>
                  </m:r>
                  <m:ctrlPr>
                    <w:rPr>
                      <w:rFonts w:ascii="Cambria Math" w:hAnsi="Cambria Math"/>
                    </w:rPr>
                  </m:ctrlPr>
                </m:sup>
              </m:sSubSup>
            </m:oMath>
            <w:r>
              <w:t xml:space="preserve"> for slot-based PDCCH monitoring capability introduced in NR Rel-16 and </w:t>
            </w:r>
            <m:oMath>
              <m:sSubSup>
                <m:sSubSupPr>
                  <m:ctrlPr>
                    <w:rPr>
                      <w:rFonts w:ascii="Cambria Math" w:hAnsi="Cambria Math"/>
                    </w:rPr>
                  </m:ctrlPr>
                </m:sSubSupPr>
                <m:e>
                  <m:r>
                    <m:rPr>
                      <m:sty m:val="p"/>
                    </m:rPr>
                    <w:rPr>
                      <w:rFonts w:ascii="Cambria Math" w:hAnsi="Cambria Math"/>
                    </w:rPr>
                    <m:t> </m:t>
                  </m:r>
                  <m:r>
                    <w:rPr>
                      <w:rFonts w:ascii="Cambria Math" w:hAnsi="Cambria Math"/>
                    </w:rPr>
                    <m:t>N</m:t>
                  </m:r>
                  <m:ctrlPr>
                    <w:rPr>
                      <w:rFonts w:ascii="Cambria Math" w:hAnsi="Cambria Math"/>
                    </w:rPr>
                  </m:ctrlPr>
                </m:e>
                <m:sub>
                  <m:r>
                    <m:rPr>
                      <m:sty m:val="p"/>
                    </m:rPr>
                    <w:rPr>
                      <w:rFonts w:ascii="Cambria Math" w:hAnsi="Cambria Math"/>
                    </w:rPr>
                    <m:t>cells</m:t>
                  </m:r>
                  <m:ctrlPr>
                    <w:rPr>
                      <w:rFonts w:ascii="Cambria Math" w:hAnsi="Cambria Math"/>
                    </w:rPr>
                  </m:ctrlPr>
                </m:sub>
                <m:sup>
                  <m:r>
                    <m:rPr>
                      <m:sty m:val="p"/>
                    </m:rPr>
                    <w:rPr>
                      <w:rFonts w:ascii="Cambria Math" w:hAnsi="Cambria Math"/>
                    </w:rPr>
                    <m:t>cap-r16</m:t>
                  </m:r>
                  <m:ctrlPr>
                    <w:rPr>
                      <w:rFonts w:ascii="Cambria Math" w:hAnsi="Cambria Math"/>
                    </w:rPr>
                  </m:ctrlPr>
                </m:sup>
              </m:sSubSup>
              <m:r>
                <m:rPr>
                  <m:sty m:val="p"/>
                </m:rPr>
                <w:rPr>
                  <w:rFonts w:ascii="Cambria Math" w:hAnsi="Cambria Math"/>
                </w:rPr>
                <m:t xml:space="preserve"> </m:t>
              </m:r>
            </m:oMath>
            <w:r>
              <w:t>for span based PDCCH monitoring capability introduced in NR Rel-17.</w:t>
            </w:r>
          </w:p>
          <w:p>
            <w:pPr>
              <w:widowControl w:val="0"/>
              <w:spacing w:after="0"/>
              <w:jc w:val="both"/>
            </w:pPr>
          </w:p>
          <w:p>
            <w:pPr>
              <w:widowControl w:val="0"/>
              <w:spacing w:after="0"/>
              <w:jc w:val="both"/>
              <w:rPr>
                <w:b/>
                <w:bCs/>
                <w:iCs/>
              </w:rPr>
            </w:pPr>
            <w:r>
              <w:t xml:space="preserve">The legacy mechanism for determine </w:t>
            </w:r>
            <m:oMath>
              <m:sSubSup>
                <m:sSubSupPr>
                  <m:ctrlPr>
                    <w:rPr>
                      <w:rFonts w:ascii="Cambria Math" w:hAnsi="Cambria Math"/>
                    </w:rPr>
                  </m:ctrlPr>
                </m:sSubSupPr>
                <m:e>
                  <m:r>
                    <m:rPr>
                      <m:sty m:val="p"/>
                    </m:rPr>
                    <w:rPr>
                      <w:rFonts w:ascii="Cambria Math" w:hAnsi="Cambria Math"/>
                    </w:rPr>
                    <m:t> </m:t>
                  </m:r>
                  <m:r>
                    <w:rPr>
                      <w:rFonts w:ascii="Cambria Math" w:hAnsi="Cambria Math"/>
                    </w:rPr>
                    <m:t>N</m:t>
                  </m:r>
                  <m:ctrlPr>
                    <w:rPr>
                      <w:rFonts w:ascii="Cambria Math" w:hAnsi="Cambria Math"/>
                    </w:rPr>
                  </m:ctrlPr>
                </m:e>
                <m:sub>
                  <m:r>
                    <m:rPr>
                      <m:sty m:val="p"/>
                    </m:rPr>
                    <w:rPr>
                      <w:rFonts w:ascii="Cambria Math" w:hAnsi="Cambria Math"/>
                    </w:rPr>
                    <m:t>cells</m:t>
                  </m:r>
                  <m:ctrlPr>
                    <w:rPr>
                      <w:rFonts w:ascii="Cambria Math" w:hAnsi="Cambria Math"/>
                    </w:rPr>
                  </m:ctrlPr>
                </m:sub>
                <m:sup>
                  <m:r>
                    <m:rPr>
                      <m:sty m:val="p"/>
                    </m:rPr>
                    <w:rPr>
                      <w:rFonts w:ascii="Cambria Math" w:hAnsi="Cambria Math"/>
                    </w:rPr>
                    <m:t>cap-r16</m:t>
                  </m:r>
                  <m:ctrlPr>
                    <w:rPr>
                      <w:rFonts w:ascii="Cambria Math" w:hAnsi="Cambria Math"/>
                    </w:rPr>
                  </m:ctrlPr>
                </m:sup>
              </m:sSubSup>
              <m:r>
                <m:rPr>
                  <m:sty m:val="p"/>
                </m:rPr>
                <w:rPr>
                  <w:rFonts w:ascii="Cambria Math" w:hAnsi="Cambria Math"/>
                </w:rPr>
                <m:t xml:space="preserve"> </m:t>
              </m:r>
            </m:oMath>
            <w:r>
              <w:t xml:space="preserve">can be extended to determine a capability of </w:t>
            </w:r>
            <m:oMath>
              <m:sSubSup>
                <m:sSubSupPr>
                  <m:ctrlPr>
                    <w:rPr>
                      <w:rFonts w:ascii="Cambria Math" w:hAnsi="Cambria Math"/>
                    </w:rPr>
                  </m:ctrlPr>
                </m:sSubSupPr>
                <m:e>
                  <m:r>
                    <m:rPr>
                      <m:sty m:val="p"/>
                    </m:rPr>
                    <w:rPr>
                      <w:rFonts w:ascii="Cambria Math" w:hAnsi="Cambria Math"/>
                    </w:rPr>
                    <m:t> </m:t>
                  </m:r>
                  <m:r>
                    <w:rPr>
                      <w:rFonts w:ascii="Cambria Math" w:hAnsi="Cambria Math"/>
                    </w:rPr>
                    <m:t>N</m:t>
                  </m:r>
                  <m:ctrlPr>
                    <w:rPr>
                      <w:rFonts w:ascii="Cambria Math" w:hAnsi="Cambria Math"/>
                    </w:rPr>
                  </m:ctrlPr>
                </m:e>
                <m:sub>
                  <m:r>
                    <m:rPr>
                      <m:sty m:val="p"/>
                    </m:rPr>
                    <w:rPr>
                      <w:rFonts w:ascii="Cambria Math" w:hAnsi="Cambria Math"/>
                    </w:rPr>
                    <m:t>cells</m:t>
                  </m:r>
                  <m:ctrlPr>
                    <w:rPr>
                      <w:rFonts w:ascii="Cambria Math" w:hAnsi="Cambria Math"/>
                    </w:rPr>
                  </m:ctrlPr>
                </m:sub>
                <m:sup>
                  <m:r>
                    <m:rPr>
                      <m:sty m:val="p"/>
                    </m:rPr>
                    <w:rPr>
                      <w:rFonts w:ascii="Cambria Math" w:hAnsi="Cambria Math"/>
                    </w:rPr>
                    <m:t>cap-r17</m:t>
                  </m:r>
                  <m:ctrlPr>
                    <w:rPr>
                      <w:rFonts w:ascii="Cambria Math" w:hAnsi="Cambria Math"/>
                    </w:rPr>
                  </m:ctrlPr>
                </m:sup>
              </m:sSubSup>
            </m:oMath>
            <w:r>
              <w:t>for multi-slot based PDCCH monitoring considering scenarios, such as</w:t>
            </w:r>
          </w:p>
          <w:p>
            <w:pPr>
              <w:widowControl w:val="0"/>
              <w:numPr>
                <w:ilvl w:val="0"/>
                <w:numId w:val="98"/>
              </w:numPr>
              <w:autoSpaceDE/>
              <w:autoSpaceDN/>
              <w:adjustRightInd/>
              <w:snapToGrid/>
              <w:spacing w:after="0" w:line="240" w:lineRule="auto"/>
              <w:jc w:val="both"/>
            </w:pPr>
            <w:r>
              <w:t xml:space="preserve">Case 1: UE is configured with CA but not NR-DC operation, and UE is configured with only </w:t>
            </w:r>
            <w:r>
              <w:rPr>
                <w:i/>
                <w:iCs/>
              </w:rPr>
              <w:t xml:space="preserve">R17monitoringcapability </w:t>
            </w:r>
            <w:r>
              <w:t>for all downlink cells</w:t>
            </w:r>
          </w:p>
          <w:p>
            <w:pPr>
              <w:widowControl w:val="0"/>
              <w:numPr>
                <w:ilvl w:val="0"/>
                <w:numId w:val="98"/>
              </w:numPr>
              <w:autoSpaceDE/>
              <w:autoSpaceDN/>
              <w:adjustRightInd/>
              <w:snapToGrid/>
              <w:spacing w:after="0" w:line="240" w:lineRule="auto"/>
              <w:jc w:val="both"/>
            </w:pPr>
            <w:r>
              <w:t xml:space="preserve">Case 2: UE is configured for NR-DC operation, and UE is configured with only </w:t>
            </w:r>
            <w:r>
              <w:rPr>
                <w:i/>
                <w:iCs/>
              </w:rPr>
              <w:t xml:space="preserve">R17monitoringcapability </w:t>
            </w:r>
            <w:r>
              <w:t>for all downlink cells</w:t>
            </w:r>
          </w:p>
          <w:p>
            <w:pPr>
              <w:widowControl w:val="0"/>
              <w:tabs>
                <w:tab w:val="left" w:pos="1300"/>
              </w:tabs>
              <w:spacing w:after="0"/>
              <w:jc w:val="both"/>
            </w:pPr>
          </w:p>
          <w:p>
            <w:pPr>
              <w:widowControl w:val="0"/>
              <w:tabs>
                <w:tab w:val="left" w:pos="1300"/>
              </w:tabs>
              <w:spacing w:after="0"/>
              <w:jc w:val="both"/>
            </w:pPr>
            <w:r>
              <w:t xml:space="preserve">When the UE is configured for carrier aggregation operation over more than 2 cells, or for a cell group when the UE is configured for NR-DC operation, the UE does not expect to monitor per group of </w:t>
            </w:r>
            <m:oMath>
              <m:sSub>
                <m:sSubPr>
                  <m:ctrlPr>
                    <w:rPr>
                      <w:rFonts w:ascii="Cambria Math" w:hAnsi="Cambria Math"/>
                    </w:rPr>
                  </m:ctrlPr>
                </m:sSubPr>
                <m:e>
                  <m:r>
                    <w:rPr>
                      <w:rFonts w:ascii="Cambria Math" w:hAnsi="Cambria Math"/>
                    </w:rPr>
                    <m:t>X</m:t>
                  </m:r>
                  <m:ctrlPr>
                    <w:rPr>
                      <w:rFonts w:ascii="Cambria Math" w:hAnsi="Cambria Math"/>
                    </w:rPr>
                  </m:ctrlPr>
                </m:e>
                <m:sub>
                  <m:r>
                    <w:rPr>
                      <w:rFonts w:ascii="Cambria Math" w:hAnsi="Cambria Math"/>
                    </w:rPr>
                    <m:t>s</m:t>
                  </m:r>
                  <m:ctrlPr>
                    <w:rPr>
                      <w:rFonts w:ascii="Cambria Math" w:hAnsi="Cambria Math"/>
                    </w:rPr>
                  </m:ctrlPr>
                </m:sub>
              </m:sSub>
            </m:oMath>
            <w:r>
              <w:t xml:space="preserve"> slots according to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ctrlPr>
                        <w:rPr>
                          <w:rFonts w:ascii="Cambria Math" w:hAnsi="Cambria Math"/>
                        </w:rPr>
                      </m:ctrlPr>
                    </m:e>
                    <m:sub>
                      <m:r>
                        <w:rPr>
                          <w:rFonts w:ascii="Cambria Math" w:hAnsi="Cambria Math"/>
                        </w:rPr>
                        <m:t>s</m:t>
                      </m:r>
                      <m:ctrlPr>
                        <w:rPr>
                          <w:rFonts w:ascii="Cambria Math" w:hAnsi="Cambria Math"/>
                        </w:rPr>
                      </m:ctrlPr>
                    </m:sub>
                  </m:sSub>
                  <m:r>
                    <m:rPr>
                      <m:sty m:val="p"/>
                    </m:rPr>
                    <w:rPr>
                      <w:rFonts w:ascii="Cambria Math" w:hAnsi="Cambria Math"/>
                    </w:rPr>
                    <m:t>,</m:t>
                  </m:r>
                  <m:sSub>
                    <m:sSubPr>
                      <m:ctrlPr>
                        <w:rPr>
                          <w:rFonts w:ascii="Cambria Math" w:hAnsi="Cambria Math"/>
                        </w:rPr>
                      </m:ctrlPr>
                    </m:sSubPr>
                    <m:e>
                      <m:r>
                        <w:rPr>
                          <w:rFonts w:ascii="Cambria Math" w:hAnsi="Cambria Math"/>
                        </w:rPr>
                        <m:t>Y</m:t>
                      </m:r>
                      <m:ctrlPr>
                        <w:rPr>
                          <w:rFonts w:ascii="Cambria Math" w:hAnsi="Cambria Math"/>
                        </w:rPr>
                      </m:ctrlPr>
                    </m:e>
                    <m:sub>
                      <m:r>
                        <w:rPr>
                          <w:rFonts w:ascii="Cambria Math" w:hAnsi="Cambria Math"/>
                        </w:rPr>
                        <m:t>s</m:t>
                      </m:r>
                      <m:ctrlPr>
                        <w:rPr>
                          <w:rFonts w:ascii="Cambria Math" w:hAnsi="Cambria Math"/>
                        </w:rPr>
                      </m:ctrlPr>
                    </m:sub>
                  </m:sSub>
                  <m:ctrlPr>
                    <w:rPr>
                      <w:rFonts w:ascii="Cambria Math" w:hAnsi="Cambria Math"/>
                    </w:rPr>
                  </m:ctrlPr>
                </m:e>
              </m:d>
            </m:oMath>
            <w:r>
              <w:t xml:space="preserve"> a number of PDCCH candidates or a number of non-overlapped CCEs that is larger than the maximum number as derived from the corresponding value of </w:t>
            </w:r>
            <m:oMath>
              <m:sSubSup>
                <m:sSubSupPr>
                  <m:ctrlPr>
                    <w:rPr>
                      <w:rFonts w:ascii="Cambria Math" w:hAnsi="Cambria Math"/>
                    </w:rPr>
                  </m:ctrlPr>
                </m:sSubSupPr>
                <m:e>
                  <m:r>
                    <w:rPr>
                      <w:rFonts w:ascii="Cambria Math" w:hAnsi="Cambria Math"/>
                    </w:rPr>
                    <m:t>N</m:t>
                  </m:r>
                  <m:ctrlPr>
                    <w:rPr>
                      <w:rFonts w:ascii="Cambria Math" w:hAnsi="Cambria Math"/>
                    </w:rPr>
                  </m:ctrlPr>
                </m:e>
                <m:sub>
                  <m:r>
                    <m:rPr>
                      <m:sty m:val="p"/>
                    </m:rPr>
                    <w:rPr>
                      <w:rFonts w:ascii="Cambria Math" w:hAnsi="Cambria Math"/>
                    </w:rPr>
                    <m:t>cells</m:t>
                  </m:r>
                  <m:ctrlPr>
                    <w:rPr>
                      <w:rFonts w:ascii="Cambria Math" w:hAnsi="Cambria Math"/>
                    </w:rPr>
                  </m:ctrlPr>
                </m:sub>
                <m:sup>
                  <m:r>
                    <m:rPr>
                      <m:sty m:val="p"/>
                    </m:rPr>
                    <w:rPr>
                      <w:rFonts w:ascii="Cambria Math" w:hAnsi="Cambria Math"/>
                    </w:rPr>
                    <m:t>cap-r17</m:t>
                  </m:r>
                  <m:ctrlPr>
                    <w:rPr>
                      <w:rFonts w:ascii="Cambria Math" w:hAnsi="Cambria Math"/>
                    </w:rPr>
                  </m:ctrlPr>
                </m:sup>
              </m:sSubSup>
            </m:oMath>
            <w:r>
              <w:t>.</w:t>
            </w:r>
          </w:p>
          <w:p>
            <w:pPr>
              <w:widowControl w:val="0"/>
              <w:tabs>
                <w:tab w:val="left" w:pos="1300"/>
              </w:tabs>
              <w:spacing w:after="0"/>
              <w:jc w:val="both"/>
              <w:rPr>
                <w:b/>
                <w:u w:val="single"/>
              </w:rPr>
            </w:pPr>
          </w:p>
          <w:p>
            <w:pPr>
              <w:widowControl w:val="0"/>
              <w:tabs>
                <w:tab w:val="left" w:pos="1300"/>
              </w:tabs>
              <w:spacing w:after="0"/>
              <w:jc w:val="both"/>
              <w:rPr>
                <w:b/>
                <w:u w:val="single"/>
              </w:rPr>
            </w:pPr>
            <w:r>
              <w:rPr>
                <w:b/>
                <w:u w:val="single"/>
              </w:rPr>
              <w:t xml:space="preserve">Proposal 5: Adopt TP#4 for TS 38.213 to determine a capability to monitor a maximum number of PDCCH candidates and a maximum number of non-overlapped CCEs per </w:t>
            </w:r>
            <m:oMath>
              <m:sSub>
                <m:sSubPr>
                  <m:ctrlPr>
                    <w:rPr>
                      <w:rFonts w:ascii="Cambria Math" w:hAnsi="Cambria Math"/>
                      <w:b/>
                      <w:u w:val="single"/>
                    </w:rPr>
                  </m:ctrlPr>
                </m:sSubPr>
                <m:e>
                  <m:r>
                    <m:rPr>
                      <m:sty m:val="bi"/>
                    </m:rPr>
                    <w:rPr>
                      <w:rFonts w:ascii="Cambria Math" w:hAnsi="Cambria Math"/>
                      <w:u w:val="single"/>
                    </w:rPr>
                    <m:t>X</m:t>
                  </m:r>
                  <m:ctrlPr>
                    <w:rPr>
                      <w:rFonts w:ascii="Cambria Math" w:hAnsi="Cambria Math"/>
                      <w:b/>
                      <w:u w:val="single"/>
                    </w:rPr>
                  </m:ctrlPr>
                </m:e>
                <m:sub>
                  <m:r>
                    <m:rPr>
                      <m:sty m:val="bi"/>
                    </m:rPr>
                    <w:rPr>
                      <w:rFonts w:ascii="Cambria Math" w:hAnsi="Cambria Math"/>
                      <w:u w:val="single"/>
                    </w:rPr>
                    <m:t>s</m:t>
                  </m:r>
                  <m:ctrlPr>
                    <w:rPr>
                      <w:rFonts w:ascii="Cambria Math" w:hAnsi="Cambria Math"/>
                      <w:b/>
                      <w:u w:val="single"/>
                    </w:rPr>
                  </m:ctrlPr>
                </m:sub>
              </m:sSub>
            </m:oMath>
            <w:r>
              <w:rPr>
                <w:b/>
                <w:u w:val="single"/>
              </w:rPr>
              <w:t xml:space="preserve"> slots that corresponds to </w:t>
            </w:r>
            <m:oMath>
              <m:sSubSup>
                <m:sSubSupPr>
                  <m:ctrlPr>
                    <w:rPr>
                      <w:rFonts w:ascii="Cambria Math" w:hAnsi="Cambria Math"/>
                      <w:b/>
                      <w:u w:val="single"/>
                    </w:rPr>
                  </m:ctrlPr>
                </m:sSubSupPr>
                <m:e>
                  <m:r>
                    <m:rPr>
                      <m:sty m:val="bi"/>
                    </m:rPr>
                    <w:rPr>
                      <w:rFonts w:ascii="Cambria Math" w:hAnsi="Cambria Math"/>
                      <w:u w:val="single"/>
                    </w:rPr>
                    <m:t>N</m:t>
                  </m:r>
                  <m:ctrlPr>
                    <w:rPr>
                      <w:rFonts w:ascii="Cambria Math" w:hAnsi="Cambria Math"/>
                      <w:b/>
                      <w:u w:val="single"/>
                    </w:rPr>
                  </m:ctrlPr>
                </m:e>
                <m:sub>
                  <m:r>
                    <m:rPr>
                      <m:nor/>
                      <m:sty m:val="b"/>
                    </m:rPr>
                    <w:rPr>
                      <w:b/>
                      <w:u w:val="single"/>
                    </w:rPr>
                    <m:t>cells</m:t>
                  </m:r>
                  <m:ctrlPr>
                    <w:rPr>
                      <w:rFonts w:ascii="Cambria Math" w:hAnsi="Cambria Math"/>
                      <w:b/>
                      <w:u w:val="single"/>
                    </w:rPr>
                  </m:ctrlPr>
                </m:sub>
                <m:sup>
                  <m:r>
                    <m:rPr>
                      <m:nor/>
                      <m:sty m:val="b"/>
                    </m:rPr>
                    <w:rPr>
                      <w:b/>
                      <w:u w:val="single"/>
                    </w:rPr>
                    <m:t>cap</m:t>
                  </m:r>
                  <m:ctrlPr>
                    <w:rPr>
                      <w:rFonts w:ascii="Cambria Math" w:hAnsi="Cambria Math"/>
                      <w:b/>
                      <w:u w:val="single"/>
                    </w:rPr>
                  </m:ctrlPr>
                </m:sup>
              </m:sSubSup>
            </m:oMath>
            <w:r>
              <w:rPr>
                <w:b/>
                <w:u w:val="single"/>
              </w:rPr>
              <w:t xml:space="preserve"> downlink cells, i.e. </w:t>
            </w:r>
            <m:oMath>
              <m:sSubSup>
                <m:sSubSupPr>
                  <m:ctrlPr>
                    <w:rPr>
                      <w:rFonts w:ascii="Cambria Math" w:hAnsi="Cambria Math"/>
                      <w:b/>
                      <w:u w:val="single"/>
                    </w:rPr>
                  </m:ctrlPr>
                </m:sSubSupPr>
                <m:e>
                  <m:r>
                    <m:rPr>
                      <m:sty m:val="b"/>
                    </m:rPr>
                    <w:rPr>
                      <w:rFonts w:ascii="Cambria Math" w:hAnsi="Cambria Math"/>
                      <w:u w:val="single"/>
                    </w:rPr>
                    <m:t> </m:t>
                  </m:r>
                  <m:r>
                    <m:rPr>
                      <m:sty m:val="bi"/>
                    </m:rPr>
                    <w:rPr>
                      <w:rFonts w:ascii="Cambria Math" w:hAnsi="Cambria Math"/>
                      <w:u w:val="single"/>
                    </w:rPr>
                    <m:t>N</m:t>
                  </m:r>
                  <m:ctrlPr>
                    <w:rPr>
                      <w:rFonts w:ascii="Cambria Math" w:hAnsi="Cambria Math"/>
                      <w:b/>
                      <w:u w:val="single"/>
                    </w:rPr>
                  </m:ctrlPr>
                </m:e>
                <m:sub>
                  <m:r>
                    <m:rPr>
                      <m:sty m:val="bi"/>
                    </m:rPr>
                    <w:rPr>
                      <w:rFonts w:ascii="Cambria Math" w:hAnsi="Cambria Math"/>
                      <w:u w:val="single"/>
                    </w:rPr>
                    <m:t>cells</m:t>
                  </m:r>
                  <m:ctrlPr>
                    <w:rPr>
                      <w:rFonts w:ascii="Cambria Math" w:hAnsi="Cambria Math"/>
                      <w:b/>
                      <w:u w:val="single"/>
                    </w:rPr>
                  </m:ctrlPr>
                </m:sub>
                <m:sup>
                  <m:r>
                    <m:rPr>
                      <m:sty m:val="bi"/>
                    </m:rPr>
                    <w:rPr>
                      <w:rFonts w:ascii="Cambria Math" w:hAnsi="Cambria Math"/>
                      <w:u w:val="single"/>
                    </w:rPr>
                    <m:t>cap</m:t>
                  </m:r>
                  <m:r>
                    <m:rPr>
                      <m:sty m:val="b"/>
                    </m:rPr>
                    <w:rPr>
                      <w:rFonts w:ascii="Cambria Math" w:hAnsi="Cambria Math"/>
                      <w:u w:val="single"/>
                    </w:rPr>
                    <m:t>-</m:t>
                  </m:r>
                  <m:r>
                    <m:rPr>
                      <m:sty m:val="bi"/>
                    </m:rPr>
                    <w:rPr>
                      <w:rFonts w:ascii="Cambria Math" w:hAnsi="Cambria Math"/>
                      <w:u w:val="single"/>
                    </w:rPr>
                    <m:t>r</m:t>
                  </m:r>
                  <m:r>
                    <m:rPr>
                      <m:sty m:val="b"/>
                    </m:rPr>
                    <w:rPr>
                      <w:rFonts w:ascii="Cambria Math" w:hAnsi="Cambria Math"/>
                      <w:u w:val="single"/>
                    </w:rPr>
                    <m:t>17</m:t>
                  </m:r>
                  <m:ctrlPr>
                    <w:rPr>
                      <w:rFonts w:ascii="Cambria Math" w:hAnsi="Cambria Math"/>
                      <w:b/>
                      <w:u w:val="single"/>
                    </w:rPr>
                  </m:ctrlPr>
                </m:sup>
              </m:sSubSup>
              <m:r>
                <m:rPr>
                  <m:sty m:val="b"/>
                </m:rPr>
                <w:rPr>
                  <w:rFonts w:ascii="Cambria Math" w:hAnsi="Cambria Math"/>
                  <w:u w:val="single"/>
                </w:rPr>
                <m:t>.</m:t>
              </m:r>
            </m:oMath>
          </w:p>
          <w:p>
            <w:pPr>
              <w:widowControl w:val="0"/>
              <w:jc w:val="both"/>
              <w:rPr>
                <w:b/>
                <w:u w:val="single"/>
              </w:rPr>
            </w:pPr>
          </w:p>
          <w:p>
            <w:pPr>
              <w:widowControl w:val="0"/>
              <w:spacing w:after="0"/>
              <w:jc w:val="both"/>
              <w:rPr>
                <w:iCs/>
              </w:rPr>
            </w:pPr>
            <w:r>
              <w:t xml:space="preserve">It was agreed in RAN1#107-e meeting to support PDCCH dropping per </w:t>
            </w:r>
            <m:oMath>
              <m:sSub>
                <m:sSubPr>
                  <m:ctrlPr>
                    <w:rPr>
                      <w:rFonts w:ascii="Cambria Math" w:hAnsi="Cambria Math"/>
                    </w:rPr>
                  </m:ctrlPr>
                </m:sSubPr>
                <m:e>
                  <m:r>
                    <w:rPr>
                      <w:rFonts w:ascii="Cambria Math" w:hAnsi="Cambria Math"/>
                    </w:rPr>
                    <m:t>X</m:t>
                  </m:r>
                  <m:ctrlPr>
                    <w:rPr>
                      <w:rFonts w:ascii="Cambria Math" w:hAnsi="Cambria Math"/>
                    </w:rPr>
                  </m:ctrlPr>
                </m:e>
                <m:sub>
                  <m:r>
                    <w:rPr>
                      <w:rFonts w:ascii="Cambria Math" w:hAnsi="Cambria Math"/>
                    </w:rPr>
                    <m:t>s</m:t>
                  </m:r>
                  <m:ctrlPr>
                    <w:rPr>
                      <w:rFonts w:ascii="Cambria Math" w:hAnsi="Cambria Math"/>
                    </w:rPr>
                  </m:ctrlPr>
                </m:sub>
              </m:sSub>
            </m:oMath>
            <w:r>
              <w:t xml:space="preserve"> slots based on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ctrlPr>
                        <w:rPr>
                          <w:rFonts w:ascii="Cambria Math" w:hAnsi="Cambria Math"/>
                        </w:rPr>
                      </m:ctrlPr>
                    </m:e>
                    <m:sub>
                      <m:r>
                        <w:rPr>
                          <w:rFonts w:ascii="Cambria Math" w:hAnsi="Cambria Math"/>
                        </w:rPr>
                        <m:t>s</m:t>
                      </m:r>
                      <m:ctrlPr>
                        <w:rPr>
                          <w:rFonts w:ascii="Cambria Math" w:hAnsi="Cambria Math"/>
                        </w:rPr>
                      </m:ctrlPr>
                    </m:sub>
                  </m:sSub>
                  <m:r>
                    <m:rPr>
                      <m:sty m:val="p"/>
                    </m:rPr>
                    <w:rPr>
                      <w:rFonts w:ascii="Cambria Math" w:hAnsi="Cambria Math"/>
                    </w:rPr>
                    <m:t>,</m:t>
                  </m:r>
                  <m:sSub>
                    <m:sSubPr>
                      <m:ctrlPr>
                        <w:rPr>
                          <w:rFonts w:ascii="Cambria Math" w:hAnsi="Cambria Math"/>
                        </w:rPr>
                      </m:ctrlPr>
                    </m:sSubPr>
                    <m:e>
                      <m:r>
                        <w:rPr>
                          <w:rFonts w:ascii="Cambria Math" w:hAnsi="Cambria Math"/>
                        </w:rPr>
                        <m:t>Y</m:t>
                      </m:r>
                      <m:ctrlPr>
                        <w:rPr>
                          <w:rFonts w:ascii="Cambria Math" w:hAnsi="Cambria Math"/>
                        </w:rPr>
                      </m:ctrlPr>
                    </m:e>
                    <m:sub>
                      <m:r>
                        <w:rPr>
                          <w:rFonts w:ascii="Cambria Math" w:hAnsi="Cambria Math"/>
                        </w:rPr>
                        <m:t>s</m:t>
                      </m:r>
                      <m:ctrlPr>
                        <w:rPr>
                          <w:rFonts w:ascii="Cambria Math" w:hAnsi="Cambria Math"/>
                        </w:rPr>
                      </m:ctrlPr>
                    </m:sub>
                  </m:sSub>
                  <m:ctrlPr>
                    <w:rPr>
                      <w:rFonts w:ascii="Cambria Math" w:hAnsi="Cambria Math"/>
                    </w:rPr>
                  </m:ctrlPr>
                </m:e>
              </m:d>
            </m:oMath>
            <w:r>
              <w:t xml:space="preserve">. The PDCCH dropping rule should be applied to both single cell case and CA. For UE configured with CA or NR-DC operation, the PDCCH candidates and non-overlapping CCE limits should be determined based on </w:t>
            </w:r>
            <m:oMath>
              <m:sSubSup>
                <m:sSubSupPr>
                  <m:ctrlPr>
                    <w:rPr>
                      <w:rFonts w:ascii="Cambria Math" w:hAnsi="Cambria Math"/>
                    </w:rPr>
                  </m:ctrlPr>
                </m:sSubSupPr>
                <m:e>
                  <m:r>
                    <w:rPr>
                      <w:rFonts w:ascii="Cambria Math" w:hAnsi="Cambria Math"/>
                    </w:rPr>
                    <m:t>N</m:t>
                  </m:r>
                  <m:ctrlPr>
                    <w:rPr>
                      <w:rFonts w:ascii="Cambria Math" w:hAnsi="Cambria Math"/>
                    </w:rPr>
                  </m:ctrlPr>
                </m:e>
                <m:sub>
                  <m:r>
                    <m:rPr>
                      <m:sty m:val="p"/>
                    </m:rPr>
                    <w:rPr>
                      <w:rFonts w:ascii="Cambria Math" w:hAnsi="Cambria Math"/>
                    </w:rPr>
                    <m:t>cells</m:t>
                  </m:r>
                  <m:ctrlPr>
                    <w:rPr>
                      <w:rFonts w:ascii="Cambria Math" w:hAnsi="Cambria Math"/>
                    </w:rPr>
                  </m:ctrlPr>
                </m:sub>
                <m:sup>
                  <m:r>
                    <m:rPr>
                      <m:sty m:val="p"/>
                    </m:rPr>
                    <w:rPr>
                      <w:rFonts w:ascii="Cambria Math" w:hAnsi="Cambria Math"/>
                    </w:rPr>
                    <m:t>cap-r17</m:t>
                  </m:r>
                  <m:ctrlPr>
                    <w:rPr>
                      <w:rFonts w:ascii="Cambria Math" w:hAnsi="Cambria Math"/>
                    </w:rPr>
                  </m:ctrlPr>
                </m:sup>
              </m:sSubSup>
            </m:oMath>
            <w:r>
              <w:t xml:space="preserve">downlink cells for all scheduling cells. The same scaling rule to determine </w:t>
            </w:r>
            <m:oMath>
              <m:sSubSup>
                <m:sSubSupPr>
                  <m:ctrlPr>
                    <w:rPr>
                      <w:rFonts w:ascii="Cambria Math" w:hAnsi="Calibri" w:cs="Calibri"/>
                      <w:i/>
                    </w:rPr>
                  </m:ctrlPr>
                </m:sSubSupPr>
                <m:e>
                  <m:r>
                    <w:rPr>
                      <w:rFonts w:ascii="Cambria Math" w:hAnsi="Calibri" w:cs="Calibri"/>
                    </w:rPr>
                    <m:t>M</m:t>
                  </m:r>
                  <m:ctrlPr>
                    <w:rPr>
                      <w:rFonts w:ascii="Cambria Math" w:hAnsi="Calibri" w:cs="Calibri"/>
                      <w:i/>
                    </w:rPr>
                  </m:ctrlPr>
                </m:e>
                <m:sub>
                  <m:r>
                    <m:rPr>
                      <m:nor/>
                      <m:sty m:val="p"/>
                    </m:rPr>
                    <w:rPr>
                      <w:rFonts w:ascii="Cambria Math" w:hAnsi="Calibri" w:cs="Calibri"/>
                    </w:rPr>
                    <m:t>PDCCH</m:t>
                  </m:r>
                  <m:ctrlPr>
                    <w:rPr>
                      <w:rFonts w:ascii="Cambria Math" w:hAnsi="Calibri" w:cs="Calibri"/>
                    </w:rPr>
                  </m:ctrlPr>
                </m:sub>
                <m:sup>
                  <m:r>
                    <m:rPr>
                      <m:nor/>
                      <m:sty m:val="p"/>
                    </m:rPr>
                    <w:rPr>
                      <w:rFonts w:ascii="Cambria Math" w:hAnsi="Calibri" w:cs="Calibri"/>
                    </w:rPr>
                    <m:t>total,(X,Y),</m:t>
                  </m:r>
                  <m:r>
                    <w:rPr>
                      <w:rFonts w:ascii="Cambria Math" w:hAnsi="Calibri" w:cs="Calibri"/>
                    </w:rPr>
                    <m:t>μ</m:t>
                  </m:r>
                  <m:ctrlPr>
                    <w:rPr>
                      <w:rFonts w:ascii="Cambria Math" w:hAnsi="Calibri" w:cs="Calibri"/>
                    </w:rPr>
                  </m:ctrlPr>
                </m:sup>
              </m:sSubSup>
            </m:oMath>
            <w:r>
              <w:t xml:space="preserve"> and </w:t>
            </w:r>
            <m:oMath>
              <m:sSubSup>
                <m:sSubSupPr>
                  <m:ctrlPr>
                    <w:rPr>
                      <w:rFonts w:ascii="Cambria Math" w:hAnsi="Calibri" w:cs="Calibri"/>
                      <w:i/>
                    </w:rPr>
                  </m:ctrlPr>
                </m:sSubSupPr>
                <m:e>
                  <m:r>
                    <w:rPr>
                      <w:rFonts w:ascii="Cambria Math" w:hAnsi="Calibri" w:cs="Calibri"/>
                    </w:rPr>
                    <m:t>C</m:t>
                  </m:r>
                  <m:ctrlPr>
                    <w:rPr>
                      <w:rFonts w:ascii="Cambria Math" w:hAnsi="Calibri" w:cs="Calibri"/>
                      <w:i/>
                    </w:rPr>
                  </m:ctrlPr>
                </m:e>
                <m:sub>
                  <m:r>
                    <m:rPr>
                      <m:nor/>
                      <m:sty m:val="p"/>
                    </m:rPr>
                    <w:rPr>
                      <w:rFonts w:ascii="Cambria Math" w:hAnsi="Calibri" w:cs="Calibri"/>
                    </w:rPr>
                    <m:t>PDCCH</m:t>
                  </m:r>
                  <m:ctrlPr>
                    <w:rPr>
                      <w:rFonts w:ascii="Cambria Math" w:hAnsi="Calibri" w:cs="Calibri"/>
                    </w:rPr>
                  </m:ctrlPr>
                </m:sub>
                <m:sup>
                  <m:r>
                    <m:rPr>
                      <m:nor/>
                      <m:sty m:val="p"/>
                    </m:rPr>
                    <w:rPr>
                      <w:rFonts w:ascii="Cambria Math" w:hAnsi="Calibri" w:cs="Calibri"/>
                    </w:rPr>
                    <m:t>total,(X,Y),</m:t>
                  </m:r>
                  <m:r>
                    <w:rPr>
                      <w:rFonts w:ascii="Cambria Math" w:hAnsi="Calibri" w:cs="Calibri"/>
                    </w:rPr>
                    <m:t>μ</m:t>
                  </m:r>
                  <m:ctrlPr>
                    <w:rPr>
                      <w:rFonts w:ascii="Cambria Math" w:hAnsi="Calibri" w:cs="Calibri"/>
                    </w:rPr>
                  </m:ctrlPr>
                </m:sup>
              </m:sSubSup>
            </m:oMath>
            <w:r>
              <w:t xml:space="preserve"> for </w:t>
            </w:r>
            <w:r>
              <w:rPr>
                <w:i/>
                <w:iCs/>
              </w:rPr>
              <w:t>R16monitoringcapability</w:t>
            </w:r>
            <w:r>
              <w:t xml:space="preserve"> can be reused to determine </w:t>
            </w:r>
            <m:oMath>
              <m:sSubSup>
                <m:sSubSupPr>
                  <m:ctrlPr>
                    <w:rPr>
                      <w:rFonts w:ascii="Cambria Math" w:hAnsi="Calibri" w:cs="Calibri"/>
                      <w:i/>
                    </w:rPr>
                  </m:ctrlPr>
                </m:sSubSupPr>
                <m:e>
                  <m:r>
                    <w:rPr>
                      <w:rFonts w:ascii="Cambria Math" w:hAnsi="Calibri" w:cs="Calibri"/>
                    </w:rPr>
                    <m:t>M</m:t>
                  </m:r>
                  <m:ctrlPr>
                    <w:rPr>
                      <w:rFonts w:ascii="Cambria Math" w:hAnsi="Calibri" w:cs="Calibri"/>
                      <w:i/>
                    </w:rPr>
                  </m:ctrlPr>
                </m:e>
                <m:sub>
                  <m:r>
                    <m:rPr>
                      <m:nor/>
                      <m:sty m:val="p"/>
                    </m:rPr>
                    <w:rPr>
                      <w:rFonts w:ascii="Cambria Math" w:hAnsi="Calibri" w:cs="Calibri"/>
                    </w:rPr>
                    <m:t>PDCCH</m:t>
                  </m:r>
                  <m:ctrlPr>
                    <w:rPr>
                      <w:rFonts w:ascii="Cambria Math" w:hAnsi="Calibri" w:cs="Calibri"/>
                    </w:rPr>
                  </m:ctrlPr>
                </m:sub>
                <m:sup>
                  <m:r>
                    <m:rPr>
                      <m:nor/>
                      <m:sty m:val="p"/>
                    </m:rPr>
                    <w:rPr>
                      <w:rFonts w:ascii="Cambria Math" w:hAnsi="Calibri" w:cs="Calibri"/>
                    </w:rPr>
                    <m:t>total,(</m:t>
                  </m:r>
                  <m:sSub>
                    <m:sSubPr>
                      <m:ctrlPr>
                        <w:rPr>
                          <w:rFonts w:ascii="Cambria Math" w:hAnsi="Cambria Math"/>
                        </w:rPr>
                      </m:ctrlPr>
                    </m:sSubPr>
                    <m:e>
                      <m:r>
                        <w:rPr>
                          <w:rFonts w:ascii="Cambria Math" w:hAnsi="Cambria Math"/>
                        </w:rPr>
                        <m:t>X</m:t>
                      </m:r>
                      <m:ctrlPr>
                        <w:rPr>
                          <w:rFonts w:ascii="Cambria Math" w:hAnsi="Cambria Math"/>
                        </w:rPr>
                      </m:ctrlPr>
                    </m:e>
                    <m:sub>
                      <m:r>
                        <w:rPr>
                          <w:rFonts w:ascii="Cambria Math" w:hAnsi="Cambria Math"/>
                        </w:rPr>
                        <m:t>s</m:t>
                      </m:r>
                      <m:ctrlPr>
                        <w:rPr>
                          <w:rFonts w:ascii="Cambria Math" w:hAnsi="Cambria Math"/>
                        </w:rPr>
                      </m:ctrlPr>
                    </m:sub>
                  </m:sSub>
                  <m:r>
                    <m:rPr>
                      <m:sty m:val="p"/>
                    </m:rPr>
                    <w:rPr>
                      <w:rFonts w:ascii="Cambria Math" w:hAnsi="Cambria Math"/>
                    </w:rPr>
                    <m:t>,</m:t>
                  </m:r>
                  <m:sSub>
                    <m:sSubPr>
                      <m:ctrlPr>
                        <w:rPr>
                          <w:rFonts w:ascii="Cambria Math" w:hAnsi="Cambria Math"/>
                        </w:rPr>
                      </m:ctrlPr>
                    </m:sSubPr>
                    <m:e>
                      <m:r>
                        <w:rPr>
                          <w:rFonts w:ascii="Cambria Math" w:hAnsi="Cambria Math"/>
                        </w:rPr>
                        <m:t>Y</m:t>
                      </m:r>
                      <m:ctrlPr>
                        <w:rPr>
                          <w:rFonts w:ascii="Cambria Math" w:hAnsi="Cambria Math"/>
                        </w:rPr>
                      </m:ctrlPr>
                    </m:e>
                    <m:sub>
                      <m:r>
                        <w:rPr>
                          <w:rFonts w:ascii="Cambria Math" w:hAnsi="Cambria Math"/>
                        </w:rPr>
                        <m:t>s</m:t>
                      </m:r>
                      <m:ctrlPr>
                        <w:rPr>
                          <w:rFonts w:ascii="Cambria Math" w:hAnsi="Cambria Math"/>
                        </w:rPr>
                      </m:ctrlPr>
                    </m:sub>
                  </m:sSub>
                  <m:r>
                    <m:rPr>
                      <m:nor/>
                      <m:sty m:val="p"/>
                    </m:rPr>
                    <w:rPr>
                      <w:rFonts w:ascii="Cambria Math" w:hAnsi="Calibri" w:cs="Calibri"/>
                    </w:rPr>
                    <m:t>),</m:t>
                  </m:r>
                  <m:r>
                    <w:rPr>
                      <w:rFonts w:ascii="Cambria Math" w:hAnsi="Calibri" w:cs="Calibri"/>
                    </w:rPr>
                    <m:t>μ</m:t>
                  </m:r>
                  <m:ctrlPr>
                    <w:rPr>
                      <w:rFonts w:ascii="Cambria Math" w:hAnsi="Calibri" w:cs="Calibri"/>
                    </w:rPr>
                  </m:ctrlPr>
                </m:sup>
              </m:sSubSup>
            </m:oMath>
            <w:r>
              <w:t xml:space="preserve"> and </w:t>
            </w:r>
            <m:oMath>
              <m:sSubSup>
                <m:sSubSupPr>
                  <m:ctrlPr>
                    <w:rPr>
                      <w:rFonts w:ascii="Cambria Math" w:hAnsi="Calibri" w:cs="Calibri"/>
                      <w:i/>
                    </w:rPr>
                  </m:ctrlPr>
                </m:sSubSupPr>
                <m:e>
                  <m:r>
                    <w:rPr>
                      <w:rFonts w:ascii="Cambria Math" w:hAnsi="Calibri" w:cs="Calibri"/>
                    </w:rPr>
                    <m:t>C</m:t>
                  </m:r>
                  <m:ctrlPr>
                    <w:rPr>
                      <w:rFonts w:ascii="Cambria Math" w:hAnsi="Calibri" w:cs="Calibri"/>
                      <w:i/>
                    </w:rPr>
                  </m:ctrlPr>
                </m:e>
                <m:sub>
                  <m:r>
                    <m:rPr>
                      <m:nor/>
                      <m:sty m:val="p"/>
                    </m:rPr>
                    <w:rPr>
                      <w:rFonts w:ascii="Cambria Math" w:hAnsi="Calibri" w:cs="Calibri"/>
                    </w:rPr>
                    <m:t>PDCCH</m:t>
                  </m:r>
                  <m:ctrlPr>
                    <w:rPr>
                      <w:rFonts w:ascii="Cambria Math" w:hAnsi="Calibri" w:cs="Calibri"/>
                    </w:rPr>
                  </m:ctrlPr>
                </m:sub>
                <m:sup>
                  <m:r>
                    <m:rPr>
                      <m:nor/>
                      <m:sty m:val="p"/>
                    </m:rPr>
                    <w:rPr>
                      <w:rFonts w:ascii="Cambria Math" w:hAnsi="Calibri" w:cs="Calibri"/>
                    </w:rPr>
                    <m:t>total,(</m:t>
                  </m:r>
                  <m:sSub>
                    <m:sSubPr>
                      <m:ctrlPr>
                        <w:rPr>
                          <w:rFonts w:ascii="Cambria Math" w:hAnsi="Cambria Math"/>
                        </w:rPr>
                      </m:ctrlPr>
                    </m:sSubPr>
                    <m:e>
                      <m:r>
                        <w:rPr>
                          <w:rFonts w:ascii="Cambria Math" w:hAnsi="Cambria Math"/>
                        </w:rPr>
                        <m:t>X</m:t>
                      </m:r>
                      <m:ctrlPr>
                        <w:rPr>
                          <w:rFonts w:ascii="Cambria Math" w:hAnsi="Cambria Math"/>
                        </w:rPr>
                      </m:ctrlPr>
                    </m:e>
                    <m:sub>
                      <m:r>
                        <w:rPr>
                          <w:rFonts w:ascii="Cambria Math" w:hAnsi="Cambria Math"/>
                        </w:rPr>
                        <m:t>s</m:t>
                      </m:r>
                      <m:ctrlPr>
                        <w:rPr>
                          <w:rFonts w:ascii="Cambria Math" w:hAnsi="Cambria Math"/>
                        </w:rPr>
                      </m:ctrlPr>
                    </m:sub>
                  </m:sSub>
                  <m:r>
                    <m:rPr>
                      <m:sty m:val="p"/>
                    </m:rPr>
                    <w:rPr>
                      <w:rFonts w:ascii="Cambria Math" w:hAnsi="Cambria Math"/>
                    </w:rPr>
                    <m:t>,</m:t>
                  </m:r>
                  <m:sSub>
                    <m:sSubPr>
                      <m:ctrlPr>
                        <w:rPr>
                          <w:rFonts w:ascii="Cambria Math" w:hAnsi="Cambria Math"/>
                        </w:rPr>
                      </m:ctrlPr>
                    </m:sSubPr>
                    <m:e>
                      <m:r>
                        <w:rPr>
                          <w:rFonts w:ascii="Cambria Math" w:hAnsi="Cambria Math"/>
                        </w:rPr>
                        <m:t>Y</m:t>
                      </m:r>
                      <m:ctrlPr>
                        <w:rPr>
                          <w:rFonts w:ascii="Cambria Math" w:hAnsi="Cambria Math"/>
                        </w:rPr>
                      </m:ctrlPr>
                    </m:e>
                    <m:sub>
                      <m:r>
                        <w:rPr>
                          <w:rFonts w:ascii="Cambria Math" w:hAnsi="Cambria Math"/>
                        </w:rPr>
                        <m:t>s</m:t>
                      </m:r>
                      <m:ctrlPr>
                        <w:rPr>
                          <w:rFonts w:ascii="Cambria Math" w:hAnsi="Cambria Math"/>
                        </w:rPr>
                      </m:ctrlPr>
                    </m:sub>
                  </m:sSub>
                  <m:r>
                    <m:rPr>
                      <m:nor/>
                      <m:sty m:val="p"/>
                    </m:rPr>
                    <w:rPr>
                      <w:rFonts w:ascii="Cambria Math" w:hAnsi="Calibri" w:cs="Calibri"/>
                    </w:rPr>
                    <m:t>),</m:t>
                  </m:r>
                  <m:r>
                    <w:rPr>
                      <w:rFonts w:ascii="Cambria Math" w:hAnsi="Calibri" w:cs="Calibri"/>
                    </w:rPr>
                    <m:t>μ</m:t>
                  </m:r>
                  <m:ctrlPr>
                    <w:rPr>
                      <w:rFonts w:ascii="Cambria Math" w:hAnsi="Calibri" w:cs="Calibri"/>
                    </w:rPr>
                  </m:ctrlPr>
                </m:sup>
              </m:sSubSup>
            </m:oMath>
            <w:r>
              <w:t xml:space="preserve"> for </w:t>
            </w:r>
            <w:r>
              <w:rPr>
                <w:i/>
                <w:iCs/>
              </w:rPr>
              <w:t xml:space="preserve">R17monitoringcapability </w:t>
            </w:r>
            <w:r>
              <w:rPr>
                <w:iCs/>
              </w:rPr>
              <w:t xml:space="preserve">in CA mode when the number of downlink cells is larger than </w:t>
            </w:r>
            <m:oMath>
              <m:sSubSup>
                <m:sSubSupPr>
                  <m:ctrlPr>
                    <w:rPr>
                      <w:rFonts w:ascii="Cambria Math" w:hAnsi="Cambria Math"/>
                    </w:rPr>
                  </m:ctrlPr>
                </m:sSubSupPr>
                <m:e>
                  <m:r>
                    <w:rPr>
                      <w:rFonts w:ascii="Cambria Math" w:hAnsi="Cambria Math"/>
                    </w:rPr>
                    <m:t>N</m:t>
                  </m:r>
                  <m:ctrlPr>
                    <w:rPr>
                      <w:rFonts w:ascii="Cambria Math" w:hAnsi="Cambria Math"/>
                    </w:rPr>
                  </m:ctrlPr>
                </m:e>
                <m:sub>
                  <m:r>
                    <m:rPr>
                      <m:sty m:val="p"/>
                    </m:rPr>
                    <w:rPr>
                      <w:rFonts w:ascii="Cambria Math" w:hAnsi="Cambria Math"/>
                    </w:rPr>
                    <m:t>cells</m:t>
                  </m:r>
                  <m:ctrlPr>
                    <w:rPr>
                      <w:rFonts w:ascii="Cambria Math" w:hAnsi="Cambria Math"/>
                    </w:rPr>
                  </m:ctrlPr>
                </m:sub>
                <m:sup>
                  <m:r>
                    <m:rPr>
                      <m:sty m:val="p"/>
                    </m:rPr>
                    <w:rPr>
                      <w:rFonts w:ascii="Cambria Math" w:hAnsi="Cambria Math"/>
                    </w:rPr>
                    <m:t>cap-r17</m:t>
                  </m:r>
                  <m:ctrlPr>
                    <w:rPr>
                      <w:rFonts w:ascii="Cambria Math" w:hAnsi="Cambria Math"/>
                    </w:rPr>
                  </m:ctrlPr>
                </m:sup>
              </m:sSubSup>
            </m:oMath>
            <w:r>
              <w:rPr>
                <w:iCs/>
              </w:rPr>
              <w:t xml:space="preserve">. </w:t>
            </w:r>
          </w:p>
          <w:p>
            <w:pPr>
              <w:widowControl w:val="0"/>
              <w:tabs>
                <w:tab w:val="left" w:pos="1300"/>
              </w:tabs>
              <w:spacing w:after="0"/>
              <w:jc w:val="both"/>
              <w:rPr>
                <w:b/>
                <w:u w:val="single"/>
              </w:rPr>
            </w:pPr>
          </w:p>
          <w:p>
            <w:pPr>
              <w:widowControl w:val="0"/>
              <w:tabs>
                <w:tab w:val="left" w:pos="1300"/>
              </w:tabs>
              <w:spacing w:after="0"/>
              <w:jc w:val="both"/>
              <w:rPr>
                <w:b/>
                <w:u w:val="single"/>
              </w:rPr>
            </w:pPr>
            <w:r>
              <w:rPr>
                <w:b/>
                <w:u w:val="single"/>
              </w:rPr>
              <w:t xml:space="preserve">Proposal 6: Adopt TP#5 for TS 38.213 to determine maximum number of PDCCH candidates, </w:t>
            </w:r>
            <m:oMath>
              <m:sSubSup>
                <m:sSubSupPr>
                  <m:ctrlPr>
                    <w:rPr>
                      <w:rFonts w:ascii="Cambria Math" w:hAnsi="Calibri" w:cs="Calibri"/>
                      <w:i/>
                    </w:rPr>
                  </m:ctrlPr>
                </m:sSubSupPr>
                <m:e>
                  <m:r>
                    <w:rPr>
                      <w:rFonts w:ascii="Cambria Math" w:hAnsi="Calibri" w:cs="Calibri"/>
                    </w:rPr>
                    <m:t>M</m:t>
                  </m:r>
                  <m:ctrlPr>
                    <w:rPr>
                      <w:rFonts w:ascii="Cambria Math" w:hAnsi="Calibri" w:cs="Calibri"/>
                      <w:i/>
                    </w:rPr>
                  </m:ctrlPr>
                </m:e>
                <m:sub>
                  <m:r>
                    <m:rPr>
                      <m:nor/>
                      <m:sty m:val="p"/>
                    </m:rPr>
                    <w:rPr>
                      <w:rFonts w:ascii="Cambria Math" w:hAnsi="Calibri" w:cs="Calibri"/>
                    </w:rPr>
                    <m:t>PDCCH</m:t>
                  </m:r>
                  <m:ctrlPr>
                    <w:rPr>
                      <w:rFonts w:ascii="Cambria Math" w:hAnsi="Calibri" w:cs="Calibri"/>
                    </w:rPr>
                  </m:ctrlPr>
                </m:sub>
                <m:sup>
                  <m:r>
                    <m:rPr>
                      <m:nor/>
                      <m:sty m:val="p"/>
                    </m:rPr>
                    <w:rPr>
                      <w:rFonts w:ascii="Cambria Math" w:hAnsi="Calibri" w:cs="Calibri"/>
                    </w:rPr>
                    <m:t>total,(</m:t>
                  </m:r>
                  <m:sSub>
                    <m:sSubPr>
                      <m:ctrlPr>
                        <w:rPr>
                          <w:rFonts w:ascii="Cambria Math" w:hAnsi="Cambria Math"/>
                        </w:rPr>
                      </m:ctrlPr>
                    </m:sSubPr>
                    <m:e>
                      <m:r>
                        <w:rPr>
                          <w:rFonts w:ascii="Cambria Math" w:hAnsi="Cambria Math"/>
                        </w:rPr>
                        <m:t>X</m:t>
                      </m:r>
                      <m:ctrlPr>
                        <w:rPr>
                          <w:rFonts w:ascii="Cambria Math" w:hAnsi="Cambria Math"/>
                        </w:rPr>
                      </m:ctrlPr>
                    </m:e>
                    <m:sub>
                      <m:r>
                        <w:rPr>
                          <w:rFonts w:ascii="Cambria Math" w:hAnsi="Cambria Math"/>
                        </w:rPr>
                        <m:t>s</m:t>
                      </m:r>
                      <m:ctrlPr>
                        <w:rPr>
                          <w:rFonts w:ascii="Cambria Math" w:hAnsi="Cambria Math"/>
                        </w:rPr>
                      </m:ctrlPr>
                    </m:sub>
                  </m:sSub>
                  <m:r>
                    <m:rPr>
                      <m:sty m:val="p"/>
                    </m:rPr>
                    <w:rPr>
                      <w:rFonts w:ascii="Cambria Math" w:hAnsi="Cambria Math"/>
                    </w:rPr>
                    <m:t>,</m:t>
                  </m:r>
                  <m:sSub>
                    <m:sSubPr>
                      <m:ctrlPr>
                        <w:rPr>
                          <w:rFonts w:ascii="Cambria Math" w:hAnsi="Cambria Math"/>
                        </w:rPr>
                      </m:ctrlPr>
                    </m:sSubPr>
                    <m:e>
                      <m:r>
                        <w:rPr>
                          <w:rFonts w:ascii="Cambria Math" w:hAnsi="Cambria Math"/>
                        </w:rPr>
                        <m:t>Y</m:t>
                      </m:r>
                      <m:ctrlPr>
                        <w:rPr>
                          <w:rFonts w:ascii="Cambria Math" w:hAnsi="Cambria Math"/>
                        </w:rPr>
                      </m:ctrlPr>
                    </m:e>
                    <m:sub>
                      <m:r>
                        <w:rPr>
                          <w:rFonts w:ascii="Cambria Math" w:hAnsi="Cambria Math"/>
                        </w:rPr>
                        <m:t>s</m:t>
                      </m:r>
                      <m:ctrlPr>
                        <w:rPr>
                          <w:rFonts w:ascii="Cambria Math" w:hAnsi="Cambria Math"/>
                        </w:rPr>
                      </m:ctrlPr>
                    </m:sub>
                  </m:sSub>
                  <m:r>
                    <m:rPr>
                      <m:nor/>
                      <m:sty m:val="p"/>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oMath>
            <w:r>
              <w:rPr>
                <w:b/>
                <w:u w:val="single"/>
              </w:rPr>
              <w:t xml:space="preserve"> and a maximum number of non-overlapped CCEs, </w:t>
            </w:r>
            <m:oMath>
              <m:sSubSup>
                <m:sSubSupPr>
                  <m:ctrlPr>
                    <w:rPr>
                      <w:rFonts w:ascii="Cambria Math" w:hAnsi="Calibri" w:cs="Calibri"/>
                      <w:i/>
                    </w:rPr>
                  </m:ctrlPr>
                </m:sSubSupPr>
                <m:e>
                  <m:r>
                    <w:rPr>
                      <w:rFonts w:ascii="Cambria Math" w:hAnsi="Calibri" w:cs="Calibri"/>
                    </w:rPr>
                    <m:t>C</m:t>
                  </m:r>
                  <m:ctrlPr>
                    <w:rPr>
                      <w:rFonts w:ascii="Cambria Math" w:hAnsi="Calibri" w:cs="Calibri"/>
                      <w:i/>
                    </w:rPr>
                  </m:ctrlPr>
                </m:e>
                <m:sub>
                  <m:r>
                    <m:rPr>
                      <m:nor/>
                      <m:sty m:val="p"/>
                    </m:rPr>
                    <w:rPr>
                      <w:rFonts w:ascii="Cambria Math" w:hAnsi="Calibri" w:cs="Calibri"/>
                    </w:rPr>
                    <m:t>PDCCH</m:t>
                  </m:r>
                  <m:ctrlPr>
                    <w:rPr>
                      <w:rFonts w:ascii="Cambria Math" w:hAnsi="Calibri" w:cs="Calibri"/>
                    </w:rPr>
                  </m:ctrlPr>
                </m:sub>
                <m:sup>
                  <m:r>
                    <m:rPr>
                      <m:nor/>
                      <m:sty m:val="p"/>
                    </m:rPr>
                    <w:rPr>
                      <w:rFonts w:ascii="Cambria Math" w:hAnsi="Calibri" w:cs="Calibri"/>
                    </w:rPr>
                    <m:t>total,(</m:t>
                  </m:r>
                  <m:sSub>
                    <m:sSubPr>
                      <m:ctrlPr>
                        <w:rPr>
                          <w:rFonts w:ascii="Cambria Math" w:hAnsi="Cambria Math"/>
                        </w:rPr>
                      </m:ctrlPr>
                    </m:sSubPr>
                    <m:e>
                      <m:r>
                        <w:rPr>
                          <w:rFonts w:ascii="Cambria Math" w:hAnsi="Cambria Math"/>
                        </w:rPr>
                        <m:t>X</m:t>
                      </m:r>
                      <m:ctrlPr>
                        <w:rPr>
                          <w:rFonts w:ascii="Cambria Math" w:hAnsi="Cambria Math"/>
                        </w:rPr>
                      </m:ctrlPr>
                    </m:e>
                    <m:sub>
                      <m:r>
                        <w:rPr>
                          <w:rFonts w:ascii="Cambria Math" w:hAnsi="Cambria Math"/>
                        </w:rPr>
                        <m:t>s</m:t>
                      </m:r>
                      <m:ctrlPr>
                        <w:rPr>
                          <w:rFonts w:ascii="Cambria Math" w:hAnsi="Cambria Math"/>
                        </w:rPr>
                      </m:ctrlPr>
                    </m:sub>
                  </m:sSub>
                  <m:r>
                    <m:rPr>
                      <m:sty m:val="p"/>
                    </m:rPr>
                    <w:rPr>
                      <w:rFonts w:ascii="Cambria Math" w:hAnsi="Cambria Math"/>
                    </w:rPr>
                    <m:t>,</m:t>
                  </m:r>
                  <m:sSub>
                    <m:sSubPr>
                      <m:ctrlPr>
                        <w:rPr>
                          <w:rFonts w:ascii="Cambria Math" w:hAnsi="Cambria Math"/>
                        </w:rPr>
                      </m:ctrlPr>
                    </m:sSubPr>
                    <m:e>
                      <m:r>
                        <w:rPr>
                          <w:rFonts w:ascii="Cambria Math" w:hAnsi="Cambria Math"/>
                        </w:rPr>
                        <m:t>Y</m:t>
                      </m:r>
                      <m:ctrlPr>
                        <w:rPr>
                          <w:rFonts w:ascii="Cambria Math" w:hAnsi="Cambria Math"/>
                        </w:rPr>
                      </m:ctrlPr>
                    </m:e>
                    <m:sub>
                      <m:r>
                        <w:rPr>
                          <w:rFonts w:ascii="Cambria Math" w:hAnsi="Cambria Math"/>
                        </w:rPr>
                        <m:t>s</m:t>
                      </m:r>
                      <m:ctrlPr>
                        <w:rPr>
                          <w:rFonts w:ascii="Cambria Math" w:hAnsi="Cambria Math"/>
                        </w:rPr>
                      </m:ctrlPr>
                    </m:sub>
                  </m:sSub>
                  <m:r>
                    <m:rPr>
                      <m:nor/>
                      <m:sty m:val="p"/>
                    </m:rPr>
                    <w:rPr>
                      <w:rFonts w:ascii="Cambria Math" w:hAnsi="Calibri" w:cs="Calibri"/>
                    </w:rPr>
                    <m:t>),</m:t>
                  </m:r>
                  <m:r>
                    <w:rPr>
                      <w:rFonts w:ascii="Cambria Math" w:hAnsi="Calibri" w:cs="Calibri"/>
                    </w:rPr>
                    <m:t>μ</m:t>
                  </m:r>
                  <m:ctrlPr>
                    <w:rPr>
                      <w:rFonts w:ascii="Cambria Math" w:hAnsi="Calibri" w:cs="Calibri"/>
                    </w:rPr>
                  </m:ctrlPr>
                </m:sup>
              </m:sSubSup>
            </m:oMath>
            <w:r>
              <w:t>,</w:t>
            </w:r>
            <w:r>
              <w:rPr>
                <w:b/>
                <w:u w:val="single"/>
              </w:rPr>
              <w:t xml:space="preserve"> per </w:t>
            </w:r>
            <m:oMath>
              <m:sSub>
                <m:sSubPr>
                  <m:ctrlPr>
                    <w:rPr>
                      <w:rFonts w:ascii="Cambria Math" w:hAnsi="Cambria Math"/>
                      <w:b/>
                      <w:u w:val="single"/>
                    </w:rPr>
                  </m:ctrlPr>
                </m:sSubPr>
                <m:e>
                  <m:r>
                    <m:rPr>
                      <m:sty m:val="bi"/>
                    </m:rPr>
                    <w:rPr>
                      <w:rFonts w:ascii="Cambria Math" w:hAnsi="Cambria Math"/>
                      <w:u w:val="single"/>
                    </w:rPr>
                    <m:t>X</m:t>
                  </m:r>
                  <m:ctrlPr>
                    <w:rPr>
                      <w:rFonts w:ascii="Cambria Math" w:hAnsi="Cambria Math"/>
                      <w:b/>
                      <w:u w:val="single"/>
                    </w:rPr>
                  </m:ctrlPr>
                </m:e>
                <m:sub>
                  <m:r>
                    <m:rPr>
                      <m:sty m:val="bi"/>
                    </m:rPr>
                    <w:rPr>
                      <w:rFonts w:ascii="Cambria Math" w:hAnsi="Cambria Math"/>
                      <w:u w:val="single"/>
                    </w:rPr>
                    <m:t>s</m:t>
                  </m:r>
                  <m:ctrlPr>
                    <w:rPr>
                      <w:rFonts w:ascii="Cambria Math" w:hAnsi="Cambria Math"/>
                      <w:b/>
                      <w:u w:val="single"/>
                    </w:rPr>
                  </m:ctrlPr>
                </m:sub>
              </m:sSub>
            </m:oMath>
            <w:r>
              <w:rPr>
                <w:b/>
                <w:u w:val="single"/>
              </w:rPr>
              <w:t xml:space="preserve"> slots in CA mode.</w:t>
            </w:r>
          </w:p>
          <w:p>
            <w:pPr>
              <w:widowControl w:val="0"/>
              <w:jc w:val="both"/>
              <w:rPr>
                <w:bCs/>
              </w:rPr>
            </w:pPr>
          </w:p>
        </w:tc>
      </w:tr>
    </w:tbl>
    <w:p>
      <w:pPr>
        <w:rPr>
          <w:lang w:eastAsia="zh-CN"/>
        </w:rPr>
      </w:pPr>
    </w:p>
    <w:p>
      <w:pPr>
        <w:pStyle w:val="4"/>
      </w:pPr>
      <w:r>
        <w:t>R1-2202072 (MediaTek)</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pPr>
            <w:r>
              <w:t xml:space="preserve">One remaining discussion is the BD/CCE budge for (X,Y)=(4,2) and (4,1) under 960kHz. In our view, the significance and usage of configuration (X,Y)=(4,1) and (4,2) are not clear compared to (8,1) and (8,4) and we prefer to remove such configurations. Furthermore, if the configuration (X,Y)=(4,1) and (4,2) were considered, based on the discussion so far, the associated BD/CCE limit should be around half of the ones for (X,Y)=(8,1) and (8,4). Consequently, the PDCCH scheduling will be impacted, especially when Type-0 PDCCH monitoring is involved where monitoring in consecutive slot-groups is needed. To alleviate the scheduling inflexibility due to the decreased BD/CCE limit, it is not desirable to configure X=8 in Pcell with 960kHz. </w:t>
            </w:r>
          </w:p>
          <w:p>
            <w:pPr>
              <w:widowControl w:val="0"/>
            </w:pPr>
          </w:p>
          <w:p>
            <w:pPr>
              <w:widowControl w:val="0"/>
              <w:rPr>
                <w:b/>
              </w:rPr>
            </w:pPr>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Rel-17 960kHz multi-slot PDCCH monitoring, only (X,Y)=(8,1) and (8,4) are supported in a Pcell.</w:t>
            </w:r>
          </w:p>
          <w:p>
            <w:pPr>
              <w:widowControl w:val="0"/>
            </w:pPr>
            <w:r>
              <w:t xml:space="preserve">Another essential discussion to complete the multi-slot PDCCH monitoring design is how to extend the framework to multi-cell operation and how to specify the BD/CCE limit for multi-cell operation. To address those aspects, it is necessary to discuss whether the fixed pattern of slot groups is the same across CCs with (X,Y) multi-slot PDCCH monitoring configuration. Based on the RAN1 #106bis-e agreement </w:t>
            </w:r>
          </w:p>
          <w:p>
            <w:pPr>
              <w:widowControl w:val="0"/>
              <w:numPr>
                <w:ilvl w:val="2"/>
                <w:numId w:val="99"/>
              </w:numPr>
              <w:autoSpaceDE/>
              <w:autoSpaceDN/>
              <w:adjustRightInd/>
              <w:snapToGrid/>
              <w:spacing w:after="0" w:line="240" w:lineRule="auto"/>
              <w:rPr>
                <w:lang w:eastAsia="zh-CN"/>
              </w:rPr>
            </w:pPr>
            <w:r>
              <w:rPr>
                <w:lang w:eastAsia="zh-CN"/>
              </w:rPr>
              <w:t>The start of the first slot group in a subframe is aligned with the subframe boundary</w:t>
            </w:r>
          </w:p>
          <w:p>
            <w:pPr>
              <w:widowControl w:val="0"/>
              <w:numPr>
                <w:ilvl w:val="2"/>
                <w:numId w:val="99"/>
              </w:numPr>
              <w:autoSpaceDE/>
              <w:autoSpaceDN/>
              <w:adjustRightInd/>
              <w:snapToGrid/>
              <w:spacing w:after="0" w:line="240" w:lineRule="auto"/>
              <w:rPr>
                <w:lang w:eastAsia="zh-CN"/>
              </w:rPr>
            </w:pPr>
            <w:r>
              <w:rPr>
                <w:lang w:eastAsia="zh-CN"/>
              </w:rPr>
              <w:t>The start of each slot group is aligned with a slot boundary</w:t>
            </w:r>
          </w:p>
          <w:p>
            <w:pPr>
              <w:widowControl w:val="0"/>
            </w:pPr>
            <w:r>
              <w:t xml:space="preserve">it can be concluded that all the CCs with (X,Y) multi-slot PDCCH monitoring configuration share the same pattern of slot groups. </w:t>
            </w:r>
          </w:p>
          <w:p>
            <w:pPr>
              <w:widowControl w:val="0"/>
            </w:pPr>
          </w:p>
          <w:p>
            <w:pPr>
              <w:pStyle w:val="27"/>
              <w:widowControl w:val="0"/>
            </w:pPr>
            <w:r>
              <w:t xml:space="preserve">Observation </w:t>
            </w:r>
            <w:r>
              <w:fldChar w:fldCharType="begin"/>
            </w:r>
            <w:r>
              <w:instrText xml:space="preserve"> SEQ Observation \* ARABIC </w:instrText>
            </w:r>
            <w:r>
              <w:fldChar w:fldCharType="separate"/>
            </w:r>
            <w:r>
              <w:t>1</w:t>
            </w:r>
            <w:r>
              <w:fldChar w:fldCharType="end"/>
            </w:r>
            <w:r>
              <w:t xml:space="preserve">: All the CCs with the same subcarrier spacing </w:t>
            </w:r>
            <m:oMath>
              <m:r>
                <m:rPr>
                  <m:sty m:val="bi"/>
                </m:rPr>
                <w:rPr>
                  <w:rFonts w:ascii="Cambria Math" w:hAnsi="Cambria Math"/>
                </w:rPr>
                <m:t>15×</m:t>
              </m:r>
              <m:sSup>
                <m:sSupPr>
                  <m:ctrlPr>
                    <w:rPr>
                      <w:rFonts w:ascii="Cambria Math" w:hAnsi="Cambria Math"/>
                      <w:i/>
                    </w:rPr>
                  </m:ctrlPr>
                </m:sSupPr>
                <m:e>
                  <m:r>
                    <m:rPr>
                      <m:sty m:val="bi"/>
                    </m:rPr>
                    <w:rPr>
                      <w:rFonts w:ascii="Cambria Math" w:hAnsi="Cambria Math"/>
                    </w:rPr>
                    <m:t>2</m:t>
                  </m:r>
                  <m:ctrlPr>
                    <w:rPr>
                      <w:rFonts w:ascii="Cambria Math" w:hAnsi="Cambria Math"/>
                      <w:i/>
                    </w:rPr>
                  </m:ctrlPr>
                </m:e>
                <m:sup>
                  <m:r>
                    <m:rPr>
                      <m:sty m:val="bi"/>
                    </m:rPr>
                    <w:rPr>
                      <w:rFonts w:ascii="Cambria Math" w:hAnsi="Cambria Math"/>
                    </w:rPr>
                    <m:t>μ</m:t>
                  </m:r>
                  <m:ctrlPr>
                    <w:rPr>
                      <w:rFonts w:ascii="Cambria Math" w:hAnsi="Cambria Math"/>
                      <w:i/>
                    </w:rPr>
                  </m:ctrlPr>
                </m:sup>
              </m:sSup>
            </m:oMath>
            <w:r>
              <w:t xml:space="preserve"> and same (X,Y) </w:t>
            </w:r>
            <w:bookmarkStart w:id="96" w:name="_Ref92452325"/>
            <w:r>
              <w:t>in multi-slot PDCCH monitoring configuration share the same pattern of slot groups</w:t>
            </w:r>
            <w:bookmarkEnd w:id="96"/>
          </w:p>
          <w:p>
            <w:pPr>
              <w:widowControl w:val="0"/>
            </w:pPr>
          </w:p>
          <w:p>
            <w:pPr>
              <w:widowControl w:val="0"/>
            </w:pPr>
            <w:r>
              <w:t>Consequently, it is natural to link the slot group notion in 480kHz or 960kHz and the slot notion in 120kHz, and it is desirable to reuse the multi-cell BD/CCE budget calculation method specified for slot-based PDCCH monitoring when determining the multi-cell BD/CCE budget calculation method for slot-group based PDCCH monitoring. That is, when the number of scheduled cells is less than or equal to the number of cells UE can support, UE is not required to monitor more than the BD/CCE limit per slot-group specified for a single cell on a DL BWP of scheduling cell. When the number of scheduled cells is larger than the number of cells UE can support, the multi-cell BD/CCE budget per slot group across CCs UE will follow can be derived based on the multi-cell BD/CCE budget calculation method specified for slot-based PDCCH.</w:t>
            </w:r>
          </w:p>
          <w:p>
            <w:pPr>
              <w:widowControl w:val="0"/>
            </w:pPr>
          </w:p>
          <w:p>
            <w:pPr>
              <w:widowControl w:val="0"/>
              <w:rPr>
                <w:b/>
              </w:rPr>
            </w:pPr>
            <w:r>
              <w:rPr>
                <w:b/>
              </w:rPr>
              <w:t xml:space="preserve">Proposal </w:t>
            </w:r>
            <w:r>
              <w:rPr>
                <w:b/>
              </w:rPr>
              <w:fldChar w:fldCharType="begin"/>
            </w:r>
            <w:r>
              <w:rPr>
                <w:b/>
              </w:rPr>
              <w:instrText xml:space="preserve"> SEQ Proposal \* ARABIC </w:instrText>
            </w:r>
            <w:r>
              <w:rPr>
                <w:b/>
              </w:rPr>
              <w:fldChar w:fldCharType="separate"/>
            </w:r>
            <w:r>
              <w:rPr>
                <w:b/>
              </w:rPr>
              <w:t>3</w:t>
            </w:r>
            <w:r>
              <w:rPr>
                <w:b/>
              </w:rPr>
              <w:fldChar w:fldCharType="end"/>
            </w:r>
            <w:r>
              <w:rPr>
                <w:b/>
              </w:rPr>
              <w:t>: The Rel-15/16 multi-cell BD/CCE budget calculation method specified for slot-based PDCCH monitoring should be considered as the baseline for the multi-cell BD/CCE budget calculation for slot-group based PDCCH monitoring in 480kHz and 960kHz.</w:t>
            </w:r>
          </w:p>
          <w:p>
            <w:pPr>
              <w:widowControl w:val="0"/>
              <w:rPr>
                <w:b/>
              </w:rPr>
            </w:pPr>
          </w:p>
        </w:tc>
      </w:tr>
    </w:tbl>
    <w:p>
      <w:pPr>
        <w:rPr>
          <w:lang w:eastAsia="zh-CN"/>
        </w:rPr>
      </w:pPr>
    </w:p>
    <w:p>
      <w:pPr>
        <w:pStyle w:val="4"/>
      </w:pPr>
      <w:r>
        <w:t>R1-2202130 (Qualcomm)</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widowControl w:val="0"/>
            </w:pPr>
            <w:r>
              <w:t>In RAN1 #107-e, a relevant issue was discussed in the dynamic spectrum sharing agenda, and the following has been agreed:</w:t>
            </w:r>
          </w:p>
          <w:tbl>
            <w:tblPr>
              <w:tblStyle w:val="55"/>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vAlign w:val="center"/>
                </w:tcPr>
                <w:p>
                  <w:pPr>
                    <w:widowControl w:val="0"/>
                    <w:spacing w:before="60" w:after="0" w:line="240" w:lineRule="auto"/>
                    <w:rPr>
                      <w:rFonts w:eastAsia="等线"/>
                      <w:b/>
                      <w:lang w:eastAsia="zh-CN"/>
                    </w:rPr>
                  </w:pPr>
                  <w:bookmarkStart w:id="97" w:name="_Hlk95065438"/>
                  <w:r>
                    <w:rPr>
                      <w:rFonts w:eastAsia="等线"/>
                      <w:b/>
                      <w:highlight w:val="green"/>
                      <w:lang w:eastAsia="zh-CN"/>
                    </w:rPr>
                    <w:t>Agreement</w:t>
                  </w:r>
                </w:p>
                <w:p>
                  <w:pPr>
                    <w:pStyle w:val="82"/>
                    <w:widowControl w:val="0"/>
                    <w:numPr>
                      <w:ilvl w:val="0"/>
                      <w:numId w:val="100"/>
                    </w:numPr>
                    <w:snapToGrid/>
                    <w:spacing w:line="240" w:lineRule="auto"/>
                    <w:contextualSpacing/>
                  </w:pPr>
                  <w:r>
                    <w:t>Following approaches for PDCCH monitoring and BD limit handling is supported for Type A UE</w:t>
                  </w:r>
                </w:p>
                <w:p>
                  <w:pPr>
                    <w:pStyle w:val="82"/>
                    <w:widowControl w:val="0"/>
                    <w:numPr>
                      <w:ilvl w:val="1"/>
                      <w:numId w:val="100"/>
                    </w:numPr>
                    <w:snapToGrid/>
                    <w:spacing w:line="240" w:lineRule="auto"/>
                    <w:contextualSpacing/>
                  </w:pPr>
                  <w:r>
                    <w:t xml:space="preserve">Additional simplifications to PDCCH monitoring </w:t>
                  </w:r>
                </w:p>
                <w:p>
                  <w:pPr>
                    <w:pStyle w:val="82"/>
                    <w:widowControl w:val="0"/>
                    <w:numPr>
                      <w:ilvl w:val="2"/>
                      <w:numId w:val="100"/>
                    </w:numPr>
                    <w:snapToGrid/>
                    <w:spacing w:line="240" w:lineRule="auto"/>
                    <w:contextualSpacing/>
                  </w:pPr>
                  <w:r>
                    <w:t>Type A UE as per RAN1#105-e agreement and</w:t>
                  </w:r>
                </w:p>
                <w:p>
                  <w:pPr>
                    <w:pStyle w:val="82"/>
                    <w:widowControl w:val="0"/>
                    <w:numPr>
                      <w:ilvl w:val="3"/>
                      <w:numId w:val="100"/>
                    </w:numPr>
                    <w:snapToGrid/>
                    <w:spacing w:line="240" w:lineRule="auto"/>
                    <w:contextualSpacing/>
                  </w:pPr>
                  <w:r>
                    <w:rPr>
                      <w:highlight w:val="yellow"/>
                    </w:rPr>
                    <w:t>no simultaneous monitoring between ‘USS sets (for P(S)Cell scheduling) on sSCell’ and ‘Type 0/0A/1/2/CSS sets on P(S)Cell for DCI formats with CRC scrambled by C-RNTI/MCS-C-RNTI/CS-RNTI’</w:t>
                  </w:r>
                  <w:r>
                    <w:t xml:space="preserve"> </w:t>
                  </w:r>
                </w:p>
                <w:p>
                  <w:pPr>
                    <w:pStyle w:val="82"/>
                    <w:widowControl w:val="0"/>
                    <w:numPr>
                      <w:ilvl w:val="3"/>
                      <w:numId w:val="100"/>
                    </w:numPr>
                    <w:snapToGrid/>
                    <w:spacing w:after="120" w:line="240" w:lineRule="auto"/>
                    <w:contextualSpacing/>
                  </w:pPr>
                  <w:r>
                    <w:t xml:space="preserve">simultaneous monitoring of ‘USS sets (for P(S)Cell scheduling) on sSCell’ and ‘Type 0/0A/1/2/CSS sets on P(S)Cell for DCI formats with CRC </w:t>
                  </w:r>
                  <w:r>
                    <w:rPr>
                      <w:highlight w:val="yellow"/>
                    </w:rPr>
                    <w:t>not</w:t>
                  </w:r>
                  <w:r>
                    <w:t xml:space="preserve"> scrambled by C-RNTI/MCS-C-RNTI/CS-RNTI’</w:t>
                  </w:r>
                </w:p>
              </w:tc>
            </w:tr>
            <w:bookmarkEnd w:id="97"/>
          </w:tbl>
          <w:p>
            <w:pPr>
              <w:widowControl w:val="0"/>
              <w:spacing w:before="120"/>
            </w:pPr>
            <w:r>
              <w:t>In Short, if there is a USS sets monitored on the sSCell, the UE is not required to monitor DCI formats 0_0 and 1_0 with CRC scrambled by C-RNTI, MCS-C-RNTI, or CS-RNTI in the CSS sets in the overlapping slot on the sPCell. The motivation behind the above agreement is removing redundancy and improving power efficiency. Therefore, in the same vein, when the UE is required to monitor both Group (1) and Group (2) SS sets in the same slot group, if there is at least one valid PDCCH MO of Group (1) SS sets, considering overbooking and dropping, the UE may refrain from monitoring DCI formats 0_0 and 1_0 with CRC scrambled by C-RNTI, MCS-C-RNTI, or CS-RNTI in Group (2) SS sets.</w:t>
            </w:r>
          </w:p>
          <w:p>
            <w:pPr>
              <w:pStyle w:val="27"/>
              <w:widowControl w:val="0"/>
              <w:spacing w:after="0"/>
              <w:rPr>
                <w:b w:val="0"/>
              </w:rPr>
            </w:pPr>
            <w:bookmarkStart w:id="98" w:name="P_1"/>
            <w:r>
              <w:t xml:space="preserve">Proposal </w:t>
            </w:r>
            <w:r>
              <w:fldChar w:fldCharType="begin"/>
            </w:r>
            <w:r>
              <w:instrText xml:space="preserve"> SEQ Proposal \* ARABIC </w:instrText>
            </w:r>
            <w:r>
              <w:fldChar w:fldCharType="separate"/>
            </w:r>
            <w:r>
              <w:t>1</w:t>
            </w:r>
            <w:r>
              <w:fldChar w:fldCharType="end"/>
            </w:r>
            <w:r>
              <w:t>: If PDCCH MOs of both Group (1) and Group (2) SS sets are configured in the same slot group, and there is at least one valid PDCCH MO of USS set(s) after overbooking and dropping, the UE does not monitor DCI formats 0_0 and 1_0 with CRC scrambled by C-RNTI, MCS-C-RNTI, and CS-RNTI in the Group(2) SS set(s).</w:t>
            </w:r>
          </w:p>
          <w:bookmarkEnd w:id="98"/>
          <w:p>
            <w:pPr>
              <w:widowControl w:val="0"/>
              <w:jc w:val="both"/>
              <w:rPr>
                <w:b/>
                <w:u w:val="single"/>
              </w:rPr>
            </w:pPr>
          </w:p>
          <w:p>
            <w:pPr>
              <w:widowControl w:val="0"/>
            </w:pPr>
            <w:r>
              <w:t>In addition, in Rel-15, the following rule is applied for CSS monitoring within a slot:</w:t>
            </w:r>
          </w:p>
          <w:tbl>
            <w:tblPr>
              <w:tblStyle w:val="55"/>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vAlign w:val="center"/>
                </w:tcPr>
                <w:p>
                  <w:pPr>
                    <w:widowControl w:val="0"/>
                    <w:spacing w:before="60"/>
                    <w:rPr>
                      <w:lang w:eastAsia="ko-KR"/>
                    </w:rPr>
                  </w:pPr>
                  <w:r>
                    <w:rPr>
                      <w:highlight w:val="yellow"/>
                      <w:lang w:eastAsia="ko-KR"/>
                    </w:rPr>
                    <w:t>TS 38.213, Section 10.1:</w:t>
                  </w:r>
                </w:p>
                <w:p>
                  <w:pPr>
                    <w:widowControl w:val="0"/>
                    <w:autoSpaceDE/>
                    <w:autoSpaceDN/>
                    <w:adjustRightInd/>
                    <w:spacing w:line="240" w:lineRule="auto"/>
                    <w:rPr>
                      <w:rFonts w:eastAsia="Times New Roman"/>
                      <w:color w:val="000000"/>
                      <w:lang w:eastAsia="ko-KR"/>
                    </w:rPr>
                  </w:pPr>
                  <w:r>
                    <w:rPr>
                      <w:rFonts w:eastAsia="Times New Roman"/>
                      <w:color w:val="000000"/>
                      <w:lang w:val="en-GB" w:eastAsia="ko-KR"/>
                    </w:rPr>
                    <w:t>If a UE is provided</w:t>
                  </w:r>
                </w:p>
                <w:p>
                  <w:pPr>
                    <w:widowControl w:val="0"/>
                    <w:autoSpaceDE/>
                    <w:autoSpaceDN/>
                    <w:adjustRightInd/>
                    <w:spacing w:line="240" w:lineRule="auto"/>
                    <w:ind w:left="568" w:hanging="284"/>
                    <w:rPr>
                      <w:rFonts w:eastAsia="Times New Roman"/>
                      <w:color w:val="000000"/>
                      <w:lang w:eastAsia="ko-KR"/>
                    </w:rPr>
                  </w:pPr>
                  <w:r>
                    <w:rPr>
                      <w:rFonts w:eastAsia="Times New Roman"/>
                      <w:color w:val="000000"/>
                      <w:lang w:eastAsia="ko-KR"/>
                    </w:rPr>
                    <w:t>-     one or more search space sets by corresponding one or more of </w:t>
                  </w:r>
                  <w:r>
                    <w:rPr>
                      <w:rFonts w:eastAsia="Times New Roman"/>
                      <w:i/>
                      <w:iCs/>
                      <w:color w:val="000000"/>
                      <w:lang w:eastAsia="ko-KR"/>
                    </w:rPr>
                    <w:t>searchSpaceZero, searchSpaceSIB1</w:t>
                  </w:r>
                  <w:r>
                    <w:rPr>
                      <w:rFonts w:eastAsia="Times New Roman"/>
                      <w:color w:val="000000"/>
                      <w:lang w:eastAsia="ko-KR"/>
                    </w:rPr>
                    <w:t>, </w:t>
                  </w:r>
                  <w:r>
                    <w:rPr>
                      <w:rFonts w:eastAsia="Times New Roman"/>
                      <w:i/>
                      <w:iCs/>
                      <w:color w:val="000000"/>
                      <w:lang w:eastAsia="ko-KR"/>
                    </w:rPr>
                    <w:t>searchSpaceOtherSystemInformation</w:t>
                  </w:r>
                  <w:r>
                    <w:rPr>
                      <w:rFonts w:eastAsia="Times New Roman"/>
                      <w:color w:val="000000"/>
                      <w:lang w:eastAsia="ko-KR"/>
                    </w:rPr>
                    <w:t>, </w:t>
                  </w:r>
                  <w:r>
                    <w:rPr>
                      <w:rFonts w:eastAsia="Times New Roman"/>
                      <w:i/>
                      <w:iCs/>
                      <w:color w:val="000000"/>
                      <w:lang w:eastAsia="ko-KR"/>
                    </w:rPr>
                    <w:t>pagingSearchSpace</w:t>
                  </w:r>
                  <w:r>
                    <w:rPr>
                      <w:rFonts w:eastAsia="Times New Roman"/>
                      <w:color w:val="000000"/>
                      <w:lang w:eastAsia="ko-KR"/>
                    </w:rPr>
                    <w:t>, </w:t>
                  </w:r>
                  <w:r>
                    <w:rPr>
                      <w:rFonts w:eastAsia="Times New Roman"/>
                      <w:i/>
                      <w:iCs/>
                      <w:color w:val="000000"/>
                      <w:lang w:eastAsia="ko-KR"/>
                    </w:rPr>
                    <w:t>ra-SearchSpace</w:t>
                  </w:r>
                  <w:r>
                    <w:rPr>
                      <w:rFonts w:eastAsia="Times New Roman"/>
                      <w:color w:val="000000"/>
                      <w:lang w:eastAsia="ko-KR"/>
                    </w:rPr>
                    <w:t>, or a CSS set by </w:t>
                  </w:r>
                  <w:r>
                    <w:rPr>
                      <w:rFonts w:eastAsia="Times New Roman"/>
                      <w:i/>
                      <w:iCs/>
                      <w:color w:val="000000"/>
                      <w:lang w:eastAsia="ko-KR"/>
                    </w:rPr>
                    <w:t>PDCCH-Config</w:t>
                  </w:r>
                  <w:r>
                    <w:rPr>
                      <w:rFonts w:eastAsia="Times New Roman"/>
                      <w:color w:val="000000"/>
                      <w:lang w:eastAsia="ko-KR"/>
                    </w:rPr>
                    <w:t>, and</w:t>
                  </w:r>
                </w:p>
                <w:p>
                  <w:pPr>
                    <w:widowControl w:val="0"/>
                    <w:autoSpaceDE/>
                    <w:autoSpaceDN/>
                    <w:adjustRightInd/>
                    <w:spacing w:line="240" w:lineRule="auto"/>
                    <w:ind w:left="568" w:hanging="284"/>
                    <w:rPr>
                      <w:rFonts w:eastAsia="Times New Roman"/>
                      <w:color w:val="000000"/>
                      <w:lang w:eastAsia="ko-KR"/>
                    </w:rPr>
                  </w:pPr>
                  <w:r>
                    <w:rPr>
                      <w:rFonts w:eastAsia="Times New Roman"/>
                      <w:color w:val="000000"/>
                      <w:lang w:eastAsia="ko-KR"/>
                    </w:rPr>
                    <w:t>-     a SI-RNTI, a P-RNTI, a RA-RNTI, a MsgB-RNTI, a SFI-RNTI, an INT-RNTI, a TPC-PUSCH-RNTI, a TPC-PUCCH-RNTI, or a TPC-SRS-RNTI</w:t>
                  </w:r>
                </w:p>
                <w:p>
                  <w:pPr>
                    <w:widowControl w:val="0"/>
                    <w:autoSpaceDE/>
                    <w:autoSpaceDN/>
                    <w:adjustRightInd/>
                    <w:spacing w:line="240" w:lineRule="auto"/>
                    <w:rPr>
                      <w:rFonts w:eastAsia="Times New Roman"/>
                      <w:color w:val="000000"/>
                      <w:lang w:eastAsia="ko-KR"/>
                    </w:rPr>
                  </w:pPr>
                  <w:r>
                    <w:rPr>
                      <w:rFonts w:eastAsia="Times New Roman"/>
                      <w:color w:val="000000"/>
                      <w:lang w:eastAsia="ko-KR"/>
                    </w:rPr>
                    <w:t>then, for a RNTI from any of these RNTIs, the UE does not expect to process information from more than one DCI format with CRC scrambled with the RNTI per slot.</w:t>
                  </w:r>
                </w:p>
              </w:tc>
            </w:tr>
          </w:tbl>
          <w:p>
            <w:pPr>
              <w:pStyle w:val="27"/>
              <w:widowControl w:val="0"/>
              <w:rPr>
                <w:b w:val="0"/>
                <w:bCs w:val="0"/>
              </w:rPr>
            </w:pPr>
            <w:r>
              <w:rPr>
                <w:b w:val="0"/>
                <w:bCs w:val="0"/>
              </w:rPr>
              <w:t>Thus, a similar design should be extended for multi-slot PDCCH monitoring.</w:t>
            </w:r>
          </w:p>
          <w:p>
            <w:pPr>
              <w:pStyle w:val="27"/>
              <w:widowControl w:val="0"/>
              <w:spacing w:after="0"/>
              <w:rPr>
                <w:rFonts w:eastAsia="Times New Roman"/>
                <w:color w:val="000000"/>
                <w:lang w:eastAsia="ko-KR"/>
              </w:rPr>
            </w:pPr>
            <w:bookmarkStart w:id="99" w:name="P_3"/>
            <w:r>
              <w:t xml:space="preserve">Proposal </w:t>
            </w:r>
            <w:r>
              <w:fldChar w:fldCharType="begin"/>
            </w:r>
            <w:r>
              <w:instrText xml:space="preserve"> SEQ Proposal \* ARABIC </w:instrText>
            </w:r>
            <w:r>
              <w:fldChar w:fldCharType="separate"/>
            </w:r>
            <w:r>
              <w:t>3</w:t>
            </w:r>
            <w:r>
              <w:fldChar w:fldCharType="end"/>
            </w:r>
            <w:r>
              <w:t>: Per slot group of X0 slots, a</w:t>
            </w:r>
            <w:r>
              <w:rPr>
                <w:rFonts w:eastAsia="Times New Roman"/>
                <w:color w:val="000000"/>
                <w:lang w:eastAsia="ko-KR"/>
              </w:rPr>
              <w:t xml:space="preserve"> UE does not expect to process information from more than one DCI format with CRC scrambled by a RNTI from any of SI-RNTI, RA-RNTI, MsgB-RNTI or P-RNTI.</w:t>
            </w:r>
          </w:p>
          <w:bookmarkEnd w:id="99"/>
          <w:p>
            <w:pPr>
              <w:widowControl w:val="0"/>
              <w:jc w:val="both"/>
              <w:rPr>
                <w:b/>
                <w:u w:val="single"/>
              </w:rPr>
            </w:pPr>
          </w:p>
          <w:p>
            <w:pPr>
              <w:widowControl w:val="0"/>
            </w:pPr>
            <w:r>
              <w:t xml:space="preserve">Further related to the joint configuration of multi-slot PDCCH monitoring and SSSG switching, a situation shown in </w:t>
            </w:r>
            <w:r>
              <w:fldChar w:fldCharType="begin"/>
            </w:r>
            <w:r>
              <w:instrText xml:space="preserve"> REF _Ref91699228 \h </w:instrText>
            </w:r>
            <w:r>
              <w:fldChar w:fldCharType="separate"/>
            </w:r>
            <w:r>
              <w:t>Figure 2</w:t>
            </w:r>
            <w:r>
              <w:fldChar w:fldCharType="end"/>
            </w:r>
            <w:r>
              <w:t xml:space="preserve"> may be considered. That is, SSSG switching occurs from the first SSSG to the second SSSG. Then, at the boundary of SSSG switching, the locations of the two Y consecutive slots in the slot groups before and after the switching boundary may be different. In another case, the two SSSGs may be associated with different (Xs,Ys) values according to </w:t>
            </w:r>
            <w:r>
              <w:fldChar w:fldCharType="begin"/>
            </w:r>
            <w:r>
              <w:instrText xml:space="preserve"> REF _Ref95172954 \h </w:instrText>
            </w:r>
            <w:r>
              <w:fldChar w:fldCharType="separate"/>
            </w:r>
            <w:r>
              <w:t>Proposal 8</w:t>
            </w:r>
            <w:r>
              <w:fldChar w:fldCharType="end"/>
            </w:r>
            <w:r>
              <w:t xml:space="preserve">. Thus, in such cases, the separation between the two Y consecutive slots may be less than Xs slots. </w:t>
            </w:r>
          </w:p>
          <w:p>
            <w:pPr>
              <w:widowControl w:val="0"/>
            </w:pPr>
            <w:r>
              <w:t xml:space="preserve">To avoid such a situation in </w:t>
            </w:r>
            <w:r>
              <w:fldChar w:fldCharType="begin"/>
            </w:r>
            <w:r>
              <w:instrText xml:space="preserve"> REF _Ref91699228 \h </w:instrText>
            </w:r>
            <w:r>
              <w:fldChar w:fldCharType="separate"/>
            </w:r>
            <w:r>
              <w:t>Figure 2</w:t>
            </w:r>
            <w:r>
              <w:fldChar w:fldCharType="end"/>
            </w:r>
            <w:r>
              <w:t>, a rule for dropping PDCCH MOs may be considered. For example, when the separation between the two Ys consecutive slots before and after the switching boundary is less than Xs slots, where Xs is according to the first (source) SSSG, some or all of the MOs in the Ys consecutive slots in the second (target) SSSG after the switching boundary may be dropped.</w:t>
            </w:r>
          </w:p>
          <w:p>
            <w:pPr>
              <w:pStyle w:val="27"/>
              <w:widowControl w:val="0"/>
            </w:pPr>
            <w:r>
              <w:t xml:space="preserve">Proposal </w:t>
            </w:r>
            <w:r>
              <w:fldChar w:fldCharType="begin"/>
            </w:r>
            <w:r>
              <w:instrText xml:space="preserve"> SEQ Proposal \* ARABIC </w:instrText>
            </w:r>
            <w:r>
              <w:fldChar w:fldCharType="separate"/>
            </w:r>
            <w:r>
              <w:t>10</w:t>
            </w:r>
            <w:r>
              <w:fldChar w:fldCharType="end"/>
            </w:r>
            <w:r>
              <w:t>: A dropping rule for PDCCH MOs may be applied for the first Ys consecutive slots after SSSG switching, if the separation between the two Ys consecutive slots before and after the SSSG switching boundary is less than Xs slots.</w:t>
            </w:r>
          </w:p>
          <w:p>
            <w:pPr>
              <w:widowControl w:val="0"/>
            </w:pPr>
            <w:r>
              <w:object>
                <v:shape id="_x0000_i1052" o:spt="75" type="#_x0000_t75" style="height:110.25pt;width:495.75pt;" o:ole="t" filled="f" o:preferrelative="t" stroked="f" coordsize="21600,21600">
                  <v:path/>
                  <v:fill on="f" focussize="0,0"/>
                  <v:stroke on="f" joinstyle="miter"/>
                  <v:imagedata r:id="rId58" o:title=""/>
                  <o:lock v:ext="edit" aspectratio="t"/>
                  <w10:wrap type="none"/>
                  <w10:anchorlock/>
                </v:shape>
                <o:OLEObject Type="Embed" ProgID="Visio.Drawing.15" ShapeID="_x0000_i1052" DrawAspect="Content" ObjectID="_1468075749" r:id="rId66">
                  <o:LockedField>false</o:LockedField>
                </o:OLEObject>
              </w:object>
            </w:r>
          </w:p>
          <w:p>
            <w:pPr>
              <w:widowControl w:val="0"/>
              <w:jc w:val="both"/>
            </w:pPr>
            <w:bookmarkStart w:id="100" w:name="_Ref91699228"/>
            <w:r>
              <w:t xml:space="preserve">Figure </w:t>
            </w:r>
            <w:r>
              <w:fldChar w:fldCharType="begin"/>
            </w:r>
            <w:r>
              <w:instrText xml:space="preserve"> SEQ Figure \* ARABIC </w:instrText>
            </w:r>
            <w:r>
              <w:fldChar w:fldCharType="separate"/>
            </w:r>
            <w:r>
              <w:t>2</w:t>
            </w:r>
            <w:r>
              <w:fldChar w:fldCharType="end"/>
            </w:r>
            <w:bookmarkEnd w:id="100"/>
            <w:r>
              <w:t>: An example of SSSG switching for multi-slot PDCCH monitoring.</w:t>
            </w:r>
          </w:p>
          <w:p>
            <w:pPr>
              <w:widowControl w:val="0"/>
              <w:jc w:val="both"/>
            </w:pPr>
          </w:p>
          <w:p>
            <w:pPr>
              <w:widowControl w:val="0"/>
            </w:pPr>
            <w:r>
              <w:t>In RAN1 #107-e, the following has been agreed:</w:t>
            </w:r>
          </w:p>
          <w:tbl>
            <w:tblPr>
              <w:tblStyle w:val="55"/>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vAlign w:val="center"/>
                </w:tcPr>
                <w:p>
                  <w:pPr>
                    <w:widowControl w:val="0"/>
                    <w:spacing w:before="60" w:after="0" w:line="240" w:lineRule="auto"/>
                    <w:rPr>
                      <w:b/>
                      <w:lang w:eastAsia="zh-CN"/>
                    </w:rPr>
                  </w:pPr>
                  <w:r>
                    <w:rPr>
                      <w:b/>
                      <w:highlight w:val="green"/>
                      <w:lang w:eastAsia="zh-CN"/>
                    </w:rPr>
                    <w:t>Agreement</w:t>
                  </w:r>
                </w:p>
                <w:p>
                  <w:pPr>
                    <w:pStyle w:val="82"/>
                    <w:widowControl w:val="0"/>
                    <w:numPr>
                      <w:ilvl w:val="0"/>
                      <w:numId w:val="64"/>
                    </w:numPr>
                    <w:spacing w:line="240" w:lineRule="auto"/>
                  </w:pPr>
                  <w:r>
                    <w:t>SS set overbooking can be allowed with multi-slot PDCCH monitoring capability same as the current specification but applied per slot group, i.e., SS set overbooking is allowed for USS in PCell and PSCell, and UE expects no overbooking for CSS in PCell and PSCell and no overbooking in SCell.</w:t>
                  </w:r>
                </w:p>
                <w:p>
                  <w:pPr>
                    <w:pStyle w:val="82"/>
                    <w:widowControl w:val="0"/>
                    <w:numPr>
                      <w:ilvl w:val="0"/>
                      <w:numId w:val="64"/>
                    </w:numPr>
                    <w:spacing w:line="240" w:lineRule="auto"/>
                  </w:pPr>
                  <w:r>
                    <w:t>The dropping rule for multi-slot PDCCH monitoring capability is the same as the current specification but evaluated per slot group, i.e., a UE drops UE specific search space set(s) in a slot group with higher index when SS sets are overbooked.</w:t>
                  </w:r>
                </w:p>
                <w:p>
                  <w:pPr>
                    <w:pStyle w:val="82"/>
                    <w:widowControl w:val="0"/>
                    <w:numPr>
                      <w:ilvl w:val="0"/>
                      <w:numId w:val="64"/>
                    </w:numPr>
                    <w:spacing w:after="120" w:line="240" w:lineRule="auto"/>
                  </w:pPr>
                  <w:r>
                    <w:rPr>
                      <w:highlight w:val="yellow"/>
                    </w:rPr>
                    <w:t>Additional dropping rules are not precluded</w:t>
                  </w:r>
                </w:p>
              </w:tc>
            </w:tr>
          </w:tbl>
          <w:p>
            <w:pPr>
              <w:widowControl w:val="0"/>
              <w:spacing w:before="120"/>
            </w:pPr>
            <w:r>
              <w:t>For the detailed dropping rules in the third bullet of the agreement, two alternatives were identified: If a SS set has multiple monitoring occasions within a slot group,</w:t>
            </w:r>
          </w:p>
          <w:p>
            <w:pPr>
              <w:pStyle w:val="82"/>
              <w:widowControl w:val="0"/>
              <w:numPr>
                <w:ilvl w:val="0"/>
                <w:numId w:val="101"/>
              </w:numPr>
              <w:snapToGrid/>
              <w:spacing w:line="240" w:lineRule="auto"/>
              <w:jc w:val="both"/>
            </w:pPr>
            <w:r>
              <w:t>Alt 1: All MOs of the SS set shall be dropped as a whole​.</w:t>
            </w:r>
          </w:p>
          <w:p>
            <w:pPr>
              <w:pStyle w:val="82"/>
              <w:widowControl w:val="0"/>
              <w:numPr>
                <w:ilvl w:val="0"/>
                <w:numId w:val="101"/>
              </w:numPr>
              <w:snapToGrid/>
              <w:spacing w:after="120" w:line="240" w:lineRule="auto"/>
              <w:jc w:val="both"/>
            </w:pPr>
            <w:r>
              <w:t>Alt 2: Each MO of the SS set shall be dropped individually​.</w:t>
            </w:r>
          </w:p>
          <w:p>
            <w:pPr>
              <w:widowControl w:val="0"/>
            </w:pPr>
            <w:r>
              <w:t xml:space="preserve">An example showing the difference of the two alternatives is illustrated in </w:t>
            </w:r>
            <w:r>
              <w:fldChar w:fldCharType="begin"/>
            </w:r>
            <w:r>
              <w:instrText xml:space="preserve"> REF _Ref91704659 \h </w:instrText>
            </w:r>
            <w:r>
              <w:fldChar w:fldCharType="separate"/>
            </w:r>
            <w:r>
              <w:t>Figure 3</w:t>
            </w:r>
            <w:r>
              <w:fldChar w:fldCharType="end"/>
            </w:r>
            <w:r>
              <w:t>.</w:t>
            </w:r>
          </w:p>
          <w:p>
            <w:pPr>
              <w:widowControl w:val="0"/>
            </w:pPr>
          </w:p>
          <w:p>
            <w:pPr>
              <w:widowControl w:val="0"/>
            </w:pPr>
            <w:r>
              <w:drawing>
                <wp:inline distT="0" distB="0" distL="0" distR="0">
                  <wp:extent cx="6223635" cy="112458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6262253" cy="1132108"/>
                          </a:xfrm>
                          <a:prstGeom prst="rect">
                            <a:avLst/>
                          </a:prstGeom>
                          <a:noFill/>
                        </pic:spPr>
                      </pic:pic>
                    </a:graphicData>
                  </a:graphic>
                </wp:inline>
              </w:drawing>
            </w:r>
          </w:p>
          <w:p>
            <w:pPr>
              <w:pStyle w:val="27"/>
              <w:widowControl w:val="0"/>
              <w:jc w:val="center"/>
            </w:pPr>
            <w:bookmarkStart w:id="101" w:name="_Ref91704659"/>
            <w:r>
              <w:t xml:space="preserve">Figure </w:t>
            </w:r>
            <w:r>
              <w:fldChar w:fldCharType="begin"/>
            </w:r>
            <w:r>
              <w:instrText xml:space="preserve"> SEQ Figure \* ARABIC </w:instrText>
            </w:r>
            <w:r>
              <w:fldChar w:fldCharType="separate"/>
            </w:r>
            <w:r>
              <w:t>3</w:t>
            </w:r>
            <w:r>
              <w:fldChar w:fldCharType="end"/>
            </w:r>
            <w:bookmarkEnd w:id="101"/>
            <w:r>
              <w:t>: Alternatives of dropping rules.</w:t>
            </w:r>
          </w:p>
          <w:p>
            <w:pPr>
              <w:widowControl w:val="0"/>
            </w:pPr>
            <w:r>
              <w:t xml:space="preserve">Between the two alternatives, Alt 2 has a benefit over Alt 1 in some cases, like the one shown in </w:t>
            </w:r>
            <w:r>
              <w:fldChar w:fldCharType="begin"/>
            </w:r>
            <w:r>
              <w:instrText xml:space="preserve"> REF _Ref91704659 \h </w:instrText>
            </w:r>
            <w:r>
              <w:fldChar w:fldCharType="separate"/>
            </w:r>
            <w:r>
              <w:t>Figure 3</w:t>
            </w:r>
            <w:r>
              <w:fldChar w:fldCharType="end"/>
            </w:r>
            <w:r>
              <w:t>. That is, Alt 2 may accommodate more PDCCH candidates than Alt 1 under the same BD/CCE budget. However, as an expense, the overbooking procedure may get complicated. Furthermore, the impact of Alt 1 on the existing specification is marginal, since it is a simple extension of Rel-15 overbooking. On the other hand, Alt 2 may require some changes of the specification. Therefore, to keep the design simple and reduce the burden of standardization, Alt 1 would be preferred.</w:t>
            </w:r>
          </w:p>
          <w:p>
            <w:pPr>
              <w:pStyle w:val="27"/>
              <w:widowControl w:val="0"/>
              <w:rPr>
                <w:b w:val="0"/>
                <w:bCs w:val="0"/>
              </w:rPr>
            </w:pPr>
            <w:bookmarkStart w:id="102" w:name="P_11"/>
            <w:r>
              <w:t xml:space="preserve">Proposal </w:t>
            </w:r>
            <w:r>
              <w:fldChar w:fldCharType="begin"/>
            </w:r>
            <w:r>
              <w:instrText xml:space="preserve"> SEQ Proposal \* ARABIC </w:instrText>
            </w:r>
            <w:r>
              <w:fldChar w:fldCharType="separate"/>
            </w:r>
            <w:r>
              <w:t>11</w:t>
            </w:r>
            <w:r>
              <w:fldChar w:fldCharType="end"/>
            </w:r>
            <w:r>
              <w:t>: If a SS set to be dropped by overbooking has multiple MOs within a slot group, they are dropped as a whole.</w:t>
            </w:r>
          </w:p>
          <w:bookmarkEnd w:id="102"/>
          <w:p>
            <w:pPr>
              <w:widowControl w:val="0"/>
              <w:jc w:val="both"/>
              <w:rPr>
                <w:b/>
                <w:u w:val="single"/>
              </w:rPr>
            </w:pPr>
          </w:p>
        </w:tc>
      </w:tr>
    </w:tbl>
    <w:p>
      <w:pPr>
        <w:rPr>
          <w:lang w:eastAsia="zh-CN"/>
        </w:rPr>
      </w:pPr>
    </w:p>
    <w:p>
      <w:pPr>
        <w:pStyle w:val="4"/>
      </w:pPr>
      <w:r>
        <w:t>R1-2202190 (Sharp)</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widowControl w:val="0"/>
              <w:rPr>
                <w:lang w:eastAsia="zh-CN"/>
              </w:rPr>
            </w:pPr>
            <w:r>
              <w:rPr>
                <w:lang w:eastAsia="zh-CN"/>
              </w:rPr>
              <w:t xml:space="preserve">In RAN1#107-e meeting, </w:t>
            </w:r>
            <w:r>
              <w:t xml:space="preserve">the working assumption for SSSG switching at 120/480/960kHz is achieved. The working assumption was directly described in 38.213, and the minimum switching time </w:t>
            </w:r>
            <w:r>
              <w:rPr>
                <w:i/>
                <w:lang w:eastAsia="zh-CN"/>
              </w:rPr>
              <w:t>P</w:t>
            </w:r>
            <w:r>
              <w:rPr>
                <w:i/>
                <w:vertAlign w:val="subscript"/>
                <w:lang w:eastAsia="zh-CN"/>
              </w:rPr>
              <w:t>switch</w:t>
            </w:r>
            <w:r>
              <w:t xml:space="preserve"> was defined as one value for each SCS. Here, </w:t>
            </w:r>
            <w:r>
              <w:rPr>
                <w:lang w:eastAsia="zh-CN"/>
              </w:rPr>
              <w:t xml:space="preserve">we have one concern about the SSSG switching at 480kHz/960kHz, which is that it may cause a back-to-back problem when switching. It is important to avoid this problem, which we have been considering for a long time in past meetings. In the current specification, SSSG-related monitoring is stopped and started at the same time in the first slot after the </w:t>
            </w:r>
            <w:r>
              <w:rPr>
                <w:i/>
                <w:lang w:eastAsia="zh-CN"/>
              </w:rPr>
              <w:t>P</w:t>
            </w:r>
            <w:r>
              <w:rPr>
                <w:i/>
                <w:vertAlign w:val="subscript"/>
                <w:lang w:eastAsia="zh-CN"/>
              </w:rPr>
              <w:t>switch</w:t>
            </w:r>
            <w:r>
              <w:rPr>
                <w:lang w:eastAsia="zh-CN"/>
              </w:rPr>
              <w:t xml:space="preserve">. However, in multi-slot monitoring, SSSG switching may be performed after the UE has monitored in a later slot of the slot group, and monitoring may start in the slot immediately after. In this case, a back-to-back problem occurs. To avoid this situation, it is possible to not monitor the </w:t>
            </w:r>
            <w:r>
              <w:rPr>
                <w:i/>
                <w:lang w:eastAsia="zh-CN"/>
              </w:rPr>
              <w:t>X</w:t>
            </w:r>
            <w:r>
              <w:rPr>
                <w:i/>
                <w:vertAlign w:val="subscript"/>
                <w:lang w:eastAsia="zh-CN"/>
              </w:rPr>
              <w:t>s</w:t>
            </w:r>
            <w:r>
              <w:rPr>
                <w:lang w:eastAsia="zh-CN"/>
              </w:rPr>
              <w:t xml:space="preserve"> slots before and after the SSSG boundary. This can be achieved by dropping PDCCH candidates in the </w:t>
            </w:r>
            <w:r>
              <w:rPr>
                <w:i/>
                <w:lang w:eastAsia="zh-CN"/>
              </w:rPr>
              <w:t>X</w:t>
            </w:r>
            <w:r>
              <w:rPr>
                <w:i/>
                <w:vertAlign w:val="subscript"/>
                <w:lang w:eastAsia="zh-CN"/>
              </w:rPr>
              <w:t>s</w:t>
            </w:r>
            <w:r>
              <w:rPr>
                <w:lang w:eastAsia="zh-CN"/>
              </w:rPr>
              <w:t xml:space="preserve"> slots before or after the switchover, or by setting different </w:t>
            </w:r>
            <w:r>
              <w:rPr>
                <w:i/>
                <w:lang w:eastAsia="zh-CN"/>
              </w:rPr>
              <w:t>P</w:t>
            </w:r>
            <w:r>
              <w:rPr>
                <w:i/>
                <w:vertAlign w:val="subscript"/>
                <w:lang w:eastAsia="zh-CN"/>
              </w:rPr>
              <w:t>switch</w:t>
            </w:r>
            <w:r>
              <w:rPr>
                <w:lang w:eastAsia="zh-CN"/>
              </w:rPr>
              <w:t xml:space="preserve"> values to stagger the stop and start of monitoring.</w:t>
            </w:r>
          </w:p>
          <w:p>
            <w:pPr>
              <w:widowControl w:val="0"/>
              <w:jc w:val="center"/>
              <w:rPr>
                <w:lang w:eastAsia="zh-CN"/>
              </w:rPr>
            </w:pPr>
            <w:r>
              <w:drawing>
                <wp:inline distT="0" distB="0" distL="0" distR="0">
                  <wp:extent cx="5410200" cy="1535430"/>
                  <wp:effectExtent l="0" t="0" r="0" b="0"/>
                  <wp:docPr id="404"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図 1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5439780" cy="1543929"/>
                          </a:xfrm>
                          <a:prstGeom prst="rect">
                            <a:avLst/>
                          </a:prstGeom>
                          <a:noFill/>
                          <a:ln>
                            <a:noFill/>
                          </a:ln>
                        </pic:spPr>
                      </pic:pic>
                    </a:graphicData>
                  </a:graphic>
                </wp:inline>
              </w:drawing>
            </w:r>
            <w:r>
              <w:br w:type="textWrapping"/>
            </w:r>
            <w:r>
              <w:rPr>
                <w:b/>
                <w:szCs w:val="24"/>
              </w:rPr>
              <w:t>Figure 1:</w:t>
            </w:r>
            <w:r>
              <w:rPr>
                <w:b/>
              </w:rPr>
              <w:t>Possible problem with SSSG switching with multi-slot monitoring.</w:t>
            </w:r>
          </w:p>
          <w:p>
            <w:pPr>
              <w:widowControl w:val="0"/>
              <w:rPr>
                <w:b/>
                <w:bCs/>
              </w:rPr>
            </w:pPr>
            <w:r>
              <w:rPr>
                <w:rFonts w:hint="eastAsia"/>
                <w:b/>
                <w:bCs/>
              </w:rPr>
              <w:t>P</w:t>
            </w:r>
            <w:r>
              <w:rPr>
                <w:b/>
                <w:bCs/>
              </w:rPr>
              <w:t>roposal 3: To avoid the back-to-back problem, monitoring should not be done in the Xs slots before and after the SSSG boundary.</w:t>
            </w:r>
          </w:p>
          <w:p>
            <w:pPr>
              <w:widowControl w:val="0"/>
              <w:rPr>
                <w:b/>
                <w:bCs/>
              </w:rPr>
            </w:pPr>
            <w:r>
              <w:rPr>
                <w:rFonts w:hint="eastAsia"/>
                <w:b/>
                <w:bCs/>
              </w:rPr>
              <w:t>P</w:t>
            </w:r>
            <w:r>
              <w:rPr>
                <w:b/>
                <w:bCs/>
              </w:rPr>
              <w:t>roposal 4: Adopt Text proposal #2-1 or #2-2.</w:t>
            </w:r>
          </w:p>
          <w:p>
            <w:pPr>
              <w:widowControl w:val="0"/>
              <w:rPr>
                <w:b/>
                <w:bCs/>
              </w:rPr>
            </w:pPr>
          </w:p>
          <w:p>
            <w:pPr>
              <w:widowControl w:val="0"/>
              <w:jc w:val="both"/>
              <w:rPr>
                <w:b/>
                <w:u w:val="single"/>
                <w:lang w:val="en-GB"/>
              </w:rPr>
            </w:pPr>
          </w:p>
        </w:tc>
      </w:tr>
    </w:tbl>
    <w:p>
      <w:pPr>
        <w:rPr>
          <w:lang w:eastAsia="zh-CN"/>
        </w:rPr>
      </w:pPr>
    </w:p>
    <w:p>
      <w:pPr>
        <w:pStyle w:val="4"/>
      </w:pPr>
      <w:r>
        <w:t>R1-2202234 (Transsion Holdings)</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b/>
                <w:i/>
                <w:szCs w:val="20"/>
                <w:lang w:eastAsia="zh-CN"/>
              </w:rPr>
            </w:pPr>
            <w:bookmarkStart w:id="103" w:name="OLE_LINK1"/>
            <w:r>
              <w:rPr>
                <w:rFonts w:hint="eastAsia"/>
                <w:b/>
                <w:i/>
                <w:szCs w:val="20"/>
                <w:lang w:eastAsia="zh-CN"/>
              </w:rPr>
              <w:t>Proposal 1: Confirm the working assumption that the maximum number of PDCCH candidates and the maximum number of non-overlapped CCEs should be 10 and 16 for combination (4, 2), (4, 1).</w:t>
            </w:r>
          </w:p>
          <w:bookmarkEnd w:id="103"/>
          <w:p>
            <w:pPr>
              <w:widowControl w:val="0"/>
              <w:rPr>
                <w:bCs/>
                <w:iCs/>
                <w:szCs w:val="20"/>
                <w:lang w:eastAsia="zh-CN"/>
              </w:rPr>
            </w:pPr>
          </w:p>
          <w:p>
            <w:pPr>
              <w:widowControl w:val="0"/>
              <w:jc w:val="both"/>
              <w:rPr>
                <w:rFonts w:eastAsia="宋体"/>
                <w:lang w:eastAsia="zh-CN"/>
              </w:rPr>
            </w:pPr>
            <w:r>
              <w:rPr>
                <w:rFonts w:hint="eastAsia" w:eastAsia="宋体"/>
                <w:lang w:eastAsia="zh-CN"/>
              </w:rPr>
              <w:t xml:space="preserve">In the current specification, slot-group based PDCCH monitoring capability has been specified and the overbooking rule is performed on slot group basis. With these methods, UE can handle the slot-group based PDCCH detection very well. However, when the PDCCH monitoring occasions change, the UE may need to perform PDCCH detection on consecutive slots belonging to different slot groups, which may result in the UE being unable to perform blind detection in time. For example, for SS/PBCH block and CORESET#0 multiplexing pattern 1, the PDCCH monitoring occasions are located within two consecutive slot groups which are associated with the SS/PBCH block. However, when the UE changes SS/PBCH block it tracks due to mobility, the relevant PDCCH monitoring occasions may be changed based on the slot index of n0. </w:t>
            </w:r>
            <w:bookmarkStart w:id="104" w:name="OLE_LINK2"/>
            <w:r>
              <w:rPr>
                <w:rFonts w:hint="eastAsia" w:eastAsia="宋体"/>
                <w:lang w:eastAsia="zh-CN"/>
              </w:rPr>
              <w:t xml:space="preserve">In a special case, for the Type0 CSS or Type0A/Type 2 CSS if </w:t>
            </w:r>
            <w:r>
              <w:rPr>
                <w:rFonts w:eastAsia="宋体"/>
                <w:lang w:eastAsia="zh-CN"/>
              </w:rPr>
              <w:t>“</w:t>
            </w:r>
            <w:r>
              <w:rPr>
                <w:rFonts w:hint="eastAsia" w:eastAsia="宋体"/>
                <w:i/>
                <w:iCs/>
                <w:lang w:eastAsia="zh-CN"/>
              </w:rPr>
              <w:t>searchSpaceId=0</w:t>
            </w:r>
            <w:r>
              <w:rPr>
                <w:rFonts w:eastAsia="宋体"/>
                <w:lang w:eastAsia="zh-CN"/>
              </w:rPr>
              <w:t>”</w:t>
            </w:r>
            <w:r>
              <w:rPr>
                <w:rFonts w:hint="eastAsia" w:eastAsia="宋体"/>
                <w:lang w:eastAsia="zh-CN"/>
              </w:rPr>
              <w:t>, the PDCCH monitoring occasions may be changed to the end of the slot group.</w:t>
            </w:r>
            <w:bookmarkEnd w:id="104"/>
            <w:r>
              <w:rPr>
                <w:rFonts w:hint="eastAsia" w:eastAsia="宋体"/>
                <w:lang w:eastAsia="zh-CN"/>
              </w:rPr>
              <w:t xml:space="preserve"> If the PDCCH monitoring occasions of the Group (1) SS are located in the first slot of an adjacent slot group, then the requirement for the PDCCH detection capability of the UE is almost doubled, which may exceed the BD/CCE limit of the UE. Considering that it is difficult for gNB to avoid this back-to-back issue, it is better to drop the USS in these adjacent slot groups to ensure that the UE</w:t>
            </w:r>
            <w:r>
              <w:rPr>
                <w:rFonts w:eastAsia="宋体"/>
                <w:lang w:eastAsia="zh-CN"/>
              </w:rPr>
              <w:t>’</w:t>
            </w:r>
            <w:r>
              <w:rPr>
                <w:rFonts w:hint="eastAsia" w:eastAsia="宋体"/>
                <w:lang w:eastAsia="zh-CN"/>
              </w:rPr>
              <w:t>s PDCCH detection budget does not exceed its BD/CCE limit.</w:t>
            </w:r>
          </w:p>
          <w:p>
            <w:pPr>
              <w:widowControl w:val="0"/>
              <w:rPr>
                <w:b/>
                <w:i/>
                <w:szCs w:val="20"/>
                <w:lang w:eastAsia="zh-CN"/>
              </w:rPr>
            </w:pPr>
            <w:r>
              <w:rPr>
                <w:rFonts w:hint="eastAsia"/>
                <w:b/>
                <w:i/>
                <w:szCs w:val="20"/>
                <w:lang w:eastAsia="zh-CN"/>
              </w:rPr>
              <w:t>Proposal 2: Drop the USS with the higher index in these adjacent slot groups, when back-to-back issue happens.</w:t>
            </w:r>
          </w:p>
        </w:tc>
      </w:tr>
    </w:tbl>
    <w:p>
      <w:pPr>
        <w:rPr>
          <w:lang w:eastAsia="zh-CN"/>
        </w:rPr>
      </w:pPr>
    </w:p>
    <w:p>
      <w:pPr>
        <w:pStyle w:val="4"/>
      </w:pPr>
      <w:r>
        <w:t>R1-2202336 (LG)</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line="240" w:lineRule="auto"/>
              <w:ind w:firstLine="220" w:firstLineChars="100"/>
              <w:rPr>
                <w:rFonts w:eastAsia="Batang"/>
                <w:bCs/>
                <w:lang w:eastAsia="ko-KR"/>
              </w:rPr>
            </w:pPr>
            <w:r>
              <w:rPr>
                <w:rFonts w:eastAsia="Batang"/>
                <w:bCs/>
                <w:lang w:eastAsia="ko-KR"/>
              </w:rPr>
              <w:t>Regarding the BD/CCE budget for (X,Y) combinations with optional X, there is a working assumption for 960 kHz SCS. Considering UE implementation complexity and power consumption, current working assumption seems reasonable. There were concerns at the last meeting that the CCE budget of (</w:t>
            </w:r>
            <w:r>
              <w:rPr>
                <w:rFonts w:hint="eastAsia" w:eastAsia="Batang"/>
                <w:bCs/>
                <w:lang w:eastAsia="ko-KR"/>
              </w:rPr>
              <w:t>X,Y) with X</w:t>
            </w:r>
            <w:r>
              <w:rPr>
                <w:rFonts w:eastAsia="Batang"/>
                <w:bCs/>
                <w:lang w:eastAsia="ko-KR"/>
              </w:rPr>
              <w:t xml:space="preserve">=4 for 960 kHz is too small to cover the Type-0 CSS monitoring budget, but from our understanding, such (X,Y) combination with optional X doesn't seem to be an issue when they applied to SCell. So, we support changing the above working assumption to an agreement. Similarly, BD/CCE budget for (X,Y) with X=2 can be simply defined as half that of X=4, for 480 kHz SCS. </w:t>
            </w:r>
          </w:p>
          <w:p>
            <w:pPr>
              <w:widowControl w:val="0"/>
              <w:spacing w:before="120" w:line="240" w:lineRule="auto"/>
              <w:ind w:firstLine="220" w:firstLineChars="100"/>
              <w:rPr>
                <w:rFonts w:eastAsia="Batang"/>
                <w:b/>
                <w:lang w:eastAsia="ko-KR"/>
              </w:rPr>
            </w:pPr>
            <w:r>
              <w:rPr>
                <w:rFonts w:eastAsia="Batang"/>
                <w:b/>
                <w:lang w:eastAsia="ko-KR"/>
              </w:rPr>
              <w:t>Proposal #2: Determine the BD/CCE budget for (X,Y) combination with optional X is half that of mandatory X.</w:t>
            </w:r>
          </w:p>
          <w:p>
            <w:pPr>
              <w:pStyle w:val="82"/>
              <w:widowControl w:val="0"/>
              <w:numPr>
                <w:ilvl w:val="1"/>
                <w:numId w:val="102"/>
              </w:numPr>
              <w:wordWrap w:val="0"/>
              <w:autoSpaceDE w:val="0"/>
              <w:autoSpaceDN w:val="0"/>
              <w:snapToGrid/>
              <w:spacing w:before="120" w:after="120" w:line="240" w:lineRule="auto"/>
              <w:ind w:left="0" w:firstLine="221" w:firstLineChars="100"/>
              <w:jc w:val="both"/>
              <w:rPr>
                <w:bCs/>
                <w:lang w:eastAsia="ko-KR"/>
              </w:rPr>
            </w:pPr>
            <w:r>
              <w:rPr>
                <w:rFonts w:ascii="Times New Roman" w:hAnsi="Times New Roman"/>
                <w:b/>
                <w:lang w:val="en-GB" w:eastAsia="ko-KR"/>
              </w:rPr>
              <w:t>For 960 kHz, BD/CCE budget for (X,Y) with X=4 is half that of X=8, i.e., confirm the WA.</w:t>
            </w:r>
          </w:p>
          <w:p>
            <w:pPr>
              <w:pStyle w:val="82"/>
              <w:widowControl w:val="0"/>
              <w:numPr>
                <w:ilvl w:val="1"/>
                <w:numId w:val="102"/>
              </w:numPr>
              <w:wordWrap w:val="0"/>
              <w:autoSpaceDE w:val="0"/>
              <w:autoSpaceDN w:val="0"/>
              <w:snapToGrid/>
              <w:spacing w:before="120" w:after="120" w:line="240" w:lineRule="auto"/>
              <w:ind w:left="0" w:firstLine="221" w:firstLineChars="100"/>
              <w:jc w:val="both"/>
              <w:rPr>
                <w:b/>
                <w:lang w:val="en-GB" w:eastAsia="ko-KR"/>
              </w:rPr>
            </w:pPr>
            <w:r>
              <w:rPr>
                <w:rFonts w:ascii="Times New Roman" w:hAnsi="Times New Roman"/>
                <w:b/>
                <w:lang w:val="en-GB" w:eastAsia="ko-KR"/>
              </w:rPr>
              <w:t>For 480 kHz, BD/CCE budget for (X,Y) with X=2 is half that of X=4, if supported.</w:t>
            </w:r>
          </w:p>
          <w:p>
            <w:pPr>
              <w:widowControl w:val="0"/>
              <w:spacing w:before="120" w:line="240" w:lineRule="auto"/>
              <w:rPr>
                <w:rFonts w:eastAsia="Batang"/>
                <w:bCs/>
                <w:lang w:eastAsia="ko-KR"/>
              </w:rPr>
            </w:pPr>
          </w:p>
          <w:p>
            <w:pPr>
              <w:widowControl w:val="0"/>
              <w:spacing w:before="120" w:line="240" w:lineRule="auto"/>
              <w:rPr>
                <w:rFonts w:eastAsia="Batang"/>
                <w:lang w:eastAsia="ko-KR"/>
              </w:rPr>
            </w:pPr>
            <w:r>
              <w:rPr>
                <w:rFonts w:eastAsia="Batang"/>
                <w:lang w:eastAsia="ko-KR"/>
              </w:rPr>
              <w:t xml:space="preserve">According to this, the serving cells with the same PDCCH monitoring type can be grouped together for the </w:t>
            </w:r>
            <w:r>
              <w:rPr>
                <w:rFonts w:hint="eastAsia" w:eastAsia="Batang"/>
                <w:lang w:eastAsia="ko-KR"/>
              </w:rPr>
              <w:t xml:space="preserve">BD/CCE </w:t>
            </w:r>
            <w:r>
              <w:rPr>
                <w:rFonts w:eastAsia="Batang"/>
                <w:lang w:eastAsia="ko-KR"/>
              </w:rPr>
              <w:t xml:space="preserve">budget distribution. That is, the serving cells for slot-based monitoring or span-based monitoring are treated as separate groups when distributing the BD/CCE budget. However, if three different monitoring capabilities associated to a carrier aggregation including multi-slot monitoring, the number of separate groups will be increased and the BD/CCE distribution mechanism becomes complicated, which may increase the complexity of the UE. Meanwhile, for the mandatorily supported X=4/8 for 480/960 kHz, the absolute time of the slot-group and the BD/CCE limit per X=4/8 (resp.) are the same as those for 120 kHz. In this case, when the multi-slot monitoring is configured with multiple serving cells with X=4/8 slots for 480/960 kHz, the BD/CCE budget distribution for serving cells with these SCS can be calculated as if they were serving cells with 120 kHz SCS. With this, BD/CCE budget distribution for CA can be simplified. Additionally, the number of DL serving cells for multi-slot monitoring may be reported by </w:t>
            </w:r>
            <w:r>
              <w:rPr>
                <w:rFonts w:eastAsia="Batang"/>
                <w:i/>
                <w:lang w:eastAsia="ko-KR"/>
              </w:rPr>
              <w:t>pdcch-BlindDetectionCA</w:t>
            </w:r>
            <w:r>
              <w:rPr>
                <w:rFonts w:eastAsia="Batang"/>
                <w:lang w:eastAsia="ko-KR"/>
              </w:rPr>
              <w:t>, whose value indicates total the number of DL serving cells for both single-slot based monitoring and multi-slot based monitoring.</w:t>
            </w:r>
            <w:r>
              <w:t xml:space="preserve"> </w:t>
            </w:r>
            <w:r>
              <w:rPr>
                <w:rFonts w:eastAsia="Batang"/>
                <w:lang w:eastAsia="ko-KR"/>
              </w:rPr>
              <w:t>Through this, the UE will be able to further simplify BD/CCE budget distribution for the multi-cell operation.</w:t>
            </w:r>
          </w:p>
          <w:p>
            <w:pPr>
              <w:widowControl w:val="0"/>
              <w:spacing w:before="120" w:line="240" w:lineRule="auto"/>
              <w:ind w:firstLine="220" w:firstLineChars="100"/>
              <w:rPr>
                <w:rFonts w:eastAsia="Batang"/>
                <w:b/>
                <w:lang w:eastAsia="ko-KR"/>
              </w:rPr>
            </w:pPr>
            <w:r>
              <w:rPr>
                <w:rFonts w:eastAsia="Batang"/>
                <w:b/>
                <w:lang w:eastAsia="ko-KR"/>
              </w:rPr>
              <w:t>Proposal #13: For multi-cell operation, the number of configured DL cells is greater than the number of reported DL cells, consider followings for BD/CCE budget distribution,</w:t>
            </w:r>
          </w:p>
          <w:p>
            <w:pPr>
              <w:pStyle w:val="82"/>
              <w:widowControl w:val="0"/>
              <w:numPr>
                <w:ilvl w:val="1"/>
                <w:numId w:val="102"/>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with mandatory X (i.e., X=4/8 for 480/960 kHz), BD/CCE budget is calculated by transforming the serving cell to the cell with 120 kHz SCS.</w:t>
            </w:r>
          </w:p>
          <w:p>
            <w:pPr>
              <w:pStyle w:val="82"/>
              <w:widowControl w:val="0"/>
              <w:numPr>
                <w:ilvl w:val="1"/>
                <w:numId w:val="102"/>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with optional X (e.g., X=4 for 960 kHz), the serving cells with the same SCS and Xs value are grouped together for BD/CCE budget distribution.</w:t>
            </w:r>
          </w:p>
          <w:p>
            <w:pPr>
              <w:widowControl w:val="0"/>
              <w:spacing w:before="120" w:line="240" w:lineRule="auto"/>
              <w:rPr>
                <w:rFonts w:eastAsia="Batang"/>
                <w:b/>
                <w:lang w:eastAsia="ko-KR"/>
              </w:rPr>
            </w:pPr>
          </w:p>
        </w:tc>
      </w:tr>
    </w:tbl>
    <w:p>
      <w:pPr>
        <w:rPr>
          <w:lang w:eastAsia="zh-CN"/>
        </w:rPr>
      </w:pPr>
    </w:p>
    <w:p>
      <w:pPr>
        <w:pStyle w:val="4"/>
      </w:pPr>
      <w:r>
        <w:t>R1-2202409 (Lenovo, Motorola Mobility)</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lang w:eastAsia="zh-CN"/>
              </w:rPr>
            </w:pPr>
            <w:r>
              <w:rPr>
                <w:bCs/>
              </w:rPr>
              <w:t xml:space="preserve">From the above agreement, </w:t>
            </w:r>
            <w:r>
              <w:rPr>
                <w:lang w:eastAsia="zh-CN"/>
              </w:rPr>
              <w:t xml:space="preserve">there could be the issue of back-to-back monitoring across slot groups e.g. when the beam changes, e.g. with respect to the above proposal when n0 changes and also when the periodicity of Group(2) SS MO is every slot group. </w:t>
            </w:r>
          </w:p>
          <w:p>
            <w:pPr>
              <w:pStyle w:val="82"/>
              <w:widowControl w:val="0"/>
              <w:spacing w:after="160"/>
              <w:ind w:left="0"/>
              <w:rPr>
                <w:lang w:eastAsia="zh-CN"/>
              </w:rPr>
            </w:pPr>
          </w:p>
          <w:p>
            <w:pPr>
              <w:pStyle w:val="82"/>
              <w:widowControl w:val="0"/>
              <w:spacing w:after="160"/>
              <w:ind w:left="0"/>
              <w:jc w:val="both"/>
              <w:rPr>
                <w:b/>
                <w:bCs/>
                <w:i/>
                <w:iCs/>
                <w:lang w:eastAsia="zh-CN"/>
              </w:rPr>
            </w:pPr>
            <w:r>
              <w:rPr>
                <w:b/>
                <w:bCs/>
                <w:i/>
                <w:iCs/>
                <w:lang w:eastAsia="zh-CN"/>
              </w:rPr>
              <w:t>Observation 1</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pPr>
              <w:pStyle w:val="82"/>
              <w:widowControl w:val="0"/>
              <w:spacing w:after="160"/>
              <w:ind w:left="0"/>
              <w:jc w:val="both"/>
              <w:rPr>
                <w:b/>
                <w:bCs/>
                <w:i/>
                <w:iCs/>
                <w:lang w:eastAsia="zh-CN"/>
              </w:rPr>
            </w:pPr>
          </w:p>
          <w:p>
            <w:pPr>
              <w:pStyle w:val="82"/>
              <w:widowControl w:val="0"/>
              <w:spacing w:after="160"/>
              <w:ind w:left="0"/>
              <w:jc w:val="both"/>
              <w:rPr>
                <w:lang w:eastAsia="zh-CN"/>
              </w:rPr>
            </w:pPr>
            <w:r>
              <w:rPr>
                <w:lang w:eastAsia="zh-CN"/>
              </w:rPr>
              <w:t xml:space="preserve">One potential solution could be to drop any Group(1) SS MOs and/or Group(2) SS MOs in the slot group in which shifting needs to be applied such that back-to-back monitoring issue can be avoided. </w:t>
            </w:r>
          </w:p>
          <w:p>
            <w:pPr>
              <w:pStyle w:val="82"/>
              <w:widowControl w:val="0"/>
              <w:spacing w:after="160"/>
              <w:ind w:left="0"/>
              <w:rPr>
                <w:lang w:eastAsia="zh-CN"/>
              </w:rPr>
            </w:pPr>
          </w:p>
          <w:p>
            <w:pPr>
              <w:pStyle w:val="82"/>
              <w:widowControl w:val="0"/>
              <w:spacing w:after="160"/>
              <w:ind w:left="0"/>
              <w:jc w:val="both"/>
              <w:rPr>
                <w:b/>
                <w:bCs/>
                <w:i/>
                <w:iCs/>
              </w:rPr>
            </w:pPr>
            <w:r>
              <w:rPr>
                <w:b/>
                <w:bCs/>
                <w:i/>
                <w:iCs/>
                <w:lang w:eastAsia="zh-CN"/>
              </w:rPr>
              <w:t xml:space="preserve">Proposal 1: </w:t>
            </w:r>
            <w:bookmarkStart w:id="105" w:name="_Hlk96297809"/>
            <w:r>
              <w:rPr>
                <w:b/>
                <w:bCs/>
                <w:i/>
                <w:iCs/>
              </w:rPr>
              <w:t>For supporting NR between 52.6 GHz and 71 GHz with high subcarrier spacing values including 480kHz and 960kHz, then dropping of Group(1) SS MOs and/or Group(2) SS MOs in the slot where the shift is first applied should be supported to avoid back-to-back monitoring issue.</w:t>
            </w:r>
            <w:bookmarkEnd w:id="105"/>
          </w:p>
          <w:p>
            <w:pPr>
              <w:pStyle w:val="82"/>
              <w:widowControl w:val="0"/>
              <w:spacing w:after="160"/>
              <w:ind w:left="0"/>
              <w:rPr>
                <w:rFonts w:ascii="Times" w:hAnsi="Times" w:eastAsia="Times New Roman"/>
                <w:sz w:val="16"/>
                <w:szCs w:val="16"/>
                <w:lang w:eastAsia="zh-CN"/>
              </w:rPr>
            </w:pPr>
          </w:p>
        </w:tc>
      </w:tr>
    </w:tbl>
    <w:p>
      <w:pPr>
        <w:rPr>
          <w:lang w:eastAsia="zh-CN"/>
        </w:rPr>
      </w:pPr>
    </w:p>
    <w:p>
      <w:pPr>
        <w:pStyle w:val="3"/>
      </w:pPr>
      <w:r>
        <w:t>Topic B: Multi-Beam Aspects</w:t>
      </w:r>
    </w:p>
    <w:p>
      <w:pPr>
        <w:pStyle w:val="4"/>
      </w:pPr>
      <w:r>
        <w:t>R1-2201266 (OPPO)</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1"/>
              <w:widowControl w:val="0"/>
            </w:pPr>
            <w:r>
              <w:t xml:space="preserve">Since gNB can perform directional LBT and RAN1 has agreed that the sensing beam should cover the transmission beams, it implies that the transmission beams within the initiated gNB COT should be covered by the sensing beam. Moreover, the remaining COT duration indication in DCI 2_0 was used in R16 for the UE to determine whether the UE can share the gNB COT and also whether the UE should perform reception on the pre-configured downlink transmissions, e.g. CSI-RS. Thus, it would be more reasonable that the COT sharing as well as the legacy P-CSI-RS reception behavior should be checked by the sensing beam or the transmission beams. </w:t>
            </w:r>
          </w:p>
          <w:p>
            <w:pPr>
              <w:pStyle w:val="31"/>
              <w:widowControl w:val="0"/>
            </w:pPr>
            <w:r>
              <w:t>For COT sharing mechanism, in the legacy system, the UE can share gNB’s COT as long as the uplink transmission resources in time and frequency domain</w:t>
            </w:r>
            <w:r>
              <w:rPr>
                <w:rFonts w:hint="eastAsia"/>
              </w:rPr>
              <w:t xml:space="preserve"> </w:t>
            </w:r>
            <w:r>
              <w:t xml:space="preserve">are within the gNB COT. However, when directional LBT is applied at gNB side, a beam level condition should be added such that the gNB LBT sensing beam should cover the UE’s transmission beam, otherwise, the gNB COT should not be considered sharable by the UE. The ‘cover’ definition can reuse the same definition in the directional LBT procedure. </w:t>
            </w:r>
          </w:p>
          <w:p>
            <w:pPr>
              <w:pStyle w:val="31"/>
              <w:widowControl w:val="0"/>
              <w:rPr>
                <w:b/>
              </w:rPr>
            </w:pPr>
            <w:r>
              <w:rPr>
                <w:b/>
              </w:rPr>
              <w:t xml:space="preserve">Proposal 2: the UE can share gNB COT only if the UL transmission resources are within the gNB COT and the UL transmission beam is covered by the gNB sensing beam for directional LBT. </w:t>
            </w:r>
          </w:p>
          <w:p>
            <w:pPr>
              <w:pStyle w:val="31"/>
              <w:widowControl w:val="0"/>
            </w:pPr>
            <w:r>
              <w:rPr>
                <w:rFonts w:hint="eastAsia"/>
              </w:rPr>
              <w:t xml:space="preserve">For </w:t>
            </w:r>
            <w:r>
              <w:t xml:space="preserve">P-CSI-RS reception within the gNB COT, in NRU system due to the FR1 frequency range, the UE only checks whether the CSI-RS resources are within the gNB COT to decide if the reception is to be canceled or not. But for FR2-2, if the gNB’s sensing beam does not cover the CSI-RS beam, the CSI-RS is not expected to be transmitted. In this case, if the CSI-RS resources are within the gNB’s remaining COT duration, as long as the gNB sensing beam does not cover the CSI-RS beam, the UE should also cancel the CSI-RS reception. </w:t>
            </w:r>
          </w:p>
          <w:p>
            <w:pPr>
              <w:pStyle w:val="31"/>
              <w:widowControl w:val="0"/>
              <w:rPr>
                <w:b/>
              </w:rPr>
            </w:pPr>
            <w:r>
              <w:rPr>
                <w:b/>
              </w:rPr>
              <w:t xml:space="preserve">Proposal 3: For higher layer configured CSI-RS reception, the UE performs the reception if the CSI-RS resources are within the gNB COT and the gNB’s sensing beam covers the CSI-RS beam. </w:t>
            </w:r>
          </w:p>
          <w:p>
            <w:pPr>
              <w:pStyle w:val="31"/>
              <w:widowControl w:val="0"/>
            </w:pPr>
            <w:r>
              <w:rPr>
                <w:rFonts w:hint="eastAsia"/>
              </w:rPr>
              <w:t xml:space="preserve">In the unlicensed spectrum, when COT duration indication is not configured in DCI 2_0, the COT duration is </w:t>
            </w:r>
            <w:r>
              <w:t>determined</w:t>
            </w:r>
            <w:r>
              <w:rPr>
                <w:rFonts w:hint="eastAsia"/>
              </w:rPr>
              <w:t xml:space="preserve"> </w:t>
            </w:r>
            <w:r>
              <w:t xml:space="preserve">by the SFI periodicity. Moreover, the higher layer configured downlink reception, e.g. CSI-RS and PDSCH, is to be confirmed by the SFI indication. In FR2-2 with unlicensed spectrum where LBT is mandatory by the regional regulation, similar to the proposal 2, the confirmation should take into account the gNB sensing beam, because if the sensing beam does not cover the transmission beam, the pre-configured reception should also be canceled, as the gNB is not allowed to transmit in the direction uncovered by the directional LBT. </w:t>
            </w:r>
          </w:p>
          <w:p>
            <w:pPr>
              <w:pStyle w:val="31"/>
              <w:widowControl w:val="0"/>
              <w:rPr>
                <w:b/>
              </w:rPr>
            </w:pPr>
            <w:r>
              <w:rPr>
                <w:b/>
              </w:rPr>
              <w:t xml:space="preserve">Proposal 4: In FR2-2 unlicensed band, the pre-configured downlink reception is not only confirmed by the SFI indication but also by gNB’s sensing beam, e.g., UE should cancel the downlink reception within the gNB COT if the gNB sensing beam does not cover the downlink transmission beam. </w:t>
            </w:r>
          </w:p>
          <w:p>
            <w:pPr>
              <w:pStyle w:val="31"/>
              <w:widowControl w:val="0"/>
            </w:pPr>
            <w:r>
              <w:t xml:space="preserve">When it comes to SSSG switching, the motivation of introduction of this feature is to allow UE to reduce the PDCCH monitoring effort in the gNB COT. With the similar reasoning as described above, when the transmission beam is not covered by the gNB sensing beam, the gNB is not allowed to perform this transmission within the gNB COT. Therefore, if a CORESET beam is not covered by the gNB sensing beam, the UE should be allowed to skip the PDCCH monitoring in the CORESET. </w:t>
            </w:r>
          </w:p>
          <w:p>
            <w:pPr>
              <w:pStyle w:val="31"/>
              <w:widowControl w:val="0"/>
              <w:rPr>
                <w:b/>
              </w:rPr>
            </w:pPr>
            <w:r>
              <w:rPr>
                <w:b/>
              </w:rPr>
              <w:t xml:space="preserve">Proposal 5: R17 should allow UE to skip PDCCH monitoring in the CORESET associated with a beam uncovered by the gNB sensing beam within the gNB COT. </w:t>
            </w:r>
          </w:p>
          <w:p>
            <w:pPr>
              <w:pStyle w:val="31"/>
              <w:widowControl w:val="0"/>
              <w:rPr>
                <w:b/>
              </w:rPr>
            </w:pPr>
          </w:p>
          <w:p>
            <w:pPr>
              <w:widowControl w:val="0"/>
              <w:jc w:val="both"/>
              <w:rPr>
                <w:b/>
                <w:u w:val="single"/>
              </w:rPr>
            </w:pPr>
          </w:p>
        </w:tc>
      </w:tr>
    </w:tbl>
    <w:p>
      <w:pPr>
        <w:rPr>
          <w:lang w:eastAsia="zh-CN"/>
        </w:rPr>
      </w:pPr>
    </w:p>
    <w:p>
      <w:pPr>
        <w:pStyle w:val="3"/>
      </w:pPr>
      <w:r>
        <w:t>Topic C: Multi-Cell Operation, Cross-carrier scheduling (except BD aspects)</w:t>
      </w:r>
    </w:p>
    <w:p>
      <w:pPr>
        <w:pStyle w:val="4"/>
      </w:pPr>
      <w:r>
        <w:t>R1-2200953 (Huawei, HiSilicon)</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beforeLines="50" w:afterLines="50"/>
              <w:rPr>
                <w:szCs w:val="21"/>
              </w:rPr>
            </w:pPr>
            <w:r>
              <w:rPr>
                <w:szCs w:val="21"/>
              </w:rPr>
              <w:t xml:space="preserve">The benefit to support scheduling between two carriers with large </w:t>
            </w:r>
            <m:oMath>
              <m:d>
                <m:dPr>
                  <m:begChr m:val="|"/>
                  <m:endChr m:val="|"/>
                  <m:ctrlPr>
                    <w:rPr>
                      <w:rFonts w:ascii="Cambria Math" w:hAnsi="Cambria Math"/>
                      <w:szCs w:val="21"/>
                    </w:rPr>
                  </m:ctrlPr>
                </m:dPr>
                <m:e>
                  <m:sSub>
                    <m:sSubPr>
                      <m:ctrlPr>
                        <w:rPr>
                          <w:rFonts w:ascii="Cambria Math" w:hAnsi="Cambria Math"/>
                          <w:szCs w:val="21"/>
                        </w:rPr>
                      </m:ctrlPr>
                    </m:sSubPr>
                    <m:e>
                      <m:r>
                        <w:rPr>
                          <w:rFonts w:ascii="Cambria Math" w:hAnsi="Cambria Math"/>
                          <w:szCs w:val="21"/>
                        </w:rPr>
                        <m:t>μ</m:t>
                      </m:r>
                      <m:ctrlPr>
                        <w:rPr>
                          <w:rFonts w:ascii="Cambria Math" w:hAnsi="Cambria Math"/>
                          <w:szCs w:val="21"/>
                        </w:rPr>
                      </m:ctrlPr>
                    </m:e>
                    <m:sub>
                      <m:r>
                        <m:rPr>
                          <m:sty m:val="p"/>
                        </m:rPr>
                        <w:rPr>
                          <w:rFonts w:ascii="Cambria Math" w:hAnsi="Cambria Math"/>
                          <w:szCs w:val="21"/>
                          <w:vertAlign w:val="subscript"/>
                        </w:rPr>
                        <m:t>PDCCH</m:t>
                      </m:r>
                      <m:ctrlPr>
                        <w:rPr>
                          <w:rFonts w:ascii="Cambria Math" w:hAnsi="Cambria Math"/>
                          <w:szCs w:val="21"/>
                        </w:rPr>
                      </m:ctrlPr>
                    </m:sub>
                  </m:sSub>
                  <m:r>
                    <w:rPr>
                      <w:rFonts w:ascii="Cambria Math" w:hAnsi="Cambria Math"/>
                      <w:szCs w:val="21"/>
                    </w:rPr>
                    <m:t>-</m:t>
                  </m:r>
                  <m:sSub>
                    <m:sSubPr>
                      <m:ctrlPr>
                        <w:rPr>
                          <w:rFonts w:ascii="Cambria Math" w:hAnsi="Cambria Math"/>
                          <w:szCs w:val="21"/>
                        </w:rPr>
                      </m:ctrlPr>
                    </m:sSubPr>
                    <m:e>
                      <m:r>
                        <w:rPr>
                          <w:rFonts w:ascii="Cambria Math" w:hAnsi="Cambria Math"/>
                          <w:szCs w:val="21"/>
                        </w:rPr>
                        <m:t>μ</m:t>
                      </m:r>
                      <m:ctrlPr>
                        <w:rPr>
                          <w:rFonts w:ascii="Cambria Math" w:hAnsi="Cambria Math"/>
                          <w:szCs w:val="21"/>
                        </w:rPr>
                      </m:ctrlPr>
                    </m:e>
                    <m:sub>
                      <m:r>
                        <m:rPr>
                          <m:sty m:val="p"/>
                        </m:rPr>
                        <w:rPr>
                          <w:rFonts w:ascii="Cambria Math" w:hAnsi="Cambria Math"/>
                          <w:szCs w:val="21"/>
                          <w:vertAlign w:val="subscript"/>
                        </w:rPr>
                        <m:t>PDSCH</m:t>
                      </m:r>
                      <m:ctrlPr>
                        <w:rPr>
                          <w:rFonts w:ascii="Cambria Math" w:hAnsi="Cambria Math"/>
                          <w:szCs w:val="21"/>
                        </w:rPr>
                      </m:ctrlPr>
                    </m:sub>
                  </m:sSub>
                  <m:ctrlPr>
                    <w:rPr>
                      <w:rFonts w:ascii="Cambria Math" w:hAnsi="Cambria Math"/>
                      <w:i/>
                      <w:szCs w:val="21"/>
                    </w:rPr>
                  </m:ctrlPr>
                </m:e>
              </m:d>
            </m:oMath>
            <w:r>
              <w:rPr>
                <w:szCs w:val="21"/>
              </w:rPr>
              <w:t xml:space="preserve"> is questionable. For example, for </w:t>
            </w:r>
            <m:oMath>
              <m:sSub>
                <m:sSubPr>
                  <m:ctrlPr>
                    <w:rPr>
                      <w:rFonts w:ascii="Cambria Math" w:hAnsi="Cambria Math"/>
                      <w:szCs w:val="21"/>
                    </w:rPr>
                  </m:ctrlPr>
                </m:sSubPr>
                <m:e>
                  <m:r>
                    <w:rPr>
                      <w:rFonts w:ascii="Cambria Math" w:hAnsi="Cambria Math"/>
                      <w:szCs w:val="21"/>
                    </w:rPr>
                    <m:t>μ</m:t>
                  </m:r>
                  <m:ctrlPr>
                    <w:rPr>
                      <w:rFonts w:ascii="Cambria Math" w:hAnsi="Cambria Math"/>
                      <w:szCs w:val="21"/>
                    </w:rPr>
                  </m:ctrlPr>
                </m:e>
                <m:sub>
                  <m:r>
                    <m:rPr>
                      <m:sty m:val="p"/>
                    </m:rPr>
                    <w:rPr>
                      <w:rFonts w:ascii="Cambria Math" w:hAnsi="Cambria Math"/>
                      <w:szCs w:val="21"/>
                      <w:vertAlign w:val="subscript"/>
                    </w:rPr>
                    <m:t>PDCCH</m:t>
                  </m:r>
                  <m:ctrlPr>
                    <w:rPr>
                      <w:rFonts w:ascii="Cambria Math" w:hAnsi="Cambria Math"/>
                      <w:szCs w:val="21"/>
                    </w:rPr>
                  </m:ctrlPr>
                </m:sub>
              </m:sSub>
              <m:r>
                <m:rPr>
                  <m:sty m:val="p"/>
                </m:rPr>
                <w:rPr>
                  <w:rFonts w:ascii="Cambria Math" w:hAnsi="Cambria Math"/>
                  <w:szCs w:val="21"/>
                </w:rPr>
                <m:t>=1</m:t>
              </m:r>
            </m:oMath>
            <w:r>
              <w:rPr>
                <w:szCs w:val="21"/>
              </w:rPr>
              <w:t xml:space="preserve"> and </w:t>
            </w:r>
            <m:oMath>
              <m:sSub>
                <m:sSubPr>
                  <m:ctrlPr>
                    <w:rPr>
                      <w:rFonts w:ascii="Cambria Math" w:hAnsi="Cambria Math"/>
                      <w:szCs w:val="21"/>
                    </w:rPr>
                  </m:ctrlPr>
                </m:sSubPr>
                <m:e>
                  <m:r>
                    <w:rPr>
                      <w:rFonts w:ascii="Cambria Math" w:hAnsi="Cambria Math"/>
                      <w:szCs w:val="21"/>
                    </w:rPr>
                    <m:t>μ</m:t>
                  </m:r>
                  <m:ctrlPr>
                    <w:rPr>
                      <w:rFonts w:ascii="Cambria Math" w:hAnsi="Cambria Math"/>
                      <w:szCs w:val="21"/>
                    </w:rPr>
                  </m:ctrlPr>
                </m:e>
                <m:sub>
                  <m:r>
                    <m:rPr>
                      <m:sty m:val="p"/>
                    </m:rPr>
                    <w:rPr>
                      <w:rFonts w:ascii="Cambria Math" w:hAnsi="Cambria Math"/>
                      <w:szCs w:val="21"/>
                      <w:vertAlign w:val="subscript"/>
                    </w:rPr>
                    <m:t>PDSCH</m:t>
                  </m:r>
                  <m:ctrlPr>
                    <w:rPr>
                      <w:rFonts w:ascii="Cambria Math" w:hAnsi="Cambria Math"/>
                      <w:szCs w:val="21"/>
                    </w:rPr>
                  </m:ctrlPr>
                </m:sub>
              </m:sSub>
              <m:r>
                <m:rPr>
                  <m:sty m:val="p"/>
                </m:rPr>
                <w:rPr>
                  <w:rFonts w:ascii="Cambria Math" w:hAnsi="Cambria Math"/>
                  <w:szCs w:val="21"/>
                </w:rPr>
                <m:t>=6</m:t>
              </m:r>
            </m:oMath>
            <w:r>
              <w:rPr>
                <w:szCs w:val="21"/>
              </w:rPr>
              <w:t xml:space="preserve">, a DCI with 15 kHz SCS would schedule 64 PDSCH slots with 960 kHz SCS. In such a case, the flexibility is poor and the latency is large. Therefore, we support to reuse the same limitation as in FR1 and FR2-1, i.e., </w:t>
            </w:r>
            <m:oMath>
              <m:d>
                <m:dPr>
                  <m:begChr m:val="|"/>
                  <m:endChr m:val="|"/>
                  <m:ctrlPr>
                    <w:rPr>
                      <w:rFonts w:ascii="Cambria Math" w:hAnsi="Cambria Math"/>
                      <w:szCs w:val="21"/>
                    </w:rPr>
                  </m:ctrlPr>
                </m:dPr>
                <m:e>
                  <m:sSub>
                    <m:sSubPr>
                      <m:ctrlPr>
                        <w:rPr>
                          <w:rFonts w:ascii="Cambria Math" w:hAnsi="Cambria Math"/>
                          <w:szCs w:val="21"/>
                        </w:rPr>
                      </m:ctrlPr>
                    </m:sSubPr>
                    <m:e>
                      <m:r>
                        <w:rPr>
                          <w:rFonts w:ascii="Cambria Math" w:hAnsi="Cambria Math"/>
                          <w:szCs w:val="21"/>
                        </w:rPr>
                        <m:t>μ</m:t>
                      </m:r>
                      <m:ctrlPr>
                        <w:rPr>
                          <w:rFonts w:ascii="Cambria Math" w:hAnsi="Cambria Math"/>
                          <w:szCs w:val="21"/>
                        </w:rPr>
                      </m:ctrlPr>
                    </m:e>
                    <m:sub>
                      <m:r>
                        <m:rPr>
                          <m:sty m:val="p"/>
                        </m:rPr>
                        <w:rPr>
                          <w:rFonts w:ascii="Cambria Math" w:hAnsi="Cambria Math"/>
                          <w:szCs w:val="21"/>
                          <w:vertAlign w:val="subscript"/>
                        </w:rPr>
                        <m:t>PDCCH</m:t>
                      </m:r>
                      <m:ctrlPr>
                        <w:rPr>
                          <w:rFonts w:ascii="Cambria Math" w:hAnsi="Cambria Math"/>
                          <w:szCs w:val="21"/>
                        </w:rPr>
                      </m:ctrlPr>
                    </m:sub>
                  </m:sSub>
                  <m:r>
                    <w:rPr>
                      <w:rFonts w:ascii="Cambria Math" w:hAnsi="Cambria Math"/>
                      <w:szCs w:val="21"/>
                    </w:rPr>
                    <m:t>-</m:t>
                  </m:r>
                  <m:sSub>
                    <m:sSubPr>
                      <m:ctrlPr>
                        <w:rPr>
                          <w:rFonts w:ascii="Cambria Math" w:hAnsi="Cambria Math"/>
                          <w:szCs w:val="21"/>
                        </w:rPr>
                      </m:ctrlPr>
                    </m:sSubPr>
                    <m:e>
                      <m:r>
                        <w:rPr>
                          <w:rFonts w:ascii="Cambria Math" w:hAnsi="Cambria Math"/>
                          <w:szCs w:val="21"/>
                        </w:rPr>
                        <m:t>μ</m:t>
                      </m:r>
                      <m:ctrlPr>
                        <w:rPr>
                          <w:rFonts w:ascii="Cambria Math" w:hAnsi="Cambria Math"/>
                          <w:szCs w:val="21"/>
                        </w:rPr>
                      </m:ctrlPr>
                    </m:e>
                    <m:sub>
                      <m:r>
                        <m:rPr>
                          <m:sty m:val="p"/>
                        </m:rPr>
                        <w:rPr>
                          <w:rFonts w:ascii="Cambria Math" w:hAnsi="Cambria Math"/>
                          <w:szCs w:val="21"/>
                          <w:vertAlign w:val="subscript"/>
                        </w:rPr>
                        <m:t>PDSCH</m:t>
                      </m:r>
                      <m:ctrlPr>
                        <w:rPr>
                          <w:rFonts w:ascii="Cambria Math" w:hAnsi="Cambria Math"/>
                          <w:szCs w:val="21"/>
                        </w:rPr>
                      </m:ctrlPr>
                    </m:sub>
                  </m:sSub>
                  <m:ctrlPr>
                    <w:rPr>
                      <w:rFonts w:ascii="Cambria Math" w:hAnsi="Cambria Math"/>
                      <w:i/>
                      <w:szCs w:val="21"/>
                    </w:rPr>
                  </m:ctrlPr>
                </m:e>
              </m:d>
              <m:r>
                <w:rPr>
                  <w:rFonts w:ascii="Cambria Math" w:hAnsi="Cambria Math"/>
                  <w:szCs w:val="21"/>
                </w:rPr>
                <m:t>≤3</m:t>
              </m:r>
            </m:oMath>
            <w:r>
              <w:rPr>
                <w:szCs w:val="21"/>
              </w:rPr>
              <w:t>.</w:t>
            </w:r>
          </w:p>
          <w:p>
            <w:pPr>
              <w:pStyle w:val="82"/>
              <w:widowControl w:val="0"/>
              <w:spacing w:before="180" w:after="240" w:afterLines="100"/>
              <w:ind w:left="0"/>
              <w:rPr>
                <w:b/>
                <w:i/>
                <w:color w:val="000000"/>
                <w:sz w:val="21"/>
                <w:szCs w:val="21"/>
              </w:rPr>
            </w:pPr>
            <w:r>
              <w:rPr>
                <w:b/>
                <w:i/>
                <w:sz w:val="21"/>
                <w:szCs w:val="21"/>
              </w:rPr>
              <w:t xml:space="preserve">Proposal 15: Cross-carrier scheduling is only supported for </w:t>
            </w:r>
            <m:oMath>
              <m:d>
                <m:dPr>
                  <m:begChr m:val="|"/>
                  <m:endChr m:val="|"/>
                  <m:ctrlPr>
                    <w:rPr>
                      <w:rFonts w:ascii="Cambria Math" w:hAnsi="Cambria Math"/>
                      <w:b/>
                      <w:i/>
                      <w:sz w:val="21"/>
                      <w:szCs w:val="21"/>
                    </w:rPr>
                  </m:ctrlPr>
                </m:dPr>
                <m:e>
                  <m:sSub>
                    <m:sSubPr>
                      <m:ctrlPr>
                        <w:rPr>
                          <w:rFonts w:ascii="Cambria Math" w:hAnsi="Cambria Math"/>
                          <w:b/>
                          <w:i/>
                          <w:sz w:val="21"/>
                          <w:szCs w:val="21"/>
                        </w:rPr>
                      </m:ctrlPr>
                    </m:sSubPr>
                    <m:e>
                      <m:r>
                        <m:rPr>
                          <m:sty m:val="bi"/>
                        </m:rPr>
                        <w:rPr>
                          <w:rFonts w:ascii="Cambria Math" w:hAnsi="Cambria Math"/>
                          <w:sz w:val="21"/>
                          <w:szCs w:val="21"/>
                        </w:rPr>
                        <m:t>μ</m:t>
                      </m:r>
                      <m:ctrlPr>
                        <w:rPr>
                          <w:rFonts w:ascii="Cambria Math" w:hAnsi="Cambria Math"/>
                          <w:b/>
                          <w:i/>
                          <w:sz w:val="21"/>
                          <w:szCs w:val="21"/>
                        </w:rPr>
                      </m:ctrlPr>
                    </m:e>
                    <m:sub>
                      <m:r>
                        <m:rPr>
                          <m:nor/>
                          <m:sty m:val="b"/>
                        </m:rPr>
                        <w:rPr>
                          <w:b/>
                          <w:sz w:val="21"/>
                          <w:szCs w:val="21"/>
                          <w:vertAlign w:val="subscript"/>
                        </w:rPr>
                        <m:t>PDCCH</m:t>
                      </m:r>
                      <m:ctrlPr>
                        <w:rPr>
                          <w:rFonts w:ascii="Cambria Math" w:hAnsi="Cambria Math"/>
                          <w:b/>
                          <w:i/>
                          <w:sz w:val="21"/>
                          <w:szCs w:val="21"/>
                        </w:rPr>
                      </m:ctrlPr>
                    </m:sub>
                  </m:sSub>
                  <m:r>
                    <m:rPr>
                      <m:sty m:val="bi"/>
                    </m:rPr>
                    <w:rPr>
                      <w:rFonts w:ascii="Cambria Math" w:hAnsi="Cambria Math"/>
                      <w:sz w:val="21"/>
                      <w:szCs w:val="21"/>
                    </w:rPr>
                    <m:t>-</m:t>
                  </m:r>
                  <m:sSub>
                    <m:sSubPr>
                      <m:ctrlPr>
                        <w:rPr>
                          <w:rFonts w:ascii="Cambria Math" w:hAnsi="Cambria Math"/>
                          <w:b/>
                          <w:i/>
                          <w:sz w:val="21"/>
                          <w:szCs w:val="21"/>
                        </w:rPr>
                      </m:ctrlPr>
                    </m:sSubPr>
                    <m:e>
                      <m:r>
                        <m:rPr>
                          <m:sty m:val="bi"/>
                        </m:rPr>
                        <w:rPr>
                          <w:rFonts w:ascii="Cambria Math" w:hAnsi="Cambria Math"/>
                          <w:sz w:val="21"/>
                          <w:szCs w:val="21"/>
                        </w:rPr>
                        <m:t>μ</m:t>
                      </m:r>
                      <m:ctrlPr>
                        <w:rPr>
                          <w:rFonts w:ascii="Cambria Math" w:hAnsi="Cambria Math"/>
                          <w:b/>
                          <w:i/>
                          <w:sz w:val="21"/>
                          <w:szCs w:val="21"/>
                        </w:rPr>
                      </m:ctrlPr>
                    </m:e>
                    <m:sub>
                      <m:r>
                        <m:rPr>
                          <m:nor/>
                          <m:sty m:val="b"/>
                        </m:rPr>
                        <w:rPr>
                          <w:b/>
                          <w:sz w:val="21"/>
                          <w:szCs w:val="21"/>
                          <w:vertAlign w:val="subscript"/>
                        </w:rPr>
                        <m:t>PDSCH</m:t>
                      </m:r>
                      <m:ctrlPr>
                        <w:rPr>
                          <w:rFonts w:ascii="Cambria Math" w:hAnsi="Cambria Math"/>
                          <w:b/>
                          <w:i/>
                          <w:sz w:val="21"/>
                          <w:szCs w:val="21"/>
                        </w:rPr>
                      </m:ctrlPr>
                    </m:sub>
                  </m:sSub>
                  <m:ctrlPr>
                    <w:rPr>
                      <w:rFonts w:ascii="Cambria Math" w:hAnsi="Cambria Math"/>
                      <w:b/>
                      <w:i/>
                      <w:sz w:val="21"/>
                      <w:szCs w:val="21"/>
                    </w:rPr>
                  </m:ctrlPr>
                </m:e>
              </m:d>
              <m:r>
                <m:rPr>
                  <m:sty m:val="bi"/>
                </m:rPr>
                <w:rPr>
                  <w:rFonts w:ascii="Cambria Math" w:hAnsi="Cambria Math"/>
                  <w:sz w:val="21"/>
                  <w:szCs w:val="21"/>
                </w:rPr>
                <m:t>≤3</m:t>
              </m:r>
            </m:oMath>
            <w:r>
              <w:rPr>
                <w:b/>
                <w:i/>
                <w:color w:val="000000"/>
                <w:sz w:val="21"/>
                <w:szCs w:val="21"/>
                <w:lang w:eastAsia="zh-CN"/>
              </w:rPr>
              <w:t>.</w:t>
            </w:r>
          </w:p>
          <w:p>
            <w:pPr>
              <w:widowControl w:val="0"/>
              <w:spacing w:before="120"/>
              <w:jc w:val="both"/>
              <w:rPr>
                <w:bCs/>
                <w:lang w:eastAsia="zh-CN"/>
              </w:rPr>
            </w:pPr>
          </w:p>
        </w:tc>
      </w:tr>
    </w:tbl>
    <w:p>
      <w:pPr>
        <w:rPr>
          <w:lang w:eastAsia="zh-CN"/>
        </w:rPr>
      </w:pPr>
    </w:p>
    <w:p>
      <w:pPr>
        <w:pStyle w:val="4"/>
      </w:pPr>
      <w:r>
        <w:t>R1-2201352 (CATT)</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1"/>
              <w:widowControl w:val="0"/>
              <w:spacing w:after="10"/>
              <w:rPr>
                <w:lang w:eastAsia="zh-CN"/>
              </w:rPr>
            </w:pPr>
            <w:r>
              <w:rPr>
                <w:rFonts w:hint="eastAsia"/>
                <w:lang w:eastAsia="zh-CN"/>
              </w:rPr>
              <w:t>In the RAN1#10</w:t>
            </w:r>
            <w:r>
              <w:rPr>
                <w:lang w:eastAsia="zh-CN"/>
              </w:rPr>
              <w:t>7bis</w:t>
            </w:r>
            <w:r>
              <w:rPr>
                <w:rFonts w:hint="eastAsia"/>
                <w:lang w:eastAsia="zh-CN"/>
              </w:rPr>
              <w:t xml:space="preserve">-e, the </w:t>
            </w:r>
            <w:r>
              <w:rPr>
                <w:lang w:eastAsia="zh-CN"/>
              </w:rPr>
              <w:t>maximum</w:t>
            </w:r>
            <w:r>
              <w:rPr>
                <w:rFonts w:hint="eastAsia"/>
                <w:lang w:eastAsia="zh-CN"/>
              </w:rPr>
              <w:t xml:space="preserve"> difference of SCS of cross-carrier scheduling, i.e.,</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ctrlPr>
                        <w:rPr>
                          <w:rFonts w:ascii="Cambria Math" w:hAnsi="Cambria Math"/>
                          <w:i/>
                          <w:lang w:eastAsia="zh-CN"/>
                        </w:rPr>
                      </m:ctrlPr>
                    </m:e>
                    <m:sub>
                      <m:r>
                        <w:rPr>
                          <w:rFonts w:ascii="Cambria Math" w:hAnsi="Cambria Math"/>
                          <w:lang w:eastAsia="zh-CN"/>
                        </w:rPr>
                        <m:t>PDCCH</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ctrlPr>
                        <w:rPr>
                          <w:rFonts w:ascii="Cambria Math" w:hAnsi="Cambria Math"/>
                          <w:i/>
                          <w:lang w:eastAsia="zh-CN"/>
                        </w:rPr>
                      </m:ctrlPr>
                    </m:e>
                    <m:sub>
                      <m:r>
                        <w:rPr>
                          <w:rFonts w:ascii="Cambria Math" w:hAnsi="Cambria Math"/>
                          <w:lang w:eastAsia="zh-CN"/>
                        </w:rPr>
                        <m:t>PDSCH</m:t>
                      </m:r>
                      <m:ctrlPr>
                        <w:rPr>
                          <w:rFonts w:ascii="Cambria Math" w:hAnsi="Cambria Math"/>
                          <w:i/>
                          <w:lang w:eastAsia="zh-CN"/>
                        </w:rPr>
                      </m:ctrlPr>
                    </m:sub>
                  </m:sSub>
                  <m:ctrlPr>
                    <w:rPr>
                      <w:rFonts w:ascii="Cambria Math" w:hAnsi="Cambria Math"/>
                      <w:lang w:eastAsia="zh-CN"/>
                    </w:rPr>
                  </m:ctrlPr>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pPr>
              <w:pStyle w:val="31"/>
              <w:widowControl w:val="0"/>
              <w:rPr>
                <w:i/>
                <w:lang w:eastAsia="zh-CN"/>
              </w:rPr>
            </w:pPr>
            <w:r>
              <w:rPr>
                <w:b/>
                <w:i/>
                <w:lang w:eastAsia="zh-CN"/>
              </w:rPr>
              <w:t xml:space="preserve">Proposal </w:t>
            </w:r>
            <w:r>
              <w:rPr>
                <w:rFonts w:hint="eastAsia"/>
                <w:b/>
                <w:i/>
                <w:lang w:eastAsia="zh-CN"/>
              </w:rPr>
              <w:t>5</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pPr>
              <w:pStyle w:val="31"/>
              <w:widowControl w:val="0"/>
              <w:rPr>
                <w:i/>
                <w:lang w:eastAsia="zh-CN"/>
              </w:rPr>
            </w:pPr>
          </w:p>
        </w:tc>
      </w:tr>
    </w:tbl>
    <w:p>
      <w:pPr>
        <w:rPr>
          <w:lang w:eastAsia="zh-CN"/>
        </w:rPr>
      </w:pPr>
    </w:p>
    <w:p>
      <w:pPr>
        <w:pStyle w:val="4"/>
      </w:pPr>
      <w:r>
        <w:t>R1-2201765 (Apple)</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i/>
                <w:iCs/>
              </w:rPr>
            </w:pPr>
            <w:r>
              <w:rPr>
                <w:b/>
                <w:bCs/>
                <w:i/>
                <w:iCs/>
              </w:rPr>
              <w:t xml:space="preserve">Proposal 9: </w:t>
            </w:r>
            <w:r>
              <w:rPr>
                <w:i/>
                <w:iCs/>
              </w:rPr>
              <w:t>For Rel-17, 4 additional cases  for UE capability signaling need to be defined:</w:t>
            </w:r>
          </w:p>
          <w:p>
            <w:pPr>
              <w:pStyle w:val="82"/>
              <w:widowControl w:val="0"/>
              <w:numPr>
                <w:ilvl w:val="0"/>
                <w:numId w:val="65"/>
              </w:numPr>
              <w:snapToGrid/>
              <w:spacing w:line="240" w:lineRule="auto"/>
              <w:jc w:val="both"/>
              <w:rPr>
                <w:i/>
                <w:iCs/>
              </w:rPr>
            </w:pPr>
            <w:r>
              <w:rPr>
                <w:i/>
                <w:iCs/>
              </w:rPr>
              <w:t>Case 4: Capability on the number of CCs with Rel-17 monitoring capability only</w:t>
            </w:r>
          </w:p>
          <w:p>
            <w:pPr>
              <w:pStyle w:val="82"/>
              <w:widowControl w:val="0"/>
              <w:numPr>
                <w:ilvl w:val="1"/>
                <w:numId w:val="65"/>
              </w:numPr>
              <w:snapToGrid/>
              <w:spacing w:line="240" w:lineRule="auto"/>
              <w:jc w:val="both"/>
              <w:rPr>
                <w:i/>
                <w:iCs/>
              </w:rPr>
            </w:pPr>
            <w:r>
              <w:rPr>
                <w:i/>
                <w:iCs/>
              </w:rPr>
              <w:t>pdcch-BlindDetectionCA-R17 is equal to  4 {similar to Rel-15}</w:t>
            </w:r>
          </w:p>
          <w:p>
            <w:pPr>
              <w:pStyle w:val="82"/>
              <w:widowControl w:val="0"/>
              <w:numPr>
                <w:ilvl w:val="0"/>
                <w:numId w:val="65"/>
              </w:numPr>
              <w:snapToGrid/>
              <w:spacing w:line="240" w:lineRule="auto"/>
              <w:jc w:val="both"/>
              <w:rPr>
                <w:i/>
                <w:iCs/>
              </w:rPr>
            </w:pPr>
            <w:r>
              <w:rPr>
                <w:i/>
                <w:iCs/>
              </w:rPr>
              <w:t>Case 5: Capability on the number of CCS with Rel-15 monitoring capability and Rel-17 monitoring capability on different serving cells</w:t>
            </w:r>
          </w:p>
          <w:p>
            <w:pPr>
              <w:pStyle w:val="82"/>
              <w:widowControl w:val="0"/>
              <w:numPr>
                <w:ilvl w:val="1"/>
                <w:numId w:val="65"/>
              </w:numPr>
              <w:snapToGrid/>
              <w:spacing w:line="240" w:lineRule="auto"/>
              <w:jc w:val="both"/>
              <w:rPr>
                <w:i/>
                <w:iCs/>
              </w:rPr>
            </w:pPr>
            <w:r>
              <w:rPr>
                <w:i/>
                <w:iCs/>
              </w:rPr>
              <w:t>pdcch-BlindDetectionCA-R15 for Rel-15 PDCCH monitoring capability</w:t>
            </w:r>
          </w:p>
          <w:p>
            <w:pPr>
              <w:pStyle w:val="82"/>
              <w:widowControl w:val="0"/>
              <w:numPr>
                <w:ilvl w:val="1"/>
                <w:numId w:val="65"/>
              </w:numPr>
              <w:snapToGrid/>
              <w:spacing w:line="240" w:lineRule="auto"/>
              <w:jc w:val="both"/>
              <w:rPr>
                <w:i/>
                <w:iCs/>
              </w:rPr>
            </w:pPr>
            <w:r>
              <w:rPr>
                <w:i/>
                <w:iCs/>
              </w:rPr>
              <w:t>pdcch-BlindDetectionCA-R17 for Rel-17 PDCCH monitoring capability</w:t>
            </w:r>
          </w:p>
          <w:p>
            <w:pPr>
              <w:pStyle w:val="82"/>
              <w:widowControl w:val="0"/>
              <w:numPr>
                <w:ilvl w:val="1"/>
                <w:numId w:val="65"/>
              </w:numPr>
              <w:snapToGrid/>
              <w:spacing w:line="240" w:lineRule="auto"/>
              <w:jc w:val="both"/>
              <w:rPr>
                <w:i/>
                <w:iCs/>
              </w:rPr>
            </w:pPr>
            <w:r>
              <w:rPr>
                <w:i/>
                <w:iCs/>
              </w:rPr>
              <w:t>Range of  pdcch-BlindDetectionCA-R17 and pdcch-BlindDetectionCA-R15: [1:15]</w:t>
            </w:r>
          </w:p>
          <w:p>
            <w:pPr>
              <w:pStyle w:val="82"/>
              <w:widowControl w:val="0"/>
              <w:numPr>
                <w:ilvl w:val="2"/>
                <w:numId w:val="65"/>
              </w:numPr>
              <w:snapToGrid/>
              <w:spacing w:line="240" w:lineRule="auto"/>
              <w:jc w:val="both"/>
              <w:rPr>
                <w:i/>
                <w:iCs/>
              </w:rPr>
            </w:pPr>
            <w:r>
              <w:rPr>
                <w:i/>
                <w:iCs/>
              </w:rPr>
              <w:t>The minimum of pdcch-BlindDetectionCA-R15 + The minimum of pdcch-BlindDetectionCA-R17) is equal to  4</w:t>
            </w:r>
          </w:p>
          <w:p>
            <w:pPr>
              <w:pStyle w:val="82"/>
              <w:widowControl w:val="0"/>
              <w:numPr>
                <w:ilvl w:val="3"/>
                <w:numId w:val="65"/>
              </w:numPr>
              <w:snapToGrid/>
              <w:spacing w:line="240" w:lineRule="auto"/>
              <w:jc w:val="both"/>
              <w:rPr>
                <w:i/>
                <w:iCs/>
              </w:rPr>
            </w:pPr>
            <w:r>
              <w:rPr>
                <w:i/>
                <w:iCs/>
              </w:rPr>
              <w:t xml:space="preserve">Range of pdcch-BlindDetectionCA-R15 +   pdcch-BlindDetectionCA-R17: [4:16] </w:t>
            </w:r>
          </w:p>
          <w:p>
            <w:pPr>
              <w:pStyle w:val="82"/>
              <w:widowControl w:val="0"/>
              <w:numPr>
                <w:ilvl w:val="0"/>
                <w:numId w:val="65"/>
              </w:numPr>
              <w:snapToGrid/>
              <w:spacing w:line="240" w:lineRule="auto"/>
              <w:jc w:val="both"/>
              <w:rPr>
                <w:i/>
                <w:iCs/>
              </w:rPr>
            </w:pPr>
            <w:r>
              <w:rPr>
                <w:i/>
                <w:iCs/>
              </w:rPr>
              <w:t>Case 6: Capability on the number of CCS with Rel-16 monitoring capability and Rel-17 monitoring capability on different serving cells</w:t>
            </w:r>
          </w:p>
          <w:p>
            <w:pPr>
              <w:pStyle w:val="82"/>
              <w:widowControl w:val="0"/>
              <w:numPr>
                <w:ilvl w:val="1"/>
                <w:numId w:val="65"/>
              </w:numPr>
              <w:snapToGrid/>
              <w:spacing w:line="240" w:lineRule="auto"/>
              <w:jc w:val="both"/>
              <w:rPr>
                <w:i/>
                <w:iCs/>
              </w:rPr>
            </w:pPr>
            <w:r>
              <w:rPr>
                <w:i/>
                <w:iCs/>
              </w:rPr>
              <w:t>pdcch-BlindDetectionCA-R16 for Rel-15 PDCCH monitoring capability</w:t>
            </w:r>
          </w:p>
          <w:p>
            <w:pPr>
              <w:pStyle w:val="82"/>
              <w:widowControl w:val="0"/>
              <w:numPr>
                <w:ilvl w:val="1"/>
                <w:numId w:val="65"/>
              </w:numPr>
              <w:snapToGrid/>
              <w:spacing w:line="240" w:lineRule="auto"/>
              <w:jc w:val="both"/>
              <w:rPr>
                <w:i/>
                <w:iCs/>
              </w:rPr>
            </w:pPr>
            <w:r>
              <w:rPr>
                <w:i/>
                <w:iCs/>
              </w:rPr>
              <w:t>pdcch-BlindDetectionCA-R17 for Rel-17 PDCCH monitoring capability</w:t>
            </w:r>
          </w:p>
          <w:p>
            <w:pPr>
              <w:pStyle w:val="82"/>
              <w:widowControl w:val="0"/>
              <w:numPr>
                <w:ilvl w:val="1"/>
                <w:numId w:val="65"/>
              </w:numPr>
              <w:snapToGrid/>
              <w:spacing w:line="240" w:lineRule="auto"/>
              <w:jc w:val="both"/>
              <w:rPr>
                <w:i/>
                <w:iCs/>
              </w:rPr>
            </w:pPr>
            <w:r>
              <w:rPr>
                <w:i/>
                <w:iCs/>
              </w:rPr>
              <w:t xml:space="preserve">Range of  pdcch-BlindDetectionCA-R17 and pdcch-BlindDetectionCA-R16: [1:15] </w:t>
            </w:r>
          </w:p>
          <w:p>
            <w:pPr>
              <w:pStyle w:val="82"/>
              <w:widowControl w:val="0"/>
              <w:numPr>
                <w:ilvl w:val="2"/>
                <w:numId w:val="65"/>
              </w:numPr>
              <w:snapToGrid/>
              <w:spacing w:line="240" w:lineRule="auto"/>
              <w:jc w:val="both"/>
              <w:rPr>
                <w:i/>
                <w:iCs/>
              </w:rPr>
            </w:pPr>
            <w:r>
              <w:rPr>
                <w:i/>
                <w:iCs/>
              </w:rPr>
              <w:t>The minimum of pdcch-BlindDetectionCA-R16 + The minimum of pdcch-BlindDetectionCA-R17) is equal to 3</w:t>
            </w:r>
          </w:p>
          <w:p>
            <w:pPr>
              <w:pStyle w:val="82"/>
              <w:widowControl w:val="0"/>
              <w:numPr>
                <w:ilvl w:val="3"/>
                <w:numId w:val="65"/>
              </w:numPr>
              <w:snapToGrid/>
              <w:spacing w:line="240" w:lineRule="auto"/>
              <w:jc w:val="both"/>
              <w:rPr>
                <w:i/>
                <w:iCs/>
              </w:rPr>
            </w:pPr>
            <w:r>
              <w:rPr>
                <w:i/>
                <w:iCs/>
              </w:rPr>
              <w:t>Range of pdcch-BlindDetectionCA-R16 +   pdcch-BlindDetectionCA-R17: [3:16]</w:t>
            </w:r>
          </w:p>
          <w:p>
            <w:pPr>
              <w:pStyle w:val="82"/>
              <w:widowControl w:val="0"/>
              <w:numPr>
                <w:ilvl w:val="0"/>
                <w:numId w:val="65"/>
              </w:numPr>
              <w:snapToGrid/>
              <w:spacing w:line="240" w:lineRule="auto"/>
              <w:jc w:val="both"/>
              <w:rPr>
                <w:i/>
                <w:iCs/>
              </w:rPr>
            </w:pPr>
            <w:r>
              <w:rPr>
                <w:i/>
                <w:iCs/>
              </w:rPr>
              <w:t>Case 7: Capability on the number of CCS with Rel-15 monitoring capability , Rel-16 monitoring capability and Rel-17 monitoring capability on different serving cells</w:t>
            </w:r>
          </w:p>
          <w:p>
            <w:pPr>
              <w:pStyle w:val="82"/>
              <w:widowControl w:val="0"/>
              <w:numPr>
                <w:ilvl w:val="1"/>
                <w:numId w:val="65"/>
              </w:numPr>
              <w:snapToGrid/>
              <w:spacing w:line="240" w:lineRule="auto"/>
              <w:jc w:val="both"/>
              <w:rPr>
                <w:i/>
                <w:iCs/>
              </w:rPr>
            </w:pPr>
            <w:r>
              <w:rPr>
                <w:i/>
                <w:iCs/>
              </w:rPr>
              <w:t>pdcch-BlindDetectionCA-R15 for Rel-15 PDCCH monitoring capability</w:t>
            </w:r>
          </w:p>
          <w:p>
            <w:pPr>
              <w:pStyle w:val="82"/>
              <w:widowControl w:val="0"/>
              <w:numPr>
                <w:ilvl w:val="1"/>
                <w:numId w:val="65"/>
              </w:numPr>
              <w:snapToGrid/>
              <w:spacing w:line="240" w:lineRule="auto"/>
              <w:jc w:val="both"/>
              <w:rPr>
                <w:i/>
                <w:iCs/>
              </w:rPr>
            </w:pPr>
            <w:r>
              <w:rPr>
                <w:i/>
                <w:iCs/>
              </w:rPr>
              <w:t>pdcch-BlindDetectionCA-R16 for Rel-17 PDCCH monitoring capability</w:t>
            </w:r>
          </w:p>
          <w:p>
            <w:pPr>
              <w:pStyle w:val="82"/>
              <w:widowControl w:val="0"/>
              <w:numPr>
                <w:ilvl w:val="1"/>
                <w:numId w:val="65"/>
              </w:numPr>
              <w:snapToGrid/>
              <w:spacing w:line="240" w:lineRule="auto"/>
              <w:jc w:val="both"/>
              <w:rPr>
                <w:i/>
                <w:iCs/>
              </w:rPr>
            </w:pPr>
            <w:r>
              <w:rPr>
                <w:i/>
                <w:iCs/>
              </w:rPr>
              <w:t>pdcch-BlindDetectionCA-R17 for Rel-17 PDCCH monitoring capability</w:t>
            </w:r>
          </w:p>
          <w:p>
            <w:pPr>
              <w:pStyle w:val="82"/>
              <w:widowControl w:val="0"/>
              <w:numPr>
                <w:ilvl w:val="1"/>
                <w:numId w:val="65"/>
              </w:numPr>
              <w:snapToGrid/>
              <w:spacing w:line="240" w:lineRule="auto"/>
              <w:jc w:val="both"/>
              <w:rPr>
                <w:i/>
                <w:iCs/>
              </w:rPr>
            </w:pPr>
            <w:r>
              <w:rPr>
                <w:i/>
                <w:iCs/>
              </w:rPr>
              <w:t>Range of  pdcch-BlindDetectionCA-R17,  pdcch-BlindDetectionCA-R16,  and pdcch-BlindDetectionCA-R15: [1:15]</w:t>
            </w:r>
          </w:p>
          <w:p>
            <w:pPr>
              <w:pStyle w:val="82"/>
              <w:widowControl w:val="0"/>
              <w:numPr>
                <w:ilvl w:val="2"/>
                <w:numId w:val="65"/>
              </w:numPr>
              <w:snapToGrid/>
              <w:spacing w:line="240" w:lineRule="auto"/>
              <w:jc w:val="both"/>
              <w:rPr>
                <w:i/>
                <w:iCs/>
              </w:rPr>
            </w:pPr>
            <w:r>
              <w:rPr>
                <w:i/>
                <w:iCs/>
              </w:rPr>
              <w:t>The minimum of pdcch-BlindDetectionCA-R15  + pdcch-BlindDetectionCA-R16 + The minimum of pdcch-BlindDetectionCA-R17) is equal to 4</w:t>
            </w:r>
          </w:p>
          <w:p>
            <w:pPr>
              <w:pStyle w:val="82"/>
              <w:widowControl w:val="0"/>
              <w:numPr>
                <w:ilvl w:val="3"/>
                <w:numId w:val="65"/>
              </w:numPr>
              <w:snapToGrid/>
              <w:spacing w:line="240" w:lineRule="auto"/>
              <w:jc w:val="both"/>
              <w:rPr>
                <w:i/>
                <w:iCs/>
              </w:rPr>
            </w:pPr>
            <w:r>
              <w:rPr>
                <w:i/>
                <w:iCs/>
              </w:rPr>
              <w:t>Range of pdcch-BlindDetectionCA-R15  + pdcch-BlindDetectionCA-R16 +   pdcch-BlindDetectionCA-R17 : [4:16]</w:t>
            </w:r>
          </w:p>
          <w:p>
            <w:pPr>
              <w:widowControl w:val="0"/>
              <w:jc w:val="both"/>
            </w:pPr>
          </w:p>
          <w:p>
            <w:pPr>
              <w:widowControl w:val="0"/>
              <w:jc w:val="both"/>
            </w:pPr>
          </w:p>
          <w:p>
            <w:pPr>
              <w:widowControl w:val="0"/>
              <w:jc w:val="both"/>
              <w:rPr>
                <w:i/>
                <w:iCs/>
              </w:rPr>
            </w:pPr>
            <w:r>
              <w:rPr>
                <w:b/>
                <w:bCs/>
                <w:i/>
                <w:iCs/>
              </w:rPr>
              <w:t xml:space="preserve">Proposal 10: </w:t>
            </w:r>
            <w:r>
              <w:rPr>
                <w:i/>
                <w:iCs/>
              </w:rPr>
              <w:t>For the case with Rel-15 monitoring capability, Rel-16 monitoring capability and Rel-17 monitoring capability on different serving cells (case 7) or any combination of 2 of the capabilities (i.e. case 5, and case 6), the UE will report one or more combination of (pdcch-BlindDetectionCA-R15, pdcch-BlindDetectionCA-R16, pdcch-BlindDetectionCA-R17) as UE capability. If UE reports more than one combination of (pdcch-BlindDetectionCA-R15, pdcch-BlindDetectionCA-R16, pdcch-BlindDetectionCA-R17), as in Rel-16, the gNB configures which combination for the UE to use for scaling PDCCH monitoring capability if the number of CCs configured is larger than the reported capability.</w:t>
            </w:r>
          </w:p>
          <w:p>
            <w:pPr>
              <w:widowControl w:val="0"/>
              <w:jc w:val="both"/>
              <w:rPr>
                <w:i/>
                <w:iCs/>
              </w:rPr>
            </w:pPr>
          </w:p>
        </w:tc>
      </w:tr>
    </w:tbl>
    <w:p>
      <w:pPr>
        <w:rPr>
          <w:lang w:eastAsia="zh-CN"/>
        </w:rPr>
      </w:pPr>
    </w:p>
    <w:p>
      <w:pPr>
        <w:pStyle w:val="4"/>
      </w:pPr>
      <w:r>
        <w:t>R1-2202072 (MediaTek)</w:t>
      </w:r>
    </w:p>
    <w:tbl>
      <w:tblPr>
        <w:tblStyle w:val="55"/>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widowControl w:val="0"/>
            </w:pPr>
            <w:r>
              <w:t xml:space="preserve">The other open issue is the location of the Y slots within a slot group of X slots across CCs. Compared with the fixed location of the Y slots within a slot group across CCs, non-aligned locations of Y slots can provide potential scheduling flexibility with the cost of less power saving. For example, without any restriction,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UE has to monitoring PDCCH in different slots across CCs without any chance of micro-sleep due to the non-aligned PDCCH monitoring pattern. On the other hand, if the PDCCH monitoring pattern is aligned across CCs, UE will monitor the same slots across CCs and improve PDCCH monitoring power consumption accordingly. </w:t>
            </w:r>
          </w:p>
          <w:p>
            <w:pPr>
              <w:widowControl w:val="0"/>
            </w:pPr>
          </w:p>
          <w:p>
            <w:pPr>
              <w:pStyle w:val="27"/>
              <w:widowControl w:val="0"/>
            </w:pPr>
            <w:r>
              <w:t xml:space="preserve">Proposal </w:t>
            </w:r>
            <w:r>
              <w:fldChar w:fldCharType="begin"/>
            </w:r>
            <w:r>
              <w:instrText xml:space="preserve"> SEQ Proposal \* ARABIC </w:instrText>
            </w:r>
            <w:r>
              <w:fldChar w:fldCharType="separate"/>
            </w:r>
            <w:r>
              <w:t>4</w:t>
            </w:r>
            <w:r>
              <w:fldChar w:fldCharType="end"/>
            </w:r>
            <w:r>
              <w:t>: For multi-cell operation, UE can report a capability on whether the location of the Y slots within a slot group of X slots is maintained across CCs associated with (X,Y) configuration.</w:t>
            </w:r>
          </w:p>
          <w:p>
            <w:pPr>
              <w:pStyle w:val="27"/>
              <w:widowControl w:val="0"/>
            </w:pPr>
          </w:p>
          <w:p>
            <w:pPr>
              <w:keepNext/>
              <w:widowControl w:val="0"/>
            </w:pPr>
            <w:r>
              <w:drawing>
                <wp:inline distT="0" distB="0" distL="0" distR="0">
                  <wp:extent cx="4234815" cy="2314575"/>
                  <wp:effectExtent l="0" t="0" r="0" b="9525"/>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Picture 40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pPr>
              <w:pStyle w:val="27"/>
              <w:widowControl w:val="0"/>
            </w:pPr>
            <w:r>
              <w:t xml:space="preserve">Figure </w:t>
            </w:r>
            <w:r>
              <w:fldChar w:fldCharType="begin"/>
            </w:r>
            <w:r>
              <w:instrText xml:space="preserve"> SEQ Figure \* ARABIC </w:instrText>
            </w:r>
            <w:r>
              <w:fldChar w:fldCharType="separate"/>
            </w:r>
            <w:r>
              <w:t>1</w:t>
            </w:r>
            <w:r>
              <w:fldChar w:fldCharType="end"/>
            </w:r>
            <w:r>
              <w:t xml:space="preserve"> Example of non-aligned monitoring pattern across CCs </w:t>
            </w:r>
          </w:p>
          <w:p>
            <w:pPr>
              <w:pStyle w:val="27"/>
              <w:widowControl/>
            </w:pPr>
            <w:bookmarkStart w:id="106" w:name="P_9"/>
          </w:p>
          <w:bookmarkEnd w:id="106"/>
          <w:p>
            <w:pPr>
              <w:pStyle w:val="27"/>
              <w:widowControl w:val="0"/>
              <w:rPr>
                <w:lang w:val="en-GB"/>
              </w:rPr>
            </w:pPr>
          </w:p>
        </w:tc>
      </w:tr>
    </w:tbl>
    <w:p>
      <w:pPr>
        <w:rPr>
          <w:lang w:eastAsia="zh-CN"/>
        </w:rPr>
      </w:pPr>
    </w:p>
    <w:p>
      <w:pPr>
        <w:pStyle w:val="3"/>
      </w:pPr>
      <w:r>
        <w:t>Topic D: Other</w:t>
      </w:r>
    </w:p>
    <w:p>
      <w:pPr>
        <w:rPr>
          <w:lang w:eastAsia="zh-CN"/>
        </w:rPr>
      </w:pPr>
    </w:p>
    <w:p>
      <w:pPr>
        <w:rPr>
          <w:lang w:val="en-GB" w:eastAsia="zh-CN"/>
        </w:rPr>
      </w:pPr>
    </w:p>
    <w:p>
      <w:pPr>
        <w:pStyle w:val="2"/>
      </w:pPr>
      <w:r>
        <w:t>List of submitted TDocs</w:t>
      </w:r>
    </w:p>
    <w:p>
      <w:pPr>
        <w:rPr>
          <w:lang w:val="en-GB" w:eastAsia="zh-CN"/>
        </w:rPr>
      </w:pPr>
      <w:r>
        <w:rPr>
          <w:lang w:val="en-GB" w:eastAsia="zh-CN"/>
        </w:rPr>
        <w:t>The following TDocs have been used to compile above summary:</w:t>
      </w:r>
    </w:p>
    <w:p>
      <w:pPr>
        <w:rPr>
          <w:b/>
          <w:bCs/>
          <w:lang w:val="en-GB"/>
        </w:rPr>
      </w:pPr>
      <w:r>
        <w:rPr>
          <w:b/>
          <w:bCs/>
          <w:lang w:val="en-GB"/>
        </w:rPr>
        <w:t>R1-2200953</w:t>
      </w:r>
      <w:r>
        <w:rPr>
          <w:b/>
          <w:bCs/>
          <w:lang w:val="en-GB"/>
        </w:rPr>
        <w:tab/>
      </w:r>
      <w:r>
        <w:rPr>
          <w:b/>
          <w:bCs/>
          <w:lang w:val="en-GB"/>
        </w:rPr>
        <w:t>Remaining issues of PDCCH monitoring enhancement for 52-71GHz spectrum</w:t>
      </w:r>
      <w:r>
        <w:rPr>
          <w:b/>
          <w:bCs/>
          <w:lang w:val="en-GB"/>
        </w:rPr>
        <w:tab/>
      </w:r>
      <w:r>
        <w:rPr>
          <w:b/>
          <w:bCs/>
          <w:lang w:val="en-GB"/>
        </w:rPr>
        <w:t>Huawei, HiSilicon</w:t>
      </w:r>
    </w:p>
    <w:p>
      <w:pPr>
        <w:rPr>
          <w:b/>
          <w:bCs/>
          <w:lang w:val="en-GB"/>
        </w:rPr>
      </w:pPr>
      <w:r>
        <w:rPr>
          <w:b/>
          <w:bCs/>
          <w:lang w:val="en-GB"/>
        </w:rPr>
        <w:t>R1-2200988</w:t>
      </w:r>
      <w:r>
        <w:rPr>
          <w:b/>
          <w:bCs/>
          <w:lang w:val="en-GB"/>
        </w:rPr>
        <w:tab/>
      </w:r>
      <w:r>
        <w:rPr>
          <w:b/>
          <w:bCs/>
          <w:lang w:val="en-GB"/>
        </w:rPr>
        <w:t>On the remaining issues in multi-slot PDCCH monitoring  for Beyond 52.6GHz</w:t>
      </w:r>
      <w:r>
        <w:rPr>
          <w:b/>
          <w:bCs/>
          <w:lang w:val="en-GB"/>
        </w:rPr>
        <w:tab/>
      </w:r>
      <w:r>
        <w:rPr>
          <w:b/>
          <w:bCs/>
          <w:lang w:val="en-GB"/>
        </w:rPr>
        <w:t>FUTUREWEI</w:t>
      </w:r>
    </w:p>
    <w:p>
      <w:pPr>
        <w:rPr>
          <w:b/>
          <w:bCs/>
          <w:lang w:val="en-GB"/>
        </w:rPr>
      </w:pPr>
      <w:r>
        <w:rPr>
          <w:b/>
          <w:bCs/>
          <w:lang w:val="en-GB"/>
        </w:rPr>
        <w:t>R1-2201033</w:t>
      </w:r>
      <w:r>
        <w:rPr>
          <w:b/>
          <w:bCs/>
          <w:lang w:val="en-GB"/>
        </w:rPr>
        <w:tab/>
      </w:r>
      <w:r>
        <w:rPr>
          <w:b/>
          <w:bCs/>
          <w:lang w:val="en-GB"/>
        </w:rPr>
        <w:t>Remaining issues for PDCCH monitoring enhancements</w:t>
      </w:r>
      <w:r>
        <w:rPr>
          <w:b/>
          <w:bCs/>
          <w:lang w:val="en-GB"/>
        </w:rPr>
        <w:tab/>
      </w:r>
      <w:r>
        <w:rPr>
          <w:b/>
          <w:bCs/>
          <w:lang w:val="en-GB"/>
        </w:rPr>
        <w:t>InterDigital, Inc.</w:t>
      </w:r>
    </w:p>
    <w:p>
      <w:pPr>
        <w:rPr>
          <w:b/>
          <w:bCs/>
          <w:lang w:val="en-GB"/>
        </w:rPr>
      </w:pPr>
      <w:r>
        <w:rPr>
          <w:b/>
          <w:bCs/>
          <w:lang w:val="en-GB"/>
        </w:rPr>
        <w:t>R1-2201086</w:t>
      </w:r>
      <w:r>
        <w:rPr>
          <w:b/>
          <w:bCs/>
          <w:lang w:val="en-GB"/>
        </w:rPr>
        <w:tab/>
      </w:r>
      <w:r>
        <w:rPr>
          <w:b/>
          <w:bCs/>
          <w:lang w:val="en-GB"/>
        </w:rPr>
        <w:t>Remaining issues on PDCCH monitoring enhancements for NR operation from 52.6GHz to 71GHz</w:t>
      </w:r>
      <w:r>
        <w:rPr>
          <w:b/>
          <w:bCs/>
          <w:lang w:val="en-GB"/>
        </w:rPr>
        <w:tab/>
      </w:r>
      <w:r>
        <w:rPr>
          <w:b/>
          <w:bCs/>
          <w:lang w:val="en-GB"/>
        </w:rPr>
        <w:t>vivo</w:t>
      </w:r>
    </w:p>
    <w:p>
      <w:pPr>
        <w:rPr>
          <w:b/>
          <w:bCs/>
          <w:lang w:val="en-GB"/>
        </w:rPr>
      </w:pPr>
      <w:r>
        <w:rPr>
          <w:b/>
          <w:bCs/>
          <w:lang w:val="en-GB"/>
        </w:rPr>
        <w:t>R1-2201266</w:t>
      </w:r>
      <w:r>
        <w:rPr>
          <w:b/>
          <w:bCs/>
          <w:lang w:val="en-GB"/>
        </w:rPr>
        <w:tab/>
      </w:r>
      <w:r>
        <w:rPr>
          <w:b/>
          <w:bCs/>
          <w:lang w:val="en-GB"/>
        </w:rPr>
        <w:t>Discussion on remaining issue for PDCCH monitoring enhancement</w:t>
      </w:r>
      <w:r>
        <w:rPr>
          <w:b/>
          <w:bCs/>
          <w:lang w:val="en-GB"/>
        </w:rPr>
        <w:tab/>
      </w:r>
      <w:r>
        <w:rPr>
          <w:b/>
          <w:bCs/>
          <w:lang w:val="en-GB"/>
        </w:rPr>
        <w:t>OPPO</w:t>
      </w:r>
    </w:p>
    <w:p>
      <w:pPr>
        <w:rPr>
          <w:b/>
          <w:bCs/>
          <w:lang w:val="en-GB"/>
        </w:rPr>
      </w:pPr>
      <w:r>
        <w:rPr>
          <w:b/>
          <w:bCs/>
          <w:lang w:val="en-GB"/>
        </w:rPr>
        <w:t>R1-2201352</w:t>
      </w:r>
      <w:r>
        <w:rPr>
          <w:b/>
          <w:bCs/>
          <w:lang w:val="en-GB"/>
        </w:rPr>
        <w:tab/>
      </w:r>
      <w:r>
        <w:rPr>
          <w:b/>
          <w:bCs/>
          <w:lang w:val="en-GB"/>
        </w:rPr>
        <w:t>Remaining issues on PDCCH monitoring enhancements for up to 71GHz operation</w:t>
      </w:r>
      <w:r>
        <w:rPr>
          <w:b/>
          <w:bCs/>
          <w:lang w:val="en-GB"/>
        </w:rPr>
        <w:tab/>
      </w:r>
      <w:r>
        <w:rPr>
          <w:b/>
          <w:bCs/>
          <w:lang w:val="en-GB"/>
        </w:rPr>
        <w:t>CATT</w:t>
      </w:r>
    </w:p>
    <w:p>
      <w:pPr>
        <w:rPr>
          <w:b/>
          <w:bCs/>
          <w:lang w:val="en-GB"/>
        </w:rPr>
      </w:pPr>
      <w:r>
        <w:rPr>
          <w:b/>
          <w:bCs/>
          <w:lang w:val="en-GB"/>
        </w:rPr>
        <w:t>R1-2201389</w:t>
      </w:r>
      <w:r>
        <w:rPr>
          <w:b/>
          <w:bCs/>
          <w:lang w:val="en-GB"/>
        </w:rPr>
        <w:tab/>
      </w:r>
      <w:r>
        <w:rPr>
          <w:b/>
          <w:bCs/>
          <w:lang w:val="en-GB"/>
        </w:rPr>
        <w:t>Remaining issues on the PDCCH monitoring enhancements for 52.6 to 71GHz</w:t>
      </w:r>
      <w:r>
        <w:rPr>
          <w:b/>
          <w:bCs/>
          <w:lang w:val="en-GB"/>
        </w:rPr>
        <w:tab/>
      </w:r>
      <w:r>
        <w:rPr>
          <w:b/>
          <w:bCs/>
          <w:lang w:val="en-GB"/>
        </w:rPr>
        <w:t>ZTE, Sanechips</w:t>
      </w:r>
    </w:p>
    <w:p>
      <w:pPr>
        <w:rPr>
          <w:b/>
          <w:bCs/>
          <w:lang w:val="en-GB"/>
        </w:rPr>
      </w:pPr>
      <w:r>
        <w:rPr>
          <w:b/>
          <w:bCs/>
          <w:lang w:val="en-GB"/>
        </w:rPr>
        <w:t>R1-2201471</w:t>
      </w:r>
      <w:r>
        <w:rPr>
          <w:b/>
          <w:bCs/>
          <w:lang w:val="en-GB"/>
        </w:rPr>
        <w:tab/>
      </w:r>
      <w:r>
        <w:rPr>
          <w:b/>
          <w:bCs/>
          <w:lang w:val="en-GB"/>
        </w:rPr>
        <w:t>Remaining issues on PDCCH monitoring enhancements for NR in FR2-2</w:t>
      </w:r>
      <w:r>
        <w:rPr>
          <w:b/>
          <w:bCs/>
          <w:lang w:val="en-GB"/>
        </w:rPr>
        <w:tab/>
      </w:r>
      <w:r>
        <w:rPr>
          <w:b/>
          <w:bCs/>
          <w:lang w:val="en-GB"/>
        </w:rPr>
        <w:t>NTT DOCOMO, INC.</w:t>
      </w:r>
    </w:p>
    <w:p>
      <w:pPr>
        <w:rPr>
          <w:b/>
          <w:bCs/>
          <w:lang w:val="en-GB"/>
        </w:rPr>
      </w:pPr>
      <w:r>
        <w:rPr>
          <w:b/>
          <w:bCs/>
          <w:lang w:val="en-GB"/>
        </w:rPr>
        <w:t>R1-2201542</w:t>
      </w:r>
      <w:r>
        <w:rPr>
          <w:b/>
          <w:bCs/>
          <w:lang w:val="en-GB"/>
        </w:rPr>
        <w:tab/>
      </w:r>
      <w:r>
        <w:rPr>
          <w:b/>
          <w:bCs/>
          <w:lang w:val="en-GB"/>
        </w:rPr>
        <w:t>Remaining issues on the PDCCH monitoring enhancements for 52.6 to 71GHz</w:t>
      </w:r>
      <w:r>
        <w:rPr>
          <w:b/>
          <w:bCs/>
          <w:lang w:val="en-GB"/>
        </w:rPr>
        <w:tab/>
      </w:r>
      <w:r>
        <w:rPr>
          <w:b/>
          <w:bCs/>
          <w:lang w:val="en-GB"/>
        </w:rPr>
        <w:t>Spreadtrum Communications</w:t>
      </w:r>
    </w:p>
    <w:p>
      <w:pPr>
        <w:rPr>
          <w:b/>
          <w:bCs/>
          <w:lang w:val="en-GB"/>
        </w:rPr>
      </w:pPr>
      <w:r>
        <w:rPr>
          <w:b/>
          <w:bCs/>
          <w:lang w:val="en-GB"/>
        </w:rPr>
        <w:t>R1-2201593</w:t>
      </w:r>
      <w:r>
        <w:rPr>
          <w:b/>
          <w:bCs/>
          <w:lang w:val="en-GB"/>
        </w:rPr>
        <w:tab/>
      </w:r>
      <w:r>
        <w:rPr>
          <w:b/>
          <w:bCs/>
          <w:lang w:val="en-GB"/>
        </w:rPr>
        <w:t>Remaining Issues on PDCCH onitoring Enhancements in FR2-2</w:t>
      </w:r>
      <w:r>
        <w:rPr>
          <w:b/>
          <w:bCs/>
          <w:lang w:val="en-GB"/>
        </w:rPr>
        <w:tab/>
      </w:r>
      <w:r>
        <w:rPr>
          <w:b/>
          <w:bCs/>
          <w:lang w:val="en-GB"/>
        </w:rPr>
        <w:t>TCL Communication</w:t>
      </w:r>
    </w:p>
    <w:p>
      <w:pPr>
        <w:rPr>
          <w:b/>
          <w:bCs/>
          <w:lang w:val="en-GB"/>
        </w:rPr>
      </w:pPr>
      <w:r>
        <w:rPr>
          <w:b/>
          <w:bCs/>
          <w:lang w:val="en-GB"/>
        </w:rPr>
        <w:t>R1-2201663</w:t>
      </w:r>
      <w:r>
        <w:rPr>
          <w:b/>
          <w:bCs/>
          <w:lang w:val="en-GB"/>
        </w:rPr>
        <w:tab/>
      </w:r>
      <w:r>
        <w:rPr>
          <w:b/>
          <w:bCs/>
          <w:lang w:val="en-GB"/>
        </w:rPr>
        <w:t>PDCCH monitoring enhancements</w:t>
      </w:r>
      <w:r>
        <w:rPr>
          <w:b/>
          <w:bCs/>
          <w:lang w:val="en-GB"/>
        </w:rPr>
        <w:tab/>
      </w:r>
      <w:r>
        <w:rPr>
          <w:b/>
          <w:bCs/>
          <w:lang w:val="en-GB"/>
        </w:rPr>
        <w:t>Nokia, Nokia Shanghai Bell</w:t>
      </w:r>
    </w:p>
    <w:p>
      <w:pPr>
        <w:rPr>
          <w:b/>
          <w:bCs/>
          <w:lang w:val="en-GB"/>
        </w:rPr>
      </w:pPr>
      <w:r>
        <w:rPr>
          <w:b/>
          <w:bCs/>
          <w:lang w:val="en-GB"/>
        </w:rPr>
        <w:t>R1-2201689</w:t>
      </w:r>
      <w:r>
        <w:rPr>
          <w:b/>
          <w:bCs/>
          <w:lang w:val="en-GB"/>
        </w:rPr>
        <w:tab/>
      </w:r>
      <w:r>
        <w:rPr>
          <w:b/>
          <w:bCs/>
          <w:lang w:val="en-GB"/>
        </w:rPr>
        <w:t>Discussion on PDCCH monitoring enhancements for extending NR up to 71 GHz</w:t>
      </w:r>
      <w:r>
        <w:rPr>
          <w:b/>
          <w:bCs/>
          <w:lang w:val="en-GB"/>
        </w:rPr>
        <w:tab/>
      </w:r>
      <w:r>
        <w:rPr>
          <w:b/>
          <w:bCs/>
          <w:lang w:val="en-GB"/>
        </w:rPr>
        <w:t>Intel Corporation</w:t>
      </w:r>
    </w:p>
    <w:p>
      <w:pPr>
        <w:rPr>
          <w:b/>
          <w:bCs/>
          <w:lang w:val="en-GB"/>
        </w:rPr>
      </w:pPr>
      <w:r>
        <w:rPr>
          <w:b/>
          <w:bCs/>
          <w:lang w:val="en-GB"/>
        </w:rPr>
        <w:t>R1-2201735</w:t>
      </w:r>
      <w:r>
        <w:rPr>
          <w:b/>
          <w:bCs/>
          <w:lang w:val="en-GB"/>
        </w:rPr>
        <w:tab/>
      </w:r>
      <w:r>
        <w:rPr>
          <w:b/>
          <w:bCs/>
          <w:lang w:val="en-GB"/>
        </w:rPr>
        <w:t>PDCCH Monitoring Enhancements</w:t>
      </w:r>
      <w:r>
        <w:rPr>
          <w:b/>
          <w:bCs/>
          <w:lang w:val="en-GB"/>
        </w:rPr>
        <w:tab/>
      </w:r>
      <w:r>
        <w:rPr>
          <w:b/>
          <w:bCs/>
          <w:lang w:val="en-GB"/>
        </w:rPr>
        <w:t>Ericsson</w:t>
      </w:r>
    </w:p>
    <w:p>
      <w:pPr>
        <w:rPr>
          <w:b/>
          <w:bCs/>
          <w:lang w:val="en-GB"/>
        </w:rPr>
      </w:pPr>
      <w:r>
        <w:rPr>
          <w:b/>
          <w:bCs/>
          <w:lang w:val="en-GB"/>
        </w:rPr>
        <w:t>R1-2201765</w:t>
      </w:r>
      <w:r>
        <w:rPr>
          <w:b/>
          <w:bCs/>
          <w:lang w:val="en-GB"/>
        </w:rPr>
        <w:tab/>
      </w:r>
      <w:r>
        <w:rPr>
          <w:b/>
          <w:bCs/>
          <w:lang w:val="en-GB"/>
        </w:rPr>
        <w:t>On remaining issues for PDCCH Monitoring</w:t>
      </w:r>
      <w:r>
        <w:rPr>
          <w:b/>
          <w:bCs/>
          <w:lang w:val="en-GB"/>
        </w:rPr>
        <w:tab/>
      </w:r>
      <w:r>
        <w:rPr>
          <w:b/>
          <w:bCs/>
          <w:lang w:val="en-GB"/>
        </w:rPr>
        <w:t>Apple</w:t>
      </w:r>
    </w:p>
    <w:p>
      <w:pPr>
        <w:rPr>
          <w:b/>
          <w:bCs/>
          <w:lang w:val="en-GB"/>
        </w:rPr>
      </w:pPr>
      <w:r>
        <w:rPr>
          <w:b/>
          <w:bCs/>
          <w:lang w:val="en-GB"/>
        </w:rPr>
        <w:t>R1-2201899</w:t>
      </w:r>
      <w:r>
        <w:rPr>
          <w:b/>
          <w:bCs/>
          <w:lang w:val="en-GB"/>
        </w:rPr>
        <w:tab/>
      </w:r>
      <w:r>
        <w:rPr>
          <w:b/>
          <w:bCs/>
          <w:lang w:val="en-GB"/>
        </w:rPr>
        <w:t>Remaining issues on PDCCH enhancement for NR operation from 52.6GHz to 71GHz</w:t>
      </w:r>
      <w:r>
        <w:rPr>
          <w:b/>
          <w:bCs/>
          <w:lang w:val="en-GB"/>
        </w:rPr>
        <w:tab/>
      </w:r>
      <w:r>
        <w:rPr>
          <w:b/>
          <w:bCs/>
          <w:lang w:val="en-GB"/>
        </w:rPr>
        <w:t>NEC</w:t>
      </w:r>
    </w:p>
    <w:p>
      <w:pPr>
        <w:rPr>
          <w:b/>
          <w:bCs/>
          <w:lang w:val="en-GB"/>
        </w:rPr>
      </w:pPr>
      <w:r>
        <w:rPr>
          <w:b/>
          <w:bCs/>
          <w:lang w:val="en-GB"/>
        </w:rPr>
        <w:t>R1-2201914</w:t>
      </w:r>
      <w:r>
        <w:rPr>
          <w:b/>
          <w:bCs/>
          <w:lang w:val="en-GB"/>
        </w:rPr>
        <w:tab/>
      </w:r>
      <w:r>
        <w:rPr>
          <w:b/>
          <w:bCs/>
          <w:lang w:val="en-GB"/>
        </w:rPr>
        <w:t>Remaining issues on PDCCH monitoring enhancement for NR 52.6-71GHz</w:t>
      </w:r>
      <w:r>
        <w:rPr>
          <w:b/>
          <w:bCs/>
          <w:lang w:val="en-GB"/>
        </w:rPr>
        <w:tab/>
      </w:r>
      <w:r>
        <w:rPr>
          <w:b/>
          <w:bCs/>
          <w:lang w:val="en-GB"/>
        </w:rPr>
        <w:t>Xiaomi</w:t>
      </w:r>
    </w:p>
    <w:p>
      <w:pPr>
        <w:rPr>
          <w:b/>
          <w:bCs/>
          <w:lang w:val="en-GB"/>
        </w:rPr>
      </w:pPr>
      <w:r>
        <w:rPr>
          <w:b/>
          <w:bCs/>
          <w:lang w:val="en-GB"/>
        </w:rPr>
        <w:t>R1-2202005</w:t>
      </w:r>
      <w:r>
        <w:rPr>
          <w:b/>
          <w:bCs/>
          <w:lang w:val="en-GB"/>
        </w:rPr>
        <w:tab/>
      </w:r>
      <w:r>
        <w:rPr>
          <w:b/>
          <w:bCs/>
          <w:lang w:val="en-GB"/>
        </w:rPr>
        <w:t>Maintenance on PDCCH monitoring enhancements for NR from 52.6 GHz to 71 GHz</w:t>
      </w:r>
      <w:r>
        <w:rPr>
          <w:b/>
          <w:bCs/>
          <w:lang w:val="en-GB"/>
        </w:rPr>
        <w:tab/>
      </w:r>
      <w:r>
        <w:rPr>
          <w:b/>
          <w:bCs/>
          <w:lang w:val="en-GB"/>
        </w:rPr>
        <w:t>Samsung</w:t>
      </w:r>
    </w:p>
    <w:p>
      <w:pPr>
        <w:rPr>
          <w:b/>
          <w:bCs/>
          <w:lang w:val="en-GB"/>
        </w:rPr>
      </w:pPr>
      <w:r>
        <w:rPr>
          <w:b/>
          <w:bCs/>
          <w:lang w:val="en-GB"/>
        </w:rPr>
        <w:t>R1-2202072</w:t>
      </w:r>
      <w:r>
        <w:rPr>
          <w:b/>
          <w:bCs/>
          <w:lang w:val="en-GB"/>
        </w:rPr>
        <w:tab/>
      </w:r>
      <w:r>
        <w:rPr>
          <w:b/>
          <w:bCs/>
          <w:lang w:val="en-GB"/>
        </w:rPr>
        <w:t>Remaining discussion on PDCCH monitoring enhancement for 52.6-71 GHz NR operation</w:t>
      </w:r>
      <w:r>
        <w:rPr>
          <w:b/>
          <w:bCs/>
          <w:lang w:val="en-GB"/>
        </w:rPr>
        <w:tab/>
      </w:r>
      <w:r>
        <w:rPr>
          <w:b/>
          <w:bCs/>
          <w:lang w:val="en-GB"/>
        </w:rPr>
        <w:t>MediaTek Inc.</w:t>
      </w:r>
    </w:p>
    <w:p>
      <w:pPr>
        <w:rPr>
          <w:b/>
          <w:bCs/>
          <w:lang w:val="en-GB"/>
        </w:rPr>
      </w:pPr>
      <w:r>
        <w:rPr>
          <w:b/>
          <w:bCs/>
          <w:lang w:val="en-GB"/>
        </w:rPr>
        <w:t>R1-2202130</w:t>
      </w:r>
      <w:r>
        <w:rPr>
          <w:b/>
          <w:bCs/>
          <w:lang w:val="en-GB"/>
        </w:rPr>
        <w:tab/>
      </w:r>
      <w:r>
        <w:rPr>
          <w:b/>
          <w:bCs/>
          <w:lang w:val="en-GB"/>
        </w:rPr>
        <w:t>PDCCH monitoring enhancements for NR in 52.6 to 71GHz band</w:t>
      </w:r>
      <w:r>
        <w:rPr>
          <w:b/>
          <w:bCs/>
          <w:lang w:val="en-GB"/>
        </w:rPr>
        <w:tab/>
      </w:r>
      <w:r>
        <w:rPr>
          <w:b/>
          <w:bCs/>
          <w:lang w:val="en-GB"/>
        </w:rPr>
        <w:t>Qualcomm Incorporated</w:t>
      </w:r>
    </w:p>
    <w:p>
      <w:pPr>
        <w:rPr>
          <w:b/>
          <w:bCs/>
          <w:lang w:val="en-GB"/>
        </w:rPr>
      </w:pPr>
      <w:r>
        <w:rPr>
          <w:b/>
          <w:bCs/>
          <w:lang w:val="en-GB"/>
        </w:rPr>
        <w:t>R1-2202190</w:t>
      </w:r>
      <w:r>
        <w:rPr>
          <w:b/>
          <w:bCs/>
          <w:lang w:val="en-GB"/>
        </w:rPr>
        <w:tab/>
      </w:r>
      <w:r>
        <w:rPr>
          <w:b/>
          <w:bCs/>
          <w:lang w:val="en-GB"/>
        </w:rPr>
        <w:t>PDCCH monitoring enhancements</w:t>
      </w:r>
      <w:r>
        <w:rPr>
          <w:b/>
          <w:bCs/>
          <w:lang w:val="en-GB"/>
        </w:rPr>
        <w:tab/>
      </w:r>
      <w:r>
        <w:rPr>
          <w:b/>
          <w:bCs/>
          <w:lang w:val="en-GB"/>
        </w:rPr>
        <w:t>Sharp</w:t>
      </w:r>
    </w:p>
    <w:p>
      <w:pPr>
        <w:rPr>
          <w:b/>
          <w:bCs/>
          <w:lang w:val="en-GB"/>
        </w:rPr>
      </w:pPr>
      <w:r>
        <w:rPr>
          <w:b/>
          <w:bCs/>
          <w:lang w:val="en-GB"/>
        </w:rPr>
        <w:t>R1-2202234</w:t>
      </w:r>
      <w:r>
        <w:rPr>
          <w:b/>
          <w:bCs/>
          <w:lang w:val="en-GB"/>
        </w:rPr>
        <w:tab/>
      </w:r>
      <w:r>
        <w:rPr>
          <w:b/>
          <w:bCs/>
          <w:lang w:val="en-GB"/>
        </w:rPr>
        <w:t>Remaining issues of PDCCH monitoring enhancements for above 52.6GHz</w:t>
      </w:r>
      <w:r>
        <w:rPr>
          <w:b/>
          <w:bCs/>
          <w:lang w:val="en-GB"/>
        </w:rPr>
        <w:tab/>
      </w:r>
      <w:r>
        <w:rPr>
          <w:b/>
          <w:bCs/>
          <w:lang w:val="en-GB"/>
        </w:rPr>
        <w:t>Transsion Holdings</w:t>
      </w:r>
    </w:p>
    <w:p>
      <w:pPr>
        <w:rPr>
          <w:b/>
          <w:bCs/>
          <w:lang w:val="en-GB"/>
        </w:rPr>
      </w:pPr>
      <w:r>
        <w:rPr>
          <w:b/>
          <w:bCs/>
          <w:lang w:val="en-GB"/>
        </w:rPr>
        <w:t>R1-2202273</w:t>
      </w:r>
      <w:r>
        <w:rPr>
          <w:b/>
          <w:bCs/>
          <w:lang w:val="en-GB"/>
        </w:rPr>
        <w:tab/>
      </w:r>
      <w:r>
        <w:rPr>
          <w:b/>
          <w:bCs/>
          <w:lang w:val="en-GB"/>
        </w:rPr>
        <w:t>PDCCH monitoring for NR operation from 52.6 to 71 GHz</w:t>
      </w:r>
      <w:r>
        <w:rPr>
          <w:b/>
          <w:bCs/>
          <w:lang w:val="en-GB"/>
        </w:rPr>
        <w:tab/>
      </w:r>
      <w:r>
        <w:rPr>
          <w:b/>
          <w:bCs/>
          <w:lang w:val="en-GB"/>
        </w:rPr>
        <w:t>Panasonic</w:t>
      </w:r>
    </w:p>
    <w:p>
      <w:pPr>
        <w:rPr>
          <w:b/>
          <w:bCs/>
          <w:lang w:val="en-GB"/>
        </w:rPr>
      </w:pPr>
      <w:r>
        <w:rPr>
          <w:b/>
          <w:bCs/>
          <w:lang w:val="en-GB"/>
        </w:rPr>
        <w:t>R1-2202336</w:t>
      </w:r>
      <w:r>
        <w:rPr>
          <w:b/>
          <w:bCs/>
          <w:lang w:val="en-GB"/>
        </w:rPr>
        <w:tab/>
      </w:r>
      <w:r>
        <w:rPr>
          <w:b/>
          <w:bCs/>
          <w:lang w:val="en-GB"/>
        </w:rPr>
        <w:t>PDCCH monitoring enhancements to support NR above 52.6 GHz</w:t>
      </w:r>
      <w:r>
        <w:rPr>
          <w:b/>
          <w:bCs/>
          <w:lang w:val="en-GB"/>
        </w:rPr>
        <w:tab/>
      </w:r>
      <w:r>
        <w:rPr>
          <w:b/>
          <w:bCs/>
          <w:lang w:val="en-GB"/>
        </w:rPr>
        <w:t>LG Electronics</w:t>
      </w:r>
    </w:p>
    <w:p>
      <w:pPr>
        <w:rPr>
          <w:b/>
          <w:bCs/>
          <w:lang w:val="en-GB"/>
        </w:rPr>
      </w:pPr>
      <w:r>
        <w:rPr>
          <w:b/>
          <w:bCs/>
          <w:lang w:val="en-GB"/>
        </w:rPr>
        <w:t>R1-2202409</w:t>
      </w:r>
      <w:r>
        <w:rPr>
          <w:b/>
          <w:bCs/>
          <w:lang w:val="en-GB"/>
        </w:rPr>
        <w:tab/>
      </w:r>
      <w:r>
        <w:rPr>
          <w:b/>
          <w:bCs/>
          <w:lang w:val="en-GB"/>
        </w:rPr>
        <w:t>Remaining issues on PDCCH for NR from 52.6 GHz to 71GHz</w:t>
      </w:r>
      <w:r>
        <w:rPr>
          <w:b/>
          <w:bCs/>
          <w:lang w:val="en-GB"/>
        </w:rPr>
        <w:tab/>
      </w:r>
      <w:r>
        <w:rPr>
          <w:b/>
          <w:bCs/>
          <w:lang w:val="en-GB"/>
        </w:rPr>
        <w:t>Lenovo</w:t>
      </w:r>
    </w:p>
    <w:sectPr>
      <w:pgSz w:w="16834" w:h="11909" w:orient="landscape"/>
      <w:pgMar w:top="1440" w:right="1440" w:bottom="1152" w:left="1440" w:header="720" w:footer="720" w:gutter="0"/>
      <w:cols w:space="720" w:num="1"/>
      <w:docGrid w:linePitch="299"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华文仿宋">
    <w:altName w:val="仿宋"/>
    <w:panose1 w:val="02010600040101010101"/>
    <w:charset w:val="86"/>
    <w:family w:val="auto"/>
    <w:pitch w:val="default"/>
    <w:sig w:usb0="00000000" w:usb1="00000000" w:usb2="00000010" w:usb3="00000000" w:csb0="0004009F" w:csb1="00000000"/>
  </w:font>
  <w:font w:name="仿宋_GB2312">
    <w:altName w:val="仿宋"/>
    <w:panose1 w:val="00000000000000000000"/>
    <w:charset w:val="86"/>
    <w:family w:val="modern"/>
    <w:pitch w:val="default"/>
    <w:sig w:usb0="00000000" w:usb1="00000000" w:usb2="00000010" w:usb3="00000000" w:csb0="00040000" w:csb1="00000000"/>
  </w:font>
  <w:font w:name="Arial">
    <w:panose1 w:val="020B0604020202020204"/>
    <w:charset w:val="00"/>
    <w:family w:val="swiss"/>
    <w:pitch w:val="default"/>
    <w:sig w:usb0="E0002EFF" w:usb1="C000785B" w:usb2="00000009" w:usb3="00000000" w:csb0="400001FF" w:csb1="FFFF0000"/>
  </w:font>
  <w:font w:name="Tahoma">
    <w:panose1 w:val="020B0604030504040204"/>
    <w:charset w:val="00"/>
    <w:family w:val="swiss"/>
    <w:pitch w:val="default"/>
    <w:sig w:usb0="E1002EFF" w:usb1="C000605B" w:usb2="00000029" w:usb3="00000000" w:csb0="200101FF" w:csb1="20280000"/>
  </w:font>
  <w:font w:name="Calibri">
    <w:panose1 w:val="020F0502020204030204"/>
    <w:charset w:val="00"/>
    <w:family w:val="swiss"/>
    <w:pitch w:val="default"/>
    <w:sig w:usb0="E0002EFF" w:usb1="C000247B" w:usb2="00000009" w:usb3="00000000" w:csb0="200001FF" w:csb1="00000000"/>
  </w:font>
  <w:font w:name="Consolas">
    <w:panose1 w:val="020B0609020204030204"/>
    <w:charset w:val="00"/>
    <w:family w:val="modern"/>
    <w:pitch w:val="default"/>
    <w:sig w:usb0="E00006FF" w:usb1="0000FCFF" w:usb2="00000001" w:usb3="00000000" w:csb0="6000019F" w:csb1="DFD70000"/>
  </w:font>
  <w:font w:name="Cambria">
    <w:panose1 w:val="02040503050406030204"/>
    <w:charset w:val="00"/>
    <w:family w:val="roman"/>
    <w:pitch w:val="default"/>
    <w:sig w:usb0="E00006FF" w:usb1="420024FF" w:usb2="02000000" w:usb3="00000000" w:csb0="2000019F" w:csb1="00000000"/>
  </w:font>
  <w:font w:name="CG Times (WN)">
    <w:altName w:val="Arial"/>
    <w:panose1 w:val="00000000000000000000"/>
    <w:charset w:val="00"/>
    <w:family w:val="roman"/>
    <w:pitch w:val="default"/>
    <w:sig w:usb0="00000000" w:usb1="00000000" w:usb2="00000000" w:usb3="00000000" w:csb0="00000001" w:csb1="00000000"/>
  </w:font>
  <w:font w:name="Batang">
    <w:altName w:val="Malgun Gothic"/>
    <w:panose1 w:val="02030600000101010101"/>
    <w:charset w:val="81"/>
    <w:family w:val="roman"/>
    <w:pitch w:val="default"/>
    <w:sig w:usb0="00000000" w:usb1="00000000" w:usb2="00000030" w:usb3="00000000" w:csb0="0008009F" w:csb1="00000000"/>
  </w:font>
  <w:font w:name="ZapfDingbats">
    <w:altName w:val="Segoe Print"/>
    <w:panose1 w:val="00000000000000000000"/>
    <w:charset w:val="02"/>
    <w:family w:val="decorative"/>
    <w:pitch w:val="default"/>
    <w:sig w:usb0="00000000" w:usb1="00000000" w:usb2="00000000" w:usb3="00000000" w:csb0="80000000" w:csb1="00000000"/>
  </w:font>
  <w:font w:name="Courier New">
    <w:panose1 w:val="02070309020205020404"/>
    <w:charset w:val="00"/>
    <w:family w:val="modern"/>
    <w:pitch w:val="default"/>
    <w:sig w:usb0="E0002EFF" w:usb1="C0007843" w:usb2="00000009" w:usb3="00000000" w:csb0="400001FF" w:csb1="FFFF0000"/>
  </w:font>
  <w:font w:name="MS Mincho">
    <w:altName w:val="Yu Gothic UI"/>
    <w:panose1 w:val="02020609040205080304"/>
    <w:charset w:val="80"/>
    <w:family w:val="modern"/>
    <w:pitch w:val="default"/>
    <w:sig w:usb0="00000000" w:usb1="00000000" w:usb2="08000012" w:usb3="00000000" w:csb0="0002009F" w:csb1="00000000"/>
  </w:font>
  <w:font w:name="Helvetica">
    <w:altName w:val="Arial"/>
    <w:panose1 w:val="020B0604020202020204"/>
    <w:charset w:val="00"/>
    <w:family w:val="swiss"/>
    <w:pitch w:val="default"/>
    <w:sig w:usb0="00000000" w:usb1="00000000" w:usb2="00000009" w:usb3="00000000" w:csb0="000001FF" w:csb1="00000000"/>
  </w:font>
  <w:font w:name="????">
    <w:altName w:val="MingLiU-ExtB"/>
    <w:panose1 w:val="00000000000000000000"/>
    <w:charset w:val="88"/>
    <w:family w:val="auto"/>
    <w:pitch w:val="default"/>
    <w:sig w:usb0="00000000" w:usb1="00000000" w:usb2="00000010" w:usb3="00000000" w:csb0="00100000" w:csb1="00000000"/>
  </w:font>
  <w:font w:name="Malgun Gothic">
    <w:panose1 w:val="020B0503020000020004"/>
    <w:charset w:val="81"/>
    <w:family w:val="swiss"/>
    <w:pitch w:val="default"/>
    <w:sig w:usb0="9000002F" w:usb1="29D77CFB" w:usb2="00000012" w:usb3="00000000" w:csb0="00080001" w:csb1="00000000"/>
  </w:font>
  <w:font w:name="MS Gothic">
    <w:panose1 w:val="020B0609070205080204"/>
    <w:charset w:val="80"/>
    <w:family w:val="modern"/>
    <w:pitch w:val="default"/>
    <w:sig w:usb0="E00002FF" w:usb1="6AC7FDFB" w:usb2="08000012" w:usb3="00000000" w:csb0="4002009F" w:csb1="DFD70000"/>
  </w:font>
  <w:font w:name="New York">
    <w:altName w:val="Segoe Print"/>
    <w:panose1 w:val="02040503060506020304"/>
    <w:charset w:val="00"/>
    <w:family w:val="roman"/>
    <w:pitch w:val="default"/>
    <w:sig w:usb0="00000000" w:usb1="00000000" w:usb2="00000000" w:usb3="00000000" w:csb0="00000001" w:csb1="00000000"/>
  </w:font>
  <w:font w:name="Verdana">
    <w:panose1 w:val="020B0604030504040204"/>
    <w:charset w:val="00"/>
    <w:family w:val="swiss"/>
    <w:pitch w:val="default"/>
    <w:sig w:usb0="A00006FF" w:usb1="4000205B" w:usb2="00000010" w:usb3="00000000" w:csb0="2000019F" w:csb1="00000000"/>
  </w:font>
  <w:font w:name="ArialMT">
    <w:altName w:val="Arial"/>
    <w:panose1 w:val="00000000000000000000"/>
    <w:charset w:val="4D"/>
    <w:family w:val="auto"/>
    <w:pitch w:val="default"/>
    <w:sig w:usb0="00000000" w:usb1="00000000" w:usb2="00000000" w:usb3="00000000" w:csb0="00000001" w:csb1="00000000"/>
  </w:font>
  <w:font w:name="Times">
    <w:altName w:val="Times New Roman"/>
    <w:panose1 w:val="02020603050405020304"/>
    <w:charset w:val="00"/>
    <w:family w:val="roman"/>
    <w:pitch w:val="default"/>
    <w:sig w:usb0="00000000" w:usb1="00000000" w:usb2="00000000" w:usb3="00000000" w:csb0="00000001" w:csb1="00000000"/>
  </w:font>
  <w:font w:name="Yu Mincho">
    <w:altName w:val="Yu Gothic"/>
    <w:panose1 w:val="00000000000000000000"/>
    <w:charset w:val="80"/>
    <w:family w:val="roman"/>
    <w:pitch w:val="default"/>
    <w:sig w:usb0="00000000" w:usb1="00000000" w:usb2="00000012" w:usb3="00000000" w:csb0="0002009F" w:csb1="00000000"/>
  </w:font>
  <w:font w:name="Cambria Math">
    <w:panose1 w:val="02040503050406030204"/>
    <w:charset w:val="00"/>
    <w:family w:val="roman"/>
    <w:pitch w:val="default"/>
    <w:sig w:usb0="E00006FF" w:usb1="420024FF" w:usb2="02000000" w:usb3="00000000" w:csb0="2000019F" w:csb1="00000000"/>
  </w:font>
  <w:font w:name="等线">
    <w:panose1 w:val="02010600030101010101"/>
    <w:charset w:val="86"/>
    <w:family w:val="auto"/>
    <w:pitch w:val="default"/>
    <w:sig w:usb0="A00002BF" w:usb1="38CF7CFA" w:usb2="00000016" w:usb3="00000000" w:csb0="0004000F" w:csb1="00000000"/>
  </w:font>
  <w:font w:name="MS PGothic">
    <w:panose1 w:val="020B0600070205080204"/>
    <w:charset w:val="80"/>
    <w:family w:val="swiss"/>
    <w:pitch w:val="default"/>
    <w:sig w:usb0="E00002FF" w:usb1="6AC7FDFB" w:usb2="08000012" w:usb3="00000000" w:csb0="4002009F" w:csb1="DFD70000"/>
  </w:font>
  <w:font w:name="微软雅黑">
    <w:panose1 w:val="020B0503020204020204"/>
    <w:charset w:val="86"/>
    <w:family w:val="auto"/>
    <w:pitch w:val="default"/>
    <w:sig w:usb0="80000287" w:usb1="2ACF3C50" w:usb2="00000016" w:usb3="00000000" w:csb0="0004001F" w:csb1="00000000"/>
  </w:font>
  <w:font w:name="仿宋">
    <w:panose1 w:val="02010609060101010101"/>
    <w:charset w:val="86"/>
    <w:family w:val="auto"/>
    <w:pitch w:val="default"/>
    <w:sig w:usb0="800002BF" w:usb1="38CF7CFA" w:usb2="00000016" w:usb3="00000000" w:csb0="00040001" w:csb1="00000000"/>
  </w:font>
  <w:font w:name="Segoe Print">
    <w:panose1 w:val="02000600000000000000"/>
    <w:charset w:val="00"/>
    <w:family w:val="auto"/>
    <w:pitch w:val="default"/>
    <w:sig w:usb0="0000028F" w:usb1="00000000" w:usb2="00000000" w:usb3="00000000" w:csb0="2000009F" w:csb1="47010000"/>
  </w:font>
  <w:font w:name="Yu Gothic UI">
    <w:panose1 w:val="020B0500000000000000"/>
    <w:charset w:val="80"/>
    <w:family w:val="auto"/>
    <w:pitch w:val="default"/>
    <w:sig w:usb0="E00002FF" w:usb1="2AC7FDFF" w:usb2="00000016" w:usb3="00000000" w:csb0="2002009F" w:csb1="00000000"/>
  </w:font>
  <w:font w:name="MingLiU-ExtB">
    <w:panose1 w:val="02020500000000000000"/>
    <w:charset w:val="88"/>
    <w:family w:val="auto"/>
    <w:pitch w:val="default"/>
    <w:sig w:usb0="8000002F" w:usb1="02000008" w:usb2="00000000" w:usb3="00000000" w:csb0="00100001" w:csb1="00000000"/>
  </w:font>
  <w:font w:name="Yu Gothic">
    <w:panose1 w:val="020B0400000000000000"/>
    <w:charset w:val="80"/>
    <w:family w:val="auto"/>
    <w:pitch w:val="default"/>
    <w:sig w:usb0="E00002FF" w:usb1="2AC7FDFF" w:usb2="00000016" w:usb3="00000000" w:csb0="2002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5915024"/>
    <w:multiLevelType w:val="singleLevel"/>
    <w:tmpl w:val="95915024"/>
    <w:lvl w:ilvl="0" w:tentative="0">
      <w:start w:val="1"/>
      <w:numFmt w:val="decimal"/>
      <w:suff w:val="space"/>
      <w:lvlText w:val="(%1)"/>
      <w:lvlJc w:val="left"/>
    </w:lvl>
  </w:abstractNum>
  <w:abstractNum w:abstractNumId="1">
    <w:nsid w:val="BD0CA652"/>
    <w:multiLevelType w:val="multilevel"/>
    <w:tmpl w:val="BD0CA652"/>
    <w:lvl w:ilvl="0" w:tentative="0">
      <w:start w:val="1"/>
      <w:numFmt w:val="decimal"/>
      <w:pStyle w:val="287"/>
      <w:lvlText w:val="Proposal %1:"/>
      <w:lvlJc w:val="left"/>
      <w:pPr>
        <w:tabs>
          <w:tab w:val="left" w:pos="0"/>
        </w:tabs>
        <w:ind w:left="0" w:firstLine="0"/>
      </w:pPr>
      <w:rPr>
        <w:rFonts w:hint="default" w:ascii="Times New Roman" w:hAnsi="Times New Roman" w:eastAsia="宋体" w:cs="Times New Roman"/>
        <w:b/>
        <w:bCs/>
        <w:i w:val="0"/>
        <w:iCs w:val="0"/>
      </w:rPr>
    </w:lvl>
    <w:lvl w:ilvl="1" w:tentative="0">
      <w:start w:val="1"/>
      <w:numFmt w:val="bullet"/>
      <w:lvlText w:val="•"/>
      <w:lvlJc w:val="left"/>
      <w:pPr>
        <w:tabs>
          <w:tab w:val="left" w:pos="840"/>
        </w:tabs>
        <w:ind w:left="840" w:hanging="420"/>
      </w:pPr>
      <w:rPr>
        <w:rFonts w:hint="default" w:ascii="Arial" w:hAnsi="Arial" w:eastAsia="宋体" w:cs="Arial"/>
        <w:b/>
        <w:bCs/>
        <w:i/>
        <w:iCs/>
      </w:rPr>
    </w:lvl>
    <w:lvl w:ilvl="2" w:tentative="0">
      <w:start w:val="1"/>
      <w:numFmt w:val="lowerRoman"/>
      <w:lvlText w:val="%3."/>
      <w:lvlJc w:val="left"/>
      <w:pPr>
        <w:tabs>
          <w:tab w:val="left" w:pos="1260"/>
        </w:tabs>
        <w:ind w:left="1260" w:hanging="420"/>
      </w:pPr>
      <w:rPr>
        <w:rFonts w:hint="default"/>
      </w:rPr>
    </w:lvl>
    <w:lvl w:ilvl="3" w:tentative="0">
      <w:start w:val="1"/>
      <w:numFmt w:val="decimal"/>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2">
    <w:nsid w:val="FFFFFF7E"/>
    <w:multiLevelType w:val="singleLevel"/>
    <w:tmpl w:val="FFFFFF7E"/>
    <w:lvl w:ilvl="0" w:tentative="0">
      <w:start w:val="1"/>
      <w:numFmt w:val="lowerRoman"/>
      <w:pStyle w:val="32"/>
      <w:lvlText w:val="%1."/>
      <w:lvlJc w:val="right"/>
      <w:pPr>
        <w:ind w:left="926" w:hanging="360"/>
      </w:pPr>
    </w:lvl>
  </w:abstractNum>
  <w:abstractNum w:abstractNumId="3">
    <w:nsid w:val="00002844"/>
    <w:multiLevelType w:val="multilevel"/>
    <w:tmpl w:val="00002844"/>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
    <w:nsid w:val="057B615D"/>
    <w:multiLevelType w:val="multilevel"/>
    <w:tmpl w:val="057B615D"/>
    <w:lvl w:ilvl="0" w:tentative="0">
      <w:start w:val="10"/>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
    <w:nsid w:val="062C7EFA"/>
    <w:multiLevelType w:val="multilevel"/>
    <w:tmpl w:val="062C7EF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
    <w:nsid w:val="07E346A3"/>
    <w:multiLevelType w:val="multilevel"/>
    <w:tmpl w:val="07E346A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
    <w:nsid w:val="0DC90479"/>
    <w:multiLevelType w:val="multilevel"/>
    <w:tmpl w:val="0DC9047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
    <w:nsid w:val="0E867028"/>
    <w:multiLevelType w:val="multilevel"/>
    <w:tmpl w:val="0E86702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
    <w:nsid w:val="11B7440D"/>
    <w:multiLevelType w:val="multilevel"/>
    <w:tmpl w:val="11B7440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0">
    <w:nsid w:val="11E66747"/>
    <w:multiLevelType w:val="multilevel"/>
    <w:tmpl w:val="11E6674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1">
    <w:nsid w:val="130C560A"/>
    <w:multiLevelType w:val="multilevel"/>
    <w:tmpl w:val="130C560A"/>
    <w:lvl w:ilvl="0" w:tentative="0">
      <w:start w:val="1"/>
      <w:numFmt w:val="decimal"/>
      <w:pStyle w:val="2"/>
      <w:lvlText w:val="%1"/>
      <w:lvlJc w:val="left"/>
      <w:pPr>
        <w:tabs>
          <w:tab w:val="left" w:pos="432"/>
        </w:tabs>
        <w:ind w:left="432" w:hanging="432"/>
      </w:pPr>
      <w:rPr>
        <w:rFonts w:hint="default"/>
        <w:b w:val="0"/>
      </w:rPr>
    </w:lvl>
    <w:lvl w:ilvl="1" w:tentative="0">
      <w:start w:val="1"/>
      <w:numFmt w:val="decimal"/>
      <w:pStyle w:val="3"/>
      <w:lvlText w:val="%1.%2"/>
      <w:lvlJc w:val="left"/>
      <w:pPr>
        <w:tabs>
          <w:tab w:val="left" w:pos="576"/>
        </w:tabs>
        <w:ind w:left="576" w:hanging="576"/>
      </w:pPr>
      <w:rPr>
        <w:rFonts w:hint="default"/>
      </w:rPr>
    </w:lvl>
    <w:lvl w:ilvl="2" w:tentative="0">
      <w:start w:val="1"/>
      <w:numFmt w:val="decimal"/>
      <w:pStyle w:val="4"/>
      <w:lvlText w:val="%1.%2.%3"/>
      <w:lvlJc w:val="left"/>
      <w:pPr>
        <w:tabs>
          <w:tab w:val="left" w:pos="720"/>
        </w:tabs>
        <w:ind w:left="720" w:hanging="720"/>
      </w:pPr>
      <w:rPr>
        <w:rFonts w:hint="default"/>
      </w:rPr>
    </w:lvl>
    <w:lvl w:ilvl="3" w:tentative="0">
      <w:start w:val="1"/>
      <w:numFmt w:val="decimal"/>
      <w:pStyle w:val="5"/>
      <w:lvlText w:val="%1.%2.%3.%4"/>
      <w:lvlJc w:val="left"/>
      <w:pPr>
        <w:tabs>
          <w:tab w:val="left" w:pos="864"/>
        </w:tabs>
        <w:ind w:left="864" w:hanging="864"/>
      </w:pPr>
      <w:rPr>
        <w:b/>
        <w:bCs/>
        <w:i w:val="0"/>
        <w:iCs w:val="0"/>
        <w:caps w:val="0"/>
        <w:smallCaps w:val="0"/>
        <w:strike w:val="0"/>
        <w:dstrike w:val="0"/>
        <w:outline w:val="0"/>
        <w:shadow w:val="0"/>
        <w:emboss w:val="0"/>
        <w:imprint w:val="0"/>
        <w:vanish w:val="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prst="orthographicFront">
          <w14:lightRig w14:rig="threePt" w14:dir="t">
            <w14:rot w14:lat="0" w14:lon="0" w14:rev="0"/>
          </w14:lightRig>
        </w14:scene3d>
        <w14:ligatures w14:val="none"/>
        <w14:numForm w14:val="default"/>
        <w14:numSpacing w14:val="default"/>
        <w14:cntxtalts w14:val="0"/>
      </w:rPr>
    </w:lvl>
    <w:lvl w:ilvl="4" w:tentative="0">
      <w:start w:val="1"/>
      <w:numFmt w:val="decimal"/>
      <w:pStyle w:val="6"/>
      <w:lvlText w:val="%1.%2.%3.%4.%5"/>
      <w:lvlJc w:val="left"/>
      <w:pPr>
        <w:tabs>
          <w:tab w:val="left" w:pos="1008"/>
        </w:tabs>
        <w:ind w:left="1008" w:hanging="1008"/>
      </w:pPr>
      <w:rPr>
        <w:rFonts w:hint="default"/>
      </w:rPr>
    </w:lvl>
    <w:lvl w:ilvl="5" w:tentative="0">
      <w:start w:val="1"/>
      <w:numFmt w:val="decimal"/>
      <w:pStyle w:val="7"/>
      <w:lvlText w:val="%1.%2.%3.%4.%5.%6"/>
      <w:lvlJc w:val="left"/>
      <w:pPr>
        <w:tabs>
          <w:tab w:val="left" w:pos="1152"/>
        </w:tabs>
        <w:ind w:left="1152" w:hanging="1152"/>
      </w:pPr>
      <w:rPr>
        <w:rFonts w:hint="default"/>
      </w:rPr>
    </w:lvl>
    <w:lvl w:ilvl="6" w:tentative="0">
      <w:start w:val="1"/>
      <w:numFmt w:val="decimal"/>
      <w:pStyle w:val="8"/>
      <w:lvlText w:val="%1.%2.%3.%4.%5.%6.%7"/>
      <w:lvlJc w:val="left"/>
      <w:pPr>
        <w:tabs>
          <w:tab w:val="left" w:pos="1296"/>
        </w:tabs>
        <w:ind w:left="1296" w:hanging="1296"/>
      </w:pPr>
      <w:rPr>
        <w:rFonts w:hint="default"/>
      </w:rPr>
    </w:lvl>
    <w:lvl w:ilvl="7" w:tentative="0">
      <w:start w:val="1"/>
      <w:numFmt w:val="decimal"/>
      <w:pStyle w:val="9"/>
      <w:lvlText w:val="%1.%2.%3.%4.%5.%6.%7.%8"/>
      <w:lvlJc w:val="left"/>
      <w:pPr>
        <w:tabs>
          <w:tab w:val="left" w:pos="1440"/>
        </w:tabs>
        <w:ind w:left="1440" w:hanging="1440"/>
      </w:pPr>
      <w:rPr>
        <w:rFonts w:hint="default"/>
      </w:rPr>
    </w:lvl>
    <w:lvl w:ilvl="8" w:tentative="0">
      <w:start w:val="1"/>
      <w:numFmt w:val="decimal"/>
      <w:pStyle w:val="10"/>
      <w:lvlText w:val="%1.%2.%3.%4.%5.%6.%7.%8.%9"/>
      <w:lvlJc w:val="left"/>
      <w:pPr>
        <w:tabs>
          <w:tab w:val="left" w:pos="1584"/>
        </w:tabs>
        <w:ind w:left="1584" w:hanging="1584"/>
      </w:pPr>
      <w:rPr>
        <w:rFonts w:hint="default"/>
      </w:rPr>
    </w:lvl>
  </w:abstractNum>
  <w:abstractNum w:abstractNumId="12">
    <w:nsid w:val="149F55D0"/>
    <w:multiLevelType w:val="multilevel"/>
    <w:tmpl w:val="149F55D0"/>
    <w:lvl w:ilvl="0" w:tentative="0">
      <w:start w:val="1"/>
      <w:numFmt w:val="bullet"/>
      <w:lvlText w:val=""/>
      <w:lvlJc w:val="left"/>
      <w:pPr>
        <w:ind w:left="420" w:hanging="420"/>
      </w:pPr>
      <w:rPr>
        <w:rFonts w:hint="default" w:ascii="Symbol" w:hAnsi="Symbo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3">
    <w:nsid w:val="180B1388"/>
    <w:multiLevelType w:val="multilevel"/>
    <w:tmpl w:val="180B138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4">
    <w:nsid w:val="180F3DFD"/>
    <w:multiLevelType w:val="multilevel"/>
    <w:tmpl w:val="180F3DFD"/>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5">
    <w:nsid w:val="1961588B"/>
    <w:multiLevelType w:val="multilevel"/>
    <w:tmpl w:val="1961588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6">
    <w:nsid w:val="19A8079F"/>
    <w:multiLevelType w:val="multilevel"/>
    <w:tmpl w:val="19A8079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7">
    <w:nsid w:val="1BCC0494"/>
    <w:multiLevelType w:val="multilevel"/>
    <w:tmpl w:val="1BCC0494"/>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8">
    <w:nsid w:val="1C4C4D3E"/>
    <w:multiLevelType w:val="multilevel"/>
    <w:tmpl w:val="1C4C4D3E"/>
    <w:lvl w:ilvl="0" w:tentative="0">
      <w:start w:val="1"/>
      <w:numFmt w:val="bullet"/>
      <w:lvlText w:val=""/>
      <w:lvlJc w:val="left"/>
      <w:pPr>
        <w:ind w:left="773" w:hanging="360"/>
      </w:pPr>
      <w:rPr>
        <w:rFonts w:hint="default" w:ascii="Symbol" w:hAnsi="Symbol"/>
      </w:rPr>
    </w:lvl>
    <w:lvl w:ilvl="1" w:tentative="0">
      <w:start w:val="1"/>
      <w:numFmt w:val="bullet"/>
      <w:lvlText w:val="o"/>
      <w:lvlJc w:val="left"/>
      <w:pPr>
        <w:ind w:left="1493" w:hanging="360"/>
      </w:pPr>
      <w:rPr>
        <w:rFonts w:hint="default" w:ascii="Courier New" w:hAnsi="Courier New" w:cs="Courier New"/>
      </w:rPr>
    </w:lvl>
    <w:lvl w:ilvl="2" w:tentative="0">
      <w:start w:val="1"/>
      <w:numFmt w:val="bullet"/>
      <w:lvlText w:val=""/>
      <w:lvlJc w:val="left"/>
      <w:pPr>
        <w:ind w:left="2213" w:hanging="360"/>
      </w:pPr>
      <w:rPr>
        <w:rFonts w:hint="default" w:ascii="Wingdings" w:hAnsi="Wingdings"/>
      </w:rPr>
    </w:lvl>
    <w:lvl w:ilvl="3" w:tentative="0">
      <w:start w:val="1"/>
      <w:numFmt w:val="bullet"/>
      <w:lvlText w:val=""/>
      <w:lvlJc w:val="left"/>
      <w:pPr>
        <w:ind w:left="2933" w:hanging="360"/>
      </w:pPr>
      <w:rPr>
        <w:rFonts w:hint="default" w:ascii="Symbol" w:hAnsi="Symbol"/>
      </w:rPr>
    </w:lvl>
    <w:lvl w:ilvl="4" w:tentative="0">
      <w:start w:val="1"/>
      <w:numFmt w:val="bullet"/>
      <w:lvlText w:val="o"/>
      <w:lvlJc w:val="left"/>
      <w:pPr>
        <w:ind w:left="3653" w:hanging="360"/>
      </w:pPr>
      <w:rPr>
        <w:rFonts w:hint="default" w:ascii="Courier New" w:hAnsi="Courier New" w:cs="Courier New"/>
      </w:rPr>
    </w:lvl>
    <w:lvl w:ilvl="5" w:tentative="0">
      <w:start w:val="1"/>
      <w:numFmt w:val="bullet"/>
      <w:lvlText w:val=""/>
      <w:lvlJc w:val="left"/>
      <w:pPr>
        <w:ind w:left="4373" w:hanging="360"/>
      </w:pPr>
      <w:rPr>
        <w:rFonts w:hint="default" w:ascii="Wingdings" w:hAnsi="Wingdings"/>
      </w:rPr>
    </w:lvl>
    <w:lvl w:ilvl="6" w:tentative="0">
      <w:start w:val="1"/>
      <w:numFmt w:val="bullet"/>
      <w:lvlText w:val=""/>
      <w:lvlJc w:val="left"/>
      <w:pPr>
        <w:ind w:left="5093" w:hanging="360"/>
      </w:pPr>
      <w:rPr>
        <w:rFonts w:hint="default" w:ascii="Symbol" w:hAnsi="Symbol"/>
      </w:rPr>
    </w:lvl>
    <w:lvl w:ilvl="7" w:tentative="0">
      <w:start w:val="1"/>
      <w:numFmt w:val="bullet"/>
      <w:lvlText w:val="o"/>
      <w:lvlJc w:val="left"/>
      <w:pPr>
        <w:ind w:left="5813" w:hanging="360"/>
      </w:pPr>
      <w:rPr>
        <w:rFonts w:hint="default" w:ascii="Courier New" w:hAnsi="Courier New" w:cs="Courier New"/>
      </w:rPr>
    </w:lvl>
    <w:lvl w:ilvl="8" w:tentative="0">
      <w:start w:val="1"/>
      <w:numFmt w:val="bullet"/>
      <w:lvlText w:val=""/>
      <w:lvlJc w:val="left"/>
      <w:pPr>
        <w:ind w:left="6533" w:hanging="360"/>
      </w:pPr>
      <w:rPr>
        <w:rFonts w:hint="default" w:ascii="Wingdings" w:hAnsi="Wingdings"/>
      </w:rPr>
    </w:lvl>
  </w:abstractNum>
  <w:abstractNum w:abstractNumId="19">
    <w:nsid w:val="1C6B7E0F"/>
    <w:multiLevelType w:val="multilevel"/>
    <w:tmpl w:val="1C6B7E0F"/>
    <w:lvl w:ilvl="0" w:tentative="0">
      <w:start w:val="1"/>
      <w:numFmt w:val="bullet"/>
      <w:lvlText w:val="o"/>
      <w:lvlJc w:val="left"/>
      <w:pPr>
        <w:ind w:left="1080" w:hanging="360"/>
      </w:pPr>
      <w:rPr>
        <w:rFonts w:hint="default" w:ascii="Courier New" w:hAnsi="Courier New" w:cs="Courier New"/>
      </w:rPr>
    </w:lvl>
    <w:lvl w:ilvl="1" w:tentative="0">
      <w:start w:val="1"/>
      <w:numFmt w:val="bullet"/>
      <w:lvlText w:val="o"/>
      <w:lvlJc w:val="left"/>
      <w:pPr>
        <w:ind w:left="1800" w:hanging="360"/>
      </w:pPr>
      <w:rPr>
        <w:rFonts w:hint="default" w:ascii="Courier New" w:hAnsi="Courier New" w:cs="Courier New"/>
      </w:rPr>
    </w:lvl>
    <w:lvl w:ilvl="2" w:tentative="0">
      <w:start w:val="1"/>
      <w:numFmt w:val="bullet"/>
      <w:lvlText w:val=""/>
      <w:lvlJc w:val="left"/>
      <w:pPr>
        <w:ind w:left="2520" w:hanging="360"/>
      </w:pPr>
      <w:rPr>
        <w:rFonts w:hint="default" w:ascii="Wingdings" w:hAnsi="Wingdings"/>
      </w:rPr>
    </w:lvl>
    <w:lvl w:ilvl="3" w:tentative="0">
      <w:start w:val="1"/>
      <w:numFmt w:val="bullet"/>
      <w:lvlText w:val=""/>
      <w:lvlJc w:val="left"/>
      <w:pPr>
        <w:ind w:left="3240" w:hanging="360"/>
      </w:pPr>
      <w:rPr>
        <w:rFonts w:hint="default" w:ascii="Symbol" w:hAnsi="Symbol"/>
      </w:rPr>
    </w:lvl>
    <w:lvl w:ilvl="4" w:tentative="0">
      <w:start w:val="1"/>
      <w:numFmt w:val="bullet"/>
      <w:lvlText w:val="o"/>
      <w:lvlJc w:val="left"/>
      <w:pPr>
        <w:ind w:left="3960" w:hanging="360"/>
      </w:pPr>
      <w:rPr>
        <w:rFonts w:hint="default" w:ascii="Courier New" w:hAnsi="Courier New" w:cs="Courier New"/>
      </w:rPr>
    </w:lvl>
    <w:lvl w:ilvl="5" w:tentative="0">
      <w:start w:val="1"/>
      <w:numFmt w:val="bullet"/>
      <w:lvlText w:val=""/>
      <w:lvlJc w:val="left"/>
      <w:pPr>
        <w:ind w:left="4680" w:hanging="360"/>
      </w:pPr>
      <w:rPr>
        <w:rFonts w:hint="default" w:ascii="Wingdings" w:hAnsi="Wingdings"/>
      </w:rPr>
    </w:lvl>
    <w:lvl w:ilvl="6" w:tentative="0">
      <w:start w:val="1"/>
      <w:numFmt w:val="bullet"/>
      <w:lvlText w:val=""/>
      <w:lvlJc w:val="left"/>
      <w:pPr>
        <w:ind w:left="5400" w:hanging="360"/>
      </w:pPr>
      <w:rPr>
        <w:rFonts w:hint="default" w:ascii="Symbol" w:hAnsi="Symbol"/>
      </w:rPr>
    </w:lvl>
    <w:lvl w:ilvl="7" w:tentative="0">
      <w:start w:val="1"/>
      <w:numFmt w:val="bullet"/>
      <w:lvlText w:val="o"/>
      <w:lvlJc w:val="left"/>
      <w:pPr>
        <w:ind w:left="6120" w:hanging="360"/>
      </w:pPr>
      <w:rPr>
        <w:rFonts w:hint="default" w:ascii="Courier New" w:hAnsi="Courier New" w:cs="Courier New"/>
      </w:rPr>
    </w:lvl>
    <w:lvl w:ilvl="8" w:tentative="0">
      <w:start w:val="1"/>
      <w:numFmt w:val="bullet"/>
      <w:lvlText w:val=""/>
      <w:lvlJc w:val="left"/>
      <w:pPr>
        <w:ind w:left="6840" w:hanging="360"/>
      </w:pPr>
      <w:rPr>
        <w:rFonts w:hint="default" w:ascii="Wingdings" w:hAnsi="Wingdings"/>
      </w:rPr>
    </w:lvl>
  </w:abstractNum>
  <w:abstractNum w:abstractNumId="20">
    <w:nsid w:val="1F2F01E5"/>
    <w:multiLevelType w:val="multilevel"/>
    <w:tmpl w:val="1F2F01E5"/>
    <w:lvl w:ilvl="0" w:tentative="0">
      <w:start w:val="0"/>
      <w:numFmt w:val="bullet"/>
      <w:lvlText w:val="-"/>
      <w:lvlJc w:val="left"/>
      <w:pPr>
        <w:ind w:left="420" w:hanging="420"/>
      </w:pPr>
      <w:rPr>
        <w:rFonts w:hint="default" w:ascii="Arial" w:hAnsi="Arial" w:eastAsia="MS Mincho" w:cs="Arial"/>
      </w:rPr>
    </w:lvl>
    <w:lvl w:ilvl="1" w:tentative="0">
      <w:start w:val="1"/>
      <w:numFmt w:val="bullet"/>
      <w:lvlText w:val="o"/>
      <w:lvlJc w:val="left"/>
      <w:pPr>
        <w:ind w:left="840" w:hanging="420"/>
      </w:pPr>
      <w:rPr>
        <w:rFonts w:hint="default" w:ascii="Courier New" w:hAnsi="Courier New" w:cs="Courier New"/>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1">
    <w:nsid w:val="20D70B8C"/>
    <w:multiLevelType w:val="multilevel"/>
    <w:tmpl w:val="20D70B8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2">
    <w:nsid w:val="231F176A"/>
    <w:multiLevelType w:val="multilevel"/>
    <w:tmpl w:val="231F176A"/>
    <w:lvl w:ilvl="0" w:tentative="0">
      <w:start w:val="1"/>
      <w:numFmt w:val="bullet"/>
      <w:lvlText w:val=""/>
      <w:lvlJc w:val="left"/>
      <w:pPr>
        <w:ind w:left="720" w:hanging="360"/>
      </w:pPr>
      <w:rPr>
        <w:rFonts w:hint="default" w:ascii="Symbol" w:hAnsi="Symbol"/>
      </w:rPr>
    </w:lvl>
    <w:lvl w:ilvl="1" w:tentative="0">
      <w:start w:val="1"/>
      <w:numFmt w:val="lowerLetter"/>
      <w:lvlText w:val="%2."/>
      <w:lvlJc w:val="left"/>
      <w:pPr>
        <w:ind w:left="1080" w:hanging="360"/>
      </w:pPr>
    </w:lvl>
    <w:lvl w:ilvl="2" w:tentative="0">
      <w:start w:val="1"/>
      <w:numFmt w:val="lowerRoman"/>
      <w:lvlText w:val="%3."/>
      <w:lvlJc w:val="right"/>
      <w:pPr>
        <w:ind w:left="1800" w:hanging="180"/>
      </w:pPr>
    </w:lvl>
    <w:lvl w:ilvl="3" w:tentative="0">
      <w:start w:val="1"/>
      <w:numFmt w:val="decimal"/>
      <w:lvlText w:val="%4."/>
      <w:lvlJc w:val="left"/>
      <w:pPr>
        <w:ind w:left="2520" w:hanging="360"/>
      </w:pPr>
    </w:lvl>
    <w:lvl w:ilvl="4" w:tentative="0">
      <w:start w:val="1"/>
      <w:numFmt w:val="lowerLetter"/>
      <w:lvlText w:val="%5."/>
      <w:lvlJc w:val="left"/>
      <w:pPr>
        <w:ind w:left="3240" w:hanging="360"/>
      </w:pPr>
    </w:lvl>
    <w:lvl w:ilvl="5" w:tentative="0">
      <w:start w:val="1"/>
      <w:numFmt w:val="lowerRoman"/>
      <w:lvlText w:val="%6."/>
      <w:lvlJc w:val="right"/>
      <w:pPr>
        <w:ind w:left="3960" w:hanging="180"/>
      </w:pPr>
    </w:lvl>
    <w:lvl w:ilvl="6" w:tentative="0">
      <w:start w:val="1"/>
      <w:numFmt w:val="decimal"/>
      <w:lvlText w:val="%7."/>
      <w:lvlJc w:val="left"/>
      <w:pPr>
        <w:ind w:left="4680" w:hanging="360"/>
      </w:pPr>
    </w:lvl>
    <w:lvl w:ilvl="7" w:tentative="0">
      <w:start w:val="1"/>
      <w:numFmt w:val="lowerLetter"/>
      <w:lvlText w:val="%8."/>
      <w:lvlJc w:val="left"/>
      <w:pPr>
        <w:ind w:left="5400" w:hanging="360"/>
      </w:pPr>
    </w:lvl>
    <w:lvl w:ilvl="8" w:tentative="0">
      <w:start w:val="1"/>
      <w:numFmt w:val="lowerRoman"/>
      <w:lvlText w:val="%9."/>
      <w:lvlJc w:val="right"/>
      <w:pPr>
        <w:ind w:left="6120" w:hanging="180"/>
      </w:pPr>
    </w:lvl>
  </w:abstractNum>
  <w:abstractNum w:abstractNumId="23">
    <w:nsid w:val="239657D5"/>
    <w:multiLevelType w:val="multilevel"/>
    <w:tmpl w:val="239657D5"/>
    <w:lvl w:ilvl="0" w:tentative="0">
      <w:start w:val="1"/>
      <w:numFmt w:val="bullet"/>
      <w:lvlText w:val="o"/>
      <w:lvlJc w:val="left"/>
      <w:pPr>
        <w:ind w:left="704" w:hanging="420"/>
      </w:pPr>
      <w:rPr>
        <w:rFonts w:hint="default" w:ascii="Courier New" w:hAnsi="Courier New" w:cs="Courier New"/>
      </w:rPr>
    </w:lvl>
    <w:lvl w:ilvl="1" w:tentative="0">
      <w:start w:val="1"/>
      <w:numFmt w:val="bullet"/>
      <w:lvlText w:val=""/>
      <w:lvlJc w:val="left"/>
      <w:pPr>
        <w:ind w:left="1124" w:hanging="420"/>
      </w:pPr>
      <w:rPr>
        <w:rFonts w:hint="default" w:ascii="Wingdings" w:hAnsi="Wingdings"/>
      </w:rPr>
    </w:lvl>
    <w:lvl w:ilvl="2" w:tentative="0">
      <w:start w:val="1"/>
      <w:numFmt w:val="bullet"/>
      <w:lvlText w:val=""/>
      <w:lvlJc w:val="left"/>
      <w:pPr>
        <w:ind w:left="1544" w:hanging="420"/>
      </w:pPr>
      <w:rPr>
        <w:rFonts w:hint="default" w:ascii="Wingdings" w:hAnsi="Wingdings"/>
      </w:rPr>
    </w:lvl>
    <w:lvl w:ilvl="3" w:tentative="0">
      <w:start w:val="1"/>
      <w:numFmt w:val="bullet"/>
      <w:lvlText w:val=""/>
      <w:lvlJc w:val="left"/>
      <w:pPr>
        <w:ind w:left="1964" w:hanging="420"/>
      </w:pPr>
      <w:rPr>
        <w:rFonts w:hint="default" w:ascii="Wingdings" w:hAnsi="Wingdings"/>
      </w:rPr>
    </w:lvl>
    <w:lvl w:ilvl="4" w:tentative="0">
      <w:start w:val="1"/>
      <w:numFmt w:val="bullet"/>
      <w:lvlText w:val=""/>
      <w:lvlJc w:val="left"/>
      <w:pPr>
        <w:ind w:left="2384" w:hanging="420"/>
      </w:pPr>
      <w:rPr>
        <w:rFonts w:hint="default" w:ascii="Wingdings" w:hAnsi="Wingdings"/>
      </w:rPr>
    </w:lvl>
    <w:lvl w:ilvl="5" w:tentative="0">
      <w:start w:val="1"/>
      <w:numFmt w:val="bullet"/>
      <w:lvlText w:val=""/>
      <w:lvlJc w:val="left"/>
      <w:pPr>
        <w:ind w:left="2804" w:hanging="420"/>
      </w:pPr>
      <w:rPr>
        <w:rFonts w:hint="default" w:ascii="Wingdings" w:hAnsi="Wingdings"/>
      </w:rPr>
    </w:lvl>
    <w:lvl w:ilvl="6" w:tentative="0">
      <w:start w:val="1"/>
      <w:numFmt w:val="bullet"/>
      <w:lvlText w:val=""/>
      <w:lvlJc w:val="left"/>
      <w:pPr>
        <w:ind w:left="3224" w:hanging="420"/>
      </w:pPr>
      <w:rPr>
        <w:rFonts w:hint="default" w:ascii="Wingdings" w:hAnsi="Wingdings"/>
      </w:rPr>
    </w:lvl>
    <w:lvl w:ilvl="7" w:tentative="0">
      <w:start w:val="1"/>
      <w:numFmt w:val="bullet"/>
      <w:lvlText w:val=""/>
      <w:lvlJc w:val="left"/>
      <w:pPr>
        <w:ind w:left="3644" w:hanging="420"/>
      </w:pPr>
      <w:rPr>
        <w:rFonts w:hint="default" w:ascii="Wingdings" w:hAnsi="Wingdings"/>
      </w:rPr>
    </w:lvl>
    <w:lvl w:ilvl="8" w:tentative="0">
      <w:start w:val="1"/>
      <w:numFmt w:val="bullet"/>
      <w:lvlText w:val=""/>
      <w:lvlJc w:val="left"/>
      <w:pPr>
        <w:ind w:left="4064" w:hanging="420"/>
      </w:pPr>
      <w:rPr>
        <w:rFonts w:hint="default" w:ascii="Wingdings" w:hAnsi="Wingdings"/>
      </w:rPr>
    </w:lvl>
  </w:abstractNum>
  <w:abstractNum w:abstractNumId="24">
    <w:nsid w:val="23F5243B"/>
    <w:multiLevelType w:val="multilevel"/>
    <w:tmpl w:val="23F5243B"/>
    <w:lvl w:ilvl="0" w:tentative="0">
      <w:start w:val="1"/>
      <w:numFmt w:val="bullet"/>
      <w:lvlText w:val="o"/>
      <w:lvlJc w:val="left"/>
      <w:pPr>
        <w:ind w:left="420" w:hanging="420"/>
      </w:pPr>
      <w:rPr>
        <w:rFonts w:hint="default" w:ascii="Courier New" w:hAnsi="Courier New" w:cs="Courier New"/>
      </w:rPr>
    </w:lvl>
    <w:lvl w:ilvl="1" w:tentative="0">
      <w:start w:val="1"/>
      <w:numFmt w:val="bullet"/>
      <w:lvlText w:val=""/>
      <w:lvlJc w:val="left"/>
      <w:pPr>
        <w:ind w:left="840" w:hanging="420"/>
      </w:pPr>
      <w:rPr>
        <w:rFonts w:hint="default" w:ascii="Wingdings" w:hAnsi="Wingdings"/>
      </w:rPr>
    </w:lvl>
    <w:lvl w:ilvl="2" w:tentative="0">
      <w:start w:val="2"/>
      <w:numFmt w:val="bullet"/>
      <w:lvlText w:val=""/>
      <w:lvlJc w:val="left"/>
      <w:pPr>
        <w:ind w:left="420" w:hanging="420"/>
      </w:pPr>
      <w:rPr>
        <w:rFonts w:hint="default" w:ascii="Symbol" w:hAnsi="Symbol" w:eastAsia="宋体" w:cs="Times New Roman"/>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5">
    <w:nsid w:val="2486552B"/>
    <w:multiLevelType w:val="multilevel"/>
    <w:tmpl w:val="2486552B"/>
    <w:lvl w:ilvl="0" w:tentative="0">
      <w:start w:val="1"/>
      <w:numFmt w:val="bullet"/>
      <w:lvlText w:val=""/>
      <w:lvlJc w:val="left"/>
      <w:pPr>
        <w:ind w:left="800" w:hanging="400"/>
      </w:pPr>
      <w:rPr>
        <w:rFonts w:hint="default" w:ascii="Symbol" w:hAnsi="Symbol"/>
      </w:rPr>
    </w:lvl>
    <w:lvl w:ilvl="1" w:tentative="0">
      <w:start w:val="1"/>
      <w:numFmt w:val="decimal"/>
      <w:isLgl/>
      <w:lvlText w:val="%1.%2"/>
      <w:lvlJc w:val="left"/>
      <w:pPr>
        <w:ind w:left="1120" w:hanging="720"/>
      </w:pPr>
      <w:rPr>
        <w:rFonts w:hint="default"/>
      </w:rPr>
    </w:lvl>
    <w:lvl w:ilvl="2" w:tentative="0">
      <w:start w:val="1"/>
      <w:numFmt w:val="decimal"/>
      <w:isLgl/>
      <w:lvlText w:val="%1.%2.%3"/>
      <w:lvlJc w:val="left"/>
      <w:pPr>
        <w:ind w:left="1120" w:hanging="720"/>
      </w:pPr>
      <w:rPr>
        <w:rFonts w:hint="default"/>
      </w:rPr>
    </w:lvl>
    <w:lvl w:ilvl="3" w:tentative="0">
      <w:start w:val="1"/>
      <w:numFmt w:val="decimal"/>
      <w:isLgl/>
      <w:lvlText w:val="%1.%2.%3.%4"/>
      <w:lvlJc w:val="left"/>
      <w:pPr>
        <w:ind w:left="1480" w:hanging="1080"/>
      </w:pPr>
      <w:rPr>
        <w:rFonts w:hint="default"/>
      </w:rPr>
    </w:lvl>
    <w:lvl w:ilvl="4" w:tentative="0">
      <w:start w:val="1"/>
      <w:numFmt w:val="decimal"/>
      <w:isLgl/>
      <w:lvlText w:val="%1.%2.%3.%4.%5"/>
      <w:lvlJc w:val="left"/>
      <w:pPr>
        <w:ind w:left="1840" w:hanging="1440"/>
      </w:pPr>
      <w:rPr>
        <w:rFonts w:hint="default"/>
      </w:rPr>
    </w:lvl>
    <w:lvl w:ilvl="5" w:tentative="0">
      <w:start w:val="1"/>
      <w:numFmt w:val="decimal"/>
      <w:isLgl/>
      <w:lvlText w:val="%1.%2.%3.%4.%5.%6"/>
      <w:lvlJc w:val="left"/>
      <w:pPr>
        <w:ind w:left="2200" w:hanging="1800"/>
      </w:pPr>
      <w:rPr>
        <w:rFonts w:hint="default"/>
      </w:rPr>
    </w:lvl>
    <w:lvl w:ilvl="6" w:tentative="0">
      <w:start w:val="1"/>
      <w:numFmt w:val="decimal"/>
      <w:isLgl/>
      <w:lvlText w:val="%1.%2.%3.%4.%5.%6.%7"/>
      <w:lvlJc w:val="left"/>
      <w:pPr>
        <w:ind w:left="2200" w:hanging="1800"/>
      </w:pPr>
      <w:rPr>
        <w:rFonts w:hint="default"/>
      </w:rPr>
    </w:lvl>
    <w:lvl w:ilvl="7" w:tentative="0">
      <w:start w:val="1"/>
      <w:numFmt w:val="decimal"/>
      <w:isLgl/>
      <w:lvlText w:val="%1.%2.%3.%4.%5.%6.%7.%8"/>
      <w:lvlJc w:val="left"/>
      <w:pPr>
        <w:ind w:left="2560" w:hanging="2160"/>
      </w:pPr>
      <w:rPr>
        <w:rFonts w:hint="default"/>
      </w:rPr>
    </w:lvl>
    <w:lvl w:ilvl="8" w:tentative="0">
      <w:start w:val="1"/>
      <w:numFmt w:val="decimal"/>
      <w:isLgl/>
      <w:lvlText w:val="%1.%2.%3.%4.%5.%6.%7.%8.%9"/>
      <w:lvlJc w:val="left"/>
      <w:pPr>
        <w:ind w:left="2920" w:hanging="2520"/>
      </w:pPr>
      <w:rPr>
        <w:rFonts w:hint="default"/>
      </w:rPr>
    </w:lvl>
  </w:abstractNum>
  <w:abstractNum w:abstractNumId="26">
    <w:nsid w:val="24C83E6F"/>
    <w:multiLevelType w:val="multilevel"/>
    <w:tmpl w:val="24C83E6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7">
    <w:nsid w:val="27701BC6"/>
    <w:multiLevelType w:val="multilevel"/>
    <w:tmpl w:val="27701BC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8">
    <w:nsid w:val="29DA5651"/>
    <w:multiLevelType w:val="multilevel"/>
    <w:tmpl w:val="29DA5651"/>
    <w:lvl w:ilvl="0" w:tentative="0">
      <w:start w:val="0"/>
      <w:numFmt w:val="bullet"/>
      <w:lvlText w:val="-"/>
      <w:lvlJc w:val="left"/>
      <w:pPr>
        <w:ind w:left="420" w:hanging="420"/>
      </w:pPr>
      <w:rPr>
        <w:rFonts w:hint="default" w:ascii="Times New Roman" w:hAnsi="Times New Roman" w:eastAsia="宋体"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9">
    <w:nsid w:val="2A38559B"/>
    <w:multiLevelType w:val="multilevel"/>
    <w:tmpl w:val="2A38559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0">
    <w:nsid w:val="2A67671C"/>
    <w:multiLevelType w:val="multilevel"/>
    <w:tmpl w:val="2A67671C"/>
    <w:lvl w:ilvl="0" w:tentative="0">
      <w:start w:val="1"/>
      <w:numFmt w:val="bullet"/>
      <w:lvlText w:val=""/>
      <w:lvlJc w:val="left"/>
      <w:pPr>
        <w:ind w:left="1100" w:hanging="420"/>
      </w:pPr>
      <w:rPr>
        <w:rFonts w:hint="default" w:ascii="Wingdings" w:hAnsi="Wingdings" w:cs="Wingdings"/>
      </w:rPr>
    </w:lvl>
    <w:lvl w:ilvl="1" w:tentative="0">
      <w:start w:val="1"/>
      <w:numFmt w:val="bullet"/>
      <w:lvlText w:val=""/>
      <w:lvlJc w:val="left"/>
      <w:pPr>
        <w:ind w:left="1520" w:hanging="420"/>
      </w:pPr>
      <w:rPr>
        <w:rFonts w:hint="default" w:ascii="Wingdings" w:hAnsi="Wingdings"/>
      </w:rPr>
    </w:lvl>
    <w:lvl w:ilvl="2" w:tentative="0">
      <w:start w:val="1"/>
      <w:numFmt w:val="bullet"/>
      <w:lvlText w:val=""/>
      <w:lvlJc w:val="left"/>
      <w:pPr>
        <w:ind w:left="1940" w:hanging="420"/>
      </w:pPr>
      <w:rPr>
        <w:rFonts w:hint="default" w:ascii="Wingdings" w:hAnsi="Wingdings"/>
      </w:rPr>
    </w:lvl>
    <w:lvl w:ilvl="3" w:tentative="0">
      <w:start w:val="1"/>
      <w:numFmt w:val="bullet"/>
      <w:lvlText w:val=""/>
      <w:lvlJc w:val="left"/>
      <w:pPr>
        <w:ind w:left="2360" w:hanging="420"/>
      </w:pPr>
      <w:rPr>
        <w:rFonts w:hint="default" w:ascii="Wingdings" w:hAnsi="Wingdings"/>
      </w:rPr>
    </w:lvl>
    <w:lvl w:ilvl="4" w:tentative="0">
      <w:start w:val="1"/>
      <w:numFmt w:val="bullet"/>
      <w:lvlText w:val=""/>
      <w:lvlJc w:val="left"/>
      <w:pPr>
        <w:ind w:left="2780" w:hanging="420"/>
      </w:pPr>
      <w:rPr>
        <w:rFonts w:hint="default" w:ascii="Wingdings" w:hAnsi="Wingdings"/>
      </w:rPr>
    </w:lvl>
    <w:lvl w:ilvl="5" w:tentative="0">
      <w:start w:val="1"/>
      <w:numFmt w:val="bullet"/>
      <w:lvlText w:val=""/>
      <w:lvlJc w:val="left"/>
      <w:pPr>
        <w:ind w:left="3200" w:hanging="420"/>
      </w:pPr>
      <w:rPr>
        <w:rFonts w:hint="default" w:ascii="Wingdings" w:hAnsi="Wingdings"/>
      </w:rPr>
    </w:lvl>
    <w:lvl w:ilvl="6" w:tentative="0">
      <w:start w:val="1"/>
      <w:numFmt w:val="bullet"/>
      <w:lvlText w:val=""/>
      <w:lvlJc w:val="left"/>
      <w:pPr>
        <w:ind w:left="3620" w:hanging="420"/>
      </w:pPr>
      <w:rPr>
        <w:rFonts w:hint="default" w:ascii="Wingdings" w:hAnsi="Wingdings"/>
      </w:rPr>
    </w:lvl>
    <w:lvl w:ilvl="7" w:tentative="0">
      <w:start w:val="1"/>
      <w:numFmt w:val="bullet"/>
      <w:lvlText w:val=""/>
      <w:lvlJc w:val="left"/>
      <w:pPr>
        <w:ind w:left="4040" w:hanging="420"/>
      </w:pPr>
      <w:rPr>
        <w:rFonts w:hint="default" w:ascii="Wingdings" w:hAnsi="Wingdings"/>
      </w:rPr>
    </w:lvl>
    <w:lvl w:ilvl="8" w:tentative="0">
      <w:start w:val="1"/>
      <w:numFmt w:val="bullet"/>
      <w:lvlText w:val=""/>
      <w:lvlJc w:val="left"/>
      <w:pPr>
        <w:ind w:left="4460" w:hanging="420"/>
      </w:pPr>
      <w:rPr>
        <w:rFonts w:hint="default" w:ascii="Wingdings" w:hAnsi="Wingdings"/>
      </w:rPr>
    </w:lvl>
  </w:abstractNum>
  <w:abstractNum w:abstractNumId="31">
    <w:nsid w:val="2CC7125C"/>
    <w:multiLevelType w:val="singleLevel"/>
    <w:tmpl w:val="2CC7125C"/>
    <w:lvl w:ilvl="0" w:tentative="0">
      <w:start w:val="1"/>
      <w:numFmt w:val="bullet"/>
      <w:pStyle w:val="236"/>
      <w:lvlText w:val=""/>
      <w:lvlJc w:val="left"/>
      <w:pPr>
        <w:tabs>
          <w:tab w:val="left" w:pos="360"/>
        </w:tabs>
        <w:ind w:left="360" w:hanging="360"/>
      </w:pPr>
      <w:rPr>
        <w:rFonts w:hint="default" w:ascii="Symbol" w:hAnsi="Symbol"/>
      </w:rPr>
    </w:lvl>
  </w:abstractNum>
  <w:abstractNum w:abstractNumId="32">
    <w:nsid w:val="2D0E3FA4"/>
    <w:multiLevelType w:val="multilevel"/>
    <w:tmpl w:val="2D0E3FA4"/>
    <w:lvl w:ilvl="0" w:tentative="0">
      <w:start w:val="1"/>
      <w:numFmt w:val="bullet"/>
      <w:lvlText w:val=""/>
      <w:lvlJc w:val="left"/>
      <w:pPr>
        <w:ind w:left="420" w:hanging="420"/>
      </w:pPr>
      <w:rPr>
        <w:rFonts w:hint="default" w:ascii="Symbol" w:hAnsi="Symbo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3">
    <w:nsid w:val="2D4D1754"/>
    <w:multiLevelType w:val="multilevel"/>
    <w:tmpl w:val="2D4D1754"/>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4">
    <w:nsid w:val="2DDF0E1C"/>
    <w:multiLevelType w:val="multilevel"/>
    <w:tmpl w:val="2DDF0E1C"/>
    <w:lvl w:ilvl="0" w:tentative="0">
      <w:start w:val="1"/>
      <w:numFmt w:val="bullet"/>
      <w:pStyle w:val="200"/>
      <w:lvlText w:val=""/>
      <w:lvlJc w:val="left"/>
      <w:pPr>
        <w:ind w:left="450" w:hanging="360"/>
      </w:pPr>
      <w:rPr>
        <w:rFonts w:hint="default" w:ascii="Symbol" w:hAnsi="Symbol"/>
      </w:rPr>
    </w:lvl>
    <w:lvl w:ilvl="1" w:tentative="0">
      <w:start w:val="1"/>
      <w:numFmt w:val="bullet"/>
      <w:lvlText w:val="o"/>
      <w:lvlJc w:val="left"/>
      <w:pPr>
        <w:ind w:left="126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5">
    <w:nsid w:val="2DFA01C7"/>
    <w:multiLevelType w:val="multilevel"/>
    <w:tmpl w:val="2DFA01C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6">
    <w:nsid w:val="2E2F6BE5"/>
    <w:multiLevelType w:val="multilevel"/>
    <w:tmpl w:val="2E2F6BE5"/>
    <w:lvl w:ilvl="0" w:tentative="0">
      <w:start w:val="1"/>
      <w:numFmt w:val="bullet"/>
      <w:lvlText w:val="o"/>
      <w:lvlJc w:val="left"/>
      <w:pPr>
        <w:ind w:left="360" w:hanging="360"/>
      </w:pPr>
      <w:rPr>
        <w:rFonts w:hint="default" w:ascii="Courier New" w:hAnsi="Courier New" w:cs="Courier New"/>
      </w:rPr>
    </w:lvl>
    <w:lvl w:ilvl="1" w:tentative="0">
      <w:start w:val="1"/>
      <w:numFmt w:val="bullet"/>
      <w:lvlText w:val=""/>
      <w:lvlJc w:val="left"/>
      <w:pPr>
        <w:ind w:left="1080" w:hanging="360"/>
      </w:pPr>
      <w:rPr>
        <w:rFonts w:hint="default" w:ascii="Wingdings" w:hAnsi="Wingdings"/>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37">
    <w:nsid w:val="2F3D0270"/>
    <w:multiLevelType w:val="multilevel"/>
    <w:tmpl w:val="2F3D0270"/>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8">
    <w:nsid w:val="2FA86A4D"/>
    <w:multiLevelType w:val="multilevel"/>
    <w:tmpl w:val="2FA86A4D"/>
    <w:lvl w:ilvl="0" w:tentative="0">
      <w:start w:val="1"/>
      <w:numFmt w:val="bullet"/>
      <w:lvlText w:val=""/>
      <w:lvlJc w:val="left"/>
      <w:pPr>
        <w:ind w:left="360" w:hanging="360"/>
      </w:pPr>
      <w:rPr>
        <w:rFonts w:hint="default" w:ascii="Symbol" w:hAnsi="Symbol"/>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39">
    <w:nsid w:val="2FE402DE"/>
    <w:multiLevelType w:val="multilevel"/>
    <w:tmpl w:val="2FE402DE"/>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0">
    <w:nsid w:val="31BE0929"/>
    <w:multiLevelType w:val="multilevel"/>
    <w:tmpl w:val="31BE092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1">
    <w:nsid w:val="34D5045A"/>
    <w:multiLevelType w:val="singleLevel"/>
    <w:tmpl w:val="34D5045A"/>
    <w:lvl w:ilvl="0" w:tentative="0">
      <w:start w:val="1"/>
      <w:numFmt w:val="bullet"/>
      <w:pStyle w:val="228"/>
      <w:lvlText w:val=""/>
      <w:lvlJc w:val="left"/>
      <w:pPr>
        <w:tabs>
          <w:tab w:val="left" w:pos="360"/>
        </w:tabs>
        <w:ind w:left="340" w:hanging="340"/>
      </w:pPr>
      <w:rPr>
        <w:rFonts w:hint="default" w:ascii="Symbol" w:hAnsi="Symbol" w:eastAsia="Times New Roman"/>
        <w:color w:val="auto"/>
      </w:rPr>
    </w:lvl>
  </w:abstractNum>
  <w:abstractNum w:abstractNumId="42">
    <w:nsid w:val="36D24E91"/>
    <w:multiLevelType w:val="multilevel"/>
    <w:tmpl w:val="36D24E9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3">
    <w:nsid w:val="375154A2"/>
    <w:multiLevelType w:val="multilevel"/>
    <w:tmpl w:val="375154A2"/>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4">
    <w:nsid w:val="37AE4C5B"/>
    <w:multiLevelType w:val="multilevel"/>
    <w:tmpl w:val="37AE4C5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5">
    <w:nsid w:val="3A877D64"/>
    <w:multiLevelType w:val="multilevel"/>
    <w:tmpl w:val="3A877D64"/>
    <w:lvl w:ilvl="0" w:tentative="0">
      <w:start w:val="1"/>
      <w:numFmt w:val="decimal"/>
      <w:pStyle w:val="72"/>
      <w:lvlText w:val="[%1]"/>
      <w:lvlJc w:val="left"/>
      <w:pPr>
        <w:tabs>
          <w:tab w:val="left" w:pos="360"/>
        </w:tabs>
        <w:ind w:left="360" w:hanging="360"/>
      </w:pPr>
      <w:rPr>
        <w:b w:val="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46">
    <w:nsid w:val="3AA46647"/>
    <w:multiLevelType w:val="multilevel"/>
    <w:tmpl w:val="3AA46647"/>
    <w:lvl w:ilvl="0" w:tentative="0">
      <w:start w:val="1"/>
      <w:numFmt w:val="decimal"/>
      <w:pStyle w:val="212"/>
      <w:lvlText w:val="Proposal %1"/>
      <w:lvlJc w:val="left"/>
      <w:pPr>
        <w:tabs>
          <w:tab w:val="left" w:pos="1304"/>
        </w:tabs>
        <w:ind w:left="1304" w:hanging="1304"/>
      </w:pPr>
      <w:rPr>
        <w:rFonts w:hint="default"/>
        <w:b/>
      </w:rPr>
    </w:lvl>
    <w:lvl w:ilvl="1" w:tentative="0">
      <w:start w:val="1"/>
      <w:numFmt w:val="lowerLetter"/>
      <w:lvlText w:val="%2."/>
      <w:lvlJc w:val="left"/>
      <w:pPr>
        <w:tabs>
          <w:tab w:val="left" w:pos="22"/>
        </w:tabs>
        <w:ind w:left="22" w:hanging="360"/>
      </w:pPr>
      <w:rPr>
        <w:rFonts w:hint="default"/>
      </w:rPr>
    </w:lvl>
    <w:lvl w:ilvl="2" w:tentative="0">
      <w:start w:val="1"/>
      <w:numFmt w:val="lowerRoman"/>
      <w:lvlText w:val="%3."/>
      <w:lvlJc w:val="right"/>
      <w:pPr>
        <w:tabs>
          <w:tab w:val="left" w:pos="742"/>
        </w:tabs>
        <w:ind w:left="742" w:hanging="180"/>
      </w:pPr>
      <w:rPr>
        <w:rFonts w:hint="default"/>
      </w:rPr>
    </w:lvl>
    <w:lvl w:ilvl="3" w:tentative="0">
      <w:start w:val="1"/>
      <w:numFmt w:val="decimal"/>
      <w:lvlText w:val="%4."/>
      <w:lvlJc w:val="left"/>
      <w:pPr>
        <w:tabs>
          <w:tab w:val="left" w:pos="1462"/>
        </w:tabs>
        <w:ind w:left="1462" w:hanging="360"/>
      </w:pPr>
      <w:rPr>
        <w:rFonts w:hint="default"/>
      </w:rPr>
    </w:lvl>
    <w:lvl w:ilvl="4" w:tentative="0">
      <w:start w:val="1"/>
      <w:numFmt w:val="lowerLetter"/>
      <w:lvlText w:val="%5."/>
      <w:lvlJc w:val="left"/>
      <w:pPr>
        <w:tabs>
          <w:tab w:val="left" w:pos="2182"/>
        </w:tabs>
        <w:ind w:left="2182" w:hanging="360"/>
      </w:pPr>
      <w:rPr>
        <w:rFonts w:hint="default"/>
      </w:rPr>
    </w:lvl>
    <w:lvl w:ilvl="5" w:tentative="0">
      <w:start w:val="1"/>
      <w:numFmt w:val="lowerRoman"/>
      <w:lvlText w:val="%6."/>
      <w:lvlJc w:val="right"/>
      <w:pPr>
        <w:tabs>
          <w:tab w:val="left" w:pos="2902"/>
        </w:tabs>
        <w:ind w:left="2902" w:hanging="180"/>
      </w:pPr>
      <w:rPr>
        <w:rFonts w:hint="default"/>
      </w:rPr>
    </w:lvl>
    <w:lvl w:ilvl="6" w:tentative="0">
      <w:start w:val="1"/>
      <w:numFmt w:val="decimal"/>
      <w:lvlText w:val="%7."/>
      <w:lvlJc w:val="left"/>
      <w:pPr>
        <w:tabs>
          <w:tab w:val="left" w:pos="3622"/>
        </w:tabs>
        <w:ind w:left="3622" w:hanging="360"/>
      </w:pPr>
      <w:rPr>
        <w:rFonts w:hint="default"/>
      </w:rPr>
    </w:lvl>
    <w:lvl w:ilvl="7" w:tentative="0">
      <w:start w:val="1"/>
      <w:numFmt w:val="lowerLetter"/>
      <w:lvlText w:val="%8."/>
      <w:lvlJc w:val="left"/>
      <w:pPr>
        <w:tabs>
          <w:tab w:val="left" w:pos="4342"/>
        </w:tabs>
        <w:ind w:left="4342" w:hanging="360"/>
      </w:pPr>
      <w:rPr>
        <w:rFonts w:hint="default"/>
      </w:rPr>
    </w:lvl>
    <w:lvl w:ilvl="8" w:tentative="0">
      <w:start w:val="1"/>
      <w:numFmt w:val="lowerRoman"/>
      <w:lvlText w:val="%9."/>
      <w:lvlJc w:val="right"/>
      <w:pPr>
        <w:tabs>
          <w:tab w:val="left" w:pos="5062"/>
        </w:tabs>
        <w:ind w:left="5062" w:hanging="180"/>
      </w:pPr>
      <w:rPr>
        <w:rFonts w:hint="default"/>
      </w:rPr>
    </w:lvl>
  </w:abstractNum>
  <w:abstractNum w:abstractNumId="47">
    <w:nsid w:val="3F600690"/>
    <w:multiLevelType w:val="multilevel"/>
    <w:tmpl w:val="3F60069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8">
    <w:nsid w:val="40566FD7"/>
    <w:multiLevelType w:val="multilevel"/>
    <w:tmpl w:val="40566FD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9">
    <w:nsid w:val="40DE34BC"/>
    <w:multiLevelType w:val="multilevel"/>
    <w:tmpl w:val="40DE34BC"/>
    <w:lvl w:ilvl="0" w:tentative="0">
      <w:start w:val="1"/>
      <w:numFmt w:val="decimal"/>
      <w:pStyle w:val="159"/>
      <w:lvlText w:val="%1."/>
      <w:lvlJc w:val="left"/>
      <w:pPr>
        <w:tabs>
          <w:tab w:val="left" w:pos="360"/>
        </w:tabs>
        <w:ind w:left="360" w:hanging="360"/>
      </w:p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50">
    <w:nsid w:val="4133073C"/>
    <w:multiLevelType w:val="multilevel"/>
    <w:tmpl w:val="4133073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1">
    <w:nsid w:val="439E52B3"/>
    <w:multiLevelType w:val="multilevel"/>
    <w:tmpl w:val="439E52B3"/>
    <w:lvl w:ilvl="0" w:tentative="0">
      <w:start w:val="1"/>
      <w:numFmt w:val="decimal"/>
      <w:lvlText w:val="%1."/>
      <w:lvlJc w:val="left"/>
      <w:pPr>
        <w:ind w:left="360" w:hanging="360"/>
      </w:pPr>
    </w:lvl>
    <w:lvl w:ilvl="1" w:tentative="0">
      <w:start w:val="1"/>
      <w:numFmt w:val="lowerLetter"/>
      <w:lvlText w:val="%2."/>
      <w:lvlJc w:val="left"/>
      <w:pPr>
        <w:ind w:left="1080" w:hanging="360"/>
      </w:pPr>
    </w:lvl>
    <w:lvl w:ilvl="2" w:tentative="0">
      <w:start w:val="1"/>
      <w:numFmt w:val="lowerRoman"/>
      <w:lvlText w:val="%3."/>
      <w:lvlJc w:val="right"/>
      <w:pPr>
        <w:ind w:left="1800" w:hanging="180"/>
      </w:pPr>
    </w:lvl>
    <w:lvl w:ilvl="3" w:tentative="0">
      <w:start w:val="1"/>
      <w:numFmt w:val="decimal"/>
      <w:lvlText w:val="%4."/>
      <w:lvlJc w:val="left"/>
      <w:pPr>
        <w:ind w:left="2520" w:hanging="360"/>
      </w:pPr>
    </w:lvl>
    <w:lvl w:ilvl="4" w:tentative="0">
      <w:start w:val="1"/>
      <w:numFmt w:val="lowerLetter"/>
      <w:lvlText w:val="%5."/>
      <w:lvlJc w:val="left"/>
      <w:pPr>
        <w:ind w:left="3240" w:hanging="360"/>
      </w:pPr>
    </w:lvl>
    <w:lvl w:ilvl="5" w:tentative="0">
      <w:start w:val="1"/>
      <w:numFmt w:val="lowerRoman"/>
      <w:lvlText w:val="%6."/>
      <w:lvlJc w:val="right"/>
      <w:pPr>
        <w:ind w:left="3960" w:hanging="180"/>
      </w:pPr>
    </w:lvl>
    <w:lvl w:ilvl="6" w:tentative="0">
      <w:start w:val="1"/>
      <w:numFmt w:val="decimal"/>
      <w:lvlText w:val="%7."/>
      <w:lvlJc w:val="left"/>
      <w:pPr>
        <w:ind w:left="4680" w:hanging="360"/>
      </w:pPr>
    </w:lvl>
    <w:lvl w:ilvl="7" w:tentative="0">
      <w:start w:val="1"/>
      <w:numFmt w:val="lowerLetter"/>
      <w:lvlText w:val="%8."/>
      <w:lvlJc w:val="left"/>
      <w:pPr>
        <w:ind w:left="5400" w:hanging="360"/>
      </w:pPr>
    </w:lvl>
    <w:lvl w:ilvl="8" w:tentative="0">
      <w:start w:val="1"/>
      <w:numFmt w:val="lowerRoman"/>
      <w:lvlText w:val="%9."/>
      <w:lvlJc w:val="right"/>
      <w:pPr>
        <w:ind w:left="6120" w:hanging="180"/>
      </w:pPr>
    </w:lvl>
  </w:abstractNum>
  <w:abstractNum w:abstractNumId="52">
    <w:nsid w:val="44A10EE5"/>
    <w:multiLevelType w:val="multilevel"/>
    <w:tmpl w:val="44A10EE5"/>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3">
    <w:nsid w:val="45A86F7F"/>
    <w:multiLevelType w:val="multilevel"/>
    <w:tmpl w:val="45A86F7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4">
    <w:nsid w:val="45D4254C"/>
    <w:multiLevelType w:val="multilevel"/>
    <w:tmpl w:val="45D4254C"/>
    <w:lvl w:ilvl="0" w:tentative="0">
      <w:start w:val="0"/>
      <w:numFmt w:val="bullet"/>
      <w:lvlText w:val="-"/>
      <w:lvlJc w:val="left"/>
      <w:pPr>
        <w:ind w:left="720" w:hanging="360"/>
      </w:pPr>
      <w:rPr>
        <w:rFonts w:hint="default" w:ascii="Times New Roman" w:hAnsi="Times New Roman" w:eastAsia="Calibri"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5">
    <w:nsid w:val="45ED6065"/>
    <w:multiLevelType w:val="multilevel"/>
    <w:tmpl w:val="45ED6065"/>
    <w:lvl w:ilvl="0" w:tentative="0">
      <w:start w:val="1"/>
      <w:numFmt w:val="decimal"/>
      <w:suff w:val="space"/>
      <w:lvlText w:val="Proposal %1:"/>
      <w:lvlJc w:val="left"/>
      <w:pPr>
        <w:ind w:left="0" w:firstLine="0"/>
      </w:pPr>
      <w:rPr>
        <w:rFonts w:hint="default" w:ascii="Times New Roman" w:hAnsi="Times New Roman"/>
        <w:b/>
        <w:i/>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6">
    <w:nsid w:val="464D3319"/>
    <w:multiLevelType w:val="multilevel"/>
    <w:tmpl w:val="464D3319"/>
    <w:lvl w:ilvl="0" w:tentative="0">
      <w:start w:val="1"/>
      <w:numFmt w:val="decimal"/>
      <w:pStyle w:val="154"/>
      <w:lvlText w:val="%1"/>
      <w:lvlJc w:val="left"/>
      <w:pPr>
        <w:tabs>
          <w:tab w:val="left" w:pos="735"/>
        </w:tabs>
        <w:ind w:left="735" w:hanging="735"/>
      </w:pPr>
      <w:rPr>
        <w:rFonts w:hint="default"/>
      </w:rPr>
    </w:lvl>
    <w:lvl w:ilvl="1" w:tentative="0">
      <w:start w:val="1"/>
      <w:numFmt w:val="decimal"/>
      <w:lvlText w:val="%1.%2"/>
      <w:lvlJc w:val="left"/>
      <w:pPr>
        <w:tabs>
          <w:tab w:val="left" w:pos="735"/>
        </w:tabs>
        <w:ind w:left="735" w:hanging="735"/>
      </w:pPr>
      <w:rPr>
        <w:rFonts w:hint="default"/>
      </w:rPr>
    </w:lvl>
    <w:lvl w:ilvl="2" w:tentative="0">
      <w:start w:val="1"/>
      <w:numFmt w:val="decimal"/>
      <w:lvlText w:val="%1.%2.%3"/>
      <w:lvlJc w:val="left"/>
      <w:pPr>
        <w:tabs>
          <w:tab w:val="left" w:pos="1080"/>
        </w:tabs>
        <w:ind w:left="735" w:hanging="735"/>
      </w:pPr>
      <w:rPr>
        <w:rFonts w:hint="default"/>
      </w:rPr>
    </w:lvl>
    <w:lvl w:ilvl="3" w:tentative="0">
      <w:start w:val="1"/>
      <w:numFmt w:val="decimal"/>
      <w:lvlText w:val="%1.%2.%3.%4"/>
      <w:lvlJc w:val="left"/>
      <w:pPr>
        <w:tabs>
          <w:tab w:val="left" w:pos="1440"/>
        </w:tabs>
        <w:ind w:left="735" w:hanging="735"/>
      </w:pPr>
      <w:rPr>
        <w:rFonts w:hint="default"/>
      </w:rPr>
    </w:lvl>
    <w:lvl w:ilvl="4" w:tentative="0">
      <w:start w:val="1"/>
      <w:numFmt w:val="decimal"/>
      <w:lvlText w:val="%1.%2.%3.%4.%5"/>
      <w:lvlJc w:val="left"/>
      <w:pPr>
        <w:tabs>
          <w:tab w:val="left" w:pos="1440"/>
        </w:tabs>
        <w:ind w:left="1080" w:hanging="1080"/>
      </w:pPr>
      <w:rPr>
        <w:rFonts w:hint="default"/>
      </w:rPr>
    </w:lvl>
    <w:lvl w:ilvl="5" w:tentative="0">
      <w:start w:val="1"/>
      <w:numFmt w:val="decimal"/>
      <w:lvlText w:val="%1.%2.%3.%4.%5.%6"/>
      <w:lvlJc w:val="left"/>
      <w:pPr>
        <w:tabs>
          <w:tab w:val="left" w:pos="1800"/>
        </w:tabs>
        <w:ind w:left="1080" w:hanging="1080"/>
      </w:pPr>
      <w:rPr>
        <w:rFonts w:hint="default"/>
      </w:rPr>
    </w:lvl>
    <w:lvl w:ilvl="6" w:tentative="0">
      <w:start w:val="1"/>
      <w:numFmt w:val="decimal"/>
      <w:lvlText w:val="%1.%2.%3.%4.%5.%6.%7"/>
      <w:lvlJc w:val="left"/>
      <w:pPr>
        <w:tabs>
          <w:tab w:val="left" w:pos="1440"/>
        </w:tabs>
        <w:ind w:left="1440" w:hanging="1440"/>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800"/>
        </w:tabs>
        <w:ind w:left="1800" w:hanging="1800"/>
      </w:pPr>
      <w:rPr>
        <w:rFonts w:hint="default"/>
      </w:rPr>
    </w:lvl>
  </w:abstractNum>
  <w:abstractNum w:abstractNumId="57">
    <w:nsid w:val="468519EC"/>
    <w:multiLevelType w:val="multilevel"/>
    <w:tmpl w:val="468519EC"/>
    <w:lvl w:ilvl="0" w:tentative="0">
      <w:start w:val="0"/>
      <w:numFmt w:val="bullet"/>
      <w:lvlText w:val="-"/>
      <w:lvlJc w:val="left"/>
      <w:pPr>
        <w:ind w:left="760" w:hanging="360"/>
      </w:pPr>
      <w:rPr>
        <w:rFonts w:hint="default" w:ascii="Times" w:hAnsi="Times" w:eastAsia="Batang" w:cs="Times"/>
      </w:rPr>
    </w:lvl>
    <w:lvl w:ilvl="1" w:tentative="0">
      <w:start w:val="1"/>
      <w:numFmt w:val="bullet"/>
      <w:lvlText w:val=""/>
      <w:lvlJc w:val="left"/>
      <w:pPr>
        <w:ind w:left="1200" w:hanging="400"/>
      </w:pPr>
      <w:rPr>
        <w:rFonts w:hint="default" w:ascii="Wingdings" w:hAnsi="Wingdings"/>
      </w:rPr>
    </w:lvl>
    <w:lvl w:ilvl="2" w:tentative="0">
      <w:start w:val="1"/>
      <w:numFmt w:val="bullet"/>
      <w:lvlText w:val=""/>
      <w:lvlJc w:val="left"/>
      <w:pPr>
        <w:ind w:left="1600" w:hanging="400"/>
      </w:pPr>
      <w:rPr>
        <w:rFonts w:hint="default" w:ascii="Wingdings" w:hAnsi="Wingdings"/>
      </w:rPr>
    </w:lvl>
    <w:lvl w:ilvl="3" w:tentative="0">
      <w:start w:val="1"/>
      <w:numFmt w:val="bullet"/>
      <w:lvlText w:val=""/>
      <w:lvlJc w:val="left"/>
      <w:pPr>
        <w:ind w:left="2000" w:hanging="400"/>
      </w:pPr>
      <w:rPr>
        <w:rFonts w:hint="default" w:ascii="Wingdings" w:hAnsi="Wingdings"/>
      </w:rPr>
    </w:lvl>
    <w:lvl w:ilvl="4" w:tentative="0">
      <w:start w:val="1"/>
      <w:numFmt w:val="bullet"/>
      <w:lvlText w:val=""/>
      <w:lvlJc w:val="left"/>
      <w:pPr>
        <w:ind w:left="2400" w:hanging="400"/>
      </w:pPr>
      <w:rPr>
        <w:rFonts w:hint="default" w:ascii="Wingdings" w:hAnsi="Wingdings"/>
      </w:rPr>
    </w:lvl>
    <w:lvl w:ilvl="5" w:tentative="0">
      <w:start w:val="1"/>
      <w:numFmt w:val="bullet"/>
      <w:lvlText w:val=""/>
      <w:lvlJc w:val="left"/>
      <w:pPr>
        <w:ind w:left="2800" w:hanging="400"/>
      </w:pPr>
      <w:rPr>
        <w:rFonts w:hint="default" w:ascii="Wingdings" w:hAnsi="Wingdings"/>
      </w:rPr>
    </w:lvl>
    <w:lvl w:ilvl="6" w:tentative="0">
      <w:start w:val="1"/>
      <w:numFmt w:val="bullet"/>
      <w:lvlText w:val=""/>
      <w:lvlJc w:val="left"/>
      <w:pPr>
        <w:ind w:left="3200" w:hanging="400"/>
      </w:pPr>
      <w:rPr>
        <w:rFonts w:hint="default" w:ascii="Wingdings" w:hAnsi="Wingdings"/>
      </w:rPr>
    </w:lvl>
    <w:lvl w:ilvl="7" w:tentative="0">
      <w:start w:val="1"/>
      <w:numFmt w:val="bullet"/>
      <w:lvlText w:val=""/>
      <w:lvlJc w:val="left"/>
      <w:pPr>
        <w:ind w:left="3600" w:hanging="400"/>
      </w:pPr>
      <w:rPr>
        <w:rFonts w:hint="default" w:ascii="Wingdings" w:hAnsi="Wingdings"/>
      </w:rPr>
    </w:lvl>
    <w:lvl w:ilvl="8" w:tentative="0">
      <w:start w:val="1"/>
      <w:numFmt w:val="bullet"/>
      <w:lvlText w:val=""/>
      <w:lvlJc w:val="left"/>
      <w:pPr>
        <w:ind w:left="4000" w:hanging="400"/>
      </w:pPr>
      <w:rPr>
        <w:rFonts w:hint="default" w:ascii="Wingdings" w:hAnsi="Wingdings"/>
      </w:rPr>
    </w:lvl>
  </w:abstractNum>
  <w:abstractNum w:abstractNumId="58">
    <w:nsid w:val="4859360F"/>
    <w:multiLevelType w:val="multilevel"/>
    <w:tmpl w:val="4859360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9">
    <w:nsid w:val="49521B6F"/>
    <w:multiLevelType w:val="multilevel"/>
    <w:tmpl w:val="49521B6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0">
    <w:nsid w:val="4A55685D"/>
    <w:multiLevelType w:val="multilevel"/>
    <w:tmpl w:val="4A55685D"/>
    <w:lvl w:ilvl="0" w:tentative="0">
      <w:start w:val="1"/>
      <w:numFmt w:val="bullet"/>
      <w:pStyle w:val="155"/>
      <w:lvlText w:val=""/>
      <w:lvlJc w:val="left"/>
      <w:pPr>
        <w:tabs>
          <w:tab w:val="left" w:pos="992"/>
        </w:tabs>
        <w:ind w:left="992" w:hanging="425"/>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61">
    <w:nsid w:val="4B1F283C"/>
    <w:multiLevelType w:val="multilevel"/>
    <w:tmpl w:val="4B1F283C"/>
    <w:lvl w:ilvl="0" w:tentative="0">
      <w:start w:val="1"/>
      <w:numFmt w:val="bullet"/>
      <w:pStyle w:val="157"/>
      <w:lvlText w:val=""/>
      <w:lvlJc w:val="left"/>
      <w:pPr>
        <w:tabs>
          <w:tab w:val="left" w:pos="1843"/>
        </w:tabs>
        <w:ind w:left="1843" w:hanging="425"/>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62">
    <w:nsid w:val="4B304822"/>
    <w:multiLevelType w:val="multilevel"/>
    <w:tmpl w:val="4B304822"/>
    <w:lvl w:ilvl="0" w:tentative="0">
      <w:start w:val="1"/>
      <w:numFmt w:val="bullet"/>
      <w:lvlText w:val=""/>
      <w:lvlJc w:val="left"/>
      <w:pPr>
        <w:tabs>
          <w:tab w:val="left" w:pos="720"/>
        </w:tabs>
        <w:ind w:left="720" w:hanging="360"/>
      </w:pPr>
      <w:rPr>
        <w:rFonts w:hint="default" w:ascii="Symbol" w:hAnsi="Symbol"/>
      </w:rPr>
    </w:lvl>
    <w:lvl w:ilvl="1" w:tentative="0">
      <w:start w:val="1"/>
      <w:numFmt w:val="bullet"/>
      <w:lvlText w:val="—"/>
      <w:lvlJc w:val="left"/>
      <w:pPr>
        <w:tabs>
          <w:tab w:val="left" w:pos="1440"/>
        </w:tabs>
        <w:ind w:left="1440" w:hanging="360"/>
      </w:pPr>
      <w:rPr>
        <w:rFonts w:hint="default" w:ascii="Calibri" w:hAnsi="Calibri"/>
      </w:rPr>
    </w:lvl>
    <w:lvl w:ilvl="2" w:tentative="0">
      <w:start w:val="1"/>
      <w:numFmt w:val="bullet"/>
      <w:lvlText w:val=""/>
      <w:lvlJc w:val="left"/>
      <w:pPr>
        <w:tabs>
          <w:tab w:val="left" w:pos="2160"/>
        </w:tabs>
        <w:ind w:left="2160" w:hanging="360"/>
      </w:pPr>
      <w:rPr>
        <w:rFonts w:hint="default" w:ascii="Symbol" w:hAnsi="Symbol"/>
      </w:rPr>
    </w:lvl>
    <w:lvl w:ilvl="3" w:tentative="0">
      <w:start w:val="1"/>
      <w:numFmt w:val="bullet"/>
      <w:lvlText w:val="—"/>
      <w:lvlJc w:val="left"/>
      <w:pPr>
        <w:tabs>
          <w:tab w:val="left" w:pos="2880"/>
        </w:tabs>
        <w:ind w:left="2880" w:hanging="360"/>
      </w:pPr>
      <w:rPr>
        <w:rFonts w:hint="default" w:ascii="Calibri" w:hAnsi="Calibri"/>
      </w:rPr>
    </w:lvl>
    <w:lvl w:ilvl="4" w:tentative="0">
      <w:start w:val="1"/>
      <w:numFmt w:val="bullet"/>
      <w:lvlText w:val="—"/>
      <w:lvlJc w:val="left"/>
      <w:pPr>
        <w:tabs>
          <w:tab w:val="left" w:pos="3600"/>
        </w:tabs>
        <w:ind w:left="3600" w:hanging="360"/>
      </w:pPr>
      <w:rPr>
        <w:rFonts w:hint="default" w:ascii="Calibri" w:hAnsi="Calibri"/>
      </w:rPr>
    </w:lvl>
    <w:lvl w:ilvl="5" w:tentative="0">
      <w:start w:val="1"/>
      <w:numFmt w:val="bullet"/>
      <w:lvlText w:val="—"/>
      <w:lvlJc w:val="left"/>
      <w:pPr>
        <w:tabs>
          <w:tab w:val="left" w:pos="4320"/>
        </w:tabs>
        <w:ind w:left="4320" w:hanging="360"/>
      </w:pPr>
      <w:rPr>
        <w:rFonts w:hint="default" w:ascii="Calibri" w:hAnsi="Calibri"/>
      </w:rPr>
    </w:lvl>
    <w:lvl w:ilvl="6" w:tentative="0">
      <w:start w:val="1"/>
      <w:numFmt w:val="bullet"/>
      <w:lvlText w:val="—"/>
      <w:lvlJc w:val="left"/>
      <w:pPr>
        <w:tabs>
          <w:tab w:val="left" w:pos="5040"/>
        </w:tabs>
        <w:ind w:left="5040" w:hanging="360"/>
      </w:pPr>
      <w:rPr>
        <w:rFonts w:hint="default" w:ascii="Calibri" w:hAnsi="Calibri"/>
      </w:rPr>
    </w:lvl>
    <w:lvl w:ilvl="7" w:tentative="0">
      <w:start w:val="1"/>
      <w:numFmt w:val="bullet"/>
      <w:lvlText w:val="—"/>
      <w:lvlJc w:val="left"/>
      <w:pPr>
        <w:tabs>
          <w:tab w:val="left" w:pos="5760"/>
        </w:tabs>
        <w:ind w:left="5760" w:hanging="360"/>
      </w:pPr>
      <w:rPr>
        <w:rFonts w:hint="default" w:ascii="Calibri" w:hAnsi="Calibri"/>
      </w:rPr>
    </w:lvl>
    <w:lvl w:ilvl="8" w:tentative="0">
      <w:start w:val="1"/>
      <w:numFmt w:val="bullet"/>
      <w:lvlText w:val="—"/>
      <w:lvlJc w:val="left"/>
      <w:pPr>
        <w:tabs>
          <w:tab w:val="left" w:pos="6480"/>
        </w:tabs>
        <w:ind w:left="6480" w:hanging="360"/>
      </w:pPr>
      <w:rPr>
        <w:rFonts w:hint="default" w:ascii="Calibri" w:hAnsi="Calibri"/>
      </w:rPr>
    </w:lvl>
  </w:abstractNum>
  <w:abstractNum w:abstractNumId="63">
    <w:nsid w:val="4D550C18"/>
    <w:multiLevelType w:val="multilevel"/>
    <w:tmpl w:val="4D550C1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4">
    <w:nsid w:val="4D667682"/>
    <w:multiLevelType w:val="multilevel"/>
    <w:tmpl w:val="4D667682"/>
    <w:lvl w:ilvl="0" w:tentative="0">
      <w:start w:val="1"/>
      <w:numFmt w:val="bullet"/>
      <w:lvlText w:val=""/>
      <w:lvlJc w:val="left"/>
      <w:pPr>
        <w:ind w:left="360" w:hanging="360"/>
      </w:pPr>
      <w:rPr>
        <w:rFonts w:hint="default" w:ascii="Symbol" w:hAnsi="Symbol"/>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65">
    <w:nsid w:val="4ED1737F"/>
    <w:multiLevelType w:val="multilevel"/>
    <w:tmpl w:val="4ED1737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6">
    <w:nsid w:val="4F9B4081"/>
    <w:multiLevelType w:val="multilevel"/>
    <w:tmpl w:val="4F9B408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7">
    <w:nsid w:val="507679AE"/>
    <w:multiLevelType w:val="multilevel"/>
    <w:tmpl w:val="507679AE"/>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8">
    <w:nsid w:val="5101505E"/>
    <w:multiLevelType w:val="multilevel"/>
    <w:tmpl w:val="5101505E"/>
    <w:lvl w:ilvl="0" w:tentative="0">
      <w:start w:val="1"/>
      <w:numFmt w:val="decimal"/>
      <w:pStyle w:val="227"/>
      <w:lvlText w:val="Observation %1"/>
      <w:lvlJc w:val="left"/>
      <w:pPr>
        <w:ind w:left="36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9">
    <w:nsid w:val="52CA544A"/>
    <w:multiLevelType w:val="multilevel"/>
    <w:tmpl w:val="52CA544A"/>
    <w:lvl w:ilvl="0" w:tentative="0">
      <w:start w:val="1"/>
      <w:numFmt w:val="decimal"/>
      <w:pStyle w:val="100"/>
      <w:lvlText w:val="[%1]"/>
      <w:lvlJc w:val="left"/>
      <w:pPr>
        <w:tabs>
          <w:tab w:val="left" w:pos="360"/>
        </w:tabs>
        <w:ind w:left="360" w:hanging="360"/>
      </w:pPr>
      <w:rPr>
        <w:rFonts w:hint="default" w:ascii="Times New Roman" w:hAnsi="Times New Roman" w:cs="Times New Roman"/>
        <w:b w:val="0"/>
        <w:bCs w:val="0"/>
        <w:i w:val="0"/>
        <w:iCs w:val="0"/>
        <w:sz w:val="20"/>
        <w:szCs w:val="16"/>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70">
    <w:nsid w:val="53860A2C"/>
    <w:multiLevelType w:val="multilevel"/>
    <w:tmpl w:val="53860A2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1">
    <w:nsid w:val="54A1732B"/>
    <w:multiLevelType w:val="multilevel"/>
    <w:tmpl w:val="54A1732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2">
    <w:nsid w:val="55CD732F"/>
    <w:multiLevelType w:val="multilevel"/>
    <w:tmpl w:val="55CD732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3">
    <w:nsid w:val="576B6682"/>
    <w:multiLevelType w:val="multilevel"/>
    <w:tmpl w:val="576B6682"/>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4">
    <w:nsid w:val="576D265C"/>
    <w:multiLevelType w:val="multilevel"/>
    <w:tmpl w:val="576D265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5">
    <w:nsid w:val="58A620CD"/>
    <w:multiLevelType w:val="multilevel"/>
    <w:tmpl w:val="58A620CD"/>
    <w:lvl w:ilvl="0" w:tentative="0">
      <w:start w:val="0"/>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6">
    <w:nsid w:val="59DF0DC8"/>
    <w:multiLevelType w:val="multilevel"/>
    <w:tmpl w:val="59DF0DC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7">
    <w:nsid w:val="5BC560E3"/>
    <w:multiLevelType w:val="multilevel"/>
    <w:tmpl w:val="5BC560E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8">
    <w:nsid w:val="5E006C92"/>
    <w:multiLevelType w:val="multilevel"/>
    <w:tmpl w:val="5E006C92"/>
    <w:lvl w:ilvl="0" w:tentative="0">
      <w:start w:val="1"/>
      <w:numFmt w:val="bullet"/>
      <w:lvlText w:val=""/>
      <w:lvlJc w:val="left"/>
      <w:pPr>
        <w:ind w:left="800" w:hanging="400"/>
      </w:pPr>
      <w:rPr>
        <w:rFonts w:hint="default" w:ascii="Symbol" w:hAnsi="Symbol"/>
      </w:rPr>
    </w:lvl>
    <w:lvl w:ilvl="1" w:tentative="0">
      <w:start w:val="1"/>
      <w:numFmt w:val="decimal"/>
      <w:isLgl/>
      <w:lvlText w:val="%1.%2"/>
      <w:lvlJc w:val="left"/>
      <w:pPr>
        <w:ind w:left="1120" w:hanging="720"/>
      </w:pPr>
      <w:rPr>
        <w:rFonts w:hint="default"/>
      </w:rPr>
    </w:lvl>
    <w:lvl w:ilvl="2" w:tentative="0">
      <w:start w:val="1"/>
      <w:numFmt w:val="decimal"/>
      <w:isLgl/>
      <w:lvlText w:val="%1.%2.%3"/>
      <w:lvlJc w:val="left"/>
      <w:pPr>
        <w:ind w:left="1120" w:hanging="720"/>
      </w:pPr>
      <w:rPr>
        <w:rFonts w:hint="default"/>
      </w:rPr>
    </w:lvl>
    <w:lvl w:ilvl="3" w:tentative="0">
      <w:start w:val="1"/>
      <w:numFmt w:val="decimal"/>
      <w:isLgl/>
      <w:lvlText w:val="%1.%2.%3.%4"/>
      <w:lvlJc w:val="left"/>
      <w:pPr>
        <w:ind w:left="1480" w:hanging="1080"/>
      </w:pPr>
      <w:rPr>
        <w:rFonts w:hint="default"/>
      </w:rPr>
    </w:lvl>
    <w:lvl w:ilvl="4" w:tentative="0">
      <w:start w:val="1"/>
      <w:numFmt w:val="decimal"/>
      <w:isLgl/>
      <w:lvlText w:val="%1.%2.%3.%4.%5"/>
      <w:lvlJc w:val="left"/>
      <w:pPr>
        <w:ind w:left="1840" w:hanging="1440"/>
      </w:pPr>
      <w:rPr>
        <w:rFonts w:hint="default"/>
      </w:rPr>
    </w:lvl>
    <w:lvl w:ilvl="5" w:tentative="0">
      <w:start w:val="1"/>
      <w:numFmt w:val="decimal"/>
      <w:isLgl/>
      <w:lvlText w:val="%1.%2.%3.%4.%5.%6"/>
      <w:lvlJc w:val="left"/>
      <w:pPr>
        <w:ind w:left="2200" w:hanging="1800"/>
      </w:pPr>
      <w:rPr>
        <w:rFonts w:hint="default"/>
      </w:rPr>
    </w:lvl>
    <w:lvl w:ilvl="6" w:tentative="0">
      <w:start w:val="1"/>
      <w:numFmt w:val="decimal"/>
      <w:isLgl/>
      <w:lvlText w:val="%1.%2.%3.%4.%5.%6.%7"/>
      <w:lvlJc w:val="left"/>
      <w:pPr>
        <w:ind w:left="2200" w:hanging="1800"/>
      </w:pPr>
      <w:rPr>
        <w:rFonts w:hint="default"/>
      </w:rPr>
    </w:lvl>
    <w:lvl w:ilvl="7" w:tentative="0">
      <w:start w:val="1"/>
      <w:numFmt w:val="decimal"/>
      <w:isLgl/>
      <w:lvlText w:val="%1.%2.%3.%4.%5.%6.%7.%8"/>
      <w:lvlJc w:val="left"/>
      <w:pPr>
        <w:ind w:left="2560" w:hanging="2160"/>
      </w:pPr>
      <w:rPr>
        <w:rFonts w:hint="default"/>
      </w:rPr>
    </w:lvl>
    <w:lvl w:ilvl="8" w:tentative="0">
      <w:start w:val="1"/>
      <w:numFmt w:val="decimal"/>
      <w:isLgl/>
      <w:lvlText w:val="%1.%2.%3.%4.%5.%6.%7.%8.%9"/>
      <w:lvlJc w:val="left"/>
      <w:pPr>
        <w:ind w:left="2920" w:hanging="2520"/>
      </w:pPr>
      <w:rPr>
        <w:rFonts w:hint="default"/>
      </w:rPr>
    </w:lvl>
  </w:abstractNum>
  <w:abstractNum w:abstractNumId="79">
    <w:nsid w:val="653740B5"/>
    <w:multiLevelType w:val="multilevel"/>
    <w:tmpl w:val="653740B5"/>
    <w:lvl w:ilvl="0" w:tentative="0">
      <w:start w:val="1"/>
      <w:numFmt w:val="lowerLetter"/>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80">
    <w:nsid w:val="65C165E2"/>
    <w:multiLevelType w:val="multilevel"/>
    <w:tmpl w:val="65C165E2"/>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1">
    <w:nsid w:val="669061D6"/>
    <w:multiLevelType w:val="multilevel"/>
    <w:tmpl w:val="669061D6"/>
    <w:lvl w:ilvl="0" w:tentative="0">
      <w:start w:val="0"/>
      <w:numFmt w:val="bullet"/>
      <w:lvlText w:val="-"/>
      <w:lvlJc w:val="left"/>
      <w:pPr>
        <w:ind w:left="420" w:hanging="420"/>
      </w:pPr>
      <w:rPr>
        <w:rFonts w:hint="default" w:ascii="Arial" w:hAnsi="Arial" w:eastAsia="MS Mincho" w:cs="Arial"/>
      </w:rPr>
    </w:lvl>
    <w:lvl w:ilvl="1" w:tentative="0">
      <w:start w:val="1"/>
      <w:numFmt w:val="bullet"/>
      <w:lvlText w:val="o"/>
      <w:lvlJc w:val="left"/>
      <w:pPr>
        <w:ind w:left="840" w:hanging="420"/>
      </w:pPr>
      <w:rPr>
        <w:rFonts w:hint="default" w:ascii="Courier New" w:hAnsi="Courier New" w:cs="Courier New"/>
      </w:rPr>
    </w:lvl>
    <w:lvl w:ilvl="2" w:tentative="0">
      <w:start w:val="1"/>
      <w:numFmt w:val="bullet"/>
      <w:lvlText w:val="o"/>
      <w:lvlJc w:val="left"/>
      <w:pPr>
        <w:ind w:left="1260" w:hanging="420"/>
      </w:pPr>
      <w:rPr>
        <w:rFonts w:hint="default" w:ascii="Courier New" w:hAnsi="Courier New" w:cs="Courier New"/>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82">
    <w:nsid w:val="6A0C1ECB"/>
    <w:multiLevelType w:val="multilevel"/>
    <w:tmpl w:val="6A0C1EC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3">
    <w:nsid w:val="6A79776F"/>
    <w:multiLevelType w:val="multilevel"/>
    <w:tmpl w:val="6A79776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4">
    <w:nsid w:val="6C610204"/>
    <w:multiLevelType w:val="multilevel"/>
    <w:tmpl w:val="6C610204"/>
    <w:lvl w:ilvl="0" w:tentative="0">
      <w:start w:val="1"/>
      <w:numFmt w:val="bullet"/>
      <w:lvlText w:val=""/>
      <w:lvlJc w:val="left"/>
      <w:pPr>
        <w:ind w:left="785" w:hanging="360"/>
      </w:pPr>
      <w:rPr>
        <w:rFonts w:hint="default" w:ascii="Symbol" w:hAnsi="Symbol"/>
      </w:rPr>
    </w:lvl>
    <w:lvl w:ilvl="1" w:tentative="0">
      <w:start w:val="1"/>
      <w:numFmt w:val="bullet"/>
      <w:lvlText w:val="o"/>
      <w:lvlJc w:val="left"/>
      <w:pPr>
        <w:ind w:left="1505" w:hanging="360"/>
      </w:pPr>
      <w:rPr>
        <w:rFonts w:hint="default" w:ascii="Courier New" w:hAnsi="Courier New" w:cs="Courier New"/>
      </w:rPr>
    </w:lvl>
    <w:lvl w:ilvl="2" w:tentative="0">
      <w:start w:val="1"/>
      <w:numFmt w:val="bullet"/>
      <w:lvlText w:val=""/>
      <w:lvlJc w:val="left"/>
      <w:pPr>
        <w:ind w:left="2225" w:hanging="360"/>
      </w:pPr>
      <w:rPr>
        <w:rFonts w:hint="default" w:ascii="Wingdings" w:hAnsi="Wingdings"/>
      </w:rPr>
    </w:lvl>
    <w:lvl w:ilvl="3" w:tentative="0">
      <w:start w:val="1"/>
      <w:numFmt w:val="bullet"/>
      <w:lvlText w:val=""/>
      <w:lvlJc w:val="left"/>
      <w:pPr>
        <w:ind w:left="2945" w:hanging="360"/>
      </w:pPr>
      <w:rPr>
        <w:rFonts w:hint="default" w:ascii="Symbol" w:hAnsi="Symbol"/>
      </w:rPr>
    </w:lvl>
    <w:lvl w:ilvl="4" w:tentative="0">
      <w:start w:val="1"/>
      <w:numFmt w:val="bullet"/>
      <w:lvlText w:val="o"/>
      <w:lvlJc w:val="left"/>
      <w:pPr>
        <w:ind w:left="3665" w:hanging="360"/>
      </w:pPr>
      <w:rPr>
        <w:rFonts w:hint="default" w:ascii="Courier New" w:hAnsi="Courier New" w:cs="Courier New"/>
      </w:rPr>
    </w:lvl>
    <w:lvl w:ilvl="5" w:tentative="0">
      <w:start w:val="1"/>
      <w:numFmt w:val="bullet"/>
      <w:lvlText w:val=""/>
      <w:lvlJc w:val="left"/>
      <w:pPr>
        <w:ind w:left="4385" w:hanging="360"/>
      </w:pPr>
      <w:rPr>
        <w:rFonts w:hint="default" w:ascii="Wingdings" w:hAnsi="Wingdings"/>
      </w:rPr>
    </w:lvl>
    <w:lvl w:ilvl="6" w:tentative="0">
      <w:start w:val="1"/>
      <w:numFmt w:val="bullet"/>
      <w:lvlText w:val=""/>
      <w:lvlJc w:val="left"/>
      <w:pPr>
        <w:ind w:left="5105" w:hanging="360"/>
      </w:pPr>
      <w:rPr>
        <w:rFonts w:hint="default" w:ascii="Symbol" w:hAnsi="Symbol"/>
      </w:rPr>
    </w:lvl>
    <w:lvl w:ilvl="7" w:tentative="0">
      <w:start w:val="1"/>
      <w:numFmt w:val="bullet"/>
      <w:lvlText w:val="o"/>
      <w:lvlJc w:val="left"/>
      <w:pPr>
        <w:ind w:left="5825" w:hanging="360"/>
      </w:pPr>
      <w:rPr>
        <w:rFonts w:hint="default" w:ascii="Courier New" w:hAnsi="Courier New" w:cs="Courier New"/>
      </w:rPr>
    </w:lvl>
    <w:lvl w:ilvl="8" w:tentative="0">
      <w:start w:val="1"/>
      <w:numFmt w:val="bullet"/>
      <w:lvlText w:val=""/>
      <w:lvlJc w:val="left"/>
      <w:pPr>
        <w:ind w:left="6545" w:hanging="360"/>
      </w:pPr>
      <w:rPr>
        <w:rFonts w:hint="default" w:ascii="Wingdings" w:hAnsi="Wingdings"/>
      </w:rPr>
    </w:lvl>
  </w:abstractNum>
  <w:abstractNum w:abstractNumId="85">
    <w:nsid w:val="70387276"/>
    <w:multiLevelType w:val="multilevel"/>
    <w:tmpl w:val="7038727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6">
    <w:nsid w:val="713A1556"/>
    <w:multiLevelType w:val="multilevel"/>
    <w:tmpl w:val="713A1556"/>
    <w:lvl w:ilvl="0" w:tentative="0">
      <w:start w:val="1"/>
      <w:numFmt w:val="decimal"/>
      <w:lvlText w:val="%1-"/>
      <w:lvlJc w:val="left"/>
      <w:pPr>
        <w:ind w:left="720" w:hanging="360"/>
      </w:pPr>
      <w:rPr>
        <w:rFonts w:hint="default" w:ascii="Times" w:hAnsi="Times" w:eastAsia="Batang"/>
        <w:color w:val="FF0000"/>
        <w:sz w:val="20"/>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87">
    <w:nsid w:val="72CD0621"/>
    <w:multiLevelType w:val="multilevel"/>
    <w:tmpl w:val="72CD0621"/>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88">
    <w:nsid w:val="72CE188C"/>
    <w:multiLevelType w:val="multilevel"/>
    <w:tmpl w:val="72CE188C"/>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Wingdings" w:hAnsi="Wingdings"/>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89">
    <w:nsid w:val="73E56F14"/>
    <w:multiLevelType w:val="multilevel"/>
    <w:tmpl w:val="73E56F14"/>
    <w:lvl w:ilvl="0" w:tentative="0">
      <w:start w:val="1"/>
      <w:numFmt w:val="decimal"/>
      <w:pStyle w:val="93"/>
      <w:lvlText w:val="[%1]"/>
      <w:lvlJc w:val="left"/>
      <w:pPr>
        <w:tabs>
          <w:tab w:val="left" w:pos="420"/>
        </w:tabs>
        <w:ind w:left="420" w:hanging="420"/>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90">
    <w:nsid w:val="74F64278"/>
    <w:multiLevelType w:val="multilevel"/>
    <w:tmpl w:val="74F6427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1">
    <w:nsid w:val="74FD5018"/>
    <w:multiLevelType w:val="multilevel"/>
    <w:tmpl w:val="74FD5018"/>
    <w:lvl w:ilvl="0" w:tentative="0">
      <w:start w:val="1"/>
      <w:numFmt w:val="bullet"/>
      <w:lvlText w:val=""/>
      <w:lvlJc w:val="left"/>
      <w:pPr>
        <w:ind w:left="768" w:hanging="360"/>
      </w:pPr>
      <w:rPr>
        <w:rFonts w:hint="default" w:ascii="Symbol" w:hAnsi="Symbol"/>
      </w:rPr>
    </w:lvl>
    <w:lvl w:ilvl="1" w:tentative="0">
      <w:start w:val="1"/>
      <w:numFmt w:val="bullet"/>
      <w:lvlText w:val="o"/>
      <w:lvlJc w:val="left"/>
      <w:pPr>
        <w:ind w:left="1488" w:hanging="360"/>
      </w:pPr>
      <w:rPr>
        <w:rFonts w:hint="default" w:ascii="Courier New" w:hAnsi="Courier New" w:cs="Courier New"/>
      </w:rPr>
    </w:lvl>
    <w:lvl w:ilvl="2" w:tentative="0">
      <w:start w:val="1"/>
      <w:numFmt w:val="bullet"/>
      <w:lvlText w:val=""/>
      <w:lvlJc w:val="left"/>
      <w:pPr>
        <w:ind w:left="2208" w:hanging="360"/>
      </w:pPr>
      <w:rPr>
        <w:rFonts w:hint="default" w:ascii="Wingdings" w:hAnsi="Wingdings"/>
      </w:rPr>
    </w:lvl>
    <w:lvl w:ilvl="3" w:tentative="0">
      <w:start w:val="1"/>
      <w:numFmt w:val="bullet"/>
      <w:lvlText w:val=""/>
      <w:lvlJc w:val="left"/>
      <w:pPr>
        <w:ind w:left="2928" w:hanging="360"/>
      </w:pPr>
      <w:rPr>
        <w:rFonts w:hint="default" w:ascii="Symbol" w:hAnsi="Symbol"/>
      </w:rPr>
    </w:lvl>
    <w:lvl w:ilvl="4" w:tentative="0">
      <w:start w:val="1"/>
      <w:numFmt w:val="bullet"/>
      <w:lvlText w:val="o"/>
      <w:lvlJc w:val="left"/>
      <w:pPr>
        <w:ind w:left="3648" w:hanging="360"/>
      </w:pPr>
      <w:rPr>
        <w:rFonts w:hint="default" w:ascii="Courier New" w:hAnsi="Courier New" w:cs="Courier New"/>
      </w:rPr>
    </w:lvl>
    <w:lvl w:ilvl="5" w:tentative="0">
      <w:start w:val="1"/>
      <w:numFmt w:val="bullet"/>
      <w:lvlText w:val=""/>
      <w:lvlJc w:val="left"/>
      <w:pPr>
        <w:ind w:left="4368" w:hanging="360"/>
      </w:pPr>
      <w:rPr>
        <w:rFonts w:hint="default" w:ascii="Wingdings" w:hAnsi="Wingdings"/>
      </w:rPr>
    </w:lvl>
    <w:lvl w:ilvl="6" w:tentative="0">
      <w:start w:val="1"/>
      <w:numFmt w:val="bullet"/>
      <w:lvlText w:val=""/>
      <w:lvlJc w:val="left"/>
      <w:pPr>
        <w:ind w:left="5088" w:hanging="360"/>
      </w:pPr>
      <w:rPr>
        <w:rFonts w:hint="default" w:ascii="Symbol" w:hAnsi="Symbol"/>
      </w:rPr>
    </w:lvl>
    <w:lvl w:ilvl="7" w:tentative="0">
      <w:start w:val="1"/>
      <w:numFmt w:val="bullet"/>
      <w:lvlText w:val="o"/>
      <w:lvlJc w:val="left"/>
      <w:pPr>
        <w:ind w:left="5808" w:hanging="360"/>
      </w:pPr>
      <w:rPr>
        <w:rFonts w:hint="default" w:ascii="Courier New" w:hAnsi="Courier New" w:cs="Courier New"/>
      </w:rPr>
    </w:lvl>
    <w:lvl w:ilvl="8" w:tentative="0">
      <w:start w:val="1"/>
      <w:numFmt w:val="bullet"/>
      <w:lvlText w:val=""/>
      <w:lvlJc w:val="left"/>
      <w:pPr>
        <w:ind w:left="6528" w:hanging="360"/>
      </w:pPr>
      <w:rPr>
        <w:rFonts w:hint="default" w:ascii="Wingdings" w:hAnsi="Wingdings"/>
      </w:rPr>
    </w:lvl>
  </w:abstractNum>
  <w:abstractNum w:abstractNumId="92">
    <w:nsid w:val="75551F5C"/>
    <w:multiLevelType w:val="multilevel"/>
    <w:tmpl w:val="75551F5C"/>
    <w:lvl w:ilvl="0" w:tentative="0">
      <w:start w:val="1"/>
      <w:numFmt w:val="upperLetter"/>
      <w:pStyle w:val="258"/>
      <w:lvlText w:val="%1."/>
      <w:lvlJc w:val="left"/>
      <w:pPr>
        <w:ind w:left="720" w:hanging="360"/>
      </w:pPr>
      <w:rPr>
        <w:rFonts w:hint="default"/>
      </w:rPr>
    </w:lvl>
    <w:lvl w:ilvl="1" w:tentative="0">
      <w:start w:val="1"/>
      <w:numFmt w:val="decimal"/>
      <w:lvlText w:val="%1.%2"/>
      <w:lvlJc w:val="left"/>
      <w:pPr>
        <w:ind w:left="0" w:firstLine="578"/>
      </w:pPr>
      <w:rPr>
        <w:rFonts w:hint="default"/>
      </w:rPr>
    </w:lvl>
    <w:lvl w:ilvl="2" w:tentative="0">
      <w:start w:val="1"/>
      <w:numFmt w:val="lowerRoman"/>
      <w:lvlText w:val="%3."/>
      <w:lvlJc w:val="right"/>
      <w:pPr>
        <w:ind w:left="2160" w:hanging="180"/>
      </w:pPr>
      <w:rPr>
        <w:rFonts w:hint="default"/>
      </w:rPr>
    </w:lvl>
    <w:lvl w:ilvl="3" w:tentative="0">
      <w:start w:val="1"/>
      <w:numFmt w:val="decimal"/>
      <w:lvlText w:val="%4."/>
      <w:lvlJc w:val="left"/>
      <w:pPr>
        <w:ind w:left="2880" w:hanging="360"/>
      </w:pPr>
      <w:rPr>
        <w:rFonts w:hint="default"/>
      </w:rPr>
    </w:lvl>
    <w:lvl w:ilvl="4" w:tentative="0">
      <w:start w:val="1"/>
      <w:numFmt w:val="lowerLetter"/>
      <w:lvlText w:val="%5."/>
      <w:lvlJc w:val="left"/>
      <w:pPr>
        <w:ind w:left="3600" w:hanging="360"/>
      </w:pPr>
      <w:rPr>
        <w:rFonts w:hint="default"/>
      </w:rPr>
    </w:lvl>
    <w:lvl w:ilvl="5" w:tentative="0">
      <w:start w:val="1"/>
      <w:numFmt w:val="lowerRoman"/>
      <w:lvlText w:val="%6."/>
      <w:lvlJc w:val="right"/>
      <w:pPr>
        <w:ind w:left="4320" w:hanging="180"/>
      </w:pPr>
      <w:rPr>
        <w:rFonts w:hint="default"/>
      </w:rPr>
    </w:lvl>
    <w:lvl w:ilvl="6" w:tentative="0">
      <w:start w:val="1"/>
      <w:numFmt w:val="decimal"/>
      <w:lvlText w:val="%7."/>
      <w:lvlJc w:val="left"/>
      <w:pPr>
        <w:ind w:left="5040" w:hanging="360"/>
      </w:pPr>
      <w:rPr>
        <w:rFonts w:hint="default"/>
      </w:rPr>
    </w:lvl>
    <w:lvl w:ilvl="7" w:tentative="0">
      <w:start w:val="1"/>
      <w:numFmt w:val="lowerLetter"/>
      <w:lvlText w:val="%8."/>
      <w:lvlJc w:val="left"/>
      <w:pPr>
        <w:ind w:left="5760" w:hanging="360"/>
      </w:pPr>
      <w:rPr>
        <w:rFonts w:hint="default"/>
      </w:rPr>
    </w:lvl>
    <w:lvl w:ilvl="8" w:tentative="0">
      <w:start w:val="1"/>
      <w:numFmt w:val="lowerRoman"/>
      <w:lvlText w:val="%9."/>
      <w:lvlJc w:val="right"/>
      <w:pPr>
        <w:ind w:left="6480" w:hanging="180"/>
      </w:pPr>
      <w:rPr>
        <w:rFonts w:hint="default"/>
      </w:rPr>
    </w:lvl>
  </w:abstractNum>
  <w:abstractNum w:abstractNumId="93">
    <w:nsid w:val="776D4FDD"/>
    <w:multiLevelType w:val="multilevel"/>
    <w:tmpl w:val="776D4FDD"/>
    <w:lvl w:ilvl="0" w:tentative="0">
      <w:start w:val="1"/>
      <w:numFmt w:val="bullet"/>
      <w:lvlText w:val=""/>
      <w:lvlJc w:val="left"/>
      <w:pPr>
        <w:ind w:left="720" w:hanging="360"/>
      </w:pPr>
      <w:rPr>
        <w:rFonts w:hint="default" w:ascii="Symbol" w:hAnsi="Symbol"/>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94">
    <w:nsid w:val="78F76F6F"/>
    <w:multiLevelType w:val="multilevel"/>
    <w:tmpl w:val="78F76F6F"/>
    <w:lvl w:ilvl="0" w:tentative="0">
      <w:start w:val="1"/>
      <w:numFmt w:val="bullet"/>
      <w:pStyle w:val="158"/>
      <w:lvlText w:val=""/>
      <w:lvlJc w:val="left"/>
      <w:pPr>
        <w:tabs>
          <w:tab w:val="left" w:pos="360"/>
        </w:tabs>
        <w:ind w:left="360"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95">
    <w:nsid w:val="7A266012"/>
    <w:multiLevelType w:val="multilevel"/>
    <w:tmpl w:val="7A266012"/>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6">
    <w:nsid w:val="7BB65734"/>
    <w:multiLevelType w:val="multilevel"/>
    <w:tmpl w:val="7BB65734"/>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97">
    <w:nsid w:val="7BC330F5"/>
    <w:multiLevelType w:val="multilevel"/>
    <w:tmpl w:val="7BC330F5"/>
    <w:lvl w:ilvl="0" w:tentative="0">
      <w:start w:val="1"/>
      <w:numFmt w:val="bullet"/>
      <w:pStyle w:val="74"/>
      <w:lvlText w:val=""/>
      <w:lvlJc w:val="left"/>
      <w:pPr>
        <w:tabs>
          <w:tab w:val="left" w:pos="851"/>
        </w:tabs>
        <w:ind w:left="851" w:hanging="851"/>
      </w:pPr>
      <w:rPr>
        <w:rFonts w:hint="default" w:ascii="ZapfDingbats" w:hAnsi="ZapfDingbats"/>
        <w:b/>
        <w:i w:val="0"/>
        <w:color w:val="70CEF5"/>
        <w:sz w:val="20"/>
        <w:szCs w:val="20"/>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98">
    <w:nsid w:val="7BFA0B93"/>
    <w:multiLevelType w:val="multilevel"/>
    <w:tmpl w:val="7BFA0B9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9">
    <w:nsid w:val="7D0157A0"/>
    <w:multiLevelType w:val="multilevel"/>
    <w:tmpl w:val="7D0157A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00">
    <w:nsid w:val="7F547DFD"/>
    <w:multiLevelType w:val="multilevel"/>
    <w:tmpl w:val="7F547DFD"/>
    <w:lvl w:ilvl="0" w:tentative="0">
      <w:start w:val="1"/>
      <w:numFmt w:val="bullet"/>
      <w:pStyle w:val="156"/>
      <w:lvlText w:val=""/>
      <w:lvlJc w:val="left"/>
      <w:pPr>
        <w:tabs>
          <w:tab w:val="left" w:pos="1418"/>
        </w:tabs>
        <w:ind w:left="1418" w:hanging="426"/>
      </w:pPr>
      <w:rPr>
        <w:rFonts w:hint="default" w:ascii="Wingdings" w:hAnsi="Wingdings"/>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101">
    <w:nsid w:val="7FBE6C6B"/>
    <w:multiLevelType w:val="multilevel"/>
    <w:tmpl w:val="7FBE6C6B"/>
    <w:lvl w:ilvl="0" w:tentative="0">
      <w:start w:val="1"/>
      <w:numFmt w:val="lowerLetter"/>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num w:numId="1">
    <w:abstractNumId w:val="11"/>
  </w:num>
  <w:num w:numId="2">
    <w:abstractNumId w:val="2"/>
  </w:num>
  <w:num w:numId="3">
    <w:abstractNumId w:val="45"/>
  </w:num>
  <w:num w:numId="4">
    <w:abstractNumId w:val="97"/>
  </w:num>
  <w:num w:numId="5">
    <w:abstractNumId w:val="89"/>
  </w:num>
  <w:num w:numId="6">
    <w:abstractNumId w:val="69"/>
  </w:num>
  <w:num w:numId="7">
    <w:abstractNumId w:val="56"/>
  </w:num>
  <w:num w:numId="8">
    <w:abstractNumId w:val="60"/>
  </w:num>
  <w:num w:numId="9">
    <w:abstractNumId w:val="100"/>
  </w:num>
  <w:num w:numId="10">
    <w:abstractNumId w:val="61"/>
  </w:num>
  <w:num w:numId="11">
    <w:abstractNumId w:val="94"/>
  </w:num>
  <w:num w:numId="12">
    <w:abstractNumId w:val="49"/>
  </w:num>
  <w:num w:numId="13">
    <w:abstractNumId w:val="34"/>
  </w:num>
  <w:num w:numId="14">
    <w:abstractNumId w:val="46"/>
  </w:num>
  <w:num w:numId="15">
    <w:abstractNumId w:val="68"/>
  </w:num>
  <w:num w:numId="16">
    <w:abstractNumId w:val="41"/>
  </w:num>
  <w:num w:numId="17">
    <w:abstractNumId w:val="31"/>
  </w:num>
  <w:num w:numId="18">
    <w:abstractNumId w:val="92"/>
  </w:num>
  <w:num w:numId="19">
    <w:abstractNumId w:val="1"/>
  </w:num>
  <w:num w:numId="20">
    <w:abstractNumId w:val="57"/>
  </w:num>
  <w:num w:numId="21">
    <w:abstractNumId w:val="15"/>
  </w:num>
  <w:num w:numId="22">
    <w:abstractNumId w:val="98"/>
  </w:num>
  <w:num w:numId="23">
    <w:abstractNumId w:val="76"/>
  </w:num>
  <w:num w:numId="24">
    <w:abstractNumId w:val="96"/>
  </w:num>
  <w:num w:numId="25">
    <w:abstractNumId w:val="30"/>
  </w:num>
  <w:num w:numId="26">
    <w:abstractNumId w:val="90"/>
  </w:num>
  <w:num w:numId="27">
    <w:abstractNumId w:val="21"/>
  </w:num>
  <w:num w:numId="28">
    <w:abstractNumId w:val="47"/>
  </w:num>
  <w:num w:numId="29">
    <w:abstractNumId w:val="6"/>
  </w:num>
  <w:num w:numId="30">
    <w:abstractNumId w:val="18"/>
  </w:num>
  <w:num w:numId="31">
    <w:abstractNumId w:val="13"/>
  </w:num>
  <w:num w:numId="32">
    <w:abstractNumId w:val="8"/>
  </w:num>
  <w:num w:numId="33">
    <w:abstractNumId w:val="87"/>
  </w:num>
  <w:num w:numId="34">
    <w:abstractNumId w:val="86"/>
  </w:num>
  <w:num w:numId="35">
    <w:abstractNumId w:val="7"/>
  </w:num>
  <w:num w:numId="36">
    <w:abstractNumId w:val="43"/>
  </w:num>
  <w:num w:numId="37">
    <w:abstractNumId w:val="99"/>
  </w:num>
  <w:num w:numId="38">
    <w:abstractNumId w:val="37"/>
  </w:num>
  <w:num w:numId="39">
    <w:abstractNumId w:val="42"/>
  </w:num>
  <w:num w:numId="40">
    <w:abstractNumId w:val="79"/>
  </w:num>
  <w:num w:numId="41">
    <w:abstractNumId w:val="5"/>
  </w:num>
  <w:num w:numId="42">
    <w:abstractNumId w:val="16"/>
  </w:num>
  <w:num w:numId="43">
    <w:abstractNumId w:val="44"/>
  </w:num>
  <w:num w:numId="44">
    <w:abstractNumId w:val="101"/>
  </w:num>
  <w:num w:numId="45">
    <w:abstractNumId w:val="33"/>
  </w:num>
  <w:num w:numId="46">
    <w:abstractNumId w:val="71"/>
  </w:num>
  <w:num w:numId="47">
    <w:abstractNumId w:val="48"/>
  </w:num>
  <w:num w:numId="48">
    <w:abstractNumId w:val="83"/>
  </w:num>
  <w:num w:numId="49">
    <w:abstractNumId w:val="59"/>
  </w:num>
  <w:num w:numId="50">
    <w:abstractNumId w:val="51"/>
  </w:num>
  <w:num w:numId="51">
    <w:abstractNumId w:val="23"/>
  </w:num>
  <w:num w:numId="52">
    <w:abstractNumId w:val="10"/>
  </w:num>
  <w:num w:numId="53">
    <w:abstractNumId w:val="88"/>
  </w:num>
  <w:num w:numId="54">
    <w:abstractNumId w:val="82"/>
  </w:num>
  <w:num w:numId="55">
    <w:abstractNumId w:val="80"/>
  </w:num>
  <w:num w:numId="56">
    <w:abstractNumId w:val="29"/>
  </w:num>
  <w:num w:numId="57">
    <w:abstractNumId w:val="64"/>
  </w:num>
  <w:num w:numId="58">
    <w:abstractNumId w:val="0"/>
  </w:num>
  <w:num w:numId="59">
    <w:abstractNumId w:val="38"/>
  </w:num>
  <w:num w:numId="60">
    <w:abstractNumId w:val="72"/>
  </w:num>
  <w:num w:numId="61">
    <w:abstractNumId w:val="26"/>
  </w:num>
  <w:num w:numId="62">
    <w:abstractNumId w:val="39"/>
  </w:num>
  <w:num w:numId="63">
    <w:abstractNumId w:val="74"/>
  </w:num>
  <w:num w:numId="64">
    <w:abstractNumId w:val="27"/>
  </w:num>
  <w:num w:numId="65">
    <w:abstractNumId w:val="84"/>
  </w:num>
  <w:num w:numId="66">
    <w:abstractNumId w:val="66"/>
  </w:num>
  <w:num w:numId="67">
    <w:abstractNumId w:val="55"/>
  </w:num>
  <w:num w:numId="68">
    <w:abstractNumId w:val="75"/>
  </w:num>
  <w:num w:numId="69">
    <w:abstractNumId w:val="95"/>
  </w:num>
  <w:num w:numId="70">
    <w:abstractNumId w:val="77"/>
  </w:num>
  <w:num w:numId="71">
    <w:abstractNumId w:val="24"/>
  </w:num>
  <w:num w:numId="72">
    <w:abstractNumId w:val="17"/>
  </w:num>
  <w:num w:numId="73">
    <w:abstractNumId w:val="25"/>
  </w:num>
  <w:num w:numId="74">
    <w:abstractNumId w:val="40"/>
  </w:num>
  <w:num w:numId="75">
    <w:abstractNumId w:val="78"/>
  </w:num>
  <w:num w:numId="76">
    <w:abstractNumId w:val="52"/>
  </w:num>
  <w:num w:numId="77">
    <w:abstractNumId w:val="58"/>
  </w:num>
  <w:num w:numId="78">
    <w:abstractNumId w:val="28"/>
  </w:num>
  <w:num w:numId="79">
    <w:abstractNumId w:val="81"/>
  </w:num>
  <w:num w:numId="80">
    <w:abstractNumId w:val="20"/>
  </w:num>
  <w:num w:numId="81">
    <w:abstractNumId w:val="67"/>
  </w:num>
  <w:num w:numId="82">
    <w:abstractNumId w:val="53"/>
  </w:num>
  <w:num w:numId="83">
    <w:abstractNumId w:val="9"/>
  </w:num>
  <w:num w:numId="84">
    <w:abstractNumId w:val="65"/>
  </w:num>
  <w:num w:numId="85">
    <w:abstractNumId w:val="14"/>
  </w:num>
  <w:num w:numId="86">
    <w:abstractNumId w:val="93"/>
  </w:num>
  <w:num w:numId="87">
    <w:abstractNumId w:val="22"/>
  </w:num>
  <w:num w:numId="88">
    <w:abstractNumId w:val="85"/>
  </w:num>
  <w:num w:numId="89">
    <w:abstractNumId w:val="70"/>
  </w:num>
  <w:num w:numId="90">
    <w:abstractNumId w:val="4"/>
  </w:num>
  <w:num w:numId="91">
    <w:abstractNumId w:val="50"/>
  </w:num>
  <w:num w:numId="92">
    <w:abstractNumId w:val="91"/>
  </w:num>
  <w:num w:numId="93">
    <w:abstractNumId w:val="12"/>
  </w:num>
  <w:num w:numId="94">
    <w:abstractNumId w:val="32"/>
  </w:num>
  <w:num w:numId="95">
    <w:abstractNumId w:val="54"/>
  </w:num>
  <w:num w:numId="96">
    <w:abstractNumId w:val="19"/>
  </w:num>
  <w:num w:numId="97">
    <w:abstractNumId w:val="3"/>
  </w:num>
  <w:num w:numId="98">
    <w:abstractNumId w:val="62"/>
  </w:num>
  <w:num w:numId="99">
    <w:abstractNumId w:val="63"/>
  </w:num>
  <w:num w:numId="100">
    <w:abstractNumId w:val="73"/>
  </w:num>
  <w:num w:numId="101">
    <w:abstractNumId w:val="35"/>
  </w:num>
  <w:num w:numId="102">
    <w:abstractNumId w:val="36"/>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Fu Ting">
    <w15:presenceInfo w15:providerId="None" w15:userId="Fu Ting"/>
  </w15:person>
  <w15:person w15:author="Alexander Golitschek">
    <w15:presenceInfo w15:providerId="None" w15:userId="Alexander Golitschek"/>
  </w15:person>
  <w15:person w15:author="Keyvan2">
    <w15:presenceInfo w15:providerId="None" w15:userId="Keyvan2"/>
  </w15:person>
  <w15:person w15:author="Rapp after RAN2-116e">
    <w15:presenceInfo w15:providerId="None" w15:userId="Rapp after RAN2-116e"/>
  </w15:person>
  <w15:person w15:author="Li, Yingyang">
    <w15:presenceInfo w15:providerId="AD" w15:userId="S::yingyang.li@intel.com::f2c3a07b-f119-4859-aa55-ffc32982038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oNotDisplayPageBoundaries w:val="1"/>
  <w:embedSystemFonts/>
  <w:bordersDoNotSurroundHeader w:val="1"/>
  <w:bordersDoNotSurroundFooter w:val="1"/>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ocumentProtection w:enforcement="0"/>
  <w:defaultTabStop w:val="425"/>
  <w:hyphenationZone w:val="425"/>
  <w:doNotHyphenateCaps/>
  <w:drawingGridHorizontalSpacing w:val="120"/>
  <w:drawingGridVerticalSpacing w:val="120"/>
  <w:doNotUseMarginsForDrawingGridOrigin w:val="1"/>
  <w:drawingGridHorizontalOrigin w:val="1800"/>
  <w:drawingGridVerticalOrigin w:val="1440"/>
  <w:doNotShadeFormData w:val="1"/>
  <w:noPunctuationKerning w:val="1"/>
  <w:characterSpacingControl w:val="compressPunctuation"/>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52"/>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AB3"/>
    <w:rsid w:val="00013B6F"/>
    <w:rsid w:val="000140DD"/>
    <w:rsid w:val="00014AC2"/>
    <w:rsid w:val="00014BA4"/>
    <w:rsid w:val="00014EC2"/>
    <w:rsid w:val="00014FC8"/>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D3F"/>
    <w:rsid w:val="00020FFF"/>
    <w:rsid w:val="000216C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B29"/>
    <w:rsid w:val="00024C82"/>
    <w:rsid w:val="00024DAD"/>
    <w:rsid w:val="00024DCE"/>
    <w:rsid w:val="00025A11"/>
    <w:rsid w:val="00025A37"/>
    <w:rsid w:val="00025BAF"/>
    <w:rsid w:val="00025EA6"/>
    <w:rsid w:val="00026090"/>
    <w:rsid w:val="000269DE"/>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1CF"/>
    <w:rsid w:val="00031574"/>
    <w:rsid w:val="000318F6"/>
    <w:rsid w:val="00031ADB"/>
    <w:rsid w:val="00032056"/>
    <w:rsid w:val="00032848"/>
    <w:rsid w:val="000328CA"/>
    <w:rsid w:val="00032E40"/>
    <w:rsid w:val="00032E6F"/>
    <w:rsid w:val="00032F72"/>
    <w:rsid w:val="0003376B"/>
    <w:rsid w:val="0003387C"/>
    <w:rsid w:val="000339B0"/>
    <w:rsid w:val="00033A03"/>
    <w:rsid w:val="00033D58"/>
    <w:rsid w:val="000344F8"/>
    <w:rsid w:val="00034676"/>
    <w:rsid w:val="000346E6"/>
    <w:rsid w:val="000348E2"/>
    <w:rsid w:val="00034947"/>
    <w:rsid w:val="00034A03"/>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255"/>
    <w:rsid w:val="000403F1"/>
    <w:rsid w:val="00040424"/>
    <w:rsid w:val="00040593"/>
    <w:rsid w:val="00040EDB"/>
    <w:rsid w:val="000410B6"/>
    <w:rsid w:val="00041306"/>
    <w:rsid w:val="0004145A"/>
    <w:rsid w:val="00041538"/>
    <w:rsid w:val="000417BB"/>
    <w:rsid w:val="000418F5"/>
    <w:rsid w:val="000419D8"/>
    <w:rsid w:val="00041A51"/>
    <w:rsid w:val="00041C57"/>
    <w:rsid w:val="00041C6E"/>
    <w:rsid w:val="00042168"/>
    <w:rsid w:val="00042407"/>
    <w:rsid w:val="000424B9"/>
    <w:rsid w:val="0004288B"/>
    <w:rsid w:val="00042D3F"/>
    <w:rsid w:val="000430C6"/>
    <w:rsid w:val="000431A0"/>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4B"/>
    <w:rsid w:val="00046796"/>
    <w:rsid w:val="000467FD"/>
    <w:rsid w:val="00046A89"/>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815"/>
    <w:rsid w:val="00050CC9"/>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AD3"/>
    <w:rsid w:val="00053D7D"/>
    <w:rsid w:val="0005402A"/>
    <w:rsid w:val="00054E0C"/>
    <w:rsid w:val="00055221"/>
    <w:rsid w:val="000553B1"/>
    <w:rsid w:val="00055411"/>
    <w:rsid w:val="0005541D"/>
    <w:rsid w:val="0005552D"/>
    <w:rsid w:val="00055711"/>
    <w:rsid w:val="00055FF3"/>
    <w:rsid w:val="0005633D"/>
    <w:rsid w:val="000565C8"/>
    <w:rsid w:val="00056A91"/>
    <w:rsid w:val="00056AC0"/>
    <w:rsid w:val="00056F6D"/>
    <w:rsid w:val="00057681"/>
    <w:rsid w:val="000576BD"/>
    <w:rsid w:val="000579AB"/>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8BA"/>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3A8"/>
    <w:rsid w:val="00070447"/>
    <w:rsid w:val="00070480"/>
    <w:rsid w:val="00070493"/>
    <w:rsid w:val="000706E7"/>
    <w:rsid w:val="0007076E"/>
    <w:rsid w:val="00070A6B"/>
    <w:rsid w:val="00070B2C"/>
    <w:rsid w:val="00070EF8"/>
    <w:rsid w:val="000710A8"/>
    <w:rsid w:val="00071192"/>
    <w:rsid w:val="000713A7"/>
    <w:rsid w:val="00071525"/>
    <w:rsid w:val="00071961"/>
    <w:rsid w:val="00071CAD"/>
    <w:rsid w:val="00071D7D"/>
    <w:rsid w:val="00072081"/>
    <w:rsid w:val="0007234D"/>
    <w:rsid w:val="000726E9"/>
    <w:rsid w:val="00072872"/>
    <w:rsid w:val="00072955"/>
    <w:rsid w:val="00072A80"/>
    <w:rsid w:val="00072B37"/>
    <w:rsid w:val="00072BB4"/>
    <w:rsid w:val="00072C6B"/>
    <w:rsid w:val="0007301D"/>
    <w:rsid w:val="000731A0"/>
    <w:rsid w:val="0007332C"/>
    <w:rsid w:val="000735E1"/>
    <w:rsid w:val="000736C1"/>
    <w:rsid w:val="00073797"/>
    <w:rsid w:val="000737AA"/>
    <w:rsid w:val="000737EC"/>
    <w:rsid w:val="000738A9"/>
    <w:rsid w:val="000738DB"/>
    <w:rsid w:val="00073910"/>
    <w:rsid w:val="00073BD8"/>
    <w:rsid w:val="00073DEC"/>
    <w:rsid w:val="000743FC"/>
    <w:rsid w:val="000745AA"/>
    <w:rsid w:val="00074DB1"/>
    <w:rsid w:val="00074DFD"/>
    <w:rsid w:val="00074E86"/>
    <w:rsid w:val="00075E69"/>
    <w:rsid w:val="00076097"/>
    <w:rsid w:val="00076258"/>
    <w:rsid w:val="0007640F"/>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3B8"/>
    <w:rsid w:val="000854F8"/>
    <w:rsid w:val="0008587A"/>
    <w:rsid w:val="00085E04"/>
    <w:rsid w:val="000861CD"/>
    <w:rsid w:val="00086289"/>
    <w:rsid w:val="0008628A"/>
    <w:rsid w:val="00086543"/>
    <w:rsid w:val="00086800"/>
    <w:rsid w:val="000869C2"/>
    <w:rsid w:val="000869EF"/>
    <w:rsid w:val="00087737"/>
    <w:rsid w:val="00087913"/>
    <w:rsid w:val="00087A01"/>
    <w:rsid w:val="0009009D"/>
    <w:rsid w:val="000902DC"/>
    <w:rsid w:val="0009041A"/>
    <w:rsid w:val="000904C2"/>
    <w:rsid w:val="00090A4B"/>
    <w:rsid w:val="00090D73"/>
    <w:rsid w:val="00090EC6"/>
    <w:rsid w:val="000910F2"/>
    <w:rsid w:val="000911AE"/>
    <w:rsid w:val="000911CA"/>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6991"/>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28"/>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992"/>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417"/>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6B4"/>
    <w:rsid w:val="000C17A0"/>
    <w:rsid w:val="000C1A86"/>
    <w:rsid w:val="000C1B67"/>
    <w:rsid w:val="000C1C74"/>
    <w:rsid w:val="000C1CAF"/>
    <w:rsid w:val="000C1E48"/>
    <w:rsid w:val="000C1F79"/>
    <w:rsid w:val="000C2514"/>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292"/>
    <w:rsid w:val="000C57DF"/>
    <w:rsid w:val="000C5C48"/>
    <w:rsid w:val="000C5F91"/>
    <w:rsid w:val="000C6025"/>
    <w:rsid w:val="000C705D"/>
    <w:rsid w:val="000C7283"/>
    <w:rsid w:val="000C72ED"/>
    <w:rsid w:val="000C747E"/>
    <w:rsid w:val="000C7572"/>
    <w:rsid w:val="000C75E1"/>
    <w:rsid w:val="000C77BA"/>
    <w:rsid w:val="000C7B57"/>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94"/>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5E34"/>
    <w:rsid w:val="000D601E"/>
    <w:rsid w:val="000D6240"/>
    <w:rsid w:val="000D6ABB"/>
    <w:rsid w:val="000D6B49"/>
    <w:rsid w:val="000D6C1A"/>
    <w:rsid w:val="000D6FA1"/>
    <w:rsid w:val="000D71E2"/>
    <w:rsid w:val="000D73A5"/>
    <w:rsid w:val="000D76E8"/>
    <w:rsid w:val="000D7B21"/>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9BD"/>
    <w:rsid w:val="000E1B18"/>
    <w:rsid w:val="000E2189"/>
    <w:rsid w:val="000E2825"/>
    <w:rsid w:val="000E28AC"/>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8C5"/>
    <w:rsid w:val="000F4B5F"/>
    <w:rsid w:val="000F4D90"/>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5"/>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5E70"/>
    <w:rsid w:val="00106157"/>
    <w:rsid w:val="0010698B"/>
    <w:rsid w:val="00106C2B"/>
    <w:rsid w:val="00106DC3"/>
    <w:rsid w:val="00106EB6"/>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9BC"/>
    <w:rsid w:val="00112A23"/>
    <w:rsid w:val="0011323A"/>
    <w:rsid w:val="0011368C"/>
    <w:rsid w:val="0011393B"/>
    <w:rsid w:val="00113FA7"/>
    <w:rsid w:val="00114112"/>
    <w:rsid w:val="00114168"/>
    <w:rsid w:val="001141E3"/>
    <w:rsid w:val="001144DF"/>
    <w:rsid w:val="0011557B"/>
    <w:rsid w:val="0011605B"/>
    <w:rsid w:val="0011638C"/>
    <w:rsid w:val="0011657A"/>
    <w:rsid w:val="00116CC7"/>
    <w:rsid w:val="00116E52"/>
    <w:rsid w:val="00117058"/>
    <w:rsid w:val="0011736B"/>
    <w:rsid w:val="001173CC"/>
    <w:rsid w:val="0011740B"/>
    <w:rsid w:val="001177CA"/>
    <w:rsid w:val="00117C85"/>
    <w:rsid w:val="00120264"/>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745"/>
    <w:rsid w:val="001267E4"/>
    <w:rsid w:val="0012681D"/>
    <w:rsid w:val="001268DC"/>
    <w:rsid w:val="00126F71"/>
    <w:rsid w:val="00126F74"/>
    <w:rsid w:val="00127504"/>
    <w:rsid w:val="00127580"/>
    <w:rsid w:val="001278B9"/>
    <w:rsid w:val="001278E7"/>
    <w:rsid w:val="00127905"/>
    <w:rsid w:val="00127951"/>
    <w:rsid w:val="00127AF7"/>
    <w:rsid w:val="001302CF"/>
    <w:rsid w:val="0013069C"/>
    <w:rsid w:val="00130779"/>
    <w:rsid w:val="001307A1"/>
    <w:rsid w:val="00130EA3"/>
    <w:rsid w:val="00131040"/>
    <w:rsid w:val="00131143"/>
    <w:rsid w:val="00131184"/>
    <w:rsid w:val="001311CC"/>
    <w:rsid w:val="001315EF"/>
    <w:rsid w:val="00131A15"/>
    <w:rsid w:val="00131D2E"/>
    <w:rsid w:val="001321A7"/>
    <w:rsid w:val="001321AA"/>
    <w:rsid w:val="001321D3"/>
    <w:rsid w:val="00132262"/>
    <w:rsid w:val="001324E7"/>
    <w:rsid w:val="0013257A"/>
    <w:rsid w:val="001325CD"/>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22"/>
    <w:rsid w:val="001379A4"/>
    <w:rsid w:val="00137B46"/>
    <w:rsid w:val="001402F5"/>
    <w:rsid w:val="0014052C"/>
    <w:rsid w:val="0014053C"/>
    <w:rsid w:val="0014063E"/>
    <w:rsid w:val="0014087D"/>
    <w:rsid w:val="0014087F"/>
    <w:rsid w:val="00140B01"/>
    <w:rsid w:val="00140CDF"/>
    <w:rsid w:val="00140E07"/>
    <w:rsid w:val="00140EDB"/>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13"/>
    <w:rsid w:val="00146E32"/>
    <w:rsid w:val="00146EC2"/>
    <w:rsid w:val="00147200"/>
    <w:rsid w:val="00147929"/>
    <w:rsid w:val="001479D5"/>
    <w:rsid w:val="00147CFB"/>
    <w:rsid w:val="00150041"/>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A59"/>
    <w:rsid w:val="00152FD4"/>
    <w:rsid w:val="001530AC"/>
    <w:rsid w:val="00153270"/>
    <w:rsid w:val="001533ED"/>
    <w:rsid w:val="00153740"/>
    <w:rsid w:val="00153F89"/>
    <w:rsid w:val="00154AAA"/>
    <w:rsid w:val="00154AAC"/>
    <w:rsid w:val="00154B88"/>
    <w:rsid w:val="00154D5B"/>
    <w:rsid w:val="001559FA"/>
    <w:rsid w:val="00155BEF"/>
    <w:rsid w:val="00156325"/>
    <w:rsid w:val="00156374"/>
    <w:rsid w:val="00156B1F"/>
    <w:rsid w:val="00156B73"/>
    <w:rsid w:val="00156C6F"/>
    <w:rsid w:val="00156E93"/>
    <w:rsid w:val="00157305"/>
    <w:rsid w:val="001577D8"/>
    <w:rsid w:val="0015788A"/>
    <w:rsid w:val="001579D4"/>
    <w:rsid w:val="00157E13"/>
    <w:rsid w:val="00157FC3"/>
    <w:rsid w:val="001602F8"/>
    <w:rsid w:val="00160361"/>
    <w:rsid w:val="001605B9"/>
    <w:rsid w:val="00160739"/>
    <w:rsid w:val="00160869"/>
    <w:rsid w:val="00160CFE"/>
    <w:rsid w:val="001613AE"/>
    <w:rsid w:val="00161480"/>
    <w:rsid w:val="0016166A"/>
    <w:rsid w:val="001617AE"/>
    <w:rsid w:val="00161C00"/>
    <w:rsid w:val="0016271E"/>
    <w:rsid w:val="00162826"/>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864"/>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1F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4DB"/>
    <w:rsid w:val="0018368C"/>
    <w:rsid w:val="00183835"/>
    <w:rsid w:val="00183C5C"/>
    <w:rsid w:val="00183E99"/>
    <w:rsid w:val="00183EE6"/>
    <w:rsid w:val="00184322"/>
    <w:rsid w:val="00184368"/>
    <w:rsid w:val="0018436D"/>
    <w:rsid w:val="00184463"/>
    <w:rsid w:val="00184559"/>
    <w:rsid w:val="0018471A"/>
    <w:rsid w:val="001849AF"/>
    <w:rsid w:val="001849D5"/>
    <w:rsid w:val="00184C23"/>
    <w:rsid w:val="00184C3E"/>
    <w:rsid w:val="00184FCE"/>
    <w:rsid w:val="0018533C"/>
    <w:rsid w:val="00185641"/>
    <w:rsid w:val="0018588A"/>
    <w:rsid w:val="0018591C"/>
    <w:rsid w:val="00186180"/>
    <w:rsid w:val="001863FE"/>
    <w:rsid w:val="001865D8"/>
    <w:rsid w:val="00186712"/>
    <w:rsid w:val="00186818"/>
    <w:rsid w:val="00187252"/>
    <w:rsid w:val="001873AA"/>
    <w:rsid w:val="00187A06"/>
    <w:rsid w:val="00187B97"/>
    <w:rsid w:val="0019069B"/>
    <w:rsid w:val="0019089D"/>
    <w:rsid w:val="001908E7"/>
    <w:rsid w:val="0019093C"/>
    <w:rsid w:val="00190D77"/>
    <w:rsid w:val="00190D9A"/>
    <w:rsid w:val="00191614"/>
    <w:rsid w:val="0019179D"/>
    <w:rsid w:val="00191C91"/>
    <w:rsid w:val="00192207"/>
    <w:rsid w:val="0019268E"/>
    <w:rsid w:val="00192B50"/>
    <w:rsid w:val="00192C71"/>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D1F"/>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17"/>
    <w:rsid w:val="001A4B76"/>
    <w:rsid w:val="001A4EE9"/>
    <w:rsid w:val="001A525E"/>
    <w:rsid w:val="001A54F4"/>
    <w:rsid w:val="001A5800"/>
    <w:rsid w:val="001A598F"/>
    <w:rsid w:val="001A5D79"/>
    <w:rsid w:val="001A60B9"/>
    <w:rsid w:val="001A642A"/>
    <w:rsid w:val="001A673E"/>
    <w:rsid w:val="001A6772"/>
    <w:rsid w:val="001A6964"/>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CF3"/>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927"/>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B7A5A"/>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2E"/>
    <w:rsid w:val="001C738B"/>
    <w:rsid w:val="001C740C"/>
    <w:rsid w:val="001C7464"/>
    <w:rsid w:val="001C74DB"/>
    <w:rsid w:val="001C7BED"/>
    <w:rsid w:val="001C7CD8"/>
    <w:rsid w:val="001D04CD"/>
    <w:rsid w:val="001D076B"/>
    <w:rsid w:val="001D0834"/>
    <w:rsid w:val="001D084A"/>
    <w:rsid w:val="001D086A"/>
    <w:rsid w:val="001D0FCE"/>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BD4"/>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904"/>
    <w:rsid w:val="00204032"/>
    <w:rsid w:val="002042DC"/>
    <w:rsid w:val="0020444C"/>
    <w:rsid w:val="002046C7"/>
    <w:rsid w:val="002047D9"/>
    <w:rsid w:val="00204A91"/>
    <w:rsid w:val="00204B06"/>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608"/>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0E28"/>
    <w:rsid w:val="002112B1"/>
    <w:rsid w:val="002114DC"/>
    <w:rsid w:val="00211C3D"/>
    <w:rsid w:val="00212074"/>
    <w:rsid w:val="00212316"/>
    <w:rsid w:val="00212552"/>
    <w:rsid w:val="00212591"/>
    <w:rsid w:val="00212649"/>
    <w:rsid w:val="00212B34"/>
    <w:rsid w:val="00212C10"/>
    <w:rsid w:val="00212C3E"/>
    <w:rsid w:val="00212CB6"/>
    <w:rsid w:val="00212DE3"/>
    <w:rsid w:val="00212E37"/>
    <w:rsid w:val="0021304F"/>
    <w:rsid w:val="002136E8"/>
    <w:rsid w:val="00213749"/>
    <w:rsid w:val="00213844"/>
    <w:rsid w:val="00213917"/>
    <w:rsid w:val="002140FF"/>
    <w:rsid w:val="002141E6"/>
    <w:rsid w:val="00214365"/>
    <w:rsid w:val="002144AD"/>
    <w:rsid w:val="002145B0"/>
    <w:rsid w:val="002146D9"/>
    <w:rsid w:val="00214B25"/>
    <w:rsid w:val="00214BDA"/>
    <w:rsid w:val="00214C8B"/>
    <w:rsid w:val="002156E0"/>
    <w:rsid w:val="00215AA8"/>
    <w:rsid w:val="00215CDD"/>
    <w:rsid w:val="0021609D"/>
    <w:rsid w:val="00216161"/>
    <w:rsid w:val="0021618E"/>
    <w:rsid w:val="00216E35"/>
    <w:rsid w:val="002170F5"/>
    <w:rsid w:val="002172BA"/>
    <w:rsid w:val="0021783A"/>
    <w:rsid w:val="00217A84"/>
    <w:rsid w:val="00217E0B"/>
    <w:rsid w:val="00220891"/>
    <w:rsid w:val="00220894"/>
    <w:rsid w:val="0022095B"/>
    <w:rsid w:val="00220AD5"/>
    <w:rsid w:val="00220B1A"/>
    <w:rsid w:val="00220BE6"/>
    <w:rsid w:val="0022134B"/>
    <w:rsid w:val="002216C9"/>
    <w:rsid w:val="00221D96"/>
    <w:rsid w:val="00221DE9"/>
    <w:rsid w:val="00222173"/>
    <w:rsid w:val="0022218A"/>
    <w:rsid w:val="00222688"/>
    <w:rsid w:val="00222DB9"/>
    <w:rsid w:val="002230EC"/>
    <w:rsid w:val="002235B3"/>
    <w:rsid w:val="00223D16"/>
    <w:rsid w:val="002240BD"/>
    <w:rsid w:val="0022454E"/>
    <w:rsid w:val="00224952"/>
    <w:rsid w:val="00224B23"/>
    <w:rsid w:val="00224C8B"/>
    <w:rsid w:val="00224DD2"/>
    <w:rsid w:val="0022510B"/>
    <w:rsid w:val="0022524D"/>
    <w:rsid w:val="00225255"/>
    <w:rsid w:val="002257FD"/>
    <w:rsid w:val="00225A6A"/>
    <w:rsid w:val="00225AC7"/>
    <w:rsid w:val="00225ACC"/>
    <w:rsid w:val="00225BCD"/>
    <w:rsid w:val="00225D90"/>
    <w:rsid w:val="00225EC9"/>
    <w:rsid w:val="0022645A"/>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1D1C"/>
    <w:rsid w:val="00232934"/>
    <w:rsid w:val="00232A90"/>
    <w:rsid w:val="00232CAF"/>
    <w:rsid w:val="002330B4"/>
    <w:rsid w:val="00233303"/>
    <w:rsid w:val="00233306"/>
    <w:rsid w:val="0023340E"/>
    <w:rsid w:val="002337BC"/>
    <w:rsid w:val="00233991"/>
    <w:rsid w:val="00233B8D"/>
    <w:rsid w:val="00233C84"/>
    <w:rsid w:val="00234151"/>
    <w:rsid w:val="0023417B"/>
    <w:rsid w:val="002344D3"/>
    <w:rsid w:val="002346FF"/>
    <w:rsid w:val="002347FE"/>
    <w:rsid w:val="00234F27"/>
    <w:rsid w:val="00234F8C"/>
    <w:rsid w:val="00235162"/>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6E45"/>
    <w:rsid w:val="002371FB"/>
    <w:rsid w:val="002373C1"/>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CB"/>
    <w:rsid w:val="002417F9"/>
    <w:rsid w:val="002419A9"/>
    <w:rsid w:val="00241BCC"/>
    <w:rsid w:val="00241C84"/>
    <w:rsid w:val="0024201C"/>
    <w:rsid w:val="0024231E"/>
    <w:rsid w:val="00242C4C"/>
    <w:rsid w:val="00242EF1"/>
    <w:rsid w:val="002438AC"/>
    <w:rsid w:val="00243D61"/>
    <w:rsid w:val="00243E8F"/>
    <w:rsid w:val="002442B5"/>
    <w:rsid w:val="00244474"/>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08C"/>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E1F"/>
    <w:rsid w:val="00251F81"/>
    <w:rsid w:val="0025201E"/>
    <w:rsid w:val="0025221A"/>
    <w:rsid w:val="002527C3"/>
    <w:rsid w:val="002527FF"/>
    <w:rsid w:val="00252BE0"/>
    <w:rsid w:val="00252ED3"/>
    <w:rsid w:val="002532C5"/>
    <w:rsid w:val="002532D4"/>
    <w:rsid w:val="00253588"/>
    <w:rsid w:val="00253AEF"/>
    <w:rsid w:val="00253B7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AAE"/>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87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137"/>
    <w:rsid w:val="0027422C"/>
    <w:rsid w:val="0027450A"/>
    <w:rsid w:val="002745CB"/>
    <w:rsid w:val="00274799"/>
    <w:rsid w:val="00274A19"/>
    <w:rsid w:val="00274B24"/>
    <w:rsid w:val="002750B1"/>
    <w:rsid w:val="002755CC"/>
    <w:rsid w:val="0027583E"/>
    <w:rsid w:val="002759C1"/>
    <w:rsid w:val="00275BF8"/>
    <w:rsid w:val="00275EFE"/>
    <w:rsid w:val="00276166"/>
    <w:rsid w:val="0027643B"/>
    <w:rsid w:val="00276462"/>
    <w:rsid w:val="00276473"/>
    <w:rsid w:val="00276897"/>
    <w:rsid w:val="0027689C"/>
    <w:rsid w:val="002768A9"/>
    <w:rsid w:val="00276A35"/>
    <w:rsid w:val="0027715E"/>
    <w:rsid w:val="00277411"/>
    <w:rsid w:val="00277835"/>
    <w:rsid w:val="00277B56"/>
    <w:rsid w:val="00277CF8"/>
    <w:rsid w:val="00277D47"/>
    <w:rsid w:val="00277D95"/>
    <w:rsid w:val="00277DF4"/>
    <w:rsid w:val="00280153"/>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004"/>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6E28"/>
    <w:rsid w:val="00286E4C"/>
    <w:rsid w:val="00287243"/>
    <w:rsid w:val="00287271"/>
    <w:rsid w:val="002876E7"/>
    <w:rsid w:val="00287BA8"/>
    <w:rsid w:val="00287C4E"/>
    <w:rsid w:val="00287D65"/>
    <w:rsid w:val="00287DA4"/>
    <w:rsid w:val="00287E3A"/>
    <w:rsid w:val="00287FAE"/>
    <w:rsid w:val="00290647"/>
    <w:rsid w:val="00290BA8"/>
    <w:rsid w:val="00290C4A"/>
    <w:rsid w:val="00290F9E"/>
    <w:rsid w:val="00291178"/>
    <w:rsid w:val="00291385"/>
    <w:rsid w:val="00291422"/>
    <w:rsid w:val="00291754"/>
    <w:rsid w:val="002917A0"/>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F9"/>
    <w:rsid w:val="002A39BF"/>
    <w:rsid w:val="002A4065"/>
    <w:rsid w:val="002A43D3"/>
    <w:rsid w:val="002A4C60"/>
    <w:rsid w:val="002A51DD"/>
    <w:rsid w:val="002A546C"/>
    <w:rsid w:val="002A5849"/>
    <w:rsid w:val="002A59F0"/>
    <w:rsid w:val="002A5A92"/>
    <w:rsid w:val="002A5C2F"/>
    <w:rsid w:val="002A5E49"/>
    <w:rsid w:val="002A6300"/>
    <w:rsid w:val="002A633C"/>
    <w:rsid w:val="002A6432"/>
    <w:rsid w:val="002A652C"/>
    <w:rsid w:val="002A65D1"/>
    <w:rsid w:val="002A666B"/>
    <w:rsid w:val="002A674B"/>
    <w:rsid w:val="002A680C"/>
    <w:rsid w:val="002A6A32"/>
    <w:rsid w:val="002A6C7C"/>
    <w:rsid w:val="002A6CA9"/>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500"/>
    <w:rsid w:val="002C35E4"/>
    <w:rsid w:val="002C387C"/>
    <w:rsid w:val="002C38B2"/>
    <w:rsid w:val="002C38DD"/>
    <w:rsid w:val="002C3A06"/>
    <w:rsid w:val="002C3CD0"/>
    <w:rsid w:val="002C3F9C"/>
    <w:rsid w:val="002C4039"/>
    <w:rsid w:val="002C420E"/>
    <w:rsid w:val="002C4264"/>
    <w:rsid w:val="002C4728"/>
    <w:rsid w:val="002C4859"/>
    <w:rsid w:val="002C4B7F"/>
    <w:rsid w:val="002C4C55"/>
    <w:rsid w:val="002C4EDF"/>
    <w:rsid w:val="002C5411"/>
    <w:rsid w:val="002C56E2"/>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963"/>
    <w:rsid w:val="002D1A1D"/>
    <w:rsid w:val="002D1E14"/>
    <w:rsid w:val="002D286B"/>
    <w:rsid w:val="002D2962"/>
    <w:rsid w:val="002D2A61"/>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1B9"/>
    <w:rsid w:val="002D7212"/>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BFC"/>
    <w:rsid w:val="002E4F72"/>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22"/>
    <w:rsid w:val="002F3767"/>
    <w:rsid w:val="002F3832"/>
    <w:rsid w:val="002F3CDE"/>
    <w:rsid w:val="002F3E13"/>
    <w:rsid w:val="002F43E7"/>
    <w:rsid w:val="002F4875"/>
    <w:rsid w:val="002F4922"/>
    <w:rsid w:val="002F5351"/>
    <w:rsid w:val="002F53ED"/>
    <w:rsid w:val="002F5464"/>
    <w:rsid w:val="002F5625"/>
    <w:rsid w:val="002F58CD"/>
    <w:rsid w:val="002F5A59"/>
    <w:rsid w:val="002F5DD6"/>
    <w:rsid w:val="002F5FEA"/>
    <w:rsid w:val="002F631F"/>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1BB"/>
    <w:rsid w:val="003013AB"/>
    <w:rsid w:val="00301617"/>
    <w:rsid w:val="00301A70"/>
    <w:rsid w:val="00301BEE"/>
    <w:rsid w:val="0030202E"/>
    <w:rsid w:val="00302597"/>
    <w:rsid w:val="00302754"/>
    <w:rsid w:val="00302CF3"/>
    <w:rsid w:val="00302D13"/>
    <w:rsid w:val="00303440"/>
    <w:rsid w:val="003034C3"/>
    <w:rsid w:val="00303AB7"/>
    <w:rsid w:val="00303BEF"/>
    <w:rsid w:val="00303C1E"/>
    <w:rsid w:val="00304052"/>
    <w:rsid w:val="003043A1"/>
    <w:rsid w:val="00304C5B"/>
    <w:rsid w:val="00304D9B"/>
    <w:rsid w:val="00304DE8"/>
    <w:rsid w:val="00305058"/>
    <w:rsid w:val="0030511B"/>
    <w:rsid w:val="00305284"/>
    <w:rsid w:val="00305664"/>
    <w:rsid w:val="0030578B"/>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19"/>
    <w:rsid w:val="00307338"/>
    <w:rsid w:val="003077CC"/>
    <w:rsid w:val="003077DB"/>
    <w:rsid w:val="003079A4"/>
    <w:rsid w:val="00307C36"/>
    <w:rsid w:val="00307DCE"/>
    <w:rsid w:val="00310097"/>
    <w:rsid w:val="003100C8"/>
    <w:rsid w:val="00310194"/>
    <w:rsid w:val="0031052E"/>
    <w:rsid w:val="003106DE"/>
    <w:rsid w:val="00310A46"/>
    <w:rsid w:val="00310EC7"/>
    <w:rsid w:val="00311053"/>
    <w:rsid w:val="00311161"/>
    <w:rsid w:val="00311397"/>
    <w:rsid w:val="003117AB"/>
    <w:rsid w:val="00311B29"/>
    <w:rsid w:val="00311F68"/>
    <w:rsid w:val="00311F6F"/>
    <w:rsid w:val="00312400"/>
    <w:rsid w:val="0031249F"/>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1C7"/>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85E"/>
    <w:rsid w:val="003209A4"/>
    <w:rsid w:val="00320BA6"/>
    <w:rsid w:val="00320C1A"/>
    <w:rsid w:val="00320C54"/>
    <w:rsid w:val="0032100B"/>
    <w:rsid w:val="00321793"/>
    <w:rsid w:val="00321B5B"/>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23"/>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3F"/>
    <w:rsid w:val="00327D5C"/>
    <w:rsid w:val="00327F7E"/>
    <w:rsid w:val="003302AB"/>
    <w:rsid w:val="003308CA"/>
    <w:rsid w:val="00330AA4"/>
    <w:rsid w:val="00330FDB"/>
    <w:rsid w:val="00331525"/>
    <w:rsid w:val="0033171D"/>
    <w:rsid w:val="003318AA"/>
    <w:rsid w:val="003319B5"/>
    <w:rsid w:val="00331D0A"/>
    <w:rsid w:val="00331FC3"/>
    <w:rsid w:val="00332165"/>
    <w:rsid w:val="003322C0"/>
    <w:rsid w:val="0033234D"/>
    <w:rsid w:val="00332D46"/>
    <w:rsid w:val="00332F3B"/>
    <w:rsid w:val="00332F3D"/>
    <w:rsid w:val="003336B3"/>
    <w:rsid w:val="00333A5B"/>
    <w:rsid w:val="00333C98"/>
    <w:rsid w:val="0033426B"/>
    <w:rsid w:val="0033492A"/>
    <w:rsid w:val="00334EAA"/>
    <w:rsid w:val="003351B6"/>
    <w:rsid w:val="003351FF"/>
    <w:rsid w:val="00335B75"/>
    <w:rsid w:val="00335D8C"/>
    <w:rsid w:val="00335F97"/>
    <w:rsid w:val="00336072"/>
    <w:rsid w:val="0033617E"/>
    <w:rsid w:val="0033633C"/>
    <w:rsid w:val="003363A1"/>
    <w:rsid w:val="00336B3F"/>
    <w:rsid w:val="003374A4"/>
    <w:rsid w:val="00337513"/>
    <w:rsid w:val="00337D49"/>
    <w:rsid w:val="0034038E"/>
    <w:rsid w:val="00340853"/>
    <w:rsid w:val="00340946"/>
    <w:rsid w:val="00340BB7"/>
    <w:rsid w:val="003410CB"/>
    <w:rsid w:val="00341947"/>
    <w:rsid w:val="0034226D"/>
    <w:rsid w:val="0034241F"/>
    <w:rsid w:val="0034295E"/>
    <w:rsid w:val="00342972"/>
    <w:rsid w:val="00342B0A"/>
    <w:rsid w:val="00342FDD"/>
    <w:rsid w:val="00343198"/>
    <w:rsid w:val="00343479"/>
    <w:rsid w:val="00343573"/>
    <w:rsid w:val="0034371D"/>
    <w:rsid w:val="00343A4D"/>
    <w:rsid w:val="00343B4D"/>
    <w:rsid w:val="00343C97"/>
    <w:rsid w:val="00343E6E"/>
    <w:rsid w:val="0034429B"/>
    <w:rsid w:val="003442FF"/>
    <w:rsid w:val="00344645"/>
    <w:rsid w:val="003446B4"/>
    <w:rsid w:val="00344866"/>
    <w:rsid w:val="0034492F"/>
    <w:rsid w:val="00344F9B"/>
    <w:rsid w:val="00345001"/>
    <w:rsid w:val="00345DB0"/>
    <w:rsid w:val="00345F14"/>
    <w:rsid w:val="003462FD"/>
    <w:rsid w:val="0034638C"/>
    <w:rsid w:val="003463B1"/>
    <w:rsid w:val="0034666E"/>
    <w:rsid w:val="00346746"/>
    <w:rsid w:val="00346C4F"/>
    <w:rsid w:val="00346C70"/>
    <w:rsid w:val="00346F7F"/>
    <w:rsid w:val="003470E3"/>
    <w:rsid w:val="00347394"/>
    <w:rsid w:val="00347700"/>
    <w:rsid w:val="0034770B"/>
    <w:rsid w:val="0034786A"/>
    <w:rsid w:val="00347877"/>
    <w:rsid w:val="003478A8"/>
    <w:rsid w:val="00347DC4"/>
    <w:rsid w:val="00347DE2"/>
    <w:rsid w:val="003500ED"/>
    <w:rsid w:val="00350108"/>
    <w:rsid w:val="0035028B"/>
    <w:rsid w:val="003502A8"/>
    <w:rsid w:val="003505BF"/>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A26"/>
    <w:rsid w:val="00353B0A"/>
    <w:rsid w:val="00353F0E"/>
    <w:rsid w:val="00353F96"/>
    <w:rsid w:val="0035427D"/>
    <w:rsid w:val="00354362"/>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0D4"/>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C87"/>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407"/>
    <w:rsid w:val="00370D40"/>
    <w:rsid w:val="00370E4F"/>
    <w:rsid w:val="00371215"/>
    <w:rsid w:val="003713C8"/>
    <w:rsid w:val="0037158C"/>
    <w:rsid w:val="003715AA"/>
    <w:rsid w:val="003716F2"/>
    <w:rsid w:val="003717EA"/>
    <w:rsid w:val="00371DF0"/>
    <w:rsid w:val="00371E08"/>
    <w:rsid w:val="00371E33"/>
    <w:rsid w:val="00371F65"/>
    <w:rsid w:val="00372601"/>
    <w:rsid w:val="0037295B"/>
    <w:rsid w:val="00372ACA"/>
    <w:rsid w:val="00372CF0"/>
    <w:rsid w:val="00372DF3"/>
    <w:rsid w:val="00372F0D"/>
    <w:rsid w:val="003732C3"/>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C8"/>
    <w:rsid w:val="003756DB"/>
    <w:rsid w:val="00375A80"/>
    <w:rsid w:val="00375C05"/>
    <w:rsid w:val="00375D98"/>
    <w:rsid w:val="00375DC0"/>
    <w:rsid w:val="00375EF8"/>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6BC"/>
    <w:rsid w:val="0038283C"/>
    <w:rsid w:val="00382913"/>
    <w:rsid w:val="00382A43"/>
    <w:rsid w:val="00382B1C"/>
    <w:rsid w:val="00382BE2"/>
    <w:rsid w:val="00382D60"/>
    <w:rsid w:val="00382F29"/>
    <w:rsid w:val="00383433"/>
    <w:rsid w:val="00383808"/>
    <w:rsid w:val="003839D5"/>
    <w:rsid w:val="00383A21"/>
    <w:rsid w:val="00383C8D"/>
    <w:rsid w:val="00383D40"/>
    <w:rsid w:val="00383F13"/>
    <w:rsid w:val="00384166"/>
    <w:rsid w:val="00384698"/>
    <w:rsid w:val="00384929"/>
    <w:rsid w:val="00384954"/>
    <w:rsid w:val="00384B4C"/>
    <w:rsid w:val="00384B6A"/>
    <w:rsid w:val="00385089"/>
    <w:rsid w:val="00385105"/>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2"/>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BC7"/>
    <w:rsid w:val="00397C1D"/>
    <w:rsid w:val="00397CAB"/>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8DA"/>
    <w:rsid w:val="003A3D39"/>
    <w:rsid w:val="003A3EC7"/>
    <w:rsid w:val="003A40B4"/>
    <w:rsid w:val="003A4256"/>
    <w:rsid w:val="003A44DC"/>
    <w:rsid w:val="003A4796"/>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6F63"/>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A97"/>
    <w:rsid w:val="003B5CCA"/>
    <w:rsid w:val="003B5D1F"/>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C7F9E"/>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783"/>
    <w:rsid w:val="003D2C1D"/>
    <w:rsid w:val="003D2C34"/>
    <w:rsid w:val="003D3810"/>
    <w:rsid w:val="003D3A05"/>
    <w:rsid w:val="003D3AB5"/>
    <w:rsid w:val="003D3C95"/>
    <w:rsid w:val="003D3DDD"/>
    <w:rsid w:val="003D42A8"/>
    <w:rsid w:val="003D448E"/>
    <w:rsid w:val="003D4756"/>
    <w:rsid w:val="003D49CD"/>
    <w:rsid w:val="003D4CD1"/>
    <w:rsid w:val="003D51F4"/>
    <w:rsid w:val="003D586F"/>
    <w:rsid w:val="003D58EE"/>
    <w:rsid w:val="003D5CBF"/>
    <w:rsid w:val="003D5D98"/>
    <w:rsid w:val="003D63D4"/>
    <w:rsid w:val="003D66D2"/>
    <w:rsid w:val="003D67AB"/>
    <w:rsid w:val="003D6804"/>
    <w:rsid w:val="003D6FBC"/>
    <w:rsid w:val="003D709F"/>
    <w:rsid w:val="003D780C"/>
    <w:rsid w:val="003D7856"/>
    <w:rsid w:val="003D7A89"/>
    <w:rsid w:val="003E0587"/>
    <w:rsid w:val="003E06A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20F"/>
    <w:rsid w:val="003E4348"/>
    <w:rsid w:val="003E4858"/>
    <w:rsid w:val="003E4952"/>
    <w:rsid w:val="003E4BD0"/>
    <w:rsid w:val="003E4CAC"/>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5FD"/>
    <w:rsid w:val="003E77BA"/>
    <w:rsid w:val="003E7ABE"/>
    <w:rsid w:val="003E7E70"/>
    <w:rsid w:val="003E7EDB"/>
    <w:rsid w:val="003F0096"/>
    <w:rsid w:val="003F00AA"/>
    <w:rsid w:val="003F00FF"/>
    <w:rsid w:val="003F01DF"/>
    <w:rsid w:val="003F04B0"/>
    <w:rsid w:val="003F0850"/>
    <w:rsid w:val="003F09BD"/>
    <w:rsid w:val="003F0D12"/>
    <w:rsid w:val="003F0E48"/>
    <w:rsid w:val="003F0E52"/>
    <w:rsid w:val="003F1175"/>
    <w:rsid w:val="003F1552"/>
    <w:rsid w:val="003F160C"/>
    <w:rsid w:val="003F1654"/>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5C06"/>
    <w:rsid w:val="003F6798"/>
    <w:rsid w:val="003F680F"/>
    <w:rsid w:val="003F6CD2"/>
    <w:rsid w:val="003F7511"/>
    <w:rsid w:val="003F788D"/>
    <w:rsid w:val="003F7C64"/>
    <w:rsid w:val="003F7D6A"/>
    <w:rsid w:val="0040023D"/>
    <w:rsid w:val="0040032E"/>
    <w:rsid w:val="00400421"/>
    <w:rsid w:val="0040045F"/>
    <w:rsid w:val="004008E3"/>
    <w:rsid w:val="00400B09"/>
    <w:rsid w:val="00400B22"/>
    <w:rsid w:val="00400E2B"/>
    <w:rsid w:val="00400F66"/>
    <w:rsid w:val="0040126E"/>
    <w:rsid w:val="00401369"/>
    <w:rsid w:val="00401CF6"/>
    <w:rsid w:val="0040209D"/>
    <w:rsid w:val="004020D4"/>
    <w:rsid w:val="004021B6"/>
    <w:rsid w:val="004021C9"/>
    <w:rsid w:val="004026E1"/>
    <w:rsid w:val="004027B8"/>
    <w:rsid w:val="00402C38"/>
    <w:rsid w:val="00402D0A"/>
    <w:rsid w:val="00402F3C"/>
    <w:rsid w:val="00402F59"/>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4DB"/>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6B1"/>
    <w:rsid w:val="0041177E"/>
    <w:rsid w:val="00411D4B"/>
    <w:rsid w:val="00411F68"/>
    <w:rsid w:val="0041226E"/>
    <w:rsid w:val="004122E3"/>
    <w:rsid w:val="00412461"/>
    <w:rsid w:val="00412546"/>
    <w:rsid w:val="0041263F"/>
    <w:rsid w:val="00412765"/>
    <w:rsid w:val="00412FFE"/>
    <w:rsid w:val="00413053"/>
    <w:rsid w:val="0041319C"/>
    <w:rsid w:val="0041333F"/>
    <w:rsid w:val="00413600"/>
    <w:rsid w:val="004137B6"/>
    <w:rsid w:val="00413887"/>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3B4"/>
    <w:rsid w:val="004314FC"/>
    <w:rsid w:val="00431505"/>
    <w:rsid w:val="004317D9"/>
    <w:rsid w:val="004319EF"/>
    <w:rsid w:val="00431AC2"/>
    <w:rsid w:val="00431AF0"/>
    <w:rsid w:val="00431BA7"/>
    <w:rsid w:val="0043213A"/>
    <w:rsid w:val="0043227E"/>
    <w:rsid w:val="004322D3"/>
    <w:rsid w:val="00432684"/>
    <w:rsid w:val="004326E0"/>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B6D"/>
    <w:rsid w:val="00434F52"/>
    <w:rsid w:val="00434FB0"/>
    <w:rsid w:val="00435274"/>
    <w:rsid w:val="004352AD"/>
    <w:rsid w:val="0043545D"/>
    <w:rsid w:val="004354EE"/>
    <w:rsid w:val="004356DE"/>
    <w:rsid w:val="00435FA3"/>
    <w:rsid w:val="00435FE2"/>
    <w:rsid w:val="00436382"/>
    <w:rsid w:val="0043638B"/>
    <w:rsid w:val="004365CD"/>
    <w:rsid w:val="00436762"/>
    <w:rsid w:val="0043676F"/>
    <w:rsid w:val="0043685B"/>
    <w:rsid w:val="00436B60"/>
    <w:rsid w:val="00436DF1"/>
    <w:rsid w:val="00436E2F"/>
    <w:rsid w:val="00436EAB"/>
    <w:rsid w:val="004376A7"/>
    <w:rsid w:val="00437849"/>
    <w:rsid w:val="00437A1F"/>
    <w:rsid w:val="00437BAF"/>
    <w:rsid w:val="00437C7C"/>
    <w:rsid w:val="00437DB4"/>
    <w:rsid w:val="00437E2C"/>
    <w:rsid w:val="00437FF7"/>
    <w:rsid w:val="0044002F"/>
    <w:rsid w:val="004401EA"/>
    <w:rsid w:val="0044117A"/>
    <w:rsid w:val="004412FA"/>
    <w:rsid w:val="00441651"/>
    <w:rsid w:val="004418D9"/>
    <w:rsid w:val="00441E35"/>
    <w:rsid w:val="00441EA1"/>
    <w:rsid w:val="0044224D"/>
    <w:rsid w:val="00442444"/>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591D"/>
    <w:rsid w:val="0044615D"/>
    <w:rsid w:val="00446194"/>
    <w:rsid w:val="004461D9"/>
    <w:rsid w:val="00446747"/>
    <w:rsid w:val="00446AC6"/>
    <w:rsid w:val="00446EC6"/>
    <w:rsid w:val="0044759B"/>
    <w:rsid w:val="004476AE"/>
    <w:rsid w:val="00447D34"/>
    <w:rsid w:val="00447F54"/>
    <w:rsid w:val="004501DE"/>
    <w:rsid w:val="0045075B"/>
    <w:rsid w:val="00450B7E"/>
    <w:rsid w:val="00450D53"/>
    <w:rsid w:val="00450EA8"/>
    <w:rsid w:val="00450F73"/>
    <w:rsid w:val="004510D0"/>
    <w:rsid w:val="0045136B"/>
    <w:rsid w:val="004517BB"/>
    <w:rsid w:val="00451C74"/>
    <w:rsid w:val="00451C7E"/>
    <w:rsid w:val="004521A6"/>
    <w:rsid w:val="004524A5"/>
    <w:rsid w:val="00452535"/>
    <w:rsid w:val="0045261C"/>
    <w:rsid w:val="004529A4"/>
    <w:rsid w:val="00452AC6"/>
    <w:rsid w:val="00452B21"/>
    <w:rsid w:val="00452FE0"/>
    <w:rsid w:val="00453413"/>
    <w:rsid w:val="00453BB6"/>
    <w:rsid w:val="00453CAA"/>
    <w:rsid w:val="00453F17"/>
    <w:rsid w:val="00454368"/>
    <w:rsid w:val="0045451D"/>
    <w:rsid w:val="00454646"/>
    <w:rsid w:val="0045481A"/>
    <w:rsid w:val="00454851"/>
    <w:rsid w:val="004548F9"/>
    <w:rsid w:val="00454B35"/>
    <w:rsid w:val="00454BE8"/>
    <w:rsid w:val="00454CFA"/>
    <w:rsid w:val="00454E8E"/>
    <w:rsid w:val="00454EB8"/>
    <w:rsid w:val="00455113"/>
    <w:rsid w:val="004552BB"/>
    <w:rsid w:val="00455356"/>
    <w:rsid w:val="004556EB"/>
    <w:rsid w:val="004556F5"/>
    <w:rsid w:val="00455BC2"/>
    <w:rsid w:val="00455EAA"/>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06D"/>
    <w:rsid w:val="0046111A"/>
    <w:rsid w:val="00461490"/>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39A"/>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898"/>
    <w:rsid w:val="00472BC0"/>
    <w:rsid w:val="00472E27"/>
    <w:rsid w:val="00472E62"/>
    <w:rsid w:val="004730C7"/>
    <w:rsid w:val="004739D4"/>
    <w:rsid w:val="004740FE"/>
    <w:rsid w:val="00474220"/>
    <w:rsid w:val="004742A0"/>
    <w:rsid w:val="0047432B"/>
    <w:rsid w:val="0047433A"/>
    <w:rsid w:val="00474991"/>
    <w:rsid w:val="00474B75"/>
    <w:rsid w:val="0047512C"/>
    <w:rsid w:val="0047529A"/>
    <w:rsid w:val="0047529E"/>
    <w:rsid w:val="004752D3"/>
    <w:rsid w:val="004754E1"/>
    <w:rsid w:val="0047582B"/>
    <w:rsid w:val="00475A03"/>
    <w:rsid w:val="00475A81"/>
    <w:rsid w:val="00475C2C"/>
    <w:rsid w:val="00475CE0"/>
    <w:rsid w:val="00476168"/>
    <w:rsid w:val="004763B1"/>
    <w:rsid w:val="00476827"/>
    <w:rsid w:val="0047696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0EB4"/>
    <w:rsid w:val="004810A5"/>
    <w:rsid w:val="0048144B"/>
    <w:rsid w:val="00481E59"/>
    <w:rsid w:val="0048202B"/>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731"/>
    <w:rsid w:val="00490999"/>
    <w:rsid w:val="00490D12"/>
    <w:rsid w:val="00490F46"/>
    <w:rsid w:val="0049107F"/>
    <w:rsid w:val="0049131A"/>
    <w:rsid w:val="0049149F"/>
    <w:rsid w:val="004915C2"/>
    <w:rsid w:val="0049165B"/>
    <w:rsid w:val="00491BD3"/>
    <w:rsid w:val="00492118"/>
    <w:rsid w:val="00492509"/>
    <w:rsid w:val="004925E0"/>
    <w:rsid w:val="00492660"/>
    <w:rsid w:val="00492768"/>
    <w:rsid w:val="00492870"/>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85E"/>
    <w:rsid w:val="00497935"/>
    <w:rsid w:val="00497B03"/>
    <w:rsid w:val="004A0191"/>
    <w:rsid w:val="004A01C1"/>
    <w:rsid w:val="004A0904"/>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C0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489"/>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DBB"/>
    <w:rsid w:val="004B6E03"/>
    <w:rsid w:val="004B6F9D"/>
    <w:rsid w:val="004B7413"/>
    <w:rsid w:val="004B75D5"/>
    <w:rsid w:val="004B7921"/>
    <w:rsid w:val="004B792F"/>
    <w:rsid w:val="004B7E37"/>
    <w:rsid w:val="004B7F15"/>
    <w:rsid w:val="004B7F16"/>
    <w:rsid w:val="004C01A8"/>
    <w:rsid w:val="004C02B0"/>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5B27"/>
    <w:rsid w:val="004C621F"/>
    <w:rsid w:val="004C625B"/>
    <w:rsid w:val="004C6704"/>
    <w:rsid w:val="004C67FD"/>
    <w:rsid w:val="004C6883"/>
    <w:rsid w:val="004C6A83"/>
    <w:rsid w:val="004C6AD0"/>
    <w:rsid w:val="004C6C5A"/>
    <w:rsid w:val="004C6CA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2A5"/>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2FFC"/>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1B6"/>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E"/>
    <w:rsid w:val="004F308D"/>
    <w:rsid w:val="004F32B5"/>
    <w:rsid w:val="004F3342"/>
    <w:rsid w:val="004F36BE"/>
    <w:rsid w:val="004F3AA1"/>
    <w:rsid w:val="004F3B88"/>
    <w:rsid w:val="004F3C7E"/>
    <w:rsid w:val="004F4021"/>
    <w:rsid w:val="004F407E"/>
    <w:rsid w:val="004F40BC"/>
    <w:rsid w:val="004F41FC"/>
    <w:rsid w:val="004F45B4"/>
    <w:rsid w:val="004F4714"/>
    <w:rsid w:val="004F4788"/>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16"/>
    <w:rsid w:val="005028EA"/>
    <w:rsid w:val="00502B72"/>
    <w:rsid w:val="00502FBD"/>
    <w:rsid w:val="005034C5"/>
    <w:rsid w:val="00503518"/>
    <w:rsid w:val="00503725"/>
    <w:rsid w:val="005039EB"/>
    <w:rsid w:val="00503C6E"/>
    <w:rsid w:val="00503C78"/>
    <w:rsid w:val="0050415F"/>
    <w:rsid w:val="00504653"/>
    <w:rsid w:val="00504773"/>
    <w:rsid w:val="005047D5"/>
    <w:rsid w:val="00504BB0"/>
    <w:rsid w:val="00504BC1"/>
    <w:rsid w:val="00504EC9"/>
    <w:rsid w:val="00504EF6"/>
    <w:rsid w:val="00505134"/>
    <w:rsid w:val="0050533F"/>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33B"/>
    <w:rsid w:val="005104F2"/>
    <w:rsid w:val="005107C8"/>
    <w:rsid w:val="0051084B"/>
    <w:rsid w:val="00510B05"/>
    <w:rsid w:val="00510BC5"/>
    <w:rsid w:val="005115D3"/>
    <w:rsid w:val="00511703"/>
    <w:rsid w:val="0051175B"/>
    <w:rsid w:val="005119B2"/>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0C9B"/>
    <w:rsid w:val="00521027"/>
    <w:rsid w:val="0052156F"/>
    <w:rsid w:val="005218B6"/>
    <w:rsid w:val="0052242E"/>
    <w:rsid w:val="00522589"/>
    <w:rsid w:val="0052260F"/>
    <w:rsid w:val="005227EB"/>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2F"/>
    <w:rsid w:val="00526256"/>
    <w:rsid w:val="005262A9"/>
    <w:rsid w:val="00526462"/>
    <w:rsid w:val="00526D5F"/>
    <w:rsid w:val="00526E5C"/>
    <w:rsid w:val="00526EEA"/>
    <w:rsid w:val="00526F1C"/>
    <w:rsid w:val="00527097"/>
    <w:rsid w:val="005271AA"/>
    <w:rsid w:val="00527200"/>
    <w:rsid w:val="00527DCD"/>
    <w:rsid w:val="00530051"/>
    <w:rsid w:val="00530157"/>
    <w:rsid w:val="005305FE"/>
    <w:rsid w:val="00530D97"/>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211C"/>
    <w:rsid w:val="00542128"/>
    <w:rsid w:val="0054212E"/>
    <w:rsid w:val="0054214D"/>
    <w:rsid w:val="0054224D"/>
    <w:rsid w:val="005423B1"/>
    <w:rsid w:val="00542461"/>
    <w:rsid w:val="00542664"/>
    <w:rsid w:val="00542812"/>
    <w:rsid w:val="005433D9"/>
    <w:rsid w:val="0054343A"/>
    <w:rsid w:val="0054353F"/>
    <w:rsid w:val="00543739"/>
    <w:rsid w:val="005437F6"/>
    <w:rsid w:val="00543974"/>
    <w:rsid w:val="00543C2A"/>
    <w:rsid w:val="00543EBF"/>
    <w:rsid w:val="005441E2"/>
    <w:rsid w:val="005441F2"/>
    <w:rsid w:val="00544222"/>
    <w:rsid w:val="005444BF"/>
    <w:rsid w:val="00544635"/>
    <w:rsid w:val="00544ABA"/>
    <w:rsid w:val="00544D47"/>
    <w:rsid w:val="005451D6"/>
    <w:rsid w:val="0054593A"/>
    <w:rsid w:val="005459D3"/>
    <w:rsid w:val="0054637F"/>
    <w:rsid w:val="005463C5"/>
    <w:rsid w:val="005466A3"/>
    <w:rsid w:val="005467FB"/>
    <w:rsid w:val="00546AE9"/>
    <w:rsid w:val="00546C7B"/>
    <w:rsid w:val="00546DC1"/>
    <w:rsid w:val="00547072"/>
    <w:rsid w:val="0054726B"/>
    <w:rsid w:val="00547309"/>
    <w:rsid w:val="005476FF"/>
    <w:rsid w:val="00547989"/>
    <w:rsid w:val="00547B63"/>
    <w:rsid w:val="00547D46"/>
    <w:rsid w:val="00550100"/>
    <w:rsid w:val="00550366"/>
    <w:rsid w:val="00550880"/>
    <w:rsid w:val="0055094B"/>
    <w:rsid w:val="00551012"/>
    <w:rsid w:val="0055110D"/>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BD8"/>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ECC"/>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993"/>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888"/>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BBD"/>
    <w:rsid w:val="00574C08"/>
    <w:rsid w:val="00574C53"/>
    <w:rsid w:val="00574F3F"/>
    <w:rsid w:val="005751B2"/>
    <w:rsid w:val="0057562C"/>
    <w:rsid w:val="005756A0"/>
    <w:rsid w:val="005759F6"/>
    <w:rsid w:val="00575A1B"/>
    <w:rsid w:val="00575A52"/>
    <w:rsid w:val="00575E3E"/>
    <w:rsid w:val="00576568"/>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7A1"/>
    <w:rsid w:val="00584B39"/>
    <w:rsid w:val="00584D59"/>
    <w:rsid w:val="00585028"/>
    <w:rsid w:val="005851C8"/>
    <w:rsid w:val="005854D1"/>
    <w:rsid w:val="005855CE"/>
    <w:rsid w:val="00585F5B"/>
    <w:rsid w:val="00586149"/>
    <w:rsid w:val="0058620A"/>
    <w:rsid w:val="00586269"/>
    <w:rsid w:val="005862CE"/>
    <w:rsid w:val="00586543"/>
    <w:rsid w:val="00586807"/>
    <w:rsid w:val="00586E49"/>
    <w:rsid w:val="00587433"/>
    <w:rsid w:val="00587478"/>
    <w:rsid w:val="0058760D"/>
    <w:rsid w:val="005876A5"/>
    <w:rsid w:val="005878AA"/>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05"/>
    <w:rsid w:val="00596B9C"/>
    <w:rsid w:val="00596D65"/>
    <w:rsid w:val="00596E0C"/>
    <w:rsid w:val="00597248"/>
    <w:rsid w:val="0059725F"/>
    <w:rsid w:val="00597644"/>
    <w:rsid w:val="00597BA5"/>
    <w:rsid w:val="00597BC4"/>
    <w:rsid w:val="00597D17"/>
    <w:rsid w:val="00597DBD"/>
    <w:rsid w:val="00597EF9"/>
    <w:rsid w:val="005A019A"/>
    <w:rsid w:val="005A0280"/>
    <w:rsid w:val="005A034E"/>
    <w:rsid w:val="005A054D"/>
    <w:rsid w:val="005A0564"/>
    <w:rsid w:val="005A0659"/>
    <w:rsid w:val="005A065D"/>
    <w:rsid w:val="005A0766"/>
    <w:rsid w:val="005A0A46"/>
    <w:rsid w:val="005A0BAF"/>
    <w:rsid w:val="005A10B9"/>
    <w:rsid w:val="005A11EA"/>
    <w:rsid w:val="005A12AB"/>
    <w:rsid w:val="005A137D"/>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834"/>
    <w:rsid w:val="005A5B4A"/>
    <w:rsid w:val="005A5D31"/>
    <w:rsid w:val="005A5F49"/>
    <w:rsid w:val="005A6171"/>
    <w:rsid w:val="005A62D5"/>
    <w:rsid w:val="005A6447"/>
    <w:rsid w:val="005A69EA"/>
    <w:rsid w:val="005A6F7A"/>
    <w:rsid w:val="005A77C8"/>
    <w:rsid w:val="005A7938"/>
    <w:rsid w:val="005A7AAB"/>
    <w:rsid w:val="005B0542"/>
    <w:rsid w:val="005B0957"/>
    <w:rsid w:val="005B0AF2"/>
    <w:rsid w:val="005B10F1"/>
    <w:rsid w:val="005B165B"/>
    <w:rsid w:val="005B177A"/>
    <w:rsid w:val="005B17FA"/>
    <w:rsid w:val="005B1DEA"/>
    <w:rsid w:val="005B2218"/>
    <w:rsid w:val="005B2225"/>
    <w:rsid w:val="005B2799"/>
    <w:rsid w:val="005B2B77"/>
    <w:rsid w:val="005B354D"/>
    <w:rsid w:val="005B3694"/>
    <w:rsid w:val="005B3ADC"/>
    <w:rsid w:val="005B3D4A"/>
    <w:rsid w:val="005B454C"/>
    <w:rsid w:val="005B4606"/>
    <w:rsid w:val="005B4AB9"/>
    <w:rsid w:val="005B4AFD"/>
    <w:rsid w:val="005B4D87"/>
    <w:rsid w:val="005B50EC"/>
    <w:rsid w:val="005B52D4"/>
    <w:rsid w:val="005B54C7"/>
    <w:rsid w:val="005B57BE"/>
    <w:rsid w:val="005B5BF6"/>
    <w:rsid w:val="005B5CBE"/>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2F2F"/>
    <w:rsid w:val="005C3191"/>
    <w:rsid w:val="005C32F1"/>
    <w:rsid w:val="005C3AB6"/>
    <w:rsid w:val="005C3ACD"/>
    <w:rsid w:val="005C3AD2"/>
    <w:rsid w:val="005C3E7D"/>
    <w:rsid w:val="005C4019"/>
    <w:rsid w:val="005C40F4"/>
    <w:rsid w:val="005C41A2"/>
    <w:rsid w:val="005C43BE"/>
    <w:rsid w:val="005C44F3"/>
    <w:rsid w:val="005C4527"/>
    <w:rsid w:val="005C47E3"/>
    <w:rsid w:val="005C4C2F"/>
    <w:rsid w:val="005C4DD2"/>
    <w:rsid w:val="005C4FB3"/>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587"/>
    <w:rsid w:val="005D7754"/>
    <w:rsid w:val="005D7840"/>
    <w:rsid w:val="005D7AEA"/>
    <w:rsid w:val="005D7E0D"/>
    <w:rsid w:val="005D7F22"/>
    <w:rsid w:val="005D7FCE"/>
    <w:rsid w:val="005E0104"/>
    <w:rsid w:val="005E013E"/>
    <w:rsid w:val="005E0214"/>
    <w:rsid w:val="005E02C8"/>
    <w:rsid w:val="005E039C"/>
    <w:rsid w:val="005E0511"/>
    <w:rsid w:val="005E0AF7"/>
    <w:rsid w:val="005E0D58"/>
    <w:rsid w:val="005E102C"/>
    <w:rsid w:val="005E145E"/>
    <w:rsid w:val="005E14D1"/>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B62"/>
    <w:rsid w:val="005F3C3B"/>
    <w:rsid w:val="005F4171"/>
    <w:rsid w:val="005F43A3"/>
    <w:rsid w:val="005F4414"/>
    <w:rsid w:val="005F46D6"/>
    <w:rsid w:val="005F48B8"/>
    <w:rsid w:val="005F4929"/>
    <w:rsid w:val="005F4D1A"/>
    <w:rsid w:val="005F4DD6"/>
    <w:rsid w:val="005F50D8"/>
    <w:rsid w:val="005F526A"/>
    <w:rsid w:val="005F53A1"/>
    <w:rsid w:val="005F5801"/>
    <w:rsid w:val="005F5874"/>
    <w:rsid w:val="005F5E07"/>
    <w:rsid w:val="005F6152"/>
    <w:rsid w:val="005F653B"/>
    <w:rsid w:val="005F659F"/>
    <w:rsid w:val="005F66FA"/>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2CE7"/>
    <w:rsid w:val="00603101"/>
    <w:rsid w:val="00603312"/>
    <w:rsid w:val="006037B6"/>
    <w:rsid w:val="00603839"/>
    <w:rsid w:val="00603CC0"/>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EE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375"/>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3C"/>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453"/>
    <w:rsid w:val="006376E1"/>
    <w:rsid w:val="006377CE"/>
    <w:rsid w:val="006378B1"/>
    <w:rsid w:val="00637A06"/>
    <w:rsid w:val="0064003B"/>
    <w:rsid w:val="00640288"/>
    <w:rsid w:val="006406B0"/>
    <w:rsid w:val="00640776"/>
    <w:rsid w:val="0064080C"/>
    <w:rsid w:val="00640F5B"/>
    <w:rsid w:val="00641116"/>
    <w:rsid w:val="0064114C"/>
    <w:rsid w:val="006411C4"/>
    <w:rsid w:val="00641B8B"/>
    <w:rsid w:val="00641C32"/>
    <w:rsid w:val="0064232D"/>
    <w:rsid w:val="006424FE"/>
    <w:rsid w:val="00642595"/>
    <w:rsid w:val="00642835"/>
    <w:rsid w:val="00642AAA"/>
    <w:rsid w:val="00642CD6"/>
    <w:rsid w:val="00643202"/>
    <w:rsid w:val="0064357E"/>
    <w:rsid w:val="0064358F"/>
    <w:rsid w:val="00643660"/>
    <w:rsid w:val="006438AB"/>
    <w:rsid w:val="00643908"/>
    <w:rsid w:val="00643BBF"/>
    <w:rsid w:val="00644388"/>
    <w:rsid w:val="006447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CF"/>
    <w:rsid w:val="006507EC"/>
    <w:rsid w:val="00650A63"/>
    <w:rsid w:val="00650DAA"/>
    <w:rsid w:val="00651127"/>
    <w:rsid w:val="0065122E"/>
    <w:rsid w:val="0065128D"/>
    <w:rsid w:val="0065150A"/>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57"/>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891"/>
    <w:rsid w:val="00656DB4"/>
    <w:rsid w:val="00656E5F"/>
    <w:rsid w:val="006570AA"/>
    <w:rsid w:val="006571F6"/>
    <w:rsid w:val="006572DF"/>
    <w:rsid w:val="0065736B"/>
    <w:rsid w:val="00657434"/>
    <w:rsid w:val="00657544"/>
    <w:rsid w:val="0065793F"/>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5ED"/>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B5E"/>
    <w:rsid w:val="00672DB9"/>
    <w:rsid w:val="00672EF4"/>
    <w:rsid w:val="006730CA"/>
    <w:rsid w:val="006732B1"/>
    <w:rsid w:val="006733AE"/>
    <w:rsid w:val="00673454"/>
    <w:rsid w:val="006734B9"/>
    <w:rsid w:val="00673578"/>
    <w:rsid w:val="00673777"/>
    <w:rsid w:val="00673A18"/>
    <w:rsid w:val="00673CFE"/>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6D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4F19"/>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63"/>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939"/>
    <w:rsid w:val="00692AF6"/>
    <w:rsid w:val="00692B3C"/>
    <w:rsid w:val="00693937"/>
    <w:rsid w:val="006939CC"/>
    <w:rsid w:val="00693B2B"/>
    <w:rsid w:val="00693D37"/>
    <w:rsid w:val="00693E1F"/>
    <w:rsid w:val="00693ECB"/>
    <w:rsid w:val="00694198"/>
    <w:rsid w:val="006941D1"/>
    <w:rsid w:val="00694334"/>
    <w:rsid w:val="00694574"/>
    <w:rsid w:val="00694797"/>
    <w:rsid w:val="00694A6E"/>
    <w:rsid w:val="00694C14"/>
    <w:rsid w:val="00694CD1"/>
    <w:rsid w:val="00695887"/>
    <w:rsid w:val="0069599C"/>
    <w:rsid w:val="00695B54"/>
    <w:rsid w:val="00696DAA"/>
    <w:rsid w:val="00697361"/>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2EC2"/>
    <w:rsid w:val="006A301C"/>
    <w:rsid w:val="006A366A"/>
    <w:rsid w:val="006A374D"/>
    <w:rsid w:val="006A39EE"/>
    <w:rsid w:val="006A3E2B"/>
    <w:rsid w:val="006A3F21"/>
    <w:rsid w:val="006A412A"/>
    <w:rsid w:val="006A44DE"/>
    <w:rsid w:val="006A45AF"/>
    <w:rsid w:val="006A4A82"/>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007"/>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7C8"/>
    <w:rsid w:val="006B7D22"/>
    <w:rsid w:val="006B7D2C"/>
    <w:rsid w:val="006B7D55"/>
    <w:rsid w:val="006B7EF1"/>
    <w:rsid w:val="006C048B"/>
    <w:rsid w:val="006C0626"/>
    <w:rsid w:val="006C065B"/>
    <w:rsid w:val="006C1019"/>
    <w:rsid w:val="006C1094"/>
    <w:rsid w:val="006C1627"/>
    <w:rsid w:val="006C17FF"/>
    <w:rsid w:val="006C1B0A"/>
    <w:rsid w:val="006C1F3C"/>
    <w:rsid w:val="006C1F60"/>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396"/>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504"/>
    <w:rsid w:val="006D15BF"/>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71"/>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12A"/>
    <w:rsid w:val="006E32C5"/>
    <w:rsid w:val="006E3324"/>
    <w:rsid w:val="006E3334"/>
    <w:rsid w:val="006E34BF"/>
    <w:rsid w:val="006E3735"/>
    <w:rsid w:val="006E375F"/>
    <w:rsid w:val="006E3CE9"/>
    <w:rsid w:val="006E3E25"/>
    <w:rsid w:val="006E3ECD"/>
    <w:rsid w:val="006E3F26"/>
    <w:rsid w:val="006E4099"/>
    <w:rsid w:val="006E40C2"/>
    <w:rsid w:val="006E4394"/>
    <w:rsid w:val="006E453D"/>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7BE"/>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3FC"/>
    <w:rsid w:val="006F74F1"/>
    <w:rsid w:val="006F760F"/>
    <w:rsid w:val="006F78C2"/>
    <w:rsid w:val="0070012D"/>
    <w:rsid w:val="007001DC"/>
    <w:rsid w:val="0070064E"/>
    <w:rsid w:val="007008CE"/>
    <w:rsid w:val="00700C81"/>
    <w:rsid w:val="00700FBF"/>
    <w:rsid w:val="00701725"/>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09A"/>
    <w:rsid w:val="00712151"/>
    <w:rsid w:val="0071265A"/>
    <w:rsid w:val="00712843"/>
    <w:rsid w:val="00712A40"/>
    <w:rsid w:val="00712C42"/>
    <w:rsid w:val="00712D48"/>
    <w:rsid w:val="00712E82"/>
    <w:rsid w:val="0071301D"/>
    <w:rsid w:val="007130C0"/>
    <w:rsid w:val="0071320E"/>
    <w:rsid w:val="00713252"/>
    <w:rsid w:val="007133FE"/>
    <w:rsid w:val="00713697"/>
    <w:rsid w:val="00713736"/>
    <w:rsid w:val="0071373D"/>
    <w:rsid w:val="00713DE4"/>
    <w:rsid w:val="00714297"/>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AF2"/>
    <w:rsid w:val="00721D21"/>
    <w:rsid w:val="00721D9B"/>
    <w:rsid w:val="00722121"/>
    <w:rsid w:val="00722367"/>
    <w:rsid w:val="007224B9"/>
    <w:rsid w:val="00722507"/>
    <w:rsid w:val="00722552"/>
    <w:rsid w:val="00722910"/>
    <w:rsid w:val="00722A6A"/>
    <w:rsid w:val="00722AE9"/>
    <w:rsid w:val="00722F94"/>
    <w:rsid w:val="00723240"/>
    <w:rsid w:val="0072379D"/>
    <w:rsid w:val="007239D8"/>
    <w:rsid w:val="00723AA7"/>
    <w:rsid w:val="00724079"/>
    <w:rsid w:val="0072420E"/>
    <w:rsid w:val="0072432E"/>
    <w:rsid w:val="00724657"/>
    <w:rsid w:val="007248D1"/>
    <w:rsid w:val="00724AE9"/>
    <w:rsid w:val="007256AE"/>
    <w:rsid w:val="007257FC"/>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4A3"/>
    <w:rsid w:val="00733D89"/>
    <w:rsid w:val="00733F5B"/>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2BB"/>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28A"/>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26D"/>
    <w:rsid w:val="0075540C"/>
    <w:rsid w:val="00755709"/>
    <w:rsid w:val="00755AD0"/>
    <w:rsid w:val="00755C1E"/>
    <w:rsid w:val="00755D50"/>
    <w:rsid w:val="00755DB1"/>
    <w:rsid w:val="007560F5"/>
    <w:rsid w:val="0075700F"/>
    <w:rsid w:val="007574FC"/>
    <w:rsid w:val="0075757A"/>
    <w:rsid w:val="00757632"/>
    <w:rsid w:val="007576A6"/>
    <w:rsid w:val="00757800"/>
    <w:rsid w:val="0075785D"/>
    <w:rsid w:val="00757E1B"/>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036"/>
    <w:rsid w:val="00764194"/>
    <w:rsid w:val="007642D4"/>
    <w:rsid w:val="00764582"/>
    <w:rsid w:val="0076472A"/>
    <w:rsid w:val="007647EE"/>
    <w:rsid w:val="00764A14"/>
    <w:rsid w:val="00764EA1"/>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3EB"/>
    <w:rsid w:val="007705AF"/>
    <w:rsid w:val="00770704"/>
    <w:rsid w:val="00770A11"/>
    <w:rsid w:val="00770A12"/>
    <w:rsid w:val="0077175C"/>
    <w:rsid w:val="00771870"/>
    <w:rsid w:val="00771B87"/>
    <w:rsid w:val="00771BF9"/>
    <w:rsid w:val="00771D41"/>
    <w:rsid w:val="00771D51"/>
    <w:rsid w:val="00771F31"/>
    <w:rsid w:val="007721EF"/>
    <w:rsid w:val="00772204"/>
    <w:rsid w:val="007722B4"/>
    <w:rsid w:val="0077230A"/>
    <w:rsid w:val="0077233C"/>
    <w:rsid w:val="0077248E"/>
    <w:rsid w:val="007724A2"/>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B21"/>
    <w:rsid w:val="00780C5C"/>
    <w:rsid w:val="00780DD7"/>
    <w:rsid w:val="00780E60"/>
    <w:rsid w:val="00781092"/>
    <w:rsid w:val="007811DC"/>
    <w:rsid w:val="007820FA"/>
    <w:rsid w:val="0078229B"/>
    <w:rsid w:val="007822C0"/>
    <w:rsid w:val="00782398"/>
    <w:rsid w:val="00782583"/>
    <w:rsid w:val="0078258B"/>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820"/>
    <w:rsid w:val="00785900"/>
    <w:rsid w:val="00785A46"/>
    <w:rsid w:val="00785D2C"/>
    <w:rsid w:val="007862D2"/>
    <w:rsid w:val="00786446"/>
    <w:rsid w:val="007865FA"/>
    <w:rsid w:val="0078667B"/>
    <w:rsid w:val="00786861"/>
    <w:rsid w:val="00786958"/>
    <w:rsid w:val="00786BCF"/>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0F2"/>
    <w:rsid w:val="007962BA"/>
    <w:rsid w:val="0079689D"/>
    <w:rsid w:val="00797409"/>
    <w:rsid w:val="00797516"/>
    <w:rsid w:val="007A002C"/>
    <w:rsid w:val="007A0149"/>
    <w:rsid w:val="007A015A"/>
    <w:rsid w:val="007A01D1"/>
    <w:rsid w:val="007A0575"/>
    <w:rsid w:val="007A05FB"/>
    <w:rsid w:val="007A0658"/>
    <w:rsid w:val="007A0BAC"/>
    <w:rsid w:val="007A0BC2"/>
    <w:rsid w:val="007A0FF9"/>
    <w:rsid w:val="007A1142"/>
    <w:rsid w:val="007A13E3"/>
    <w:rsid w:val="007A1E86"/>
    <w:rsid w:val="007A1F44"/>
    <w:rsid w:val="007A23FF"/>
    <w:rsid w:val="007A2568"/>
    <w:rsid w:val="007A2827"/>
    <w:rsid w:val="007A295B"/>
    <w:rsid w:val="007A2B30"/>
    <w:rsid w:val="007A2FCF"/>
    <w:rsid w:val="007A30C4"/>
    <w:rsid w:val="007A3424"/>
    <w:rsid w:val="007A35EF"/>
    <w:rsid w:val="007A3962"/>
    <w:rsid w:val="007A41BD"/>
    <w:rsid w:val="007A43A2"/>
    <w:rsid w:val="007A454E"/>
    <w:rsid w:val="007A46F6"/>
    <w:rsid w:val="007A48D2"/>
    <w:rsid w:val="007A4C68"/>
    <w:rsid w:val="007A4D04"/>
    <w:rsid w:val="007A5576"/>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444"/>
    <w:rsid w:val="007B1543"/>
    <w:rsid w:val="007B193C"/>
    <w:rsid w:val="007B194B"/>
    <w:rsid w:val="007B1AC0"/>
    <w:rsid w:val="007B1AD1"/>
    <w:rsid w:val="007B1F72"/>
    <w:rsid w:val="007B1FA9"/>
    <w:rsid w:val="007B250B"/>
    <w:rsid w:val="007B2582"/>
    <w:rsid w:val="007B270A"/>
    <w:rsid w:val="007B2CE2"/>
    <w:rsid w:val="007B2D3B"/>
    <w:rsid w:val="007B366F"/>
    <w:rsid w:val="007B3A81"/>
    <w:rsid w:val="007B3B79"/>
    <w:rsid w:val="007B3F97"/>
    <w:rsid w:val="007B456A"/>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B9"/>
    <w:rsid w:val="007C24C5"/>
    <w:rsid w:val="007C2978"/>
    <w:rsid w:val="007C30DB"/>
    <w:rsid w:val="007C31C6"/>
    <w:rsid w:val="007C3272"/>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476"/>
    <w:rsid w:val="007D0579"/>
    <w:rsid w:val="007D05A2"/>
    <w:rsid w:val="007D060D"/>
    <w:rsid w:val="007D0686"/>
    <w:rsid w:val="007D0A44"/>
    <w:rsid w:val="007D0A9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4C5"/>
    <w:rsid w:val="007D672A"/>
    <w:rsid w:val="007D6B03"/>
    <w:rsid w:val="007D6B41"/>
    <w:rsid w:val="007D7175"/>
    <w:rsid w:val="007D7A9A"/>
    <w:rsid w:val="007D7E34"/>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1F65"/>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AEC"/>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60"/>
    <w:rsid w:val="007E65EF"/>
    <w:rsid w:val="007E66B7"/>
    <w:rsid w:val="007E6A06"/>
    <w:rsid w:val="007E6C29"/>
    <w:rsid w:val="007E7169"/>
    <w:rsid w:val="007E71B5"/>
    <w:rsid w:val="007E7213"/>
    <w:rsid w:val="007E79DD"/>
    <w:rsid w:val="007E7B57"/>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BE7"/>
    <w:rsid w:val="007F3DC6"/>
    <w:rsid w:val="007F425E"/>
    <w:rsid w:val="007F440F"/>
    <w:rsid w:val="007F463D"/>
    <w:rsid w:val="007F4690"/>
    <w:rsid w:val="007F4DFB"/>
    <w:rsid w:val="007F4F39"/>
    <w:rsid w:val="007F5022"/>
    <w:rsid w:val="007F5570"/>
    <w:rsid w:val="007F5DA5"/>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29"/>
    <w:rsid w:val="00800769"/>
    <w:rsid w:val="00800935"/>
    <w:rsid w:val="00800B26"/>
    <w:rsid w:val="00800B5A"/>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5704"/>
    <w:rsid w:val="00806019"/>
    <w:rsid w:val="0080675B"/>
    <w:rsid w:val="008067DA"/>
    <w:rsid w:val="0080685E"/>
    <w:rsid w:val="008068C4"/>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76"/>
    <w:rsid w:val="008131CF"/>
    <w:rsid w:val="00813489"/>
    <w:rsid w:val="008135F0"/>
    <w:rsid w:val="00813B7B"/>
    <w:rsid w:val="00813E1B"/>
    <w:rsid w:val="00813F2F"/>
    <w:rsid w:val="00814177"/>
    <w:rsid w:val="00814278"/>
    <w:rsid w:val="008149F5"/>
    <w:rsid w:val="00814A3B"/>
    <w:rsid w:val="00814CC6"/>
    <w:rsid w:val="0081581D"/>
    <w:rsid w:val="00815929"/>
    <w:rsid w:val="008159C8"/>
    <w:rsid w:val="00815DB2"/>
    <w:rsid w:val="0081623E"/>
    <w:rsid w:val="008164DD"/>
    <w:rsid w:val="00816835"/>
    <w:rsid w:val="008169B1"/>
    <w:rsid w:val="00816C92"/>
    <w:rsid w:val="00816F98"/>
    <w:rsid w:val="00817165"/>
    <w:rsid w:val="00817212"/>
    <w:rsid w:val="0081723D"/>
    <w:rsid w:val="00817263"/>
    <w:rsid w:val="008172BE"/>
    <w:rsid w:val="0081745A"/>
    <w:rsid w:val="008176B0"/>
    <w:rsid w:val="008179AA"/>
    <w:rsid w:val="00817B71"/>
    <w:rsid w:val="00817C3F"/>
    <w:rsid w:val="008200EF"/>
    <w:rsid w:val="00820244"/>
    <w:rsid w:val="00820373"/>
    <w:rsid w:val="0082081A"/>
    <w:rsid w:val="00820A46"/>
    <w:rsid w:val="00820ADC"/>
    <w:rsid w:val="00820E9F"/>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4E"/>
    <w:rsid w:val="00830BBB"/>
    <w:rsid w:val="00830DC3"/>
    <w:rsid w:val="00830E13"/>
    <w:rsid w:val="0083115C"/>
    <w:rsid w:val="00831555"/>
    <w:rsid w:val="0083168F"/>
    <w:rsid w:val="0083169E"/>
    <w:rsid w:val="00831765"/>
    <w:rsid w:val="00831C67"/>
    <w:rsid w:val="00831CA0"/>
    <w:rsid w:val="00831F52"/>
    <w:rsid w:val="00831FAE"/>
    <w:rsid w:val="008320C0"/>
    <w:rsid w:val="00832154"/>
    <w:rsid w:val="008321EE"/>
    <w:rsid w:val="0083227B"/>
    <w:rsid w:val="008322E3"/>
    <w:rsid w:val="00832887"/>
    <w:rsid w:val="0083294F"/>
    <w:rsid w:val="00832DD4"/>
    <w:rsid w:val="00832EC0"/>
    <w:rsid w:val="00832F0D"/>
    <w:rsid w:val="00832F5C"/>
    <w:rsid w:val="00833018"/>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59C"/>
    <w:rsid w:val="0083675F"/>
    <w:rsid w:val="00836A5F"/>
    <w:rsid w:val="00836A95"/>
    <w:rsid w:val="00836E2F"/>
    <w:rsid w:val="00837135"/>
    <w:rsid w:val="008371B8"/>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352"/>
    <w:rsid w:val="00843435"/>
    <w:rsid w:val="00843451"/>
    <w:rsid w:val="00843EC8"/>
    <w:rsid w:val="00843F0E"/>
    <w:rsid w:val="008441E1"/>
    <w:rsid w:val="00844ABC"/>
    <w:rsid w:val="00844B7E"/>
    <w:rsid w:val="00845A2B"/>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787"/>
    <w:rsid w:val="00850AE0"/>
    <w:rsid w:val="00850CBB"/>
    <w:rsid w:val="00850DA9"/>
    <w:rsid w:val="00850F0E"/>
    <w:rsid w:val="0085123F"/>
    <w:rsid w:val="008517E6"/>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50D"/>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57F93"/>
    <w:rsid w:val="0086011A"/>
    <w:rsid w:val="008601D6"/>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0F"/>
    <w:rsid w:val="00863219"/>
    <w:rsid w:val="00863297"/>
    <w:rsid w:val="00863636"/>
    <w:rsid w:val="008636AB"/>
    <w:rsid w:val="00863707"/>
    <w:rsid w:val="00863778"/>
    <w:rsid w:val="0086379A"/>
    <w:rsid w:val="00863970"/>
    <w:rsid w:val="008639C2"/>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201"/>
    <w:rsid w:val="00866318"/>
    <w:rsid w:val="0086647D"/>
    <w:rsid w:val="008667A6"/>
    <w:rsid w:val="00866DAE"/>
    <w:rsid w:val="00866EB3"/>
    <w:rsid w:val="00866EF5"/>
    <w:rsid w:val="00866F62"/>
    <w:rsid w:val="0086701A"/>
    <w:rsid w:val="008674B4"/>
    <w:rsid w:val="008675DB"/>
    <w:rsid w:val="00867638"/>
    <w:rsid w:val="00867873"/>
    <w:rsid w:val="00867BD2"/>
    <w:rsid w:val="00867C96"/>
    <w:rsid w:val="00867E42"/>
    <w:rsid w:val="00867F85"/>
    <w:rsid w:val="00870148"/>
    <w:rsid w:val="00870432"/>
    <w:rsid w:val="008704AF"/>
    <w:rsid w:val="00870C23"/>
    <w:rsid w:val="00870FF3"/>
    <w:rsid w:val="008712FD"/>
    <w:rsid w:val="0087138E"/>
    <w:rsid w:val="00871416"/>
    <w:rsid w:val="008716A1"/>
    <w:rsid w:val="008717FE"/>
    <w:rsid w:val="00871EDC"/>
    <w:rsid w:val="008721BA"/>
    <w:rsid w:val="0087221C"/>
    <w:rsid w:val="00872284"/>
    <w:rsid w:val="00872530"/>
    <w:rsid w:val="00872644"/>
    <w:rsid w:val="008728CB"/>
    <w:rsid w:val="00872998"/>
    <w:rsid w:val="00872D3F"/>
    <w:rsid w:val="00873132"/>
    <w:rsid w:val="008733E4"/>
    <w:rsid w:val="00873692"/>
    <w:rsid w:val="008739F7"/>
    <w:rsid w:val="00873AC2"/>
    <w:rsid w:val="00873D8A"/>
    <w:rsid w:val="00873F15"/>
    <w:rsid w:val="00873F8A"/>
    <w:rsid w:val="00874040"/>
    <w:rsid w:val="00874096"/>
    <w:rsid w:val="00874552"/>
    <w:rsid w:val="00874B4E"/>
    <w:rsid w:val="00874F84"/>
    <w:rsid w:val="008754BC"/>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3"/>
    <w:rsid w:val="00882B2E"/>
    <w:rsid w:val="00883093"/>
    <w:rsid w:val="008832E1"/>
    <w:rsid w:val="008833E8"/>
    <w:rsid w:val="00883462"/>
    <w:rsid w:val="008834BA"/>
    <w:rsid w:val="008834F0"/>
    <w:rsid w:val="008837DA"/>
    <w:rsid w:val="00884432"/>
    <w:rsid w:val="008845DD"/>
    <w:rsid w:val="0088477D"/>
    <w:rsid w:val="00884A6F"/>
    <w:rsid w:val="00884C69"/>
    <w:rsid w:val="00884F33"/>
    <w:rsid w:val="008850A6"/>
    <w:rsid w:val="008851B5"/>
    <w:rsid w:val="008852D8"/>
    <w:rsid w:val="008856DF"/>
    <w:rsid w:val="008859C6"/>
    <w:rsid w:val="00885B60"/>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1C37"/>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5A"/>
    <w:rsid w:val="00894298"/>
    <w:rsid w:val="008942EE"/>
    <w:rsid w:val="0089444E"/>
    <w:rsid w:val="008945C3"/>
    <w:rsid w:val="0089480C"/>
    <w:rsid w:val="0089494F"/>
    <w:rsid w:val="008949DF"/>
    <w:rsid w:val="00894C60"/>
    <w:rsid w:val="00894E86"/>
    <w:rsid w:val="008951DB"/>
    <w:rsid w:val="00895270"/>
    <w:rsid w:val="008953E1"/>
    <w:rsid w:val="008956DD"/>
    <w:rsid w:val="00895775"/>
    <w:rsid w:val="00895791"/>
    <w:rsid w:val="008959A4"/>
    <w:rsid w:val="00895B8A"/>
    <w:rsid w:val="008962E4"/>
    <w:rsid w:val="00896734"/>
    <w:rsid w:val="0089673A"/>
    <w:rsid w:val="00896791"/>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7D"/>
    <w:rsid w:val="008A0CFC"/>
    <w:rsid w:val="008A102A"/>
    <w:rsid w:val="008A12FE"/>
    <w:rsid w:val="008A1328"/>
    <w:rsid w:val="008A161F"/>
    <w:rsid w:val="008A1793"/>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236"/>
    <w:rsid w:val="008A5499"/>
    <w:rsid w:val="008A5676"/>
    <w:rsid w:val="008A56C6"/>
    <w:rsid w:val="008A5940"/>
    <w:rsid w:val="008A62B9"/>
    <w:rsid w:val="008A63FD"/>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773"/>
    <w:rsid w:val="008B389D"/>
    <w:rsid w:val="008B3C5C"/>
    <w:rsid w:val="008B414C"/>
    <w:rsid w:val="008B4390"/>
    <w:rsid w:val="008B43CC"/>
    <w:rsid w:val="008B4823"/>
    <w:rsid w:val="008B4CD8"/>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2CF"/>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88B"/>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8A"/>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B4"/>
    <w:rsid w:val="008E12F0"/>
    <w:rsid w:val="008E1480"/>
    <w:rsid w:val="008E1579"/>
    <w:rsid w:val="008E1694"/>
    <w:rsid w:val="008E1950"/>
    <w:rsid w:val="008E1B36"/>
    <w:rsid w:val="008E1B6F"/>
    <w:rsid w:val="008E20FB"/>
    <w:rsid w:val="008E2134"/>
    <w:rsid w:val="008E2251"/>
    <w:rsid w:val="008E22F1"/>
    <w:rsid w:val="008E24B3"/>
    <w:rsid w:val="008E24CA"/>
    <w:rsid w:val="008E2591"/>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5"/>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9A0"/>
    <w:rsid w:val="008F1F88"/>
    <w:rsid w:val="008F20C3"/>
    <w:rsid w:val="008F23D8"/>
    <w:rsid w:val="008F27C7"/>
    <w:rsid w:val="008F27FF"/>
    <w:rsid w:val="008F2835"/>
    <w:rsid w:val="008F2D31"/>
    <w:rsid w:val="008F2FD5"/>
    <w:rsid w:val="008F30E5"/>
    <w:rsid w:val="008F35FA"/>
    <w:rsid w:val="008F37E5"/>
    <w:rsid w:val="008F3864"/>
    <w:rsid w:val="008F4082"/>
    <w:rsid w:val="008F4508"/>
    <w:rsid w:val="008F454F"/>
    <w:rsid w:val="008F4699"/>
    <w:rsid w:val="008F46C3"/>
    <w:rsid w:val="008F48C2"/>
    <w:rsid w:val="008F4D34"/>
    <w:rsid w:val="008F4E9F"/>
    <w:rsid w:val="008F5270"/>
    <w:rsid w:val="008F5367"/>
    <w:rsid w:val="008F5840"/>
    <w:rsid w:val="008F5934"/>
    <w:rsid w:val="008F5A67"/>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8F7EA6"/>
    <w:rsid w:val="009000F2"/>
    <w:rsid w:val="009004EC"/>
    <w:rsid w:val="00900550"/>
    <w:rsid w:val="00900879"/>
    <w:rsid w:val="00901051"/>
    <w:rsid w:val="0090116C"/>
    <w:rsid w:val="009011F6"/>
    <w:rsid w:val="009013AD"/>
    <w:rsid w:val="009016A3"/>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3FEC"/>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8B3"/>
    <w:rsid w:val="00907A77"/>
    <w:rsid w:val="00907E00"/>
    <w:rsid w:val="00907E44"/>
    <w:rsid w:val="009101EA"/>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7FB"/>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36"/>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07A"/>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A7"/>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1ED1"/>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5C7"/>
    <w:rsid w:val="00947801"/>
    <w:rsid w:val="00947BE6"/>
    <w:rsid w:val="00947E19"/>
    <w:rsid w:val="00947E54"/>
    <w:rsid w:val="0095026C"/>
    <w:rsid w:val="0095043B"/>
    <w:rsid w:val="0095048D"/>
    <w:rsid w:val="00950827"/>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CC3"/>
    <w:rsid w:val="00952DD2"/>
    <w:rsid w:val="00952E29"/>
    <w:rsid w:val="00952F27"/>
    <w:rsid w:val="009535FF"/>
    <w:rsid w:val="0095380C"/>
    <w:rsid w:val="0095399D"/>
    <w:rsid w:val="00953AEE"/>
    <w:rsid w:val="00953BEB"/>
    <w:rsid w:val="00953C6C"/>
    <w:rsid w:val="009542B4"/>
    <w:rsid w:val="00954353"/>
    <w:rsid w:val="009544CF"/>
    <w:rsid w:val="00954780"/>
    <w:rsid w:val="00954FFA"/>
    <w:rsid w:val="0095507A"/>
    <w:rsid w:val="00955C0A"/>
    <w:rsid w:val="00955C4F"/>
    <w:rsid w:val="00955D68"/>
    <w:rsid w:val="00956102"/>
    <w:rsid w:val="0095629B"/>
    <w:rsid w:val="009563D9"/>
    <w:rsid w:val="00956671"/>
    <w:rsid w:val="00956914"/>
    <w:rsid w:val="00956A13"/>
    <w:rsid w:val="00956D4B"/>
    <w:rsid w:val="00956E25"/>
    <w:rsid w:val="00956F76"/>
    <w:rsid w:val="00957217"/>
    <w:rsid w:val="0095739A"/>
    <w:rsid w:val="0095775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BEB"/>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353"/>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683"/>
    <w:rsid w:val="00972791"/>
    <w:rsid w:val="00972922"/>
    <w:rsid w:val="00972929"/>
    <w:rsid w:val="00972A68"/>
    <w:rsid w:val="00972F91"/>
    <w:rsid w:val="0097306C"/>
    <w:rsid w:val="00973094"/>
    <w:rsid w:val="009733D8"/>
    <w:rsid w:val="0097361F"/>
    <w:rsid w:val="009737B0"/>
    <w:rsid w:val="00973827"/>
    <w:rsid w:val="00973A21"/>
    <w:rsid w:val="00973E9D"/>
    <w:rsid w:val="009740F1"/>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77C90"/>
    <w:rsid w:val="009800CE"/>
    <w:rsid w:val="00980520"/>
    <w:rsid w:val="00980D7B"/>
    <w:rsid w:val="0098152F"/>
    <w:rsid w:val="0098172F"/>
    <w:rsid w:val="0098194F"/>
    <w:rsid w:val="00981CD3"/>
    <w:rsid w:val="009821C0"/>
    <w:rsid w:val="00982557"/>
    <w:rsid w:val="009826C8"/>
    <w:rsid w:val="009829E3"/>
    <w:rsid w:val="00982D20"/>
    <w:rsid w:val="00983117"/>
    <w:rsid w:val="0098323C"/>
    <w:rsid w:val="0098334E"/>
    <w:rsid w:val="009835BD"/>
    <w:rsid w:val="00983612"/>
    <w:rsid w:val="009836E4"/>
    <w:rsid w:val="0098380C"/>
    <w:rsid w:val="009838D0"/>
    <w:rsid w:val="00983F62"/>
    <w:rsid w:val="0098412F"/>
    <w:rsid w:val="009843ED"/>
    <w:rsid w:val="0098471D"/>
    <w:rsid w:val="009848E2"/>
    <w:rsid w:val="00984FDB"/>
    <w:rsid w:val="009854D5"/>
    <w:rsid w:val="00985531"/>
    <w:rsid w:val="009856B7"/>
    <w:rsid w:val="009858DD"/>
    <w:rsid w:val="00985AB7"/>
    <w:rsid w:val="00985F28"/>
    <w:rsid w:val="00986149"/>
    <w:rsid w:val="00986157"/>
    <w:rsid w:val="00986176"/>
    <w:rsid w:val="009868C8"/>
    <w:rsid w:val="00986A57"/>
    <w:rsid w:val="00986CE7"/>
    <w:rsid w:val="00986E7F"/>
    <w:rsid w:val="009870A6"/>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400"/>
    <w:rsid w:val="009945B5"/>
    <w:rsid w:val="009945E5"/>
    <w:rsid w:val="00994871"/>
    <w:rsid w:val="00994A08"/>
    <w:rsid w:val="00994BFD"/>
    <w:rsid w:val="00994C1D"/>
    <w:rsid w:val="00994E08"/>
    <w:rsid w:val="00994E35"/>
    <w:rsid w:val="00994F7D"/>
    <w:rsid w:val="009951F9"/>
    <w:rsid w:val="009952FE"/>
    <w:rsid w:val="0099537A"/>
    <w:rsid w:val="009953A5"/>
    <w:rsid w:val="0099544C"/>
    <w:rsid w:val="00995498"/>
    <w:rsid w:val="009958B0"/>
    <w:rsid w:val="00995934"/>
    <w:rsid w:val="0099599E"/>
    <w:rsid w:val="00995C95"/>
    <w:rsid w:val="00995DB8"/>
    <w:rsid w:val="00995E85"/>
    <w:rsid w:val="00995EC7"/>
    <w:rsid w:val="00996065"/>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3E0"/>
    <w:rsid w:val="009A6472"/>
    <w:rsid w:val="009A66AF"/>
    <w:rsid w:val="009A690D"/>
    <w:rsid w:val="009A6A6B"/>
    <w:rsid w:val="009A74A6"/>
    <w:rsid w:val="009A7969"/>
    <w:rsid w:val="009A7F58"/>
    <w:rsid w:val="009A7FA2"/>
    <w:rsid w:val="009B0088"/>
    <w:rsid w:val="009B02B0"/>
    <w:rsid w:val="009B0BA5"/>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1F7"/>
    <w:rsid w:val="009B4461"/>
    <w:rsid w:val="009B4519"/>
    <w:rsid w:val="009B4676"/>
    <w:rsid w:val="009B486F"/>
    <w:rsid w:val="009B4AF5"/>
    <w:rsid w:val="009B4B36"/>
    <w:rsid w:val="009B4BC3"/>
    <w:rsid w:val="009B4D4D"/>
    <w:rsid w:val="009B506B"/>
    <w:rsid w:val="009B54DB"/>
    <w:rsid w:val="009B5609"/>
    <w:rsid w:val="009B567A"/>
    <w:rsid w:val="009B57EF"/>
    <w:rsid w:val="009B58CA"/>
    <w:rsid w:val="009B59F4"/>
    <w:rsid w:val="009B5AF3"/>
    <w:rsid w:val="009B5B85"/>
    <w:rsid w:val="009B5D8F"/>
    <w:rsid w:val="009B5F52"/>
    <w:rsid w:val="009B617F"/>
    <w:rsid w:val="009B6C4C"/>
    <w:rsid w:val="009B6C81"/>
    <w:rsid w:val="009B6F59"/>
    <w:rsid w:val="009B7204"/>
    <w:rsid w:val="009B74F3"/>
    <w:rsid w:val="009B75CA"/>
    <w:rsid w:val="009B7AEC"/>
    <w:rsid w:val="009B7AFC"/>
    <w:rsid w:val="009C0074"/>
    <w:rsid w:val="009C03E8"/>
    <w:rsid w:val="009C0564"/>
    <w:rsid w:val="009C15AE"/>
    <w:rsid w:val="009C15E6"/>
    <w:rsid w:val="009C1D3A"/>
    <w:rsid w:val="009C2175"/>
    <w:rsid w:val="009C22F6"/>
    <w:rsid w:val="009C2655"/>
    <w:rsid w:val="009C2685"/>
    <w:rsid w:val="009C2934"/>
    <w:rsid w:val="009C2AF8"/>
    <w:rsid w:val="009C2B41"/>
    <w:rsid w:val="009C2B6B"/>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2AA"/>
    <w:rsid w:val="009C53F9"/>
    <w:rsid w:val="009C5462"/>
    <w:rsid w:val="009C584F"/>
    <w:rsid w:val="009C5980"/>
    <w:rsid w:val="009C5A52"/>
    <w:rsid w:val="009C5CED"/>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96C"/>
    <w:rsid w:val="009D3B30"/>
    <w:rsid w:val="009D4964"/>
    <w:rsid w:val="009D5035"/>
    <w:rsid w:val="009D5098"/>
    <w:rsid w:val="009D50A2"/>
    <w:rsid w:val="009D50E3"/>
    <w:rsid w:val="009D511C"/>
    <w:rsid w:val="009D5524"/>
    <w:rsid w:val="009D5838"/>
    <w:rsid w:val="009D5964"/>
    <w:rsid w:val="009D5BAB"/>
    <w:rsid w:val="009D5D5F"/>
    <w:rsid w:val="009D6439"/>
    <w:rsid w:val="009D6A0A"/>
    <w:rsid w:val="009D6BD6"/>
    <w:rsid w:val="009D7032"/>
    <w:rsid w:val="009D73C2"/>
    <w:rsid w:val="009D7768"/>
    <w:rsid w:val="009D77C5"/>
    <w:rsid w:val="009D798F"/>
    <w:rsid w:val="009D7BDC"/>
    <w:rsid w:val="009D7CB1"/>
    <w:rsid w:val="009D7FB4"/>
    <w:rsid w:val="009E005A"/>
    <w:rsid w:val="009E016F"/>
    <w:rsid w:val="009E0238"/>
    <w:rsid w:val="009E058F"/>
    <w:rsid w:val="009E0A9E"/>
    <w:rsid w:val="009E186E"/>
    <w:rsid w:val="009E19A2"/>
    <w:rsid w:val="009E1D83"/>
    <w:rsid w:val="009E22CA"/>
    <w:rsid w:val="009E2B01"/>
    <w:rsid w:val="009E2DAB"/>
    <w:rsid w:val="009E3AFD"/>
    <w:rsid w:val="009E3CDD"/>
    <w:rsid w:val="009E41CA"/>
    <w:rsid w:val="009E430A"/>
    <w:rsid w:val="009E4413"/>
    <w:rsid w:val="009E4A97"/>
    <w:rsid w:val="009E4B16"/>
    <w:rsid w:val="009E4BF9"/>
    <w:rsid w:val="009E4D80"/>
    <w:rsid w:val="009E54CB"/>
    <w:rsid w:val="009E57D0"/>
    <w:rsid w:val="009E58E0"/>
    <w:rsid w:val="009E5A72"/>
    <w:rsid w:val="009E5C60"/>
    <w:rsid w:val="009E61CB"/>
    <w:rsid w:val="009E62B7"/>
    <w:rsid w:val="009E634B"/>
    <w:rsid w:val="009E63B1"/>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0FA7"/>
    <w:rsid w:val="009F1096"/>
    <w:rsid w:val="009F10D5"/>
    <w:rsid w:val="009F1388"/>
    <w:rsid w:val="009F14AE"/>
    <w:rsid w:val="009F150E"/>
    <w:rsid w:val="009F17C9"/>
    <w:rsid w:val="009F1B11"/>
    <w:rsid w:val="009F1BF4"/>
    <w:rsid w:val="009F2318"/>
    <w:rsid w:val="009F2625"/>
    <w:rsid w:val="009F27AD"/>
    <w:rsid w:val="009F36CC"/>
    <w:rsid w:val="009F36D3"/>
    <w:rsid w:val="009F3E74"/>
    <w:rsid w:val="009F3FB5"/>
    <w:rsid w:val="009F485C"/>
    <w:rsid w:val="009F48F2"/>
    <w:rsid w:val="009F4CF3"/>
    <w:rsid w:val="009F4FA8"/>
    <w:rsid w:val="009F4FCC"/>
    <w:rsid w:val="009F521F"/>
    <w:rsid w:val="009F53A9"/>
    <w:rsid w:val="009F553C"/>
    <w:rsid w:val="009F57C3"/>
    <w:rsid w:val="009F594D"/>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428"/>
    <w:rsid w:val="00A037FF"/>
    <w:rsid w:val="00A038F9"/>
    <w:rsid w:val="00A03961"/>
    <w:rsid w:val="00A03A22"/>
    <w:rsid w:val="00A03CDA"/>
    <w:rsid w:val="00A04634"/>
    <w:rsid w:val="00A04B95"/>
    <w:rsid w:val="00A050C1"/>
    <w:rsid w:val="00A05123"/>
    <w:rsid w:val="00A05265"/>
    <w:rsid w:val="00A05648"/>
    <w:rsid w:val="00A05737"/>
    <w:rsid w:val="00A0601F"/>
    <w:rsid w:val="00A06119"/>
    <w:rsid w:val="00A06199"/>
    <w:rsid w:val="00A065ED"/>
    <w:rsid w:val="00A0667A"/>
    <w:rsid w:val="00A0681C"/>
    <w:rsid w:val="00A069AF"/>
    <w:rsid w:val="00A07217"/>
    <w:rsid w:val="00A07286"/>
    <w:rsid w:val="00A07A48"/>
    <w:rsid w:val="00A07B38"/>
    <w:rsid w:val="00A108EE"/>
    <w:rsid w:val="00A10BB8"/>
    <w:rsid w:val="00A10EAE"/>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51"/>
    <w:rsid w:val="00A173AB"/>
    <w:rsid w:val="00A174FE"/>
    <w:rsid w:val="00A175CD"/>
    <w:rsid w:val="00A179FF"/>
    <w:rsid w:val="00A17FD1"/>
    <w:rsid w:val="00A20046"/>
    <w:rsid w:val="00A20706"/>
    <w:rsid w:val="00A208EA"/>
    <w:rsid w:val="00A2095A"/>
    <w:rsid w:val="00A209DE"/>
    <w:rsid w:val="00A20C6F"/>
    <w:rsid w:val="00A20D79"/>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620"/>
    <w:rsid w:val="00A27640"/>
    <w:rsid w:val="00A27850"/>
    <w:rsid w:val="00A27B7A"/>
    <w:rsid w:val="00A27C97"/>
    <w:rsid w:val="00A27CDF"/>
    <w:rsid w:val="00A27F34"/>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10B"/>
    <w:rsid w:val="00A3432B"/>
    <w:rsid w:val="00A3446C"/>
    <w:rsid w:val="00A3466B"/>
    <w:rsid w:val="00A346BA"/>
    <w:rsid w:val="00A34757"/>
    <w:rsid w:val="00A34B3F"/>
    <w:rsid w:val="00A34BD1"/>
    <w:rsid w:val="00A34C67"/>
    <w:rsid w:val="00A34D62"/>
    <w:rsid w:val="00A350B6"/>
    <w:rsid w:val="00A353B4"/>
    <w:rsid w:val="00A35499"/>
    <w:rsid w:val="00A35552"/>
    <w:rsid w:val="00A35689"/>
    <w:rsid w:val="00A3568F"/>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5CE"/>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1F70"/>
    <w:rsid w:val="00A521BB"/>
    <w:rsid w:val="00A5226E"/>
    <w:rsid w:val="00A52BF5"/>
    <w:rsid w:val="00A534ED"/>
    <w:rsid w:val="00A53842"/>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7F1"/>
    <w:rsid w:val="00A558D1"/>
    <w:rsid w:val="00A559B3"/>
    <w:rsid w:val="00A55EEE"/>
    <w:rsid w:val="00A56104"/>
    <w:rsid w:val="00A56185"/>
    <w:rsid w:val="00A56332"/>
    <w:rsid w:val="00A56487"/>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B91"/>
    <w:rsid w:val="00A64C88"/>
    <w:rsid w:val="00A64D1B"/>
    <w:rsid w:val="00A65162"/>
    <w:rsid w:val="00A651F9"/>
    <w:rsid w:val="00A652CB"/>
    <w:rsid w:val="00A65487"/>
    <w:rsid w:val="00A65894"/>
    <w:rsid w:val="00A65911"/>
    <w:rsid w:val="00A659C0"/>
    <w:rsid w:val="00A65A57"/>
    <w:rsid w:val="00A66142"/>
    <w:rsid w:val="00A6643C"/>
    <w:rsid w:val="00A666C4"/>
    <w:rsid w:val="00A669E8"/>
    <w:rsid w:val="00A66AE1"/>
    <w:rsid w:val="00A66B9D"/>
    <w:rsid w:val="00A66C73"/>
    <w:rsid w:val="00A66DB4"/>
    <w:rsid w:val="00A66E27"/>
    <w:rsid w:val="00A66F11"/>
    <w:rsid w:val="00A67102"/>
    <w:rsid w:val="00A67544"/>
    <w:rsid w:val="00A67641"/>
    <w:rsid w:val="00A67A44"/>
    <w:rsid w:val="00A7025E"/>
    <w:rsid w:val="00A703FC"/>
    <w:rsid w:val="00A70469"/>
    <w:rsid w:val="00A7075B"/>
    <w:rsid w:val="00A7082E"/>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C0C"/>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76E6D"/>
    <w:rsid w:val="00A80166"/>
    <w:rsid w:val="00A8056E"/>
    <w:rsid w:val="00A80751"/>
    <w:rsid w:val="00A80FD0"/>
    <w:rsid w:val="00A81234"/>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BBA"/>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00"/>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456"/>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7DD"/>
    <w:rsid w:val="00A97A3B"/>
    <w:rsid w:val="00A97D3C"/>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3EE2"/>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917"/>
    <w:rsid w:val="00AA7CCA"/>
    <w:rsid w:val="00AA7CD0"/>
    <w:rsid w:val="00AA7FD7"/>
    <w:rsid w:val="00AB0543"/>
    <w:rsid w:val="00AB07F3"/>
    <w:rsid w:val="00AB0AC9"/>
    <w:rsid w:val="00AB0FD3"/>
    <w:rsid w:val="00AB133D"/>
    <w:rsid w:val="00AB1488"/>
    <w:rsid w:val="00AB14D8"/>
    <w:rsid w:val="00AB185A"/>
    <w:rsid w:val="00AB18AC"/>
    <w:rsid w:val="00AB1BA7"/>
    <w:rsid w:val="00AB1E04"/>
    <w:rsid w:val="00AB26B1"/>
    <w:rsid w:val="00AB26BA"/>
    <w:rsid w:val="00AB28FF"/>
    <w:rsid w:val="00AB294B"/>
    <w:rsid w:val="00AB2A74"/>
    <w:rsid w:val="00AB2B95"/>
    <w:rsid w:val="00AB2F33"/>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517"/>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749"/>
    <w:rsid w:val="00AD0A51"/>
    <w:rsid w:val="00AD0AB8"/>
    <w:rsid w:val="00AD0B37"/>
    <w:rsid w:val="00AD0DB2"/>
    <w:rsid w:val="00AD1029"/>
    <w:rsid w:val="00AD11F7"/>
    <w:rsid w:val="00AD18DE"/>
    <w:rsid w:val="00AD1DB5"/>
    <w:rsid w:val="00AD1DB7"/>
    <w:rsid w:val="00AD1F26"/>
    <w:rsid w:val="00AD1F55"/>
    <w:rsid w:val="00AD20B1"/>
    <w:rsid w:val="00AD23A6"/>
    <w:rsid w:val="00AD242B"/>
    <w:rsid w:val="00AD266D"/>
    <w:rsid w:val="00AD2852"/>
    <w:rsid w:val="00AD2F80"/>
    <w:rsid w:val="00AD3976"/>
    <w:rsid w:val="00AD40D3"/>
    <w:rsid w:val="00AD414C"/>
    <w:rsid w:val="00AD455C"/>
    <w:rsid w:val="00AD4B6D"/>
    <w:rsid w:val="00AD4BFF"/>
    <w:rsid w:val="00AD4D2A"/>
    <w:rsid w:val="00AD4FCB"/>
    <w:rsid w:val="00AD50E1"/>
    <w:rsid w:val="00AD5147"/>
    <w:rsid w:val="00AD5176"/>
    <w:rsid w:val="00AD542F"/>
    <w:rsid w:val="00AD5B74"/>
    <w:rsid w:val="00AD5C3E"/>
    <w:rsid w:val="00AD6007"/>
    <w:rsid w:val="00AD60AF"/>
    <w:rsid w:val="00AD61D5"/>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05"/>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36F"/>
    <w:rsid w:val="00AE53BC"/>
    <w:rsid w:val="00AE5963"/>
    <w:rsid w:val="00AE59EC"/>
    <w:rsid w:val="00AE5A88"/>
    <w:rsid w:val="00AE5EC6"/>
    <w:rsid w:val="00AE658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989"/>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C94"/>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A1E"/>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DE8"/>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2B"/>
    <w:rsid w:val="00B140EA"/>
    <w:rsid w:val="00B14195"/>
    <w:rsid w:val="00B14787"/>
    <w:rsid w:val="00B14A36"/>
    <w:rsid w:val="00B152CB"/>
    <w:rsid w:val="00B15630"/>
    <w:rsid w:val="00B156A9"/>
    <w:rsid w:val="00B15C93"/>
    <w:rsid w:val="00B15F0D"/>
    <w:rsid w:val="00B15F83"/>
    <w:rsid w:val="00B160FF"/>
    <w:rsid w:val="00B161D0"/>
    <w:rsid w:val="00B1631F"/>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51B"/>
    <w:rsid w:val="00B238E3"/>
    <w:rsid w:val="00B238F3"/>
    <w:rsid w:val="00B23AF4"/>
    <w:rsid w:val="00B23C15"/>
    <w:rsid w:val="00B2452A"/>
    <w:rsid w:val="00B24CC9"/>
    <w:rsid w:val="00B253C4"/>
    <w:rsid w:val="00B2575D"/>
    <w:rsid w:val="00B25762"/>
    <w:rsid w:val="00B25969"/>
    <w:rsid w:val="00B25A10"/>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6A5"/>
    <w:rsid w:val="00B31A9B"/>
    <w:rsid w:val="00B31FCA"/>
    <w:rsid w:val="00B32202"/>
    <w:rsid w:val="00B326FF"/>
    <w:rsid w:val="00B32962"/>
    <w:rsid w:val="00B32C87"/>
    <w:rsid w:val="00B33535"/>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166"/>
    <w:rsid w:val="00B36273"/>
    <w:rsid w:val="00B3661B"/>
    <w:rsid w:val="00B36654"/>
    <w:rsid w:val="00B3676C"/>
    <w:rsid w:val="00B367C5"/>
    <w:rsid w:val="00B36C28"/>
    <w:rsid w:val="00B36F97"/>
    <w:rsid w:val="00B37981"/>
    <w:rsid w:val="00B37D97"/>
    <w:rsid w:val="00B37F15"/>
    <w:rsid w:val="00B37F2E"/>
    <w:rsid w:val="00B40150"/>
    <w:rsid w:val="00B40CD2"/>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4C5"/>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E18"/>
    <w:rsid w:val="00B56F67"/>
    <w:rsid w:val="00B574C0"/>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59FF"/>
    <w:rsid w:val="00B65AE0"/>
    <w:rsid w:val="00B65CA3"/>
    <w:rsid w:val="00B66039"/>
    <w:rsid w:val="00B661E7"/>
    <w:rsid w:val="00B663BD"/>
    <w:rsid w:val="00B6653F"/>
    <w:rsid w:val="00B6676E"/>
    <w:rsid w:val="00B66863"/>
    <w:rsid w:val="00B66BF3"/>
    <w:rsid w:val="00B67B09"/>
    <w:rsid w:val="00B67C87"/>
    <w:rsid w:val="00B67DCE"/>
    <w:rsid w:val="00B67EC3"/>
    <w:rsid w:val="00B7028D"/>
    <w:rsid w:val="00B70717"/>
    <w:rsid w:val="00B708B5"/>
    <w:rsid w:val="00B708E1"/>
    <w:rsid w:val="00B70964"/>
    <w:rsid w:val="00B70A0C"/>
    <w:rsid w:val="00B70D1B"/>
    <w:rsid w:val="00B70D96"/>
    <w:rsid w:val="00B711CE"/>
    <w:rsid w:val="00B712F6"/>
    <w:rsid w:val="00B71841"/>
    <w:rsid w:val="00B719EB"/>
    <w:rsid w:val="00B71DC8"/>
    <w:rsid w:val="00B71EBA"/>
    <w:rsid w:val="00B72772"/>
    <w:rsid w:val="00B72985"/>
    <w:rsid w:val="00B72E52"/>
    <w:rsid w:val="00B73648"/>
    <w:rsid w:val="00B7399F"/>
    <w:rsid w:val="00B73BAC"/>
    <w:rsid w:val="00B73E0F"/>
    <w:rsid w:val="00B746C6"/>
    <w:rsid w:val="00B7483E"/>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88C"/>
    <w:rsid w:val="00B86955"/>
    <w:rsid w:val="00B86A3D"/>
    <w:rsid w:val="00B86CC8"/>
    <w:rsid w:val="00B87158"/>
    <w:rsid w:val="00B87398"/>
    <w:rsid w:val="00B875C7"/>
    <w:rsid w:val="00B876D4"/>
    <w:rsid w:val="00B879F6"/>
    <w:rsid w:val="00B87B54"/>
    <w:rsid w:val="00B87F00"/>
    <w:rsid w:val="00B87F39"/>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23"/>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4DF"/>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49"/>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573"/>
    <w:rsid w:val="00BA66AB"/>
    <w:rsid w:val="00BA6A16"/>
    <w:rsid w:val="00BA6AF8"/>
    <w:rsid w:val="00BA6E2B"/>
    <w:rsid w:val="00BA6F88"/>
    <w:rsid w:val="00BA79BF"/>
    <w:rsid w:val="00BA7D29"/>
    <w:rsid w:val="00BA7E04"/>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91E"/>
    <w:rsid w:val="00BB4B31"/>
    <w:rsid w:val="00BB4B60"/>
    <w:rsid w:val="00BB4BC0"/>
    <w:rsid w:val="00BB4C26"/>
    <w:rsid w:val="00BB50D6"/>
    <w:rsid w:val="00BB5214"/>
    <w:rsid w:val="00BB5290"/>
    <w:rsid w:val="00BB53CC"/>
    <w:rsid w:val="00BB559A"/>
    <w:rsid w:val="00BB5760"/>
    <w:rsid w:val="00BB5E49"/>
    <w:rsid w:val="00BB5FCB"/>
    <w:rsid w:val="00BB5FD0"/>
    <w:rsid w:val="00BB6020"/>
    <w:rsid w:val="00BB604B"/>
    <w:rsid w:val="00BB65B5"/>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6D6"/>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134"/>
    <w:rsid w:val="00BC63F2"/>
    <w:rsid w:val="00BC6546"/>
    <w:rsid w:val="00BC6B13"/>
    <w:rsid w:val="00BC6B4A"/>
    <w:rsid w:val="00BC6FD6"/>
    <w:rsid w:val="00BC71D3"/>
    <w:rsid w:val="00BC73B2"/>
    <w:rsid w:val="00BC7494"/>
    <w:rsid w:val="00BC74CC"/>
    <w:rsid w:val="00BC7FEC"/>
    <w:rsid w:val="00BD008E"/>
    <w:rsid w:val="00BD01EA"/>
    <w:rsid w:val="00BD0506"/>
    <w:rsid w:val="00BD081A"/>
    <w:rsid w:val="00BD0C9F"/>
    <w:rsid w:val="00BD15E8"/>
    <w:rsid w:val="00BD1C5B"/>
    <w:rsid w:val="00BD245A"/>
    <w:rsid w:val="00BD2783"/>
    <w:rsid w:val="00BD29C2"/>
    <w:rsid w:val="00BD2B6B"/>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0D3"/>
    <w:rsid w:val="00BD5135"/>
    <w:rsid w:val="00BD52BC"/>
    <w:rsid w:val="00BD5337"/>
    <w:rsid w:val="00BD5376"/>
    <w:rsid w:val="00BD53E2"/>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AE6"/>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A0C"/>
    <w:rsid w:val="00BE5B84"/>
    <w:rsid w:val="00BE5D2C"/>
    <w:rsid w:val="00BE5FC4"/>
    <w:rsid w:val="00BE68D3"/>
    <w:rsid w:val="00BE6F49"/>
    <w:rsid w:val="00BE6FA8"/>
    <w:rsid w:val="00BE765E"/>
    <w:rsid w:val="00BE7697"/>
    <w:rsid w:val="00BE7860"/>
    <w:rsid w:val="00BE7875"/>
    <w:rsid w:val="00BE7A37"/>
    <w:rsid w:val="00BE7BBA"/>
    <w:rsid w:val="00BE7BC2"/>
    <w:rsid w:val="00BE7C4D"/>
    <w:rsid w:val="00BE7F6A"/>
    <w:rsid w:val="00BF0274"/>
    <w:rsid w:val="00BF027F"/>
    <w:rsid w:val="00BF037D"/>
    <w:rsid w:val="00BF04DF"/>
    <w:rsid w:val="00BF06B5"/>
    <w:rsid w:val="00BF08C4"/>
    <w:rsid w:val="00BF0998"/>
    <w:rsid w:val="00BF0BAF"/>
    <w:rsid w:val="00BF0BE3"/>
    <w:rsid w:val="00BF1600"/>
    <w:rsid w:val="00BF16E3"/>
    <w:rsid w:val="00BF176C"/>
    <w:rsid w:val="00BF19CE"/>
    <w:rsid w:val="00BF1A07"/>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021"/>
    <w:rsid w:val="00C01350"/>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933"/>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D4"/>
    <w:rsid w:val="00C21BF3"/>
    <w:rsid w:val="00C21C7A"/>
    <w:rsid w:val="00C220B4"/>
    <w:rsid w:val="00C224CA"/>
    <w:rsid w:val="00C225F8"/>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D1"/>
    <w:rsid w:val="00C2663F"/>
    <w:rsid w:val="00C2691F"/>
    <w:rsid w:val="00C269C3"/>
    <w:rsid w:val="00C26B4D"/>
    <w:rsid w:val="00C26DB8"/>
    <w:rsid w:val="00C26F3E"/>
    <w:rsid w:val="00C26F42"/>
    <w:rsid w:val="00C270B8"/>
    <w:rsid w:val="00C27378"/>
    <w:rsid w:val="00C27524"/>
    <w:rsid w:val="00C2759E"/>
    <w:rsid w:val="00C277FC"/>
    <w:rsid w:val="00C2799C"/>
    <w:rsid w:val="00C27AB4"/>
    <w:rsid w:val="00C27EA6"/>
    <w:rsid w:val="00C300CF"/>
    <w:rsid w:val="00C303C8"/>
    <w:rsid w:val="00C3066D"/>
    <w:rsid w:val="00C30989"/>
    <w:rsid w:val="00C30C42"/>
    <w:rsid w:val="00C3139A"/>
    <w:rsid w:val="00C314ED"/>
    <w:rsid w:val="00C31A8B"/>
    <w:rsid w:val="00C32475"/>
    <w:rsid w:val="00C32783"/>
    <w:rsid w:val="00C32C15"/>
    <w:rsid w:val="00C32E7F"/>
    <w:rsid w:val="00C33419"/>
    <w:rsid w:val="00C334AB"/>
    <w:rsid w:val="00C334DE"/>
    <w:rsid w:val="00C335CF"/>
    <w:rsid w:val="00C33788"/>
    <w:rsid w:val="00C3386D"/>
    <w:rsid w:val="00C338DD"/>
    <w:rsid w:val="00C33C60"/>
    <w:rsid w:val="00C33D17"/>
    <w:rsid w:val="00C3400F"/>
    <w:rsid w:val="00C3407E"/>
    <w:rsid w:val="00C3446F"/>
    <w:rsid w:val="00C34520"/>
    <w:rsid w:val="00C34775"/>
    <w:rsid w:val="00C34AF8"/>
    <w:rsid w:val="00C34B64"/>
    <w:rsid w:val="00C34C36"/>
    <w:rsid w:val="00C34D66"/>
    <w:rsid w:val="00C34E55"/>
    <w:rsid w:val="00C34E96"/>
    <w:rsid w:val="00C34EEF"/>
    <w:rsid w:val="00C35153"/>
    <w:rsid w:val="00C351AB"/>
    <w:rsid w:val="00C352B3"/>
    <w:rsid w:val="00C35451"/>
    <w:rsid w:val="00C35606"/>
    <w:rsid w:val="00C3575B"/>
    <w:rsid w:val="00C35793"/>
    <w:rsid w:val="00C35F8E"/>
    <w:rsid w:val="00C364EC"/>
    <w:rsid w:val="00C3654C"/>
    <w:rsid w:val="00C3666F"/>
    <w:rsid w:val="00C36761"/>
    <w:rsid w:val="00C36814"/>
    <w:rsid w:val="00C36BF5"/>
    <w:rsid w:val="00C36DBC"/>
    <w:rsid w:val="00C37100"/>
    <w:rsid w:val="00C37454"/>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0F2"/>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E85"/>
    <w:rsid w:val="00C42FA6"/>
    <w:rsid w:val="00C4304C"/>
    <w:rsid w:val="00C432C4"/>
    <w:rsid w:val="00C43315"/>
    <w:rsid w:val="00C43499"/>
    <w:rsid w:val="00C4354B"/>
    <w:rsid w:val="00C437AB"/>
    <w:rsid w:val="00C43A5C"/>
    <w:rsid w:val="00C43CF8"/>
    <w:rsid w:val="00C43F23"/>
    <w:rsid w:val="00C43F31"/>
    <w:rsid w:val="00C44036"/>
    <w:rsid w:val="00C4426F"/>
    <w:rsid w:val="00C444BF"/>
    <w:rsid w:val="00C446ED"/>
    <w:rsid w:val="00C4470F"/>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B04"/>
    <w:rsid w:val="00C53D90"/>
    <w:rsid w:val="00C53EB3"/>
    <w:rsid w:val="00C53F17"/>
    <w:rsid w:val="00C54038"/>
    <w:rsid w:val="00C54263"/>
    <w:rsid w:val="00C542D4"/>
    <w:rsid w:val="00C546A6"/>
    <w:rsid w:val="00C548AF"/>
    <w:rsid w:val="00C54D2C"/>
    <w:rsid w:val="00C54D71"/>
    <w:rsid w:val="00C5501C"/>
    <w:rsid w:val="00C552C2"/>
    <w:rsid w:val="00C552FB"/>
    <w:rsid w:val="00C55594"/>
    <w:rsid w:val="00C558A5"/>
    <w:rsid w:val="00C55BC2"/>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E1E"/>
    <w:rsid w:val="00C73E68"/>
    <w:rsid w:val="00C7401D"/>
    <w:rsid w:val="00C74253"/>
    <w:rsid w:val="00C743AC"/>
    <w:rsid w:val="00C747CC"/>
    <w:rsid w:val="00C747F8"/>
    <w:rsid w:val="00C74D97"/>
    <w:rsid w:val="00C751A0"/>
    <w:rsid w:val="00C7528D"/>
    <w:rsid w:val="00C7553A"/>
    <w:rsid w:val="00C75570"/>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5E52"/>
    <w:rsid w:val="00C8600B"/>
    <w:rsid w:val="00C86018"/>
    <w:rsid w:val="00C86059"/>
    <w:rsid w:val="00C86144"/>
    <w:rsid w:val="00C862A5"/>
    <w:rsid w:val="00C8646D"/>
    <w:rsid w:val="00C869B7"/>
    <w:rsid w:val="00C86AFC"/>
    <w:rsid w:val="00C86C20"/>
    <w:rsid w:val="00C86CE8"/>
    <w:rsid w:val="00C870C5"/>
    <w:rsid w:val="00C871D0"/>
    <w:rsid w:val="00C8739B"/>
    <w:rsid w:val="00C873A4"/>
    <w:rsid w:val="00C873E4"/>
    <w:rsid w:val="00C8756A"/>
    <w:rsid w:val="00C87787"/>
    <w:rsid w:val="00C879C5"/>
    <w:rsid w:val="00C87D87"/>
    <w:rsid w:val="00C87E67"/>
    <w:rsid w:val="00C9008C"/>
    <w:rsid w:val="00C907F5"/>
    <w:rsid w:val="00C90802"/>
    <w:rsid w:val="00C9096F"/>
    <w:rsid w:val="00C90980"/>
    <w:rsid w:val="00C90985"/>
    <w:rsid w:val="00C90B4A"/>
    <w:rsid w:val="00C90DE4"/>
    <w:rsid w:val="00C9138C"/>
    <w:rsid w:val="00C9154F"/>
    <w:rsid w:val="00C9163C"/>
    <w:rsid w:val="00C91766"/>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496"/>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301"/>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B1"/>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6C8"/>
    <w:rsid w:val="00CC0BA4"/>
    <w:rsid w:val="00CC0BEF"/>
    <w:rsid w:val="00CC0C4A"/>
    <w:rsid w:val="00CC1076"/>
    <w:rsid w:val="00CC10E4"/>
    <w:rsid w:val="00CC17F0"/>
    <w:rsid w:val="00CC1853"/>
    <w:rsid w:val="00CC1874"/>
    <w:rsid w:val="00CC1A02"/>
    <w:rsid w:val="00CC1C69"/>
    <w:rsid w:val="00CC1FAE"/>
    <w:rsid w:val="00CC2312"/>
    <w:rsid w:val="00CC258A"/>
    <w:rsid w:val="00CC2700"/>
    <w:rsid w:val="00CC288A"/>
    <w:rsid w:val="00CC2A06"/>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5F29"/>
    <w:rsid w:val="00CD64CD"/>
    <w:rsid w:val="00CD6B08"/>
    <w:rsid w:val="00CD6B0C"/>
    <w:rsid w:val="00CD6E3D"/>
    <w:rsid w:val="00CD71AB"/>
    <w:rsid w:val="00CD75FC"/>
    <w:rsid w:val="00CD7833"/>
    <w:rsid w:val="00CD7D52"/>
    <w:rsid w:val="00CD7D91"/>
    <w:rsid w:val="00CD7EA6"/>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1AC"/>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4F"/>
    <w:rsid w:val="00CF1D7A"/>
    <w:rsid w:val="00CF224C"/>
    <w:rsid w:val="00CF2256"/>
    <w:rsid w:val="00CF24D1"/>
    <w:rsid w:val="00CF24F8"/>
    <w:rsid w:val="00CF25C5"/>
    <w:rsid w:val="00CF2653"/>
    <w:rsid w:val="00CF2676"/>
    <w:rsid w:val="00CF27DF"/>
    <w:rsid w:val="00CF2B94"/>
    <w:rsid w:val="00CF2F04"/>
    <w:rsid w:val="00CF2F05"/>
    <w:rsid w:val="00CF2F0D"/>
    <w:rsid w:val="00CF3390"/>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33B"/>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0CA"/>
    <w:rsid w:val="00D0667C"/>
    <w:rsid w:val="00D0674A"/>
    <w:rsid w:val="00D0692C"/>
    <w:rsid w:val="00D06A19"/>
    <w:rsid w:val="00D06CF6"/>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1FEF"/>
    <w:rsid w:val="00D12293"/>
    <w:rsid w:val="00D122C0"/>
    <w:rsid w:val="00D130A0"/>
    <w:rsid w:val="00D133FB"/>
    <w:rsid w:val="00D13880"/>
    <w:rsid w:val="00D14236"/>
    <w:rsid w:val="00D1452D"/>
    <w:rsid w:val="00D14553"/>
    <w:rsid w:val="00D14A89"/>
    <w:rsid w:val="00D14BE0"/>
    <w:rsid w:val="00D14DB1"/>
    <w:rsid w:val="00D14E69"/>
    <w:rsid w:val="00D15182"/>
    <w:rsid w:val="00D1532A"/>
    <w:rsid w:val="00D1547B"/>
    <w:rsid w:val="00D15484"/>
    <w:rsid w:val="00D1596F"/>
    <w:rsid w:val="00D159F1"/>
    <w:rsid w:val="00D15A23"/>
    <w:rsid w:val="00D15DED"/>
    <w:rsid w:val="00D15EA4"/>
    <w:rsid w:val="00D15F43"/>
    <w:rsid w:val="00D160BA"/>
    <w:rsid w:val="00D169BE"/>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6F65"/>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1FDF"/>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CD0"/>
    <w:rsid w:val="00D36EEA"/>
    <w:rsid w:val="00D36EEC"/>
    <w:rsid w:val="00D37401"/>
    <w:rsid w:val="00D3752E"/>
    <w:rsid w:val="00D378DD"/>
    <w:rsid w:val="00D37995"/>
    <w:rsid w:val="00D37FEC"/>
    <w:rsid w:val="00D40478"/>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231"/>
    <w:rsid w:val="00D44353"/>
    <w:rsid w:val="00D4462A"/>
    <w:rsid w:val="00D446AA"/>
    <w:rsid w:val="00D446AE"/>
    <w:rsid w:val="00D44805"/>
    <w:rsid w:val="00D4492B"/>
    <w:rsid w:val="00D44994"/>
    <w:rsid w:val="00D44A6E"/>
    <w:rsid w:val="00D45AE0"/>
    <w:rsid w:val="00D45C42"/>
    <w:rsid w:val="00D45DCB"/>
    <w:rsid w:val="00D45DF3"/>
    <w:rsid w:val="00D46174"/>
    <w:rsid w:val="00D46195"/>
    <w:rsid w:val="00D46436"/>
    <w:rsid w:val="00D4679A"/>
    <w:rsid w:val="00D469D5"/>
    <w:rsid w:val="00D46D43"/>
    <w:rsid w:val="00D475B4"/>
    <w:rsid w:val="00D47DD0"/>
    <w:rsid w:val="00D5010A"/>
    <w:rsid w:val="00D50183"/>
    <w:rsid w:val="00D50643"/>
    <w:rsid w:val="00D5078C"/>
    <w:rsid w:val="00D507F8"/>
    <w:rsid w:val="00D50AE8"/>
    <w:rsid w:val="00D50B74"/>
    <w:rsid w:val="00D50C7C"/>
    <w:rsid w:val="00D50CA9"/>
    <w:rsid w:val="00D51499"/>
    <w:rsid w:val="00D51523"/>
    <w:rsid w:val="00D5186E"/>
    <w:rsid w:val="00D51C28"/>
    <w:rsid w:val="00D51D12"/>
    <w:rsid w:val="00D52071"/>
    <w:rsid w:val="00D52308"/>
    <w:rsid w:val="00D523ED"/>
    <w:rsid w:val="00D52731"/>
    <w:rsid w:val="00D52A44"/>
    <w:rsid w:val="00D52EF4"/>
    <w:rsid w:val="00D53047"/>
    <w:rsid w:val="00D53233"/>
    <w:rsid w:val="00D532BB"/>
    <w:rsid w:val="00D535BC"/>
    <w:rsid w:val="00D5362B"/>
    <w:rsid w:val="00D53898"/>
    <w:rsid w:val="00D53BBE"/>
    <w:rsid w:val="00D53CEB"/>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553"/>
    <w:rsid w:val="00D60B66"/>
    <w:rsid w:val="00D60C8D"/>
    <w:rsid w:val="00D61374"/>
    <w:rsid w:val="00D6168A"/>
    <w:rsid w:val="00D616A5"/>
    <w:rsid w:val="00D61C03"/>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3BC"/>
    <w:rsid w:val="00D659B1"/>
    <w:rsid w:val="00D65B29"/>
    <w:rsid w:val="00D66103"/>
    <w:rsid w:val="00D66251"/>
    <w:rsid w:val="00D66830"/>
    <w:rsid w:val="00D66E18"/>
    <w:rsid w:val="00D66F36"/>
    <w:rsid w:val="00D671FE"/>
    <w:rsid w:val="00D6724B"/>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7CF"/>
    <w:rsid w:val="00D73EBB"/>
    <w:rsid w:val="00D74010"/>
    <w:rsid w:val="00D74711"/>
    <w:rsid w:val="00D7482B"/>
    <w:rsid w:val="00D748AF"/>
    <w:rsid w:val="00D751FB"/>
    <w:rsid w:val="00D7536D"/>
    <w:rsid w:val="00D754D6"/>
    <w:rsid w:val="00D757C1"/>
    <w:rsid w:val="00D75B17"/>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74D"/>
    <w:rsid w:val="00D8394B"/>
    <w:rsid w:val="00D83AE9"/>
    <w:rsid w:val="00D840B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30"/>
    <w:rsid w:val="00D90BF5"/>
    <w:rsid w:val="00D90CD3"/>
    <w:rsid w:val="00D9107E"/>
    <w:rsid w:val="00D91184"/>
    <w:rsid w:val="00D91201"/>
    <w:rsid w:val="00D919E6"/>
    <w:rsid w:val="00D91BE1"/>
    <w:rsid w:val="00D92172"/>
    <w:rsid w:val="00D92A44"/>
    <w:rsid w:val="00D92C29"/>
    <w:rsid w:val="00D92CAA"/>
    <w:rsid w:val="00D92FFA"/>
    <w:rsid w:val="00D93015"/>
    <w:rsid w:val="00D931AC"/>
    <w:rsid w:val="00D93238"/>
    <w:rsid w:val="00D932C2"/>
    <w:rsid w:val="00D93377"/>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20"/>
    <w:rsid w:val="00D97083"/>
    <w:rsid w:val="00D97099"/>
    <w:rsid w:val="00D971F6"/>
    <w:rsid w:val="00D972D0"/>
    <w:rsid w:val="00D9763B"/>
    <w:rsid w:val="00D97884"/>
    <w:rsid w:val="00D97C1A"/>
    <w:rsid w:val="00D97E49"/>
    <w:rsid w:val="00DA0561"/>
    <w:rsid w:val="00DA0A7F"/>
    <w:rsid w:val="00DA14AB"/>
    <w:rsid w:val="00DA1A91"/>
    <w:rsid w:val="00DA1AC6"/>
    <w:rsid w:val="00DA1B47"/>
    <w:rsid w:val="00DA1C19"/>
    <w:rsid w:val="00DA1C31"/>
    <w:rsid w:val="00DA1D26"/>
    <w:rsid w:val="00DA1DB0"/>
    <w:rsid w:val="00DA1F0D"/>
    <w:rsid w:val="00DA1FB5"/>
    <w:rsid w:val="00DA20BC"/>
    <w:rsid w:val="00DA23FD"/>
    <w:rsid w:val="00DA2DB8"/>
    <w:rsid w:val="00DA2ED7"/>
    <w:rsid w:val="00DA3676"/>
    <w:rsid w:val="00DA3860"/>
    <w:rsid w:val="00DA3A02"/>
    <w:rsid w:val="00DA3E30"/>
    <w:rsid w:val="00DA3E7A"/>
    <w:rsid w:val="00DA3F83"/>
    <w:rsid w:val="00DA40D5"/>
    <w:rsid w:val="00DA430C"/>
    <w:rsid w:val="00DA43FC"/>
    <w:rsid w:val="00DA4482"/>
    <w:rsid w:val="00DA449E"/>
    <w:rsid w:val="00DA4633"/>
    <w:rsid w:val="00DA4A1A"/>
    <w:rsid w:val="00DA50E1"/>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BD4"/>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5C"/>
    <w:rsid w:val="00DC048A"/>
    <w:rsid w:val="00DC04AC"/>
    <w:rsid w:val="00DC099A"/>
    <w:rsid w:val="00DC0A2C"/>
    <w:rsid w:val="00DC0CED"/>
    <w:rsid w:val="00DC0D02"/>
    <w:rsid w:val="00DC0F79"/>
    <w:rsid w:val="00DC0FDC"/>
    <w:rsid w:val="00DC1050"/>
    <w:rsid w:val="00DC1260"/>
    <w:rsid w:val="00DC1327"/>
    <w:rsid w:val="00DC1350"/>
    <w:rsid w:val="00DC15FD"/>
    <w:rsid w:val="00DC18FB"/>
    <w:rsid w:val="00DC22CE"/>
    <w:rsid w:val="00DC25A6"/>
    <w:rsid w:val="00DC2607"/>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217"/>
    <w:rsid w:val="00DC5672"/>
    <w:rsid w:val="00DC5834"/>
    <w:rsid w:val="00DC5AD4"/>
    <w:rsid w:val="00DC5CC9"/>
    <w:rsid w:val="00DC60A2"/>
    <w:rsid w:val="00DC6290"/>
    <w:rsid w:val="00DC6600"/>
    <w:rsid w:val="00DC6737"/>
    <w:rsid w:val="00DC67BD"/>
    <w:rsid w:val="00DC6924"/>
    <w:rsid w:val="00DC6F3C"/>
    <w:rsid w:val="00DC71C8"/>
    <w:rsid w:val="00DC71F2"/>
    <w:rsid w:val="00DC733B"/>
    <w:rsid w:val="00DC7388"/>
    <w:rsid w:val="00DC78B2"/>
    <w:rsid w:val="00DC796E"/>
    <w:rsid w:val="00DD0014"/>
    <w:rsid w:val="00DD00D5"/>
    <w:rsid w:val="00DD02D3"/>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6E7"/>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95"/>
    <w:rsid w:val="00DE09F7"/>
    <w:rsid w:val="00DE0BC4"/>
    <w:rsid w:val="00DE0D01"/>
    <w:rsid w:val="00DE0DC3"/>
    <w:rsid w:val="00DE0E59"/>
    <w:rsid w:val="00DE0F66"/>
    <w:rsid w:val="00DE0F6C"/>
    <w:rsid w:val="00DE1BB0"/>
    <w:rsid w:val="00DE1C69"/>
    <w:rsid w:val="00DE219B"/>
    <w:rsid w:val="00DE21B9"/>
    <w:rsid w:val="00DE21C0"/>
    <w:rsid w:val="00DE2905"/>
    <w:rsid w:val="00DE2CB6"/>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28D"/>
    <w:rsid w:val="00DE66BA"/>
    <w:rsid w:val="00DE6782"/>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121"/>
    <w:rsid w:val="00DF179D"/>
    <w:rsid w:val="00DF1A0E"/>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4CF2"/>
    <w:rsid w:val="00DF530E"/>
    <w:rsid w:val="00DF5502"/>
    <w:rsid w:val="00DF5547"/>
    <w:rsid w:val="00DF57AC"/>
    <w:rsid w:val="00DF5833"/>
    <w:rsid w:val="00DF59F7"/>
    <w:rsid w:val="00DF5CBD"/>
    <w:rsid w:val="00DF5CE2"/>
    <w:rsid w:val="00DF5D78"/>
    <w:rsid w:val="00DF6297"/>
    <w:rsid w:val="00DF6394"/>
    <w:rsid w:val="00DF64AC"/>
    <w:rsid w:val="00DF6B42"/>
    <w:rsid w:val="00DF6C8B"/>
    <w:rsid w:val="00DF6F17"/>
    <w:rsid w:val="00DF6FBF"/>
    <w:rsid w:val="00DF733E"/>
    <w:rsid w:val="00DF744C"/>
    <w:rsid w:val="00DF76E9"/>
    <w:rsid w:val="00DF77BB"/>
    <w:rsid w:val="00DF78FA"/>
    <w:rsid w:val="00DF7DF3"/>
    <w:rsid w:val="00DF7F76"/>
    <w:rsid w:val="00E001FE"/>
    <w:rsid w:val="00E002F1"/>
    <w:rsid w:val="00E00549"/>
    <w:rsid w:val="00E0077B"/>
    <w:rsid w:val="00E0082C"/>
    <w:rsid w:val="00E00A8E"/>
    <w:rsid w:val="00E00CDD"/>
    <w:rsid w:val="00E00D95"/>
    <w:rsid w:val="00E011D1"/>
    <w:rsid w:val="00E01DAA"/>
    <w:rsid w:val="00E01E69"/>
    <w:rsid w:val="00E02210"/>
    <w:rsid w:val="00E023E5"/>
    <w:rsid w:val="00E02432"/>
    <w:rsid w:val="00E025CA"/>
    <w:rsid w:val="00E02AF0"/>
    <w:rsid w:val="00E02B9E"/>
    <w:rsid w:val="00E02BE5"/>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3B3"/>
    <w:rsid w:val="00E12A32"/>
    <w:rsid w:val="00E12E22"/>
    <w:rsid w:val="00E134B7"/>
    <w:rsid w:val="00E138AC"/>
    <w:rsid w:val="00E13DB6"/>
    <w:rsid w:val="00E13E0C"/>
    <w:rsid w:val="00E13FA5"/>
    <w:rsid w:val="00E14665"/>
    <w:rsid w:val="00E1469A"/>
    <w:rsid w:val="00E146EB"/>
    <w:rsid w:val="00E14A2F"/>
    <w:rsid w:val="00E14A7E"/>
    <w:rsid w:val="00E14E94"/>
    <w:rsid w:val="00E1503A"/>
    <w:rsid w:val="00E15108"/>
    <w:rsid w:val="00E151E1"/>
    <w:rsid w:val="00E15ABC"/>
    <w:rsid w:val="00E16002"/>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B0F"/>
    <w:rsid w:val="00E30DFC"/>
    <w:rsid w:val="00E30F44"/>
    <w:rsid w:val="00E30F9B"/>
    <w:rsid w:val="00E30FA3"/>
    <w:rsid w:val="00E30FF7"/>
    <w:rsid w:val="00E3127D"/>
    <w:rsid w:val="00E31448"/>
    <w:rsid w:val="00E31F74"/>
    <w:rsid w:val="00E323D3"/>
    <w:rsid w:val="00E32632"/>
    <w:rsid w:val="00E32A1E"/>
    <w:rsid w:val="00E32AA0"/>
    <w:rsid w:val="00E32ADF"/>
    <w:rsid w:val="00E32C39"/>
    <w:rsid w:val="00E32D62"/>
    <w:rsid w:val="00E32D9E"/>
    <w:rsid w:val="00E339DC"/>
    <w:rsid w:val="00E33E15"/>
    <w:rsid w:val="00E33E60"/>
    <w:rsid w:val="00E33E81"/>
    <w:rsid w:val="00E34295"/>
    <w:rsid w:val="00E3434D"/>
    <w:rsid w:val="00E34436"/>
    <w:rsid w:val="00E34EFC"/>
    <w:rsid w:val="00E355A5"/>
    <w:rsid w:val="00E35D61"/>
    <w:rsid w:val="00E361B8"/>
    <w:rsid w:val="00E362DD"/>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2EB5"/>
    <w:rsid w:val="00E43084"/>
    <w:rsid w:val="00E435EC"/>
    <w:rsid w:val="00E43802"/>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0F1D"/>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4CE"/>
    <w:rsid w:val="00E565F4"/>
    <w:rsid w:val="00E56976"/>
    <w:rsid w:val="00E56BBA"/>
    <w:rsid w:val="00E56DEA"/>
    <w:rsid w:val="00E56F04"/>
    <w:rsid w:val="00E5722D"/>
    <w:rsid w:val="00E5733D"/>
    <w:rsid w:val="00E57651"/>
    <w:rsid w:val="00E57B8D"/>
    <w:rsid w:val="00E57DB6"/>
    <w:rsid w:val="00E604DD"/>
    <w:rsid w:val="00E6055B"/>
    <w:rsid w:val="00E60A33"/>
    <w:rsid w:val="00E60E66"/>
    <w:rsid w:val="00E60F32"/>
    <w:rsid w:val="00E617CE"/>
    <w:rsid w:val="00E61AC3"/>
    <w:rsid w:val="00E61BCE"/>
    <w:rsid w:val="00E61CC0"/>
    <w:rsid w:val="00E61F72"/>
    <w:rsid w:val="00E62017"/>
    <w:rsid w:val="00E62707"/>
    <w:rsid w:val="00E62777"/>
    <w:rsid w:val="00E6277B"/>
    <w:rsid w:val="00E62D0C"/>
    <w:rsid w:val="00E631CF"/>
    <w:rsid w:val="00E63604"/>
    <w:rsid w:val="00E63644"/>
    <w:rsid w:val="00E63A68"/>
    <w:rsid w:val="00E63F25"/>
    <w:rsid w:val="00E63F8B"/>
    <w:rsid w:val="00E6416C"/>
    <w:rsid w:val="00E64424"/>
    <w:rsid w:val="00E645D1"/>
    <w:rsid w:val="00E64C99"/>
    <w:rsid w:val="00E64CD3"/>
    <w:rsid w:val="00E6513A"/>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5FA"/>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408"/>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5ED"/>
    <w:rsid w:val="00E7783B"/>
    <w:rsid w:val="00E77848"/>
    <w:rsid w:val="00E77F4D"/>
    <w:rsid w:val="00E8020D"/>
    <w:rsid w:val="00E8025C"/>
    <w:rsid w:val="00E80484"/>
    <w:rsid w:val="00E80514"/>
    <w:rsid w:val="00E8052E"/>
    <w:rsid w:val="00E80874"/>
    <w:rsid w:val="00E8096E"/>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8FF"/>
    <w:rsid w:val="00E82AD3"/>
    <w:rsid w:val="00E82AE0"/>
    <w:rsid w:val="00E82CAB"/>
    <w:rsid w:val="00E83122"/>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CF9"/>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8F8"/>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1E"/>
    <w:rsid w:val="00EA272A"/>
    <w:rsid w:val="00EA2E0C"/>
    <w:rsid w:val="00EA30A0"/>
    <w:rsid w:val="00EA3400"/>
    <w:rsid w:val="00EA382E"/>
    <w:rsid w:val="00EA3B5A"/>
    <w:rsid w:val="00EA3BCD"/>
    <w:rsid w:val="00EA3E42"/>
    <w:rsid w:val="00EA410E"/>
    <w:rsid w:val="00EA440A"/>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8EA"/>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533"/>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39"/>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B10"/>
    <w:rsid w:val="00EC0C86"/>
    <w:rsid w:val="00EC0E6F"/>
    <w:rsid w:val="00EC1097"/>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87"/>
    <w:rsid w:val="00EC50FE"/>
    <w:rsid w:val="00EC52D1"/>
    <w:rsid w:val="00EC5432"/>
    <w:rsid w:val="00EC56E0"/>
    <w:rsid w:val="00EC5D7E"/>
    <w:rsid w:val="00EC6057"/>
    <w:rsid w:val="00EC60C8"/>
    <w:rsid w:val="00EC6847"/>
    <w:rsid w:val="00EC6BAB"/>
    <w:rsid w:val="00EC6EB3"/>
    <w:rsid w:val="00EC6F7C"/>
    <w:rsid w:val="00EC70EC"/>
    <w:rsid w:val="00EC71D0"/>
    <w:rsid w:val="00EC73C3"/>
    <w:rsid w:val="00EC7448"/>
    <w:rsid w:val="00EC76A7"/>
    <w:rsid w:val="00EC781D"/>
    <w:rsid w:val="00EC790E"/>
    <w:rsid w:val="00EC7A6C"/>
    <w:rsid w:val="00EC7DB6"/>
    <w:rsid w:val="00EC7DDF"/>
    <w:rsid w:val="00ED072D"/>
    <w:rsid w:val="00ED091F"/>
    <w:rsid w:val="00ED0A1E"/>
    <w:rsid w:val="00ED0AA5"/>
    <w:rsid w:val="00ED0BAC"/>
    <w:rsid w:val="00ED0F37"/>
    <w:rsid w:val="00ED148C"/>
    <w:rsid w:val="00ED162F"/>
    <w:rsid w:val="00ED1642"/>
    <w:rsid w:val="00ED1B79"/>
    <w:rsid w:val="00ED1ED3"/>
    <w:rsid w:val="00ED1FBB"/>
    <w:rsid w:val="00ED242F"/>
    <w:rsid w:val="00ED29E8"/>
    <w:rsid w:val="00ED2AC1"/>
    <w:rsid w:val="00ED2D59"/>
    <w:rsid w:val="00ED2E52"/>
    <w:rsid w:val="00ED3024"/>
    <w:rsid w:val="00ED30E1"/>
    <w:rsid w:val="00ED3362"/>
    <w:rsid w:val="00ED34A2"/>
    <w:rsid w:val="00ED379A"/>
    <w:rsid w:val="00ED3A90"/>
    <w:rsid w:val="00ED3ABE"/>
    <w:rsid w:val="00ED3F41"/>
    <w:rsid w:val="00ED3FC3"/>
    <w:rsid w:val="00ED41BB"/>
    <w:rsid w:val="00ED424C"/>
    <w:rsid w:val="00ED43E7"/>
    <w:rsid w:val="00ED45A3"/>
    <w:rsid w:val="00ED4ACF"/>
    <w:rsid w:val="00ED54D8"/>
    <w:rsid w:val="00ED550E"/>
    <w:rsid w:val="00ED5701"/>
    <w:rsid w:val="00ED5D68"/>
    <w:rsid w:val="00ED5DEE"/>
    <w:rsid w:val="00ED5EF2"/>
    <w:rsid w:val="00ED5FE4"/>
    <w:rsid w:val="00ED60CE"/>
    <w:rsid w:val="00ED62FE"/>
    <w:rsid w:val="00ED6C6F"/>
    <w:rsid w:val="00ED71B5"/>
    <w:rsid w:val="00ED71C5"/>
    <w:rsid w:val="00ED72E0"/>
    <w:rsid w:val="00ED73BE"/>
    <w:rsid w:val="00ED7409"/>
    <w:rsid w:val="00ED74FC"/>
    <w:rsid w:val="00ED757D"/>
    <w:rsid w:val="00ED76F5"/>
    <w:rsid w:val="00ED7711"/>
    <w:rsid w:val="00ED77F5"/>
    <w:rsid w:val="00ED799F"/>
    <w:rsid w:val="00ED7BC0"/>
    <w:rsid w:val="00EE0201"/>
    <w:rsid w:val="00EE0A15"/>
    <w:rsid w:val="00EE0A4B"/>
    <w:rsid w:val="00EE0AD8"/>
    <w:rsid w:val="00EE123E"/>
    <w:rsid w:val="00EE1269"/>
    <w:rsid w:val="00EE16FA"/>
    <w:rsid w:val="00EE186B"/>
    <w:rsid w:val="00EE1C43"/>
    <w:rsid w:val="00EE1C6E"/>
    <w:rsid w:val="00EE20C3"/>
    <w:rsid w:val="00EE210F"/>
    <w:rsid w:val="00EE2234"/>
    <w:rsid w:val="00EE2573"/>
    <w:rsid w:val="00EE275B"/>
    <w:rsid w:val="00EE27B7"/>
    <w:rsid w:val="00EE2AFF"/>
    <w:rsid w:val="00EE3415"/>
    <w:rsid w:val="00EE344A"/>
    <w:rsid w:val="00EE391D"/>
    <w:rsid w:val="00EE3A38"/>
    <w:rsid w:val="00EE3B34"/>
    <w:rsid w:val="00EE3C42"/>
    <w:rsid w:val="00EE3D4F"/>
    <w:rsid w:val="00EE3E0E"/>
    <w:rsid w:val="00EE3E45"/>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CA0"/>
    <w:rsid w:val="00EF0F8E"/>
    <w:rsid w:val="00EF14AD"/>
    <w:rsid w:val="00EF15A2"/>
    <w:rsid w:val="00EF1BD3"/>
    <w:rsid w:val="00EF1F9C"/>
    <w:rsid w:val="00EF2166"/>
    <w:rsid w:val="00EF22ED"/>
    <w:rsid w:val="00EF248C"/>
    <w:rsid w:val="00EF26FD"/>
    <w:rsid w:val="00EF275D"/>
    <w:rsid w:val="00EF27B1"/>
    <w:rsid w:val="00EF320C"/>
    <w:rsid w:val="00EF3230"/>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73"/>
    <w:rsid w:val="00EF69D8"/>
    <w:rsid w:val="00EF6A93"/>
    <w:rsid w:val="00EF7002"/>
    <w:rsid w:val="00EF71CF"/>
    <w:rsid w:val="00EF7599"/>
    <w:rsid w:val="00EF7655"/>
    <w:rsid w:val="00EF769B"/>
    <w:rsid w:val="00EF77A7"/>
    <w:rsid w:val="00EF7B20"/>
    <w:rsid w:val="00F000CA"/>
    <w:rsid w:val="00F000D1"/>
    <w:rsid w:val="00F00244"/>
    <w:rsid w:val="00F00F08"/>
    <w:rsid w:val="00F00F53"/>
    <w:rsid w:val="00F0174F"/>
    <w:rsid w:val="00F0196D"/>
    <w:rsid w:val="00F01A73"/>
    <w:rsid w:val="00F01AE7"/>
    <w:rsid w:val="00F01DC5"/>
    <w:rsid w:val="00F020CA"/>
    <w:rsid w:val="00F023A0"/>
    <w:rsid w:val="00F0257C"/>
    <w:rsid w:val="00F027BA"/>
    <w:rsid w:val="00F02BE7"/>
    <w:rsid w:val="00F02C5C"/>
    <w:rsid w:val="00F02CED"/>
    <w:rsid w:val="00F03244"/>
    <w:rsid w:val="00F03681"/>
    <w:rsid w:val="00F0376C"/>
    <w:rsid w:val="00F03852"/>
    <w:rsid w:val="00F03986"/>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67"/>
    <w:rsid w:val="00F11E7A"/>
    <w:rsid w:val="00F11E94"/>
    <w:rsid w:val="00F11EA2"/>
    <w:rsid w:val="00F11FE8"/>
    <w:rsid w:val="00F1214A"/>
    <w:rsid w:val="00F126F3"/>
    <w:rsid w:val="00F127CB"/>
    <w:rsid w:val="00F12D33"/>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656"/>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8D8"/>
    <w:rsid w:val="00F249EB"/>
    <w:rsid w:val="00F24E53"/>
    <w:rsid w:val="00F24E78"/>
    <w:rsid w:val="00F256F8"/>
    <w:rsid w:val="00F25B1C"/>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236"/>
    <w:rsid w:val="00F36363"/>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396"/>
    <w:rsid w:val="00F44EC5"/>
    <w:rsid w:val="00F4505B"/>
    <w:rsid w:val="00F45897"/>
    <w:rsid w:val="00F45B1E"/>
    <w:rsid w:val="00F45E27"/>
    <w:rsid w:val="00F4610D"/>
    <w:rsid w:val="00F4647A"/>
    <w:rsid w:val="00F4675C"/>
    <w:rsid w:val="00F46988"/>
    <w:rsid w:val="00F469F3"/>
    <w:rsid w:val="00F46A8A"/>
    <w:rsid w:val="00F46AEF"/>
    <w:rsid w:val="00F46B7F"/>
    <w:rsid w:val="00F46EEC"/>
    <w:rsid w:val="00F4704D"/>
    <w:rsid w:val="00F47135"/>
    <w:rsid w:val="00F4736C"/>
    <w:rsid w:val="00F47422"/>
    <w:rsid w:val="00F47498"/>
    <w:rsid w:val="00F475D5"/>
    <w:rsid w:val="00F47964"/>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0FD"/>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4FC6"/>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0E9"/>
    <w:rsid w:val="00F7025E"/>
    <w:rsid w:val="00F7037D"/>
    <w:rsid w:val="00F70559"/>
    <w:rsid w:val="00F7071D"/>
    <w:rsid w:val="00F70C4E"/>
    <w:rsid w:val="00F70DBE"/>
    <w:rsid w:val="00F70E57"/>
    <w:rsid w:val="00F71124"/>
    <w:rsid w:val="00F71371"/>
    <w:rsid w:val="00F71765"/>
    <w:rsid w:val="00F717C1"/>
    <w:rsid w:val="00F71838"/>
    <w:rsid w:val="00F71888"/>
    <w:rsid w:val="00F719CD"/>
    <w:rsid w:val="00F71BB8"/>
    <w:rsid w:val="00F723AA"/>
    <w:rsid w:val="00F72584"/>
    <w:rsid w:val="00F727DB"/>
    <w:rsid w:val="00F7290D"/>
    <w:rsid w:val="00F72E2A"/>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69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9B7"/>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5A2"/>
    <w:rsid w:val="00F856F8"/>
    <w:rsid w:val="00F859B8"/>
    <w:rsid w:val="00F85D62"/>
    <w:rsid w:val="00F85E1A"/>
    <w:rsid w:val="00F86205"/>
    <w:rsid w:val="00F862AE"/>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707"/>
    <w:rsid w:val="00F91C4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4BF2"/>
    <w:rsid w:val="00F950B5"/>
    <w:rsid w:val="00F9513F"/>
    <w:rsid w:val="00F953F7"/>
    <w:rsid w:val="00F9544E"/>
    <w:rsid w:val="00F95722"/>
    <w:rsid w:val="00F95825"/>
    <w:rsid w:val="00F95901"/>
    <w:rsid w:val="00F95E6D"/>
    <w:rsid w:val="00F95EBA"/>
    <w:rsid w:val="00F95F66"/>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3D42"/>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BEA"/>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77E"/>
    <w:rsid w:val="00FB4C24"/>
    <w:rsid w:val="00FB4C9C"/>
    <w:rsid w:val="00FB50EE"/>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A35"/>
    <w:rsid w:val="00FD0D13"/>
    <w:rsid w:val="00FD10FC"/>
    <w:rsid w:val="00FD1263"/>
    <w:rsid w:val="00FD146F"/>
    <w:rsid w:val="00FD17A4"/>
    <w:rsid w:val="00FD1A8C"/>
    <w:rsid w:val="00FD1A97"/>
    <w:rsid w:val="00FD1B4F"/>
    <w:rsid w:val="00FD1C50"/>
    <w:rsid w:val="00FD1E64"/>
    <w:rsid w:val="00FD2332"/>
    <w:rsid w:val="00FD26F9"/>
    <w:rsid w:val="00FD2AF5"/>
    <w:rsid w:val="00FD2D7B"/>
    <w:rsid w:val="00FD37F6"/>
    <w:rsid w:val="00FD382E"/>
    <w:rsid w:val="00FD3A03"/>
    <w:rsid w:val="00FD3C5C"/>
    <w:rsid w:val="00FD3ED0"/>
    <w:rsid w:val="00FD3F4A"/>
    <w:rsid w:val="00FD4041"/>
    <w:rsid w:val="00FD4479"/>
    <w:rsid w:val="00FD4589"/>
    <w:rsid w:val="00FD473E"/>
    <w:rsid w:val="00FD4AE8"/>
    <w:rsid w:val="00FD5823"/>
    <w:rsid w:val="00FD5B38"/>
    <w:rsid w:val="00FD5C12"/>
    <w:rsid w:val="00FD6059"/>
    <w:rsid w:val="00FD6914"/>
    <w:rsid w:val="00FD724A"/>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3FF"/>
    <w:rsid w:val="00FE1807"/>
    <w:rsid w:val="00FE183A"/>
    <w:rsid w:val="00FE1B31"/>
    <w:rsid w:val="00FE1EAB"/>
    <w:rsid w:val="00FE206B"/>
    <w:rsid w:val="00FE229E"/>
    <w:rsid w:val="00FE3465"/>
    <w:rsid w:val="00FE35C8"/>
    <w:rsid w:val="00FE379C"/>
    <w:rsid w:val="00FE3B45"/>
    <w:rsid w:val="00FE3C3E"/>
    <w:rsid w:val="00FE420C"/>
    <w:rsid w:val="00FE4323"/>
    <w:rsid w:val="00FE465C"/>
    <w:rsid w:val="00FE47A8"/>
    <w:rsid w:val="00FE4BC3"/>
    <w:rsid w:val="00FE4CCE"/>
    <w:rsid w:val="00FE4D29"/>
    <w:rsid w:val="00FE4DE3"/>
    <w:rsid w:val="00FE53E1"/>
    <w:rsid w:val="00FE5512"/>
    <w:rsid w:val="00FE588E"/>
    <w:rsid w:val="00FE5A82"/>
    <w:rsid w:val="00FE6187"/>
    <w:rsid w:val="00FE62BA"/>
    <w:rsid w:val="00FE65F2"/>
    <w:rsid w:val="00FE675C"/>
    <w:rsid w:val="00FE67CF"/>
    <w:rsid w:val="00FE6AAC"/>
    <w:rsid w:val="00FE6CBA"/>
    <w:rsid w:val="00FE6D20"/>
    <w:rsid w:val="00FE6DCA"/>
    <w:rsid w:val="00FE6FB9"/>
    <w:rsid w:val="00FE70A0"/>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189"/>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543"/>
    <w:rsid w:val="00FF67FE"/>
    <w:rsid w:val="00FF6A4E"/>
    <w:rsid w:val="00FF6AC4"/>
    <w:rsid w:val="00FF6BCD"/>
    <w:rsid w:val="00FF6BD1"/>
    <w:rsid w:val="00FF6CB3"/>
    <w:rsid w:val="00FF6CC0"/>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128391F"/>
    <w:rsid w:val="12CD5513"/>
    <w:rsid w:val="159A78C3"/>
    <w:rsid w:val="1653D631"/>
    <w:rsid w:val="17871587"/>
    <w:rsid w:val="17A2221A"/>
    <w:rsid w:val="1B087458"/>
    <w:rsid w:val="1D7F6A6C"/>
    <w:rsid w:val="1EDA23BA"/>
    <w:rsid w:val="2049AA44"/>
    <w:rsid w:val="2051507A"/>
    <w:rsid w:val="20E440C2"/>
    <w:rsid w:val="222058FF"/>
    <w:rsid w:val="22B66C07"/>
    <w:rsid w:val="23CF196C"/>
    <w:rsid w:val="247D2D55"/>
    <w:rsid w:val="248948A7"/>
    <w:rsid w:val="27528D5A"/>
    <w:rsid w:val="291E1150"/>
    <w:rsid w:val="2CDC77C7"/>
    <w:rsid w:val="2D1C3B85"/>
    <w:rsid w:val="2EB3768A"/>
    <w:rsid w:val="315B730D"/>
    <w:rsid w:val="349382F5"/>
    <w:rsid w:val="35DC4C12"/>
    <w:rsid w:val="37E35F47"/>
    <w:rsid w:val="387F4186"/>
    <w:rsid w:val="38E02957"/>
    <w:rsid w:val="3A492312"/>
    <w:rsid w:val="3A661B1F"/>
    <w:rsid w:val="3C4C1B66"/>
    <w:rsid w:val="3C5F3ACE"/>
    <w:rsid w:val="3C7F66D1"/>
    <w:rsid w:val="3DE65E84"/>
    <w:rsid w:val="402F7289"/>
    <w:rsid w:val="41605DD9"/>
    <w:rsid w:val="42087D0C"/>
    <w:rsid w:val="42286B3B"/>
    <w:rsid w:val="43B5B1F6"/>
    <w:rsid w:val="458038B7"/>
    <w:rsid w:val="46AA42B0"/>
    <w:rsid w:val="49611B73"/>
    <w:rsid w:val="4ACA201D"/>
    <w:rsid w:val="4BAD1ECC"/>
    <w:rsid w:val="4BF109AA"/>
    <w:rsid w:val="4D757CAE"/>
    <w:rsid w:val="50285F4C"/>
    <w:rsid w:val="51BCF060"/>
    <w:rsid w:val="51FA270E"/>
    <w:rsid w:val="54892443"/>
    <w:rsid w:val="56FC4E55"/>
    <w:rsid w:val="57C3A82A"/>
    <w:rsid w:val="59073932"/>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1693B93"/>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0" w:semiHidden="0" w:name="heading 2"/>
    <w:lsdException w:qFormat="1" w:unhideWhenUsed="0" w:uiPriority="9" w:semiHidden="0" w:name="heading 3"/>
    <w:lsdException w:qFormat="1" w:unhideWhenUsed="0" w:uiPriority="0" w:semiHidden="0" w:name="heading 4"/>
    <w:lsdException w:qFormat="1" w:unhideWhenUsed="0" w:uiPriority="0" w:semiHidden="0" w:name="heading 5"/>
    <w:lsdException w:qFormat="1" w:unhideWhenUsed="0" w:uiPriority="9" w:semiHidden="0" w:name="heading 6"/>
    <w:lsdException w:qFormat="1" w:unhideWhenUsed="0" w:uiPriority="9" w:semiHidden="0" w:name="heading 7"/>
    <w:lsdException w:qFormat="1" w:unhideWhenUsed="0" w:uiPriority="0" w:semiHidden="0" w:name="heading 8"/>
    <w:lsdException w:qFormat="1" w:unhideWhenUsed="0" w:uiPriority="9" w:semiHidden="0" w:name="heading 9"/>
    <w:lsdException w:qFormat="1" w:unhideWhenUsed="0" w:uiPriority="0" w:semiHidden="0" w:name="index 1"/>
    <w:lsdException w:qFormat="1" w:unhideWhenUsed="0" w:uiPriority="0" w:semiHidden="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0" w:semiHidden="0" w:name="toc 1"/>
    <w:lsdException w:qFormat="1" w:unhideWhenUsed="0" w:uiPriority="0"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uiPriority="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qFormat="1" w:unhideWhenUsed="0" w:uiPriority="0" w:semiHidden="0" w:name="index heading"/>
    <w:lsdException w:qFormat="1" w:unhideWhenUsed="0" w:uiPriority="35" w:semiHidden="0" w:name="caption"/>
    <w:lsdException w:uiPriority="0" w:name="table of figures"/>
    <w:lsdException w:uiPriority="0" w:name="envelope address"/>
    <w:lsdException w:uiPriority="0" w:name="envelope return"/>
    <w:lsdException w:qFormat="1" w:unhideWhenUsed="0" w:uiPriority="0" w:semiHidden="0" w:name="footnote reference"/>
    <w:lsdException w:qFormat="1" w:unhideWhenUsed="0" w:uiPriority="0" w:semiHidden="0" w:name="annotation reference"/>
    <w:lsdException w:uiPriority="0" w:name="line number"/>
    <w:lsdException w:qFormat="1" w:unhideWhenUsed="0" w:uiPriority="0" w:semiHidden="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nhideWhenUsed="0" w:uiPriority="0" w:semiHidden="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iPriority="0" w:name="Body Text First Indent 2"/>
    <w:lsdException w:uiPriority="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uiPriority="0"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0" w:semiHidden="0" w:name="Emphasis"/>
    <w:lsdException w:qFormat="1" w:unhideWhenUsed="0" w:uiPriority="0" w:semiHidden="0" w:name="Document Map"/>
    <w:lsdException w:qFormat="1" w:uiPriority="0" w:semiHidden="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qFormat="1" w:unhideWhenUsed="0" w:uiPriority="0" w:semiHidden="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qFormat="1" w:unhideWhenUsed="0" w:uiPriority="0" w:semiHidden="0" w:name="Table Theme"/>
    <w:lsdException w:qFormat="1" w:unhideWhenUsed="0" w:uiPriority="99" w:name="Placeholder Text"/>
    <w:lsdException w:qFormat="1" w:unhideWhenUsed="0" w:uiPriority="1" w:semiHidden="0" w:name="No Spacing"/>
    <w:lsdException w:unhideWhenUsed="0" w:uiPriority="60" w:semiHidden="0" w:name="Light Shading"/>
    <w:lsdException w:qFormat="1"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qFormat="1"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qFormat="1"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autoSpaceDE w:val="0"/>
      <w:autoSpaceDN w:val="0"/>
      <w:adjustRightInd w:val="0"/>
      <w:snapToGrid w:val="0"/>
      <w:spacing w:after="120" w:line="259" w:lineRule="auto"/>
    </w:pPr>
    <w:rPr>
      <w:rFonts w:ascii="Times New Roman" w:hAnsi="Times New Roman" w:cs="Times New Roman" w:eastAsiaTheme="minorEastAsia"/>
      <w:sz w:val="22"/>
      <w:szCs w:val="22"/>
      <w:lang w:val="en-US" w:eastAsia="en-US" w:bidi="ar-SA"/>
    </w:rPr>
  </w:style>
  <w:style w:type="paragraph" w:styleId="2">
    <w:name w:val="heading 1"/>
    <w:basedOn w:val="1"/>
    <w:next w:val="1"/>
    <w:link w:val="102"/>
    <w:qFormat/>
    <w:uiPriority w:val="99"/>
    <w:pPr>
      <w:keepNext/>
      <w:keepLines/>
      <w:numPr>
        <w:ilvl w:val="0"/>
        <w:numId w:val="1"/>
      </w:numPr>
      <w:pBdr>
        <w:top w:val="single" w:color="auto" w:sz="12" w:space="3"/>
      </w:pBdr>
      <w:tabs>
        <w:tab w:val="left" w:pos="709"/>
      </w:tabs>
      <w:overflowPunct w:val="0"/>
      <w:snapToGrid/>
      <w:spacing w:before="240" w:after="180"/>
      <w:textAlignment w:val="baseline"/>
      <w:outlineLvl w:val="0"/>
    </w:pPr>
    <w:rPr>
      <w:rFonts w:ascii="Arial" w:hAnsi="Arial" w:eastAsia="Times New Roman" w:cs="Arial"/>
      <w:sz w:val="36"/>
      <w:szCs w:val="36"/>
      <w:lang w:val="en-GB" w:eastAsia="zh-CN"/>
    </w:rPr>
  </w:style>
  <w:style w:type="paragraph" w:styleId="3">
    <w:name w:val="heading 2"/>
    <w:basedOn w:val="1"/>
    <w:next w:val="1"/>
    <w:link w:val="179"/>
    <w:qFormat/>
    <w:uiPriority w:val="0"/>
    <w:pPr>
      <w:keepNext/>
      <w:numPr>
        <w:ilvl w:val="1"/>
        <w:numId w:val="1"/>
      </w:numPr>
      <w:tabs>
        <w:tab w:val="clear" w:pos="576"/>
      </w:tabs>
      <w:spacing w:before="240"/>
      <w:ind w:left="851" w:hanging="851"/>
      <w:outlineLvl w:val="1"/>
    </w:pPr>
    <w:rPr>
      <w:rFonts w:ascii="Arial" w:hAnsi="Arial"/>
      <w:b/>
      <w:bCs/>
      <w:sz w:val="32"/>
      <w:lang w:val="en-GB" w:eastAsia="zh-CN"/>
    </w:rPr>
  </w:style>
  <w:style w:type="paragraph" w:styleId="4">
    <w:name w:val="heading 3"/>
    <w:basedOn w:val="1"/>
    <w:next w:val="1"/>
    <w:link w:val="176"/>
    <w:qFormat/>
    <w:uiPriority w:val="9"/>
    <w:pPr>
      <w:keepNext/>
      <w:numPr>
        <w:ilvl w:val="2"/>
        <w:numId w:val="1"/>
      </w:numPr>
      <w:tabs>
        <w:tab w:val="clear" w:pos="720"/>
      </w:tabs>
      <w:spacing w:before="120"/>
      <w:ind w:left="851" w:hanging="851"/>
      <w:outlineLvl w:val="2"/>
    </w:pPr>
    <w:rPr>
      <w:b/>
      <w:sz w:val="28"/>
      <w:lang w:val="en-GB" w:eastAsia="zh-CN"/>
    </w:rPr>
  </w:style>
  <w:style w:type="paragraph" w:styleId="5">
    <w:name w:val="heading 4"/>
    <w:basedOn w:val="1"/>
    <w:next w:val="1"/>
    <w:link w:val="180"/>
    <w:qFormat/>
    <w:uiPriority w:val="0"/>
    <w:pPr>
      <w:keepNext/>
      <w:numPr>
        <w:ilvl w:val="3"/>
        <w:numId w:val="1"/>
      </w:numPr>
      <w:tabs>
        <w:tab w:val="left" w:pos="432"/>
      </w:tabs>
      <w:spacing w:before="240" w:after="60"/>
      <w:outlineLvl w:val="3"/>
    </w:pPr>
    <w:rPr>
      <w:b/>
      <w:bCs/>
    </w:rPr>
  </w:style>
  <w:style w:type="paragraph" w:styleId="6">
    <w:name w:val="heading 5"/>
    <w:basedOn w:val="1"/>
    <w:next w:val="1"/>
    <w:link w:val="181"/>
    <w:qFormat/>
    <w:uiPriority w:val="0"/>
    <w:pPr>
      <w:numPr>
        <w:ilvl w:val="4"/>
        <w:numId w:val="1"/>
      </w:numPr>
      <w:tabs>
        <w:tab w:val="left" w:pos="432"/>
      </w:tabs>
      <w:spacing w:before="240" w:after="60"/>
      <w:outlineLvl w:val="4"/>
    </w:pPr>
    <w:rPr>
      <w:b/>
      <w:bCs/>
      <w:i/>
      <w:iCs/>
      <w:sz w:val="26"/>
      <w:szCs w:val="26"/>
    </w:rPr>
  </w:style>
  <w:style w:type="paragraph" w:styleId="7">
    <w:name w:val="heading 6"/>
    <w:basedOn w:val="1"/>
    <w:next w:val="1"/>
    <w:link w:val="182"/>
    <w:qFormat/>
    <w:uiPriority w:val="9"/>
    <w:pPr>
      <w:numPr>
        <w:ilvl w:val="5"/>
        <w:numId w:val="1"/>
      </w:numPr>
      <w:tabs>
        <w:tab w:val="left" w:pos="432"/>
      </w:tabs>
      <w:spacing w:before="240" w:after="60"/>
      <w:outlineLvl w:val="5"/>
    </w:pPr>
    <w:rPr>
      <w:b/>
      <w:bCs/>
    </w:rPr>
  </w:style>
  <w:style w:type="paragraph" w:styleId="8">
    <w:name w:val="heading 7"/>
    <w:basedOn w:val="1"/>
    <w:next w:val="1"/>
    <w:link w:val="183"/>
    <w:qFormat/>
    <w:uiPriority w:val="9"/>
    <w:pPr>
      <w:numPr>
        <w:ilvl w:val="6"/>
        <w:numId w:val="1"/>
      </w:numPr>
      <w:tabs>
        <w:tab w:val="left" w:pos="432"/>
      </w:tabs>
      <w:spacing w:before="240" w:after="60"/>
      <w:outlineLvl w:val="6"/>
    </w:pPr>
    <w:rPr>
      <w:sz w:val="24"/>
      <w:szCs w:val="24"/>
    </w:rPr>
  </w:style>
  <w:style w:type="paragraph" w:styleId="9">
    <w:name w:val="heading 8"/>
    <w:basedOn w:val="1"/>
    <w:next w:val="1"/>
    <w:link w:val="184"/>
    <w:qFormat/>
    <w:uiPriority w:val="0"/>
    <w:pPr>
      <w:numPr>
        <w:ilvl w:val="7"/>
        <w:numId w:val="1"/>
      </w:numPr>
      <w:tabs>
        <w:tab w:val="left" w:pos="432"/>
      </w:tabs>
      <w:spacing w:before="240" w:after="60"/>
      <w:outlineLvl w:val="7"/>
    </w:pPr>
    <w:rPr>
      <w:i/>
      <w:iCs/>
      <w:sz w:val="24"/>
      <w:szCs w:val="24"/>
    </w:rPr>
  </w:style>
  <w:style w:type="paragraph" w:styleId="10">
    <w:name w:val="heading 9"/>
    <w:basedOn w:val="1"/>
    <w:next w:val="1"/>
    <w:link w:val="185"/>
    <w:qFormat/>
    <w:uiPriority w:val="9"/>
    <w:pPr>
      <w:numPr>
        <w:ilvl w:val="8"/>
        <w:numId w:val="1"/>
      </w:numPr>
      <w:tabs>
        <w:tab w:val="left" w:pos="432"/>
      </w:tabs>
      <w:spacing w:before="240" w:after="60"/>
      <w:outlineLvl w:val="8"/>
    </w:pPr>
    <w:rPr>
      <w:rFonts w:ascii="Arial" w:hAnsi="Arial"/>
    </w:rPr>
  </w:style>
  <w:style w:type="character" w:default="1" w:styleId="61">
    <w:name w:val="Default Paragraph Font"/>
    <w:semiHidden/>
    <w:unhideWhenUsed/>
    <w:qFormat/>
    <w:uiPriority w:val="1"/>
  </w:style>
  <w:style w:type="table" w:default="1" w:styleId="54">
    <w:name w:val="Normal Table"/>
    <w:semiHidden/>
    <w:unhideWhenUsed/>
    <w:uiPriority w:val="99"/>
    <w:tblPr>
      <w:tblCellMar>
        <w:top w:w="0" w:type="dxa"/>
        <w:left w:w="108" w:type="dxa"/>
        <w:bottom w:w="0" w:type="dxa"/>
        <w:right w:w="108" w:type="dxa"/>
      </w:tblCellMar>
    </w:tblPr>
  </w:style>
  <w:style w:type="paragraph" w:styleId="11">
    <w:name w:val="List 3"/>
    <w:basedOn w:val="12"/>
    <w:link w:val="190"/>
    <w:qFormat/>
    <w:uiPriority w:val="0"/>
    <w:pPr>
      <w:overflowPunct w:val="0"/>
      <w:snapToGrid/>
      <w:spacing w:after="180"/>
      <w:ind w:left="1135" w:hanging="284"/>
      <w:contextualSpacing w:val="0"/>
      <w:textAlignment w:val="baseline"/>
    </w:pPr>
    <w:rPr>
      <w:rFonts w:eastAsia="Times New Roman"/>
      <w:sz w:val="20"/>
      <w:szCs w:val="20"/>
      <w:lang w:val="en-GB" w:eastAsia="en-GB"/>
    </w:rPr>
  </w:style>
  <w:style w:type="paragraph" w:styleId="12">
    <w:name w:val="List 2"/>
    <w:basedOn w:val="1"/>
    <w:link w:val="189"/>
    <w:qFormat/>
    <w:uiPriority w:val="0"/>
    <w:pPr>
      <w:ind w:left="720" w:hanging="360"/>
      <w:contextualSpacing/>
    </w:pPr>
  </w:style>
  <w:style w:type="paragraph" w:styleId="13">
    <w:name w:val="toc 7"/>
    <w:basedOn w:val="14"/>
    <w:next w:val="1"/>
    <w:qFormat/>
    <w:uiPriority w:val="0"/>
    <w:pPr>
      <w:tabs>
        <w:tab w:val="right" w:leader="dot" w:pos="9639"/>
      </w:tabs>
      <w:ind w:left="2268" w:hanging="2268"/>
    </w:pPr>
  </w:style>
  <w:style w:type="paragraph" w:styleId="14">
    <w:name w:val="toc 6"/>
    <w:basedOn w:val="15"/>
    <w:next w:val="1"/>
    <w:qFormat/>
    <w:uiPriority w:val="0"/>
    <w:pPr>
      <w:tabs>
        <w:tab w:val="right" w:leader="dot" w:pos="9639"/>
      </w:tabs>
      <w:ind w:left="1985" w:hanging="1985"/>
    </w:pPr>
  </w:style>
  <w:style w:type="paragraph" w:styleId="15">
    <w:name w:val="toc 5"/>
    <w:basedOn w:val="16"/>
    <w:next w:val="1"/>
    <w:qFormat/>
    <w:uiPriority w:val="0"/>
    <w:pPr>
      <w:tabs>
        <w:tab w:val="right" w:leader="dot" w:pos="9639"/>
      </w:tabs>
      <w:ind w:left="1701" w:hanging="1701"/>
    </w:pPr>
  </w:style>
  <w:style w:type="paragraph" w:styleId="16">
    <w:name w:val="toc 4"/>
    <w:basedOn w:val="17"/>
    <w:next w:val="1"/>
    <w:qFormat/>
    <w:uiPriority w:val="0"/>
    <w:pPr>
      <w:tabs>
        <w:tab w:val="right" w:leader="dot" w:pos="9639"/>
      </w:tabs>
      <w:ind w:left="1418" w:hanging="1418"/>
    </w:pPr>
  </w:style>
  <w:style w:type="paragraph" w:styleId="17">
    <w:name w:val="toc 3"/>
    <w:basedOn w:val="18"/>
    <w:next w:val="1"/>
    <w:qFormat/>
    <w:uiPriority w:val="0"/>
    <w:pPr>
      <w:tabs>
        <w:tab w:val="right" w:leader="dot" w:pos="9639"/>
      </w:tabs>
      <w:ind w:left="1134" w:hanging="1134"/>
    </w:pPr>
  </w:style>
  <w:style w:type="paragraph" w:styleId="18">
    <w:name w:val="toc 2"/>
    <w:basedOn w:val="19"/>
    <w:next w:val="1"/>
    <w:qFormat/>
    <w:uiPriority w:val="0"/>
    <w:pPr>
      <w:keepNext w:val="0"/>
      <w:tabs>
        <w:tab w:val="right" w:leader="dot" w:pos="9639"/>
      </w:tabs>
      <w:spacing w:before="0"/>
      <w:ind w:left="851" w:hanging="851"/>
    </w:pPr>
    <w:rPr>
      <w:sz w:val="20"/>
    </w:rPr>
  </w:style>
  <w:style w:type="paragraph" w:styleId="19">
    <w:name w:val="toc 1"/>
    <w:next w:val="1"/>
    <w:qFormat/>
    <w:uiPriority w:val="0"/>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ascii="Times New Roman" w:hAnsi="Times New Roman" w:eastAsia="Times New Roman" w:cs="Times New Roman"/>
      <w:sz w:val="22"/>
      <w:lang w:val="en-GB" w:eastAsia="en-GB" w:bidi="ar-SA"/>
    </w:rPr>
  </w:style>
  <w:style w:type="paragraph" w:styleId="20">
    <w:name w:val="List Number 2"/>
    <w:basedOn w:val="21"/>
    <w:qFormat/>
    <w:uiPriority w:val="0"/>
    <w:pPr>
      <w:ind w:left="851"/>
    </w:pPr>
  </w:style>
  <w:style w:type="paragraph" w:styleId="21">
    <w:name w:val="List Number"/>
    <w:basedOn w:val="22"/>
    <w:qFormat/>
    <w:uiPriority w:val="0"/>
    <w:pPr>
      <w:overflowPunct w:val="0"/>
      <w:snapToGrid/>
      <w:spacing w:after="180"/>
      <w:ind w:left="568" w:hanging="284"/>
      <w:textAlignment w:val="baseline"/>
    </w:pPr>
    <w:rPr>
      <w:rFonts w:eastAsia="Times New Roman"/>
      <w:sz w:val="20"/>
      <w:szCs w:val="20"/>
      <w:lang w:val="en-GB" w:eastAsia="en-GB"/>
    </w:rPr>
  </w:style>
  <w:style w:type="paragraph" w:styleId="22">
    <w:name w:val="List"/>
    <w:basedOn w:val="1"/>
    <w:link w:val="186"/>
    <w:qFormat/>
    <w:uiPriority w:val="0"/>
    <w:pPr>
      <w:ind w:left="360" w:hanging="360"/>
    </w:pPr>
  </w:style>
  <w:style w:type="paragraph" w:styleId="23">
    <w:name w:val="List Bullet 4"/>
    <w:basedOn w:val="24"/>
    <w:qFormat/>
    <w:uiPriority w:val="0"/>
    <w:pPr>
      <w:ind w:left="1418"/>
    </w:pPr>
  </w:style>
  <w:style w:type="paragraph" w:styleId="24">
    <w:name w:val="List Bullet 3"/>
    <w:basedOn w:val="25"/>
    <w:qFormat/>
    <w:uiPriority w:val="0"/>
    <w:pPr>
      <w:ind w:left="1135"/>
    </w:pPr>
  </w:style>
  <w:style w:type="paragraph" w:styleId="25">
    <w:name w:val="List Bullet 2"/>
    <w:basedOn w:val="26"/>
    <w:qFormat/>
    <w:uiPriority w:val="0"/>
    <w:pPr>
      <w:overflowPunct w:val="0"/>
      <w:autoSpaceDE w:val="0"/>
      <w:autoSpaceDN w:val="0"/>
      <w:adjustRightInd w:val="0"/>
      <w:snapToGrid/>
      <w:ind w:left="851"/>
      <w:textAlignment w:val="baseline"/>
    </w:pPr>
    <w:rPr>
      <w:rFonts w:eastAsia="Times New Roman"/>
      <w:lang w:eastAsia="en-GB"/>
    </w:rPr>
  </w:style>
  <w:style w:type="paragraph" w:styleId="26">
    <w:name w:val="List Bullet"/>
    <w:basedOn w:val="22"/>
    <w:qFormat/>
    <w:uiPriority w:val="0"/>
    <w:pPr>
      <w:autoSpaceDE/>
      <w:autoSpaceDN/>
      <w:adjustRightInd/>
      <w:spacing w:after="180"/>
      <w:ind w:left="568" w:hanging="284"/>
    </w:pPr>
    <w:rPr>
      <w:sz w:val="20"/>
      <w:szCs w:val="20"/>
      <w:lang w:val="en-GB"/>
    </w:rPr>
  </w:style>
  <w:style w:type="paragraph" w:styleId="27">
    <w:name w:val="caption"/>
    <w:basedOn w:val="1"/>
    <w:next w:val="1"/>
    <w:link w:val="78"/>
    <w:qFormat/>
    <w:uiPriority w:val="35"/>
    <w:rPr>
      <w:b/>
      <w:bCs/>
      <w:sz w:val="20"/>
      <w:szCs w:val="20"/>
    </w:rPr>
  </w:style>
  <w:style w:type="paragraph" w:styleId="28">
    <w:name w:val="Document Map"/>
    <w:basedOn w:val="1"/>
    <w:link w:val="83"/>
    <w:qFormat/>
    <w:uiPriority w:val="0"/>
    <w:rPr>
      <w:rFonts w:ascii="Tahoma" w:hAnsi="Tahoma"/>
      <w:sz w:val="16"/>
      <w:szCs w:val="16"/>
    </w:rPr>
  </w:style>
  <w:style w:type="paragraph" w:styleId="29">
    <w:name w:val="annotation text"/>
    <w:basedOn w:val="1"/>
    <w:link w:val="84"/>
    <w:qFormat/>
    <w:uiPriority w:val="0"/>
    <w:rPr>
      <w:sz w:val="20"/>
      <w:szCs w:val="20"/>
    </w:rPr>
  </w:style>
  <w:style w:type="paragraph" w:styleId="30">
    <w:name w:val="Body Text 3"/>
    <w:basedOn w:val="1"/>
    <w:link w:val="235"/>
    <w:qFormat/>
    <w:uiPriority w:val="0"/>
    <w:pPr>
      <w:overflowPunct w:val="0"/>
      <w:snapToGrid/>
      <w:spacing w:after="180" w:line="240" w:lineRule="auto"/>
      <w:textAlignment w:val="baseline"/>
    </w:pPr>
    <w:rPr>
      <w:rFonts w:eastAsia="宋体"/>
      <w:i/>
      <w:sz w:val="20"/>
      <w:szCs w:val="20"/>
    </w:rPr>
  </w:style>
  <w:style w:type="paragraph" w:styleId="31">
    <w:name w:val="Body Text"/>
    <w:basedOn w:val="1"/>
    <w:link w:val="143"/>
    <w:qFormat/>
    <w:uiPriority w:val="0"/>
    <w:rPr>
      <w:sz w:val="20"/>
      <w:szCs w:val="20"/>
    </w:rPr>
  </w:style>
  <w:style w:type="paragraph" w:styleId="32">
    <w:name w:val="List Number 3"/>
    <w:basedOn w:val="20"/>
    <w:qFormat/>
    <w:uiPriority w:val="0"/>
    <w:pPr>
      <w:numPr>
        <w:ilvl w:val="0"/>
        <w:numId w:val="2"/>
      </w:numPr>
      <w:overflowPunct/>
      <w:autoSpaceDE/>
      <w:autoSpaceDN/>
      <w:adjustRightInd/>
      <w:spacing w:after="120"/>
      <w:contextualSpacing/>
      <w:jc w:val="both"/>
      <w:textAlignment w:val="auto"/>
    </w:pPr>
    <w:rPr>
      <w:rFonts w:ascii="Arial" w:hAnsi="Arial" w:eastAsiaTheme="minorHAnsi" w:cstheme="minorBidi"/>
      <w:szCs w:val="22"/>
      <w:lang w:val="en-US" w:eastAsia="ja-JP"/>
    </w:rPr>
  </w:style>
  <w:style w:type="paragraph" w:styleId="33">
    <w:name w:val="Plain Text"/>
    <w:basedOn w:val="1"/>
    <w:link w:val="99"/>
    <w:unhideWhenUsed/>
    <w:qFormat/>
    <w:uiPriority w:val="0"/>
    <w:pPr>
      <w:autoSpaceDE/>
      <w:autoSpaceDN/>
      <w:adjustRightInd/>
      <w:snapToGrid/>
      <w:spacing w:after="0"/>
    </w:pPr>
    <w:rPr>
      <w:rFonts w:ascii="Consolas" w:hAnsi="Consolas" w:eastAsia="Calibri"/>
      <w:sz w:val="21"/>
      <w:szCs w:val="21"/>
    </w:rPr>
  </w:style>
  <w:style w:type="paragraph" w:styleId="34">
    <w:name w:val="List Bullet 5"/>
    <w:basedOn w:val="23"/>
    <w:qFormat/>
    <w:uiPriority w:val="0"/>
    <w:pPr>
      <w:ind w:left="1702"/>
    </w:pPr>
  </w:style>
  <w:style w:type="paragraph" w:styleId="35">
    <w:name w:val="toc 8"/>
    <w:basedOn w:val="19"/>
    <w:next w:val="1"/>
    <w:qFormat/>
    <w:uiPriority w:val="0"/>
    <w:pPr>
      <w:spacing w:before="180"/>
      <w:ind w:left="2693" w:hanging="2693"/>
    </w:pPr>
    <w:rPr>
      <w:b/>
    </w:rPr>
  </w:style>
  <w:style w:type="paragraph" w:styleId="36">
    <w:name w:val="Date"/>
    <w:basedOn w:val="1"/>
    <w:next w:val="1"/>
    <w:link w:val="160"/>
    <w:qFormat/>
    <w:uiPriority w:val="0"/>
    <w:pPr>
      <w:overflowPunct w:val="0"/>
      <w:snapToGrid/>
      <w:spacing w:after="0"/>
      <w:textAlignment w:val="baseline"/>
    </w:pPr>
    <w:rPr>
      <w:rFonts w:eastAsia="Times New Roman"/>
      <w:sz w:val="20"/>
      <w:szCs w:val="20"/>
      <w:lang w:val="en-GB" w:eastAsia="en-GB"/>
    </w:rPr>
  </w:style>
  <w:style w:type="paragraph" w:styleId="37">
    <w:name w:val="Body Text Indent 2"/>
    <w:basedOn w:val="1"/>
    <w:link w:val="145"/>
    <w:qFormat/>
    <w:uiPriority w:val="0"/>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38">
    <w:name w:val="Balloon Text"/>
    <w:basedOn w:val="1"/>
    <w:link w:val="69"/>
    <w:semiHidden/>
    <w:qFormat/>
    <w:uiPriority w:val="0"/>
    <w:rPr>
      <w:rFonts w:ascii="Tahoma" w:hAnsi="Tahoma"/>
      <w:sz w:val="16"/>
      <w:szCs w:val="16"/>
    </w:rPr>
  </w:style>
  <w:style w:type="paragraph" w:styleId="39">
    <w:name w:val="footer"/>
    <w:basedOn w:val="1"/>
    <w:link w:val="80"/>
    <w:qFormat/>
    <w:uiPriority w:val="99"/>
    <w:pPr>
      <w:tabs>
        <w:tab w:val="center" w:pos="4680"/>
        <w:tab w:val="right" w:pos="9360"/>
      </w:tabs>
    </w:pPr>
  </w:style>
  <w:style w:type="paragraph" w:styleId="40">
    <w:name w:val="header"/>
    <w:basedOn w:val="1"/>
    <w:link w:val="79"/>
    <w:qFormat/>
    <w:uiPriority w:val="0"/>
    <w:pPr>
      <w:tabs>
        <w:tab w:val="center" w:pos="4680"/>
        <w:tab w:val="right" w:pos="9360"/>
      </w:tabs>
    </w:pPr>
  </w:style>
  <w:style w:type="paragraph" w:styleId="41">
    <w:name w:val="index heading"/>
    <w:basedOn w:val="1"/>
    <w:next w:val="1"/>
    <w:qFormat/>
    <w:uiPriority w:val="0"/>
    <w:pPr>
      <w:pBdr>
        <w:top w:val="single" w:color="auto" w:sz="12" w:space="0"/>
      </w:pBdr>
      <w:overflowPunct w:val="0"/>
      <w:snapToGrid/>
      <w:spacing w:before="360" w:after="240"/>
      <w:textAlignment w:val="baseline"/>
    </w:pPr>
    <w:rPr>
      <w:rFonts w:eastAsia="Times New Roman"/>
      <w:b/>
      <w:i/>
      <w:sz w:val="26"/>
      <w:szCs w:val="20"/>
      <w:lang w:val="en-GB" w:eastAsia="en-GB"/>
    </w:rPr>
  </w:style>
  <w:style w:type="paragraph" w:styleId="42">
    <w:name w:val="Subtitle"/>
    <w:basedOn w:val="1"/>
    <w:next w:val="1"/>
    <w:link w:val="246"/>
    <w:qFormat/>
    <w:uiPriority w:val="0"/>
    <w:pPr>
      <w:overflowPunct w:val="0"/>
      <w:snapToGrid/>
      <w:spacing w:after="60" w:line="240" w:lineRule="auto"/>
      <w:jc w:val="center"/>
      <w:textAlignment w:val="baseline"/>
      <w:outlineLvl w:val="1"/>
    </w:pPr>
    <w:rPr>
      <w:rFonts w:ascii="Cambria" w:hAnsi="Cambria" w:eastAsia="Times New Roman"/>
      <w:sz w:val="24"/>
      <w:szCs w:val="24"/>
      <w:lang w:val="en-GB" w:eastAsia="zh-CN"/>
    </w:rPr>
  </w:style>
  <w:style w:type="paragraph" w:styleId="43">
    <w:name w:val="footnote text"/>
    <w:basedOn w:val="1"/>
    <w:link w:val="187"/>
    <w:qFormat/>
    <w:uiPriority w:val="0"/>
    <w:rPr>
      <w:sz w:val="20"/>
      <w:szCs w:val="20"/>
    </w:rPr>
  </w:style>
  <w:style w:type="paragraph" w:styleId="44">
    <w:name w:val="List 5"/>
    <w:basedOn w:val="45"/>
    <w:qFormat/>
    <w:uiPriority w:val="0"/>
    <w:pPr>
      <w:ind w:left="1702"/>
    </w:pPr>
  </w:style>
  <w:style w:type="paragraph" w:styleId="45">
    <w:name w:val="List 4"/>
    <w:basedOn w:val="11"/>
    <w:qFormat/>
    <w:uiPriority w:val="0"/>
    <w:pPr>
      <w:ind w:left="1418"/>
    </w:pPr>
  </w:style>
  <w:style w:type="paragraph" w:styleId="46">
    <w:name w:val="Body Text Indent 3"/>
    <w:basedOn w:val="1"/>
    <w:link w:val="146"/>
    <w:qFormat/>
    <w:uiPriority w:val="0"/>
    <w:pPr>
      <w:overflowPunct w:val="0"/>
      <w:snapToGrid/>
      <w:spacing w:after="0"/>
      <w:ind w:left="1080"/>
      <w:textAlignment w:val="baseline"/>
    </w:pPr>
    <w:rPr>
      <w:rFonts w:eastAsia="Times New Roman"/>
      <w:sz w:val="20"/>
      <w:szCs w:val="20"/>
      <w:lang w:eastAsia="ja-JP"/>
    </w:rPr>
  </w:style>
  <w:style w:type="paragraph" w:styleId="47">
    <w:name w:val="toc 9"/>
    <w:basedOn w:val="35"/>
    <w:next w:val="1"/>
    <w:qFormat/>
    <w:uiPriority w:val="0"/>
    <w:pPr>
      <w:ind w:left="1418" w:hanging="1418"/>
    </w:pPr>
  </w:style>
  <w:style w:type="paragraph" w:styleId="48">
    <w:name w:val="Body Text 2"/>
    <w:basedOn w:val="1"/>
    <w:link w:val="195"/>
    <w:qFormat/>
    <w:uiPriority w:val="0"/>
    <w:pPr>
      <w:spacing w:after="0"/>
    </w:pPr>
    <w:rPr>
      <w:szCs w:val="20"/>
    </w:rPr>
  </w:style>
  <w:style w:type="paragraph" w:styleId="49">
    <w:name w:val="Normal (Web)"/>
    <w:basedOn w:val="1"/>
    <w:unhideWhenUsed/>
    <w:qFormat/>
    <w:uiPriority w:val="99"/>
    <w:pPr>
      <w:autoSpaceDE/>
      <w:autoSpaceDN/>
      <w:adjustRightInd/>
      <w:snapToGrid/>
      <w:spacing w:before="100" w:beforeAutospacing="1" w:after="100" w:afterAutospacing="1"/>
    </w:pPr>
    <w:rPr>
      <w:rFonts w:ascii="宋体" w:hAnsi="宋体" w:cs="宋体"/>
      <w:sz w:val="24"/>
      <w:szCs w:val="24"/>
      <w:lang w:eastAsia="zh-CN"/>
    </w:rPr>
  </w:style>
  <w:style w:type="paragraph" w:styleId="50">
    <w:name w:val="index 1"/>
    <w:basedOn w:val="1"/>
    <w:next w:val="1"/>
    <w:qFormat/>
    <w:uiPriority w:val="0"/>
    <w:pPr>
      <w:keepLines/>
      <w:overflowPunct w:val="0"/>
      <w:snapToGrid/>
      <w:spacing w:after="0"/>
      <w:textAlignment w:val="baseline"/>
    </w:pPr>
    <w:rPr>
      <w:sz w:val="20"/>
      <w:szCs w:val="20"/>
      <w:lang w:val="en-GB"/>
    </w:rPr>
  </w:style>
  <w:style w:type="paragraph" w:styleId="51">
    <w:name w:val="index 2"/>
    <w:basedOn w:val="50"/>
    <w:next w:val="1"/>
    <w:qFormat/>
    <w:uiPriority w:val="0"/>
    <w:pPr>
      <w:ind w:left="284"/>
    </w:pPr>
    <w:rPr>
      <w:rFonts w:eastAsia="Times New Roman"/>
      <w:lang w:eastAsia="en-GB"/>
    </w:rPr>
  </w:style>
  <w:style w:type="paragraph" w:styleId="52">
    <w:name w:val="Title"/>
    <w:basedOn w:val="1"/>
    <w:next w:val="1"/>
    <w:link w:val="87"/>
    <w:qFormat/>
    <w:uiPriority w:val="0"/>
    <w:pPr>
      <w:spacing w:before="240" w:after="60"/>
      <w:jc w:val="center"/>
      <w:outlineLvl w:val="0"/>
    </w:pPr>
    <w:rPr>
      <w:rFonts w:ascii="Cambria" w:hAnsi="Cambria"/>
      <w:b/>
      <w:bCs/>
      <w:sz w:val="32"/>
      <w:szCs w:val="32"/>
    </w:rPr>
  </w:style>
  <w:style w:type="paragraph" w:styleId="53">
    <w:name w:val="annotation subject"/>
    <w:basedOn w:val="29"/>
    <w:next w:val="29"/>
    <w:link w:val="85"/>
    <w:qFormat/>
    <w:uiPriority w:val="0"/>
    <w:rPr>
      <w:b/>
      <w:bCs/>
    </w:rPr>
  </w:style>
  <w:style w:type="table" w:styleId="55">
    <w:name w:val="Table Grid"/>
    <w:basedOn w:val="54"/>
    <w:qFormat/>
    <w:uiPriority w:val="0"/>
    <w:pPr>
      <w:widowControl w:val="0"/>
      <w:autoSpaceDE w:val="0"/>
      <w:autoSpaceDN w:val="0"/>
      <w:adjustRightInd w:val="0"/>
      <w:spacing w:after="12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table" w:styleId="56">
    <w:name w:val="Table Theme"/>
    <w:basedOn w:val="54"/>
    <w:qFormat/>
    <w:uiPriority w:val="0"/>
    <w:pPr>
      <w:overflowPunct w:val="0"/>
      <w:autoSpaceDE w:val="0"/>
      <w:autoSpaceDN w:val="0"/>
      <w:adjustRightInd w:val="0"/>
      <w:spacing w:after="180"/>
      <w:textAlignment w:val="baseline"/>
    </w:pPr>
    <w:rPr>
      <w:rFonts w:ascii="CG Times (WN)" w:hAnsi="CG Times (W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57">
    <w:name w:val="Table Grid 1"/>
    <w:basedOn w:val="54"/>
    <w:qFormat/>
    <w:uiPriority w:val="0"/>
    <w:pPr>
      <w:overflowPunct w:val="0"/>
      <w:autoSpaceDE w:val="0"/>
      <w:autoSpaceDN w:val="0"/>
      <w:adjustRightInd w:val="0"/>
      <w:spacing w:after="180"/>
      <w:textAlignment w:val="baseline"/>
    </w:pPr>
    <w:rPr>
      <w:rFonts w:ascii="CG Times (WN)" w:hAnsi="CG Times (WN)"/>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color="000000" w:sz="6" w:space="0"/>
          <w:tr2bl w:val="nil"/>
        </w:tcBorders>
      </w:tcPr>
    </w:tblStylePr>
  </w:style>
  <w:style w:type="table" w:styleId="58">
    <w:name w:val="Light List"/>
    <w:basedOn w:val="54"/>
    <w:qFormat/>
    <w:uiPriority w:val="61"/>
    <w:rPr>
      <w:rFonts w:ascii="CG Times (WN)" w:hAnsi="CG Times (WN)"/>
    </w:rPr>
    <w:tblPr>
      <w:tblBorders>
        <w:top w:val="single" w:color="000000" w:sz="8" w:space="0"/>
        <w:left w:val="single" w:color="000000" w:sz="8" w:space="0"/>
        <w:bottom w:val="single" w:color="000000" w:sz="8" w:space="0"/>
        <w:right w:val="single" w:color="000000" w:sz="8" w:space="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color="000000" w:sz="6" w:space="0"/>
          <w:left w:val="single" w:color="000000" w:sz="8" w:space="0"/>
          <w:bottom w:val="single" w:color="000000" w:sz="8" w:space="0"/>
          <w:right w:val="single" w:color="000000" w:sz="8" w:space="0"/>
        </w:tcBorders>
      </w:tcPr>
    </w:tblStylePr>
    <w:tblStylePr w:type="firstCol">
      <w:rPr>
        <w:b/>
        <w:bCs/>
      </w:rPr>
    </w:tblStylePr>
    <w:tblStylePr w:type="lastCol">
      <w:rPr>
        <w:b/>
        <w:bCs/>
      </w:rPr>
    </w:tblStylePr>
    <w:tblStylePr w:type="band1Vert">
      <w:tblPr/>
      <w:tcPr>
        <w:tcBorders>
          <w:top w:val="single" w:color="000000" w:sz="8" w:space="0"/>
          <w:left w:val="single" w:color="000000" w:sz="8" w:space="0"/>
          <w:bottom w:val="single" w:color="000000" w:sz="8" w:space="0"/>
          <w:right w:val="single" w:color="000000" w:sz="8" w:space="0"/>
        </w:tcBorders>
      </w:tcPr>
    </w:tblStylePr>
    <w:tblStylePr w:type="band1Horz">
      <w:tblPr/>
      <w:tcPr>
        <w:tcBorders>
          <w:top w:val="single" w:color="000000" w:sz="8" w:space="0"/>
          <w:left w:val="single" w:color="000000" w:sz="8" w:space="0"/>
          <w:bottom w:val="single" w:color="000000" w:sz="8" w:space="0"/>
          <w:right w:val="single" w:color="000000" w:sz="8" w:space="0"/>
        </w:tcBorders>
      </w:tcPr>
    </w:tblStylePr>
  </w:style>
  <w:style w:type="table" w:styleId="59">
    <w:name w:val="Light List Accent 1"/>
    <w:basedOn w:val="54"/>
    <w:qFormat/>
    <w:uiPriority w:val="61"/>
    <w:rPr>
      <w:rFonts w:ascii="CG Times (WN)" w:hAnsi="CG Times (WN)"/>
    </w:rPr>
    <w:tblPr>
      <w:tblBorders>
        <w:top w:val="single" w:color="5B9BD5" w:sz="8" w:space="0"/>
        <w:left w:val="single" w:color="5B9BD5" w:sz="8" w:space="0"/>
        <w:bottom w:val="single" w:color="5B9BD5" w:sz="8" w:space="0"/>
        <w:right w:val="single" w:color="5B9BD5" w:sz="8" w:space="0"/>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color="5B9BD5" w:sz="6" w:space="0"/>
          <w:left w:val="single" w:color="5B9BD5" w:sz="8" w:space="0"/>
          <w:bottom w:val="single" w:color="5B9BD5" w:sz="8" w:space="0"/>
          <w:right w:val="single" w:color="5B9BD5" w:sz="8" w:space="0"/>
        </w:tcBorders>
      </w:tcPr>
    </w:tblStylePr>
    <w:tblStylePr w:type="firstCol">
      <w:rPr>
        <w:b/>
        <w:bCs/>
      </w:rPr>
    </w:tblStylePr>
    <w:tblStylePr w:type="lastCol">
      <w:rPr>
        <w:b/>
        <w:bCs/>
      </w:rPr>
    </w:tblStylePr>
    <w:tblStylePr w:type="band1Vert">
      <w:tblPr/>
      <w:tcPr>
        <w:tcBorders>
          <w:top w:val="single" w:color="5B9BD5" w:sz="8" w:space="0"/>
          <w:left w:val="single" w:color="5B9BD5" w:sz="8" w:space="0"/>
          <w:bottom w:val="single" w:color="5B9BD5" w:sz="8" w:space="0"/>
          <w:right w:val="single" w:color="5B9BD5" w:sz="8" w:space="0"/>
        </w:tcBorders>
      </w:tcPr>
    </w:tblStylePr>
    <w:tblStylePr w:type="band1Horz">
      <w:tblPr/>
      <w:tcPr>
        <w:tcBorders>
          <w:top w:val="single" w:color="5B9BD5" w:sz="8" w:space="0"/>
          <w:left w:val="single" w:color="5B9BD5" w:sz="8" w:space="0"/>
          <w:bottom w:val="single" w:color="5B9BD5" w:sz="8" w:space="0"/>
          <w:right w:val="single" w:color="5B9BD5" w:sz="8" w:space="0"/>
        </w:tcBorders>
      </w:tcPr>
    </w:tblStylePr>
  </w:style>
  <w:style w:type="table" w:styleId="60">
    <w:name w:val="Dark List Accent 6"/>
    <w:basedOn w:val="54"/>
    <w:qFormat/>
    <w:uiPriority w:val="70"/>
    <w:rPr>
      <w:rFonts w:ascii="CG Times (WN)" w:hAnsi="CG Times (WN)"/>
      <w:color w:val="FFFFFF"/>
    </w:rPr>
    <w:tblPr>
      <w:tblStyleRowBandSize w:val="1"/>
      <w:tblStyleColBandSize w:val="1"/>
    </w:tblPr>
    <w:tcPr>
      <w:shd w:val="clear" w:color="auto" w:fill="F79646"/>
    </w:tcPr>
    <w:tblStylePr w:type="firstRow">
      <w:rPr>
        <w:b/>
        <w:bCs/>
      </w:rPr>
      <w:tblPr/>
      <w:tcPr>
        <w:tcBorders>
          <w:top w:val="nil"/>
          <w:left w:val="nil"/>
          <w:bottom w:val="single" w:color="FFFFFF" w:sz="18" w:space="0"/>
          <w:right w:val="nil"/>
          <w:insideH w:val="nil"/>
          <w:insideV w:val="nil"/>
        </w:tcBorders>
        <w:shd w:val="clear" w:color="auto" w:fill="000000"/>
      </w:tcPr>
    </w:tblStylePr>
    <w:tblStylePr w:type="lastRow">
      <w:tblPr/>
      <w:tcPr>
        <w:tcBorders>
          <w:top w:val="single" w:color="FFFFFF" w:sz="18" w:space="0"/>
          <w:left w:val="nil"/>
          <w:bottom w:val="nil"/>
          <w:right w:val="nil"/>
          <w:insideH w:val="nil"/>
          <w:insideV w:val="nil"/>
        </w:tcBorders>
        <w:shd w:val="clear" w:color="auto" w:fill="974706"/>
      </w:tcPr>
    </w:tblStylePr>
    <w:tblStylePr w:type="firstCol">
      <w:tblPr/>
      <w:tcPr>
        <w:tcBorders>
          <w:top w:val="nil"/>
          <w:left w:val="nil"/>
          <w:bottom w:val="nil"/>
          <w:right w:val="single" w:color="FFFFFF" w:sz="18" w:space="0"/>
          <w:insideH w:val="nil"/>
          <w:insideV w:val="nil"/>
        </w:tcBorders>
        <w:shd w:val="clear" w:color="auto" w:fill="E36C0A"/>
      </w:tcPr>
    </w:tblStylePr>
    <w:tblStylePr w:type="lastCol">
      <w:tblPr/>
      <w:tcPr>
        <w:tcBorders>
          <w:top w:val="nil"/>
          <w:left w:val="single" w:color="FFFFFF" w:sz="18" w:space="0"/>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62">
    <w:name w:val="Strong"/>
    <w:qFormat/>
    <w:uiPriority w:val="22"/>
    <w:rPr>
      <w:b/>
      <w:bCs/>
    </w:rPr>
  </w:style>
  <w:style w:type="character" w:styleId="63">
    <w:name w:val="page number"/>
    <w:basedOn w:val="61"/>
    <w:qFormat/>
    <w:uiPriority w:val="0"/>
  </w:style>
  <w:style w:type="character" w:styleId="64">
    <w:name w:val="FollowedHyperlink"/>
    <w:qFormat/>
    <w:uiPriority w:val="0"/>
    <w:rPr>
      <w:color w:val="800080"/>
      <w:u w:val="single"/>
    </w:rPr>
  </w:style>
  <w:style w:type="character" w:styleId="65">
    <w:name w:val="Emphasis"/>
    <w:qFormat/>
    <w:uiPriority w:val="0"/>
    <w:rPr>
      <w:i/>
      <w:iCs/>
    </w:rPr>
  </w:style>
  <w:style w:type="character" w:styleId="66">
    <w:name w:val="Hyperlink"/>
    <w:qFormat/>
    <w:uiPriority w:val="99"/>
    <w:rPr>
      <w:color w:val="0000FF"/>
      <w:u w:val="single"/>
    </w:rPr>
  </w:style>
  <w:style w:type="character" w:styleId="67">
    <w:name w:val="annotation reference"/>
    <w:qFormat/>
    <w:uiPriority w:val="0"/>
    <w:rPr>
      <w:sz w:val="16"/>
      <w:szCs w:val="16"/>
    </w:rPr>
  </w:style>
  <w:style w:type="character" w:styleId="68">
    <w:name w:val="footnote reference"/>
    <w:qFormat/>
    <w:uiPriority w:val="0"/>
    <w:rPr>
      <w:vertAlign w:val="superscript"/>
    </w:rPr>
  </w:style>
  <w:style w:type="character" w:customStyle="1" w:styleId="69">
    <w:name w:val="Balloon Text Char"/>
    <w:link w:val="38"/>
    <w:semiHidden/>
    <w:qFormat/>
    <w:uiPriority w:val="99"/>
    <w:rPr>
      <w:rFonts w:ascii="Tahoma" w:hAnsi="Tahoma" w:cs="Tahoma"/>
      <w:sz w:val="16"/>
      <w:szCs w:val="16"/>
      <w:lang w:eastAsia="en-US"/>
    </w:rPr>
  </w:style>
  <w:style w:type="paragraph" w:customStyle="1" w:styleId="70">
    <w:name w:val="Normal."/>
    <w:qFormat/>
    <w:uiPriority w:val="0"/>
    <w:pPr>
      <w:widowControl w:val="0"/>
      <w:spacing w:after="160" w:line="180" w:lineRule="atLeast"/>
    </w:pPr>
    <w:rPr>
      <w:rFonts w:ascii="Times New Roman" w:hAnsi="Times New Roman" w:eastAsia="Batang" w:cs="Times New Roman"/>
      <w:kern w:val="2"/>
      <w:sz w:val="18"/>
      <w:szCs w:val="18"/>
      <w:lang w:val="en-US" w:eastAsia="en-US" w:bidi="ar-SA"/>
    </w:rPr>
  </w:style>
  <w:style w:type="paragraph" w:customStyle="1" w:styleId="71">
    <w:name w:val="EX"/>
    <w:basedOn w:val="1"/>
    <w:qFormat/>
    <w:uiPriority w:val="0"/>
    <w:pPr>
      <w:keepLines/>
      <w:autoSpaceDE/>
      <w:autoSpaceDN/>
      <w:adjustRightInd/>
      <w:spacing w:after="180"/>
      <w:ind w:left="1702" w:hanging="1418"/>
    </w:pPr>
    <w:rPr>
      <w:sz w:val="20"/>
      <w:szCs w:val="20"/>
      <w:lang w:val="en-GB"/>
    </w:rPr>
  </w:style>
  <w:style w:type="paragraph" w:customStyle="1" w:styleId="72">
    <w:name w:val="References"/>
    <w:basedOn w:val="1"/>
    <w:next w:val="1"/>
    <w:qFormat/>
    <w:uiPriority w:val="0"/>
    <w:pPr>
      <w:numPr>
        <w:ilvl w:val="0"/>
        <w:numId w:val="3"/>
      </w:numPr>
      <w:adjustRightInd/>
      <w:spacing w:after="60"/>
    </w:pPr>
    <w:rPr>
      <w:sz w:val="20"/>
      <w:szCs w:val="16"/>
    </w:rPr>
  </w:style>
  <w:style w:type="paragraph" w:customStyle="1" w:styleId="73">
    <w:name w:val="1"/>
    <w:next w:val="1"/>
    <w:semiHidden/>
    <w:qFormat/>
    <w:uiPriority w:val="0"/>
    <w:pPr>
      <w:keepNext/>
      <w:tabs>
        <w:tab w:val="left" w:pos="720"/>
      </w:tabs>
      <w:autoSpaceDE w:val="0"/>
      <w:autoSpaceDN w:val="0"/>
      <w:adjustRightInd w:val="0"/>
      <w:spacing w:after="160" w:line="259" w:lineRule="auto"/>
      <w:ind w:left="720" w:hanging="360"/>
      <w:jc w:val="both"/>
    </w:pPr>
    <w:rPr>
      <w:rFonts w:ascii="Times New Roman" w:hAnsi="Times New Roman" w:eastAsia="Times New Roman" w:cs="Times New Roman"/>
      <w:kern w:val="2"/>
      <w:lang w:val="en-GB" w:eastAsia="zh-CN" w:bidi="ar-SA"/>
    </w:rPr>
  </w:style>
  <w:style w:type="paragraph" w:customStyle="1" w:styleId="74">
    <w:name w:val="Char"/>
    <w:semiHidden/>
    <w:qFormat/>
    <w:uiPriority w:val="0"/>
    <w:pPr>
      <w:keepNext/>
      <w:numPr>
        <w:ilvl w:val="0"/>
        <w:numId w:val="4"/>
      </w:numPr>
      <w:autoSpaceDE w:val="0"/>
      <w:autoSpaceDN w:val="0"/>
      <w:adjustRightInd w:val="0"/>
      <w:spacing w:before="60" w:after="60" w:line="259" w:lineRule="auto"/>
      <w:jc w:val="both"/>
    </w:pPr>
    <w:rPr>
      <w:rFonts w:ascii="Arial" w:hAnsi="Arial" w:cs="Arial" w:eastAsiaTheme="minorEastAsia"/>
      <w:color w:val="0000FF"/>
      <w:kern w:val="2"/>
      <w:lang w:val="en-US" w:eastAsia="zh-CN" w:bidi="ar-SA"/>
    </w:rPr>
  </w:style>
  <w:style w:type="paragraph" w:customStyle="1" w:styleId="75">
    <w:name w:val="EQ"/>
    <w:basedOn w:val="1"/>
    <w:next w:val="1"/>
    <w:qFormat/>
    <w:uiPriority w:val="0"/>
    <w:pPr>
      <w:keepLines/>
      <w:tabs>
        <w:tab w:val="center" w:pos="4536"/>
        <w:tab w:val="right" w:pos="9072"/>
      </w:tabs>
      <w:autoSpaceDE/>
      <w:autoSpaceDN/>
      <w:adjustRightInd/>
      <w:spacing w:after="180"/>
    </w:pPr>
    <w:rPr>
      <w:rFonts w:eastAsia="Times New Roman"/>
      <w:sz w:val="20"/>
      <w:szCs w:val="20"/>
      <w:lang w:val="en-GB"/>
    </w:rPr>
  </w:style>
  <w:style w:type="paragraph" w:customStyle="1" w:styleId="76">
    <w:name w:val="Zchn Zchn"/>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cs="Arial" w:eastAsiaTheme="minorEastAsia"/>
      <w:color w:val="0000FF"/>
      <w:kern w:val="2"/>
      <w:lang w:val="en-US" w:eastAsia="zh-CN" w:bidi="ar-SA"/>
    </w:rPr>
  </w:style>
  <w:style w:type="paragraph" w:customStyle="1" w:styleId="77">
    <w:name w:val="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cs="Arial" w:eastAsiaTheme="minorEastAsia"/>
      <w:color w:val="0000FF"/>
      <w:kern w:val="2"/>
      <w:lang w:val="en-US" w:eastAsia="zh-CN" w:bidi="ar-SA"/>
    </w:rPr>
  </w:style>
  <w:style w:type="character" w:customStyle="1" w:styleId="78">
    <w:name w:val="Caption Char"/>
    <w:link w:val="27"/>
    <w:qFormat/>
    <w:uiPriority w:val="0"/>
    <w:rPr>
      <w:b/>
      <w:bCs/>
      <w:lang w:val="en-US" w:eastAsia="en-US"/>
    </w:rPr>
  </w:style>
  <w:style w:type="character" w:customStyle="1" w:styleId="79">
    <w:name w:val="Header Char"/>
    <w:link w:val="40"/>
    <w:qFormat/>
    <w:uiPriority w:val="0"/>
    <w:rPr>
      <w:sz w:val="22"/>
      <w:szCs w:val="22"/>
    </w:rPr>
  </w:style>
  <w:style w:type="character" w:customStyle="1" w:styleId="80">
    <w:name w:val="Footer Char"/>
    <w:link w:val="39"/>
    <w:qFormat/>
    <w:uiPriority w:val="99"/>
    <w:rPr>
      <w:sz w:val="22"/>
      <w:szCs w:val="22"/>
    </w:rPr>
  </w:style>
  <w:style w:type="paragraph" w:customStyle="1" w:styleId="81">
    <w:name w:val="Char Char1 Char Char Char Char Char Char Char Char Char Char Char Char Char Char Char"/>
    <w:semiHidden/>
    <w:qFormat/>
    <w:uiPriority w:val="0"/>
    <w:pPr>
      <w:keepNext/>
      <w:tabs>
        <w:tab w:val="left" w:pos="360"/>
      </w:tabs>
      <w:autoSpaceDE w:val="0"/>
      <w:autoSpaceDN w:val="0"/>
      <w:adjustRightInd w:val="0"/>
      <w:spacing w:before="60" w:after="60" w:line="259" w:lineRule="auto"/>
      <w:ind w:left="360" w:hanging="360"/>
      <w:jc w:val="both"/>
    </w:pPr>
    <w:rPr>
      <w:rFonts w:ascii="Arial" w:hAnsi="Arial" w:cs="Arial" w:eastAsiaTheme="minorEastAsia"/>
      <w:color w:val="0000FF"/>
      <w:kern w:val="2"/>
      <w:lang w:val="en-US" w:eastAsia="zh-CN" w:bidi="ar-SA"/>
    </w:rPr>
  </w:style>
  <w:style w:type="paragraph" w:styleId="82">
    <w:name w:val="List Paragraph"/>
    <w:basedOn w:val="1"/>
    <w:link w:val="196"/>
    <w:qFormat/>
    <w:uiPriority w:val="34"/>
    <w:pPr>
      <w:autoSpaceDE/>
      <w:autoSpaceDN/>
      <w:adjustRightInd/>
      <w:spacing w:after="0"/>
      <w:ind w:left="720"/>
    </w:pPr>
    <w:rPr>
      <w:rFonts w:ascii="Calibri" w:hAnsi="Calibri"/>
    </w:rPr>
  </w:style>
  <w:style w:type="character" w:customStyle="1" w:styleId="83">
    <w:name w:val="Document Map Char"/>
    <w:link w:val="28"/>
    <w:qFormat/>
    <w:uiPriority w:val="99"/>
    <w:rPr>
      <w:rFonts w:ascii="Tahoma" w:hAnsi="Tahoma" w:cs="Tahoma"/>
      <w:sz w:val="16"/>
      <w:szCs w:val="16"/>
    </w:rPr>
  </w:style>
  <w:style w:type="character" w:customStyle="1" w:styleId="84">
    <w:name w:val="Comment Text Char"/>
    <w:basedOn w:val="61"/>
    <w:link w:val="29"/>
    <w:qFormat/>
    <w:uiPriority w:val="0"/>
  </w:style>
  <w:style w:type="character" w:customStyle="1" w:styleId="85">
    <w:name w:val="Comment Subject Char"/>
    <w:link w:val="53"/>
    <w:qFormat/>
    <w:uiPriority w:val="99"/>
    <w:rPr>
      <w:b/>
      <w:bCs/>
    </w:rPr>
  </w:style>
  <w:style w:type="paragraph" w:customStyle="1" w:styleId="86">
    <w:name w:val="Revision1"/>
    <w:hidden/>
    <w:semiHidden/>
    <w:qFormat/>
    <w:uiPriority w:val="99"/>
    <w:pPr>
      <w:spacing w:after="160" w:line="259" w:lineRule="auto"/>
    </w:pPr>
    <w:rPr>
      <w:rFonts w:ascii="Times New Roman" w:hAnsi="Times New Roman" w:cs="Times New Roman" w:eastAsiaTheme="minorEastAsia"/>
      <w:sz w:val="22"/>
      <w:szCs w:val="22"/>
      <w:lang w:val="en-GB" w:eastAsia="en-US" w:bidi="ar-SA"/>
    </w:rPr>
  </w:style>
  <w:style w:type="character" w:customStyle="1" w:styleId="87">
    <w:name w:val="Title Char"/>
    <w:link w:val="52"/>
    <w:qFormat/>
    <w:uiPriority w:val="0"/>
    <w:rPr>
      <w:rFonts w:ascii="Cambria" w:hAnsi="Cambria" w:cs="Times New Roman"/>
      <w:b/>
      <w:bCs/>
      <w:sz w:val="32"/>
      <w:szCs w:val="32"/>
      <w:lang w:eastAsia="en-US"/>
    </w:rPr>
  </w:style>
  <w:style w:type="paragraph" w:customStyle="1" w:styleId="88">
    <w:name w:val="TAL"/>
    <w:basedOn w:val="1"/>
    <w:link w:val="89"/>
    <w:qFormat/>
    <w:uiPriority w:val="0"/>
    <w:pPr>
      <w:keepNext/>
      <w:keepLines/>
      <w:overflowPunct w:val="0"/>
      <w:snapToGrid/>
      <w:spacing w:after="0"/>
      <w:textAlignment w:val="baseline"/>
    </w:pPr>
    <w:rPr>
      <w:rFonts w:ascii="Arial" w:hAnsi="Arial" w:eastAsia="Times New Roman"/>
      <w:sz w:val="18"/>
      <w:szCs w:val="18"/>
      <w:lang w:eastAsia="ja-JP"/>
    </w:rPr>
  </w:style>
  <w:style w:type="character" w:customStyle="1" w:styleId="89">
    <w:name w:val="TAL Car"/>
    <w:link w:val="88"/>
    <w:qFormat/>
    <w:uiPriority w:val="0"/>
    <w:rPr>
      <w:rFonts w:ascii="Arial" w:hAnsi="Arial" w:eastAsia="Times New Roman" w:cs="Arial"/>
      <w:sz w:val="18"/>
      <w:szCs w:val="18"/>
      <w:lang w:eastAsia="ja-JP"/>
    </w:rPr>
  </w:style>
  <w:style w:type="paragraph" w:customStyle="1" w:styleId="90">
    <w:name w:val="TAH"/>
    <w:basedOn w:val="1"/>
    <w:link w:val="208"/>
    <w:qFormat/>
    <w:uiPriority w:val="0"/>
    <w:pPr>
      <w:keepNext/>
      <w:keepLines/>
      <w:overflowPunct w:val="0"/>
      <w:snapToGrid/>
      <w:spacing w:after="0"/>
      <w:jc w:val="center"/>
      <w:textAlignment w:val="baseline"/>
    </w:pPr>
    <w:rPr>
      <w:rFonts w:ascii="Arial" w:hAnsi="Arial" w:eastAsia="Times New Roman"/>
      <w:b/>
      <w:sz w:val="18"/>
      <w:szCs w:val="20"/>
      <w:lang w:val="en-GB" w:eastAsia="en-GB"/>
    </w:rPr>
  </w:style>
  <w:style w:type="paragraph" w:customStyle="1" w:styleId="91">
    <w:name w:val="figure"/>
    <w:basedOn w:val="1"/>
    <w:qFormat/>
    <w:uiPriority w:val="0"/>
    <w:pPr>
      <w:keepNext/>
      <w:jc w:val="center"/>
    </w:pPr>
  </w:style>
  <w:style w:type="paragraph" w:customStyle="1" w:styleId="92">
    <w:name w:val="Tdoc_Header_2"/>
    <w:basedOn w:val="1"/>
    <w:qFormat/>
    <w:uiPriority w:val="0"/>
    <w:pPr>
      <w:widowControl w:val="0"/>
      <w:tabs>
        <w:tab w:val="left" w:pos="1701"/>
        <w:tab w:val="right" w:pos="9072"/>
        <w:tab w:val="right" w:pos="10206"/>
      </w:tabs>
      <w:autoSpaceDE/>
      <w:autoSpaceDN/>
      <w:adjustRightInd/>
      <w:snapToGrid/>
      <w:spacing w:after="0"/>
    </w:pPr>
    <w:rPr>
      <w:rFonts w:ascii="Arial" w:hAnsi="Arial" w:eastAsia="Batang"/>
      <w:b/>
      <w:sz w:val="18"/>
      <w:szCs w:val="20"/>
      <w:lang w:val="en-GB"/>
    </w:rPr>
  </w:style>
  <w:style w:type="paragraph" w:customStyle="1" w:styleId="93">
    <w:name w:val="Reference"/>
    <w:basedOn w:val="1"/>
    <w:qFormat/>
    <w:uiPriority w:val="0"/>
    <w:pPr>
      <w:numPr>
        <w:ilvl w:val="0"/>
        <w:numId w:val="5"/>
      </w:numPr>
      <w:overflowPunct w:val="0"/>
      <w:snapToGrid/>
      <w:spacing w:after="180"/>
      <w:ind w:right="-99"/>
      <w:textAlignment w:val="baseline"/>
    </w:pPr>
    <w:rPr>
      <w:rFonts w:eastAsia="MS Mincho"/>
      <w:szCs w:val="20"/>
      <w:lang w:val="en-GB"/>
    </w:rPr>
  </w:style>
  <w:style w:type="character" w:customStyle="1" w:styleId="94">
    <w:name w:val="word_other"/>
    <w:basedOn w:val="61"/>
    <w:qFormat/>
    <w:uiPriority w:val="0"/>
  </w:style>
  <w:style w:type="paragraph" w:customStyle="1" w:styleId="95">
    <w:name w:val="Tablecell"/>
    <w:basedOn w:val="1"/>
    <w:qFormat/>
    <w:uiPriority w:val="0"/>
    <w:pPr>
      <w:widowControl w:val="0"/>
      <w:spacing w:before="40" w:after="40"/>
    </w:pPr>
    <w:rPr>
      <w:sz w:val="20"/>
    </w:rPr>
  </w:style>
  <w:style w:type="paragraph" w:customStyle="1" w:styleId="96">
    <w:name w:val="Motorola Response1"/>
    <w:next w:val="1"/>
    <w:semiHidden/>
    <w:qFormat/>
    <w:uiPriority w:val="0"/>
    <w:pPr>
      <w:keepNext/>
      <w:tabs>
        <w:tab w:val="left" w:pos="432"/>
      </w:tabs>
      <w:autoSpaceDE w:val="0"/>
      <w:autoSpaceDN w:val="0"/>
      <w:adjustRightInd w:val="0"/>
      <w:spacing w:after="160" w:line="259" w:lineRule="auto"/>
      <w:ind w:left="432" w:hanging="432"/>
      <w:jc w:val="both"/>
    </w:pPr>
    <w:rPr>
      <w:rFonts w:ascii="Times New Roman" w:hAnsi="Times New Roman" w:eastAsia="Times New Roman" w:cs="Times New Roman"/>
      <w:kern w:val="2"/>
      <w:lang w:val="en-GB" w:eastAsia="zh-CN" w:bidi="ar-SA"/>
    </w:rPr>
  </w:style>
  <w:style w:type="character" w:styleId="97">
    <w:name w:val="Placeholder Text"/>
    <w:semiHidden/>
    <w:qFormat/>
    <w:uiPriority w:val="99"/>
    <w:rPr>
      <w:color w:val="808080"/>
    </w:rPr>
  </w:style>
  <w:style w:type="character" w:customStyle="1" w:styleId="98">
    <w:name w:val="apple-converted-space"/>
    <w:basedOn w:val="61"/>
    <w:qFormat/>
    <w:uiPriority w:val="0"/>
  </w:style>
  <w:style w:type="character" w:customStyle="1" w:styleId="99">
    <w:name w:val="Plain Text Char"/>
    <w:link w:val="33"/>
    <w:qFormat/>
    <w:uiPriority w:val="0"/>
    <w:rPr>
      <w:rFonts w:ascii="Consolas" w:hAnsi="Consolas" w:eastAsia="Calibri" w:cs="Consolas"/>
      <w:sz w:val="21"/>
      <w:szCs w:val="21"/>
    </w:rPr>
  </w:style>
  <w:style w:type="paragraph" w:customStyle="1" w:styleId="100">
    <w:name w:val="references"/>
    <w:qFormat/>
    <w:uiPriority w:val="0"/>
    <w:pPr>
      <w:numPr>
        <w:ilvl w:val="0"/>
        <w:numId w:val="6"/>
      </w:numPr>
      <w:spacing w:after="50" w:line="180" w:lineRule="exact"/>
      <w:jc w:val="both"/>
    </w:pPr>
    <w:rPr>
      <w:rFonts w:ascii="Times New Roman" w:hAnsi="Times New Roman" w:eastAsia="MS Mincho" w:cs="Times New Roman"/>
      <w:szCs w:val="16"/>
      <w:lang w:val="en-US" w:eastAsia="en-US" w:bidi="ar-SA"/>
    </w:rPr>
  </w:style>
  <w:style w:type="paragraph" w:styleId="101">
    <w:name w:val="No Spacing"/>
    <w:qFormat/>
    <w:uiPriority w:val="1"/>
    <w:pPr>
      <w:spacing w:after="160" w:line="259" w:lineRule="auto"/>
    </w:pPr>
    <w:rPr>
      <w:rFonts w:ascii="Times New Roman" w:hAnsi="Times New Roman" w:eastAsia="MS Mincho" w:cs="Times New Roman"/>
      <w:lang w:val="en-US" w:eastAsia="en-US" w:bidi="ar-SA"/>
    </w:rPr>
  </w:style>
  <w:style w:type="character" w:customStyle="1" w:styleId="102">
    <w:name w:val="Heading 1 Char"/>
    <w:link w:val="2"/>
    <w:qFormat/>
    <w:uiPriority w:val="0"/>
    <w:rPr>
      <w:rFonts w:ascii="Arial" w:hAnsi="Arial" w:eastAsia="Times New Roman" w:cs="Arial"/>
      <w:sz w:val="36"/>
      <w:szCs w:val="36"/>
      <w:lang w:val="en-GB" w:eastAsia="zh-CN"/>
    </w:rPr>
  </w:style>
  <w:style w:type="paragraph" w:customStyle="1" w:styleId="103">
    <w:name w:val="B1"/>
    <w:basedOn w:val="22"/>
    <w:link w:val="104"/>
    <w:qFormat/>
    <w:uiPriority w:val="0"/>
    <w:pPr>
      <w:overflowPunct w:val="0"/>
      <w:snapToGrid/>
      <w:spacing w:after="180"/>
      <w:ind w:left="568" w:hanging="284"/>
      <w:textAlignment w:val="baseline"/>
    </w:pPr>
    <w:rPr>
      <w:rFonts w:eastAsia="Times New Roman"/>
      <w:sz w:val="20"/>
      <w:szCs w:val="20"/>
      <w:lang w:val="en-GB" w:eastAsia="en-GB"/>
    </w:rPr>
  </w:style>
  <w:style w:type="character" w:customStyle="1" w:styleId="104">
    <w:name w:val="B1 Char1"/>
    <w:link w:val="103"/>
    <w:qFormat/>
    <w:uiPriority w:val="0"/>
    <w:rPr>
      <w:rFonts w:eastAsia="Times New Roman"/>
      <w:lang w:val="en-GB" w:eastAsia="en-GB"/>
    </w:rPr>
  </w:style>
  <w:style w:type="paragraph" w:customStyle="1" w:styleId="105">
    <w:name w:val="B2"/>
    <w:basedOn w:val="12"/>
    <w:link w:val="211"/>
    <w:qFormat/>
    <w:uiPriority w:val="0"/>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106">
    <w:name w:val="H6"/>
    <w:basedOn w:val="6"/>
    <w:next w:val="1"/>
    <w:qFormat/>
    <w:uiPriority w:val="0"/>
    <w:pPr>
      <w:keepNext/>
      <w:keepLines/>
      <w:numPr>
        <w:ilvl w:val="0"/>
        <w:numId w:val="0"/>
      </w:numPr>
      <w:overflowPunct w:val="0"/>
      <w:snapToGrid/>
      <w:spacing w:before="120" w:after="180"/>
      <w:ind w:left="1985" w:hanging="1985"/>
      <w:textAlignment w:val="baseline"/>
      <w:outlineLvl w:val="9"/>
    </w:pPr>
    <w:rPr>
      <w:rFonts w:ascii="Arial" w:hAnsi="Arial" w:eastAsia="Times New Roman"/>
      <w:b w:val="0"/>
      <w:bCs w:val="0"/>
      <w:i w:val="0"/>
      <w:iCs w:val="0"/>
      <w:sz w:val="20"/>
      <w:szCs w:val="20"/>
      <w:lang w:val="en-GB" w:eastAsia="en-GB"/>
    </w:rPr>
  </w:style>
  <w:style w:type="character" w:customStyle="1" w:styleId="107">
    <w:name w:val="ZGSM"/>
    <w:qFormat/>
    <w:uiPriority w:val="0"/>
  </w:style>
  <w:style w:type="paragraph" w:customStyle="1" w:styleId="108">
    <w:name w:val="ZD"/>
    <w:qFormat/>
    <w:uiPriority w:val="0"/>
    <w:pPr>
      <w:framePr w:wrap="notBeside" w:vAnchor="page" w:hAnchor="margin" w:y="15764"/>
      <w:widowControl w:val="0"/>
      <w:overflowPunct w:val="0"/>
      <w:autoSpaceDE w:val="0"/>
      <w:autoSpaceDN w:val="0"/>
      <w:adjustRightInd w:val="0"/>
      <w:spacing w:after="160" w:line="259" w:lineRule="auto"/>
      <w:textAlignment w:val="baseline"/>
    </w:pPr>
    <w:rPr>
      <w:rFonts w:ascii="Arial" w:hAnsi="Arial" w:eastAsia="Times New Roman" w:cs="Times New Roman"/>
      <w:sz w:val="32"/>
      <w:lang w:val="en-GB" w:eastAsia="en-GB" w:bidi="ar-SA"/>
    </w:rPr>
  </w:style>
  <w:style w:type="paragraph" w:customStyle="1" w:styleId="109">
    <w:name w:val="TT"/>
    <w:basedOn w:val="2"/>
    <w:next w:val="1"/>
    <w:qFormat/>
    <w:uiPriority w:val="0"/>
    <w:pPr>
      <w:ind w:left="1134" w:hanging="1134"/>
      <w:outlineLvl w:val="9"/>
    </w:pPr>
    <w:rPr>
      <w:b/>
      <w:bCs/>
      <w:szCs w:val="20"/>
      <w:lang w:eastAsia="en-GB"/>
    </w:rPr>
  </w:style>
  <w:style w:type="paragraph" w:customStyle="1" w:styleId="110">
    <w:name w:val="NF"/>
    <w:basedOn w:val="111"/>
    <w:qFormat/>
    <w:uiPriority w:val="0"/>
  </w:style>
  <w:style w:type="paragraph" w:customStyle="1" w:styleId="111">
    <w:name w:val="NO"/>
    <w:basedOn w:val="1"/>
    <w:qFormat/>
    <w:uiPriority w:val="0"/>
    <w:pPr>
      <w:keepLines/>
      <w:overflowPunct w:val="0"/>
      <w:snapToGrid/>
      <w:spacing w:after="180"/>
      <w:ind w:left="1135" w:hanging="851"/>
      <w:textAlignment w:val="baseline"/>
    </w:pPr>
    <w:rPr>
      <w:rFonts w:eastAsia="Times New Roman"/>
      <w:sz w:val="20"/>
      <w:szCs w:val="20"/>
      <w:lang w:val="en-GB" w:eastAsia="en-GB"/>
    </w:rPr>
  </w:style>
  <w:style w:type="paragraph" w:customStyle="1" w:styleId="112">
    <w:name w:val="PL"/>
    <w:link w:val="188"/>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hAnsi="Courier New" w:eastAsia="Times New Roman" w:cs="Times New Roman"/>
      <w:sz w:val="16"/>
      <w:lang w:val="en-GB" w:eastAsia="en-GB" w:bidi="ar-SA"/>
    </w:rPr>
  </w:style>
  <w:style w:type="paragraph" w:customStyle="1" w:styleId="113">
    <w:name w:val="TAR"/>
    <w:basedOn w:val="88"/>
    <w:qFormat/>
    <w:uiPriority w:val="0"/>
    <w:pPr>
      <w:jc w:val="right"/>
    </w:pPr>
    <w:rPr>
      <w:szCs w:val="20"/>
      <w:lang w:val="en-GB" w:eastAsia="en-GB"/>
    </w:rPr>
  </w:style>
  <w:style w:type="paragraph" w:customStyle="1" w:styleId="114">
    <w:name w:val="TAC"/>
    <w:basedOn w:val="88"/>
    <w:link w:val="207"/>
    <w:qFormat/>
    <w:uiPriority w:val="0"/>
    <w:pPr>
      <w:jc w:val="center"/>
    </w:pPr>
    <w:rPr>
      <w:szCs w:val="20"/>
      <w:lang w:val="en-GB" w:eastAsia="en-GB"/>
    </w:rPr>
  </w:style>
  <w:style w:type="paragraph" w:customStyle="1" w:styleId="115">
    <w:name w:val="LD"/>
    <w:qFormat/>
    <w:uiPriority w:val="0"/>
    <w:pPr>
      <w:keepNext/>
      <w:keepLines/>
      <w:overflowPunct w:val="0"/>
      <w:autoSpaceDE w:val="0"/>
      <w:autoSpaceDN w:val="0"/>
      <w:adjustRightInd w:val="0"/>
      <w:spacing w:after="160" w:line="180" w:lineRule="exact"/>
      <w:textAlignment w:val="baseline"/>
    </w:pPr>
    <w:rPr>
      <w:rFonts w:ascii="Courier New" w:hAnsi="Courier New" w:eastAsia="Times New Roman" w:cs="Times New Roman"/>
      <w:lang w:val="en-GB" w:eastAsia="en-GB" w:bidi="ar-SA"/>
    </w:rPr>
  </w:style>
  <w:style w:type="paragraph" w:customStyle="1" w:styleId="116">
    <w:name w:val="FP"/>
    <w:basedOn w:val="1"/>
    <w:qFormat/>
    <w:uiPriority w:val="0"/>
    <w:pPr>
      <w:overflowPunct w:val="0"/>
      <w:snapToGrid/>
      <w:spacing w:after="0"/>
      <w:textAlignment w:val="baseline"/>
    </w:pPr>
    <w:rPr>
      <w:rFonts w:eastAsia="Times New Roman"/>
      <w:sz w:val="20"/>
      <w:szCs w:val="20"/>
      <w:lang w:val="en-GB" w:eastAsia="en-GB"/>
    </w:rPr>
  </w:style>
  <w:style w:type="paragraph" w:customStyle="1" w:styleId="117">
    <w:name w:val="NW"/>
    <w:basedOn w:val="111"/>
    <w:qFormat/>
    <w:uiPriority w:val="0"/>
  </w:style>
  <w:style w:type="paragraph" w:customStyle="1" w:styleId="118">
    <w:name w:val="EW"/>
    <w:basedOn w:val="71"/>
    <w:qFormat/>
    <w:uiPriority w:val="0"/>
  </w:style>
  <w:style w:type="paragraph" w:customStyle="1" w:styleId="119">
    <w:name w:val="Editor's Note"/>
    <w:basedOn w:val="111"/>
    <w:qFormat/>
    <w:uiPriority w:val="0"/>
  </w:style>
  <w:style w:type="paragraph" w:customStyle="1" w:styleId="120">
    <w:name w:val="TH"/>
    <w:basedOn w:val="1"/>
    <w:link w:val="121"/>
    <w:qFormat/>
    <w:uiPriority w:val="0"/>
    <w:pPr>
      <w:keepNext/>
      <w:keepLines/>
      <w:overflowPunct w:val="0"/>
      <w:snapToGrid/>
      <w:spacing w:before="60" w:after="180"/>
      <w:jc w:val="center"/>
      <w:textAlignment w:val="baseline"/>
    </w:pPr>
    <w:rPr>
      <w:rFonts w:ascii="Arial" w:hAnsi="Arial" w:eastAsia="Times New Roman"/>
      <w:b/>
      <w:sz w:val="20"/>
      <w:szCs w:val="20"/>
      <w:lang w:val="en-GB" w:eastAsia="en-GB"/>
    </w:rPr>
  </w:style>
  <w:style w:type="character" w:customStyle="1" w:styleId="121">
    <w:name w:val="TH Char"/>
    <w:link w:val="120"/>
    <w:qFormat/>
    <w:uiPriority w:val="0"/>
    <w:rPr>
      <w:rFonts w:ascii="Arial" w:hAnsi="Arial" w:eastAsia="Times New Roman"/>
      <w:b/>
      <w:lang w:val="en-GB" w:eastAsia="en-GB"/>
    </w:rPr>
  </w:style>
  <w:style w:type="paragraph" w:customStyle="1" w:styleId="122">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spacing w:after="160" w:line="259" w:lineRule="auto"/>
      <w:jc w:val="right"/>
      <w:textAlignment w:val="baseline"/>
    </w:pPr>
    <w:rPr>
      <w:rFonts w:ascii="Arial" w:hAnsi="Arial" w:eastAsia="Times New Roman" w:cs="Times New Roman"/>
      <w:sz w:val="40"/>
      <w:lang w:val="en-GB" w:eastAsia="en-GB" w:bidi="ar-SA"/>
    </w:rPr>
  </w:style>
  <w:style w:type="paragraph" w:customStyle="1" w:styleId="123">
    <w:name w:val="ZB"/>
    <w:qFormat/>
    <w:uiPriority w:val="0"/>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hAnsi="Arial" w:eastAsia="Times New Roman" w:cs="Times New Roman"/>
      <w:i/>
      <w:lang w:val="en-GB" w:eastAsia="en-GB" w:bidi="ar-SA"/>
    </w:rPr>
  </w:style>
  <w:style w:type="paragraph" w:customStyle="1" w:styleId="124">
    <w:name w:val="ZT"/>
    <w:qFormat/>
    <w:uiPriority w:val="0"/>
    <w:pPr>
      <w:framePr w:wrap="notBeside" w:vAnchor="margin" w:hAnchor="margin" w:yAlign="center"/>
      <w:widowControl w:val="0"/>
      <w:overflowPunct w:val="0"/>
      <w:autoSpaceDE w:val="0"/>
      <w:autoSpaceDN w:val="0"/>
      <w:adjustRightInd w:val="0"/>
      <w:spacing w:after="160" w:line="240" w:lineRule="atLeast"/>
      <w:jc w:val="right"/>
      <w:textAlignment w:val="baseline"/>
    </w:pPr>
    <w:rPr>
      <w:rFonts w:ascii="Arial" w:hAnsi="Arial" w:eastAsia="Times New Roman" w:cs="Times New Roman"/>
      <w:b/>
      <w:sz w:val="34"/>
      <w:lang w:val="en-GB" w:eastAsia="en-GB" w:bidi="ar-SA"/>
    </w:rPr>
  </w:style>
  <w:style w:type="paragraph" w:customStyle="1" w:styleId="125">
    <w:name w:val="ZU"/>
    <w:qFormat/>
    <w:uiPriority w:val="0"/>
    <w:pPr>
      <w:framePr w:w="10206" w:wrap="notBeside" w:vAnchor="page" w:hAnchor="margin" w:y="6238"/>
      <w:widowControl w:val="0"/>
      <w:pBdr>
        <w:top w:val="single" w:color="auto" w:sz="12" w:space="1"/>
      </w:pBdr>
      <w:overflowPunct w:val="0"/>
      <w:autoSpaceDE w:val="0"/>
      <w:autoSpaceDN w:val="0"/>
      <w:adjustRightInd w:val="0"/>
      <w:spacing w:after="160" w:line="259" w:lineRule="auto"/>
      <w:jc w:val="right"/>
      <w:textAlignment w:val="baseline"/>
    </w:pPr>
    <w:rPr>
      <w:rFonts w:ascii="Arial" w:hAnsi="Arial" w:eastAsia="Times New Roman" w:cs="Times New Roman"/>
      <w:lang w:val="en-GB" w:eastAsia="en-GB" w:bidi="ar-SA"/>
    </w:rPr>
  </w:style>
  <w:style w:type="paragraph" w:customStyle="1" w:styleId="126">
    <w:name w:val="TAN"/>
    <w:basedOn w:val="88"/>
    <w:qFormat/>
    <w:uiPriority w:val="0"/>
    <w:pPr>
      <w:ind w:left="851" w:hanging="851"/>
    </w:pPr>
    <w:rPr>
      <w:szCs w:val="20"/>
      <w:lang w:val="en-GB" w:eastAsia="en-GB"/>
    </w:rPr>
  </w:style>
  <w:style w:type="paragraph" w:customStyle="1" w:styleId="127">
    <w:name w:val="ZH"/>
    <w:qFormat/>
    <w:uiPriority w:val="0"/>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hAnsi="Arial" w:eastAsia="Times New Roman" w:cs="Times New Roman"/>
      <w:lang w:val="en-GB" w:eastAsia="en-GB" w:bidi="ar-SA"/>
    </w:rPr>
  </w:style>
  <w:style w:type="paragraph" w:customStyle="1" w:styleId="128">
    <w:name w:val="TF"/>
    <w:basedOn w:val="120"/>
    <w:link w:val="233"/>
    <w:qFormat/>
    <w:uiPriority w:val="0"/>
    <w:pPr>
      <w:keepNext w:val="0"/>
      <w:spacing w:before="0" w:after="240"/>
    </w:pPr>
  </w:style>
  <w:style w:type="paragraph" w:customStyle="1" w:styleId="129">
    <w:name w:val="ZG"/>
    <w:qFormat/>
    <w:uiPriority w:val="0"/>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eastAsia="Times New Roman" w:cs="Times New Roman"/>
      <w:lang w:val="en-GB" w:eastAsia="en-GB" w:bidi="ar-SA"/>
    </w:rPr>
  </w:style>
  <w:style w:type="paragraph" w:customStyle="1" w:styleId="130">
    <w:name w:val="B3"/>
    <w:basedOn w:val="11"/>
    <w:link w:val="191"/>
    <w:qFormat/>
    <w:uiPriority w:val="0"/>
  </w:style>
  <w:style w:type="paragraph" w:customStyle="1" w:styleId="131">
    <w:name w:val="B4"/>
    <w:basedOn w:val="45"/>
    <w:qFormat/>
    <w:uiPriority w:val="0"/>
  </w:style>
  <w:style w:type="paragraph" w:customStyle="1" w:styleId="132">
    <w:name w:val="B5"/>
    <w:basedOn w:val="44"/>
    <w:qFormat/>
    <w:uiPriority w:val="0"/>
  </w:style>
  <w:style w:type="paragraph" w:customStyle="1" w:styleId="133">
    <w:name w:val="ZTD"/>
    <w:basedOn w:val="123"/>
    <w:qFormat/>
    <w:uiPriority w:val="0"/>
    <w:pPr>
      <w:framePr/>
    </w:pPr>
  </w:style>
  <w:style w:type="paragraph" w:customStyle="1" w:styleId="134">
    <w:name w:val="ZV"/>
    <w:basedOn w:val="125"/>
    <w:qFormat/>
    <w:uiPriority w:val="0"/>
    <w:pPr>
      <w:framePr/>
    </w:pPr>
  </w:style>
  <w:style w:type="paragraph" w:customStyle="1" w:styleId="135">
    <w:name w:val="INDENT1"/>
    <w:basedOn w:val="1"/>
    <w:qFormat/>
    <w:uiPriority w:val="0"/>
    <w:pPr>
      <w:overflowPunct w:val="0"/>
      <w:snapToGrid/>
      <w:spacing w:after="180"/>
      <w:ind w:left="851"/>
      <w:textAlignment w:val="baseline"/>
    </w:pPr>
    <w:rPr>
      <w:rFonts w:eastAsia="Times New Roman"/>
      <w:sz w:val="20"/>
      <w:szCs w:val="20"/>
      <w:lang w:val="en-GB" w:eastAsia="en-GB"/>
    </w:rPr>
  </w:style>
  <w:style w:type="paragraph" w:customStyle="1" w:styleId="136">
    <w:name w:val="INDENT2"/>
    <w:basedOn w:val="1"/>
    <w:qFormat/>
    <w:uiPriority w:val="0"/>
    <w:pPr>
      <w:overflowPunct w:val="0"/>
      <w:snapToGrid/>
      <w:spacing w:after="180"/>
      <w:ind w:left="1135" w:hanging="284"/>
      <w:textAlignment w:val="baseline"/>
    </w:pPr>
    <w:rPr>
      <w:rFonts w:eastAsia="Times New Roman"/>
      <w:sz w:val="20"/>
      <w:szCs w:val="20"/>
      <w:lang w:val="en-GB" w:eastAsia="en-GB"/>
    </w:rPr>
  </w:style>
  <w:style w:type="paragraph" w:customStyle="1" w:styleId="137">
    <w:name w:val="INDENT3"/>
    <w:basedOn w:val="1"/>
    <w:qFormat/>
    <w:uiPriority w:val="0"/>
    <w:pPr>
      <w:overflowPunct w:val="0"/>
      <w:snapToGrid/>
      <w:spacing w:after="180"/>
      <w:ind w:left="1701" w:hanging="567"/>
      <w:textAlignment w:val="baseline"/>
    </w:pPr>
    <w:rPr>
      <w:rFonts w:eastAsia="Times New Roman"/>
      <w:sz w:val="20"/>
      <w:szCs w:val="20"/>
      <w:lang w:val="en-GB" w:eastAsia="en-GB"/>
    </w:rPr>
  </w:style>
  <w:style w:type="paragraph" w:customStyle="1" w:styleId="138">
    <w:name w:val="Figure_Title"/>
    <w:basedOn w:val="1"/>
    <w:next w:val="1"/>
    <w:qFormat/>
    <w:uiPriority w:val="0"/>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139">
    <w:name w:val="Rec_CCITT_#"/>
    <w:basedOn w:val="1"/>
    <w:qFormat/>
    <w:uiPriority w:val="0"/>
    <w:pPr>
      <w:keepNext/>
      <w:keepLines/>
      <w:overflowPunct w:val="0"/>
      <w:snapToGrid/>
      <w:spacing w:after="180"/>
      <w:textAlignment w:val="baseline"/>
    </w:pPr>
    <w:rPr>
      <w:rFonts w:eastAsia="Times New Roman"/>
      <w:b/>
      <w:sz w:val="20"/>
      <w:szCs w:val="20"/>
      <w:lang w:val="en-GB" w:eastAsia="en-GB"/>
    </w:rPr>
  </w:style>
  <w:style w:type="paragraph" w:customStyle="1" w:styleId="140">
    <w:name w:val="enumlev2"/>
    <w:basedOn w:val="1"/>
    <w:qFormat/>
    <w:uiPriority w:val="0"/>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141">
    <w:name w:val="Couv Rec Title"/>
    <w:basedOn w:val="1"/>
    <w:qFormat/>
    <w:uiPriority w:val="0"/>
    <w:pPr>
      <w:keepNext/>
      <w:keepLines/>
      <w:overflowPunct w:val="0"/>
      <w:snapToGrid/>
      <w:spacing w:before="240" w:after="180"/>
      <w:ind w:left="1418"/>
      <w:textAlignment w:val="baseline"/>
    </w:pPr>
    <w:rPr>
      <w:rFonts w:ascii="Arial" w:hAnsi="Arial" w:eastAsia="Times New Roman"/>
      <w:b/>
      <w:sz w:val="36"/>
      <w:szCs w:val="20"/>
      <w:lang w:eastAsia="en-GB"/>
    </w:rPr>
  </w:style>
  <w:style w:type="paragraph" w:customStyle="1" w:styleId="142">
    <w:name w:val="TAJ"/>
    <w:basedOn w:val="120"/>
    <w:qFormat/>
    <w:uiPriority w:val="0"/>
  </w:style>
  <w:style w:type="character" w:customStyle="1" w:styleId="143">
    <w:name w:val="Body Text Char"/>
    <w:link w:val="31"/>
    <w:qFormat/>
    <w:uiPriority w:val="0"/>
    <w:rPr>
      <w:lang w:eastAsia="en-US"/>
    </w:rPr>
  </w:style>
  <w:style w:type="paragraph" w:customStyle="1" w:styleId="144">
    <w:name w:val="Guidance"/>
    <w:basedOn w:val="1"/>
    <w:qFormat/>
    <w:uiPriority w:val="0"/>
    <w:pPr>
      <w:overflowPunct w:val="0"/>
      <w:snapToGrid/>
      <w:spacing w:after="180"/>
      <w:textAlignment w:val="baseline"/>
    </w:pPr>
    <w:rPr>
      <w:rFonts w:eastAsia="Times New Roman"/>
      <w:i/>
      <w:color w:val="0000FF"/>
      <w:sz w:val="20"/>
      <w:szCs w:val="20"/>
      <w:lang w:val="en-GB" w:eastAsia="en-GB"/>
    </w:rPr>
  </w:style>
  <w:style w:type="character" w:customStyle="1" w:styleId="145">
    <w:name w:val="Body Text Indent 2 Char"/>
    <w:basedOn w:val="61"/>
    <w:link w:val="37"/>
    <w:qFormat/>
    <w:uiPriority w:val="0"/>
    <w:rPr>
      <w:rFonts w:eastAsia="Times New Roman"/>
      <w:kern w:val="2"/>
      <w:lang w:eastAsia="ja-JP"/>
    </w:rPr>
  </w:style>
  <w:style w:type="character" w:customStyle="1" w:styleId="146">
    <w:name w:val="Body Text Indent 3 Char"/>
    <w:basedOn w:val="61"/>
    <w:link w:val="46"/>
    <w:qFormat/>
    <w:uiPriority w:val="0"/>
    <w:rPr>
      <w:rFonts w:eastAsia="Times New Roman"/>
      <w:lang w:eastAsia="ja-JP"/>
    </w:rPr>
  </w:style>
  <w:style w:type="paragraph" w:customStyle="1" w:styleId="147">
    <w:name w:val="numbered list"/>
    <w:basedOn w:val="26"/>
    <w:qFormat/>
    <w:uiPriority w:val="0"/>
  </w:style>
  <w:style w:type="paragraph" w:customStyle="1" w:styleId="148">
    <w:name w:val="CR_front"/>
    <w:next w:val="1"/>
    <w:qFormat/>
    <w:uiPriority w:val="0"/>
    <w:pPr>
      <w:spacing w:after="160" w:line="259" w:lineRule="auto"/>
    </w:pPr>
    <w:rPr>
      <w:rFonts w:ascii="Arial" w:hAnsi="Arial" w:eastAsia="MS Mincho" w:cs="Times New Roman"/>
      <w:lang w:val="en-GB" w:eastAsia="en-US" w:bidi="ar-SA"/>
    </w:rPr>
  </w:style>
  <w:style w:type="paragraph" w:customStyle="1" w:styleId="149">
    <w:name w:val="TabList"/>
    <w:basedOn w:val="1"/>
    <w:qFormat/>
    <w:uiPriority w:val="0"/>
    <w:pPr>
      <w:tabs>
        <w:tab w:val="left" w:pos="1134"/>
      </w:tabs>
      <w:overflowPunct w:val="0"/>
      <w:snapToGrid/>
      <w:spacing w:after="0"/>
      <w:textAlignment w:val="baseline"/>
    </w:pPr>
    <w:rPr>
      <w:rFonts w:eastAsia="MS Mincho"/>
      <w:sz w:val="20"/>
      <w:szCs w:val="20"/>
      <w:lang w:val="en-GB" w:eastAsia="en-GB"/>
    </w:rPr>
  </w:style>
  <w:style w:type="paragraph" w:customStyle="1" w:styleId="150">
    <w:name w:val="table text"/>
    <w:basedOn w:val="1"/>
    <w:next w:val="151"/>
    <w:qFormat/>
    <w:uiPriority w:val="0"/>
    <w:pPr>
      <w:overflowPunct w:val="0"/>
      <w:snapToGrid/>
      <w:spacing w:after="0"/>
      <w:textAlignment w:val="baseline"/>
    </w:pPr>
    <w:rPr>
      <w:rFonts w:eastAsia="MS Mincho"/>
      <w:i/>
      <w:sz w:val="20"/>
      <w:szCs w:val="20"/>
      <w:lang w:val="en-GB" w:eastAsia="en-GB"/>
    </w:rPr>
  </w:style>
  <w:style w:type="paragraph" w:customStyle="1" w:styleId="151">
    <w:name w:val="table"/>
    <w:basedOn w:val="1"/>
    <w:next w:val="1"/>
    <w:qFormat/>
    <w:uiPriority w:val="0"/>
    <w:pPr>
      <w:overflowPunct w:val="0"/>
      <w:snapToGrid/>
      <w:spacing w:after="0"/>
      <w:jc w:val="center"/>
      <w:textAlignment w:val="baseline"/>
    </w:pPr>
    <w:rPr>
      <w:rFonts w:eastAsia="MS Mincho"/>
      <w:sz w:val="20"/>
      <w:szCs w:val="20"/>
      <w:lang w:eastAsia="en-GB"/>
    </w:rPr>
  </w:style>
  <w:style w:type="paragraph" w:customStyle="1" w:styleId="152">
    <w:name w:val="HE"/>
    <w:basedOn w:val="1"/>
    <w:qFormat/>
    <w:uiPriority w:val="0"/>
    <w:pPr>
      <w:overflowPunct w:val="0"/>
      <w:snapToGrid/>
      <w:spacing w:after="0"/>
      <w:textAlignment w:val="baseline"/>
    </w:pPr>
    <w:rPr>
      <w:rFonts w:eastAsia="MS Mincho"/>
      <w:b/>
      <w:sz w:val="20"/>
      <w:szCs w:val="20"/>
      <w:lang w:val="en-GB" w:eastAsia="en-GB"/>
    </w:rPr>
  </w:style>
  <w:style w:type="paragraph" w:customStyle="1" w:styleId="153">
    <w:name w:val="text"/>
    <w:basedOn w:val="1"/>
    <w:qFormat/>
    <w:uiPriority w:val="0"/>
    <w:pPr>
      <w:widowControl w:val="0"/>
      <w:overflowPunct w:val="0"/>
      <w:snapToGrid/>
      <w:spacing w:after="240"/>
      <w:textAlignment w:val="baseline"/>
    </w:pPr>
    <w:rPr>
      <w:rFonts w:eastAsia="Times New Roman"/>
      <w:sz w:val="24"/>
      <w:szCs w:val="20"/>
      <w:lang w:val="en-AU" w:eastAsia="en-GB"/>
    </w:rPr>
  </w:style>
  <w:style w:type="paragraph" w:customStyle="1" w:styleId="154">
    <w:name w:val="Überschrift 1.H1"/>
    <w:basedOn w:val="1"/>
    <w:next w:val="1"/>
    <w:qFormat/>
    <w:uiPriority w:val="0"/>
    <w:pPr>
      <w:keepNext/>
      <w:keepLines/>
      <w:numPr>
        <w:ilvl w:val="0"/>
        <w:numId w:val="7"/>
      </w:numPr>
      <w:pBdr>
        <w:top w:val="single" w:color="auto" w:sz="12" w:space="3"/>
      </w:pBdr>
      <w:overflowPunct w:val="0"/>
      <w:snapToGrid/>
      <w:spacing w:before="240" w:after="180"/>
      <w:textAlignment w:val="baseline"/>
      <w:outlineLvl w:val="0"/>
    </w:pPr>
    <w:rPr>
      <w:rFonts w:ascii="Arial" w:hAnsi="Arial" w:eastAsia="Times New Roman"/>
      <w:sz w:val="36"/>
      <w:szCs w:val="20"/>
      <w:lang w:val="en-GB" w:eastAsia="de-DE"/>
    </w:rPr>
  </w:style>
  <w:style w:type="paragraph" w:customStyle="1" w:styleId="155">
    <w:name w:val="text intend 1"/>
    <w:basedOn w:val="153"/>
    <w:qFormat/>
    <w:uiPriority w:val="0"/>
    <w:pPr>
      <w:widowControl/>
      <w:numPr>
        <w:ilvl w:val="0"/>
        <w:numId w:val="8"/>
      </w:numPr>
      <w:spacing w:after="120"/>
    </w:pPr>
    <w:rPr>
      <w:rFonts w:eastAsia="MS Mincho"/>
      <w:lang w:val="en-US"/>
    </w:rPr>
  </w:style>
  <w:style w:type="paragraph" w:customStyle="1" w:styleId="156">
    <w:name w:val="text intend 2"/>
    <w:basedOn w:val="153"/>
    <w:qFormat/>
    <w:uiPriority w:val="0"/>
    <w:pPr>
      <w:widowControl/>
      <w:numPr>
        <w:ilvl w:val="0"/>
        <w:numId w:val="9"/>
      </w:numPr>
      <w:spacing w:after="120"/>
    </w:pPr>
    <w:rPr>
      <w:rFonts w:eastAsia="MS Mincho"/>
      <w:lang w:val="en-US"/>
    </w:rPr>
  </w:style>
  <w:style w:type="paragraph" w:customStyle="1" w:styleId="157">
    <w:name w:val="text intend 3"/>
    <w:basedOn w:val="153"/>
    <w:qFormat/>
    <w:uiPriority w:val="0"/>
    <w:pPr>
      <w:widowControl/>
      <w:numPr>
        <w:ilvl w:val="0"/>
        <w:numId w:val="10"/>
      </w:numPr>
      <w:spacing w:after="120"/>
    </w:pPr>
    <w:rPr>
      <w:rFonts w:eastAsia="MS Mincho"/>
      <w:lang w:val="en-US"/>
    </w:rPr>
  </w:style>
  <w:style w:type="paragraph" w:customStyle="1" w:styleId="158">
    <w:name w:val="normal puce"/>
    <w:basedOn w:val="1"/>
    <w:qFormat/>
    <w:uiPriority w:val="0"/>
    <w:pPr>
      <w:widowControl w:val="0"/>
      <w:numPr>
        <w:ilvl w:val="0"/>
        <w:numId w:val="11"/>
      </w:numPr>
      <w:overflowPunct w:val="0"/>
      <w:snapToGrid/>
      <w:spacing w:before="60" w:after="60"/>
      <w:textAlignment w:val="baseline"/>
    </w:pPr>
    <w:rPr>
      <w:rFonts w:eastAsia="MS Mincho"/>
      <w:sz w:val="20"/>
      <w:szCs w:val="20"/>
      <w:lang w:val="en-GB" w:eastAsia="en-GB"/>
    </w:rPr>
  </w:style>
  <w:style w:type="paragraph" w:customStyle="1" w:styleId="159">
    <w:name w:val="Tdoc_Heading_1"/>
    <w:basedOn w:val="2"/>
    <w:next w:val="1"/>
    <w:qFormat/>
    <w:uiPriority w:val="0"/>
    <w:pPr>
      <w:numPr>
        <w:numId w:val="12"/>
      </w:numPr>
      <w:tabs>
        <w:tab w:val="left" w:pos="360"/>
        <w:tab w:val="clear" w:pos="432"/>
      </w:tabs>
      <w:spacing w:after="0"/>
    </w:pPr>
    <w:rPr>
      <w:bCs/>
      <w:kern w:val="28"/>
      <w:sz w:val="24"/>
      <w:szCs w:val="20"/>
      <w:lang w:eastAsia="en-GB"/>
    </w:rPr>
  </w:style>
  <w:style w:type="character" w:customStyle="1" w:styleId="160">
    <w:name w:val="Date Char"/>
    <w:basedOn w:val="61"/>
    <w:link w:val="36"/>
    <w:qFormat/>
    <w:uiPriority w:val="0"/>
    <w:rPr>
      <w:rFonts w:eastAsia="Times New Roman"/>
      <w:lang w:val="en-GB" w:eastAsia="en-GB"/>
    </w:rPr>
  </w:style>
  <w:style w:type="paragraph" w:customStyle="1" w:styleId="161">
    <w:name w:val="Meeting caption"/>
    <w:basedOn w:val="1"/>
    <w:qFormat/>
    <w:uiPriority w:val="0"/>
    <w:pPr>
      <w:framePr w:w="4120" w:hSpace="141" w:wrap="around" w:vAnchor="text" w:hAnchor="text" w:y="3"/>
      <w:pBdr>
        <w:top w:val="single" w:color="auto" w:sz="6" w:space="1"/>
        <w:left w:val="single" w:color="auto" w:sz="6" w:space="1"/>
        <w:bottom w:val="single" w:color="auto" w:sz="6" w:space="1"/>
        <w:right w:val="single" w:color="auto" w:sz="6" w:space="1"/>
      </w:pBdr>
      <w:overflowPunct w:val="0"/>
      <w:snapToGrid/>
      <w:textAlignment w:val="baseline"/>
    </w:pPr>
    <w:rPr>
      <w:rFonts w:eastAsia="Times New Roman"/>
      <w:snapToGrid w:val="0"/>
      <w:szCs w:val="20"/>
      <w:lang w:val="fr-FR" w:eastAsia="en-GB"/>
    </w:rPr>
  </w:style>
  <w:style w:type="paragraph" w:customStyle="1" w:styleId="162">
    <w:name w:val="para"/>
    <w:basedOn w:val="1"/>
    <w:qFormat/>
    <w:uiPriority w:val="0"/>
    <w:pPr>
      <w:overflowPunct w:val="0"/>
      <w:snapToGrid/>
      <w:spacing w:after="240"/>
      <w:textAlignment w:val="baseline"/>
    </w:pPr>
    <w:rPr>
      <w:rFonts w:ascii="Helvetica" w:hAnsi="Helvetica" w:eastAsia="Times New Roman"/>
      <w:sz w:val="20"/>
      <w:szCs w:val="20"/>
      <w:lang w:val="en-GB" w:eastAsia="en-GB"/>
    </w:rPr>
  </w:style>
  <w:style w:type="paragraph" w:customStyle="1" w:styleId="163">
    <w:name w:val="CR Cover Page"/>
    <w:qFormat/>
    <w:uiPriority w:val="0"/>
    <w:pPr>
      <w:spacing w:after="120" w:line="259" w:lineRule="auto"/>
    </w:pPr>
    <w:rPr>
      <w:rFonts w:ascii="Arial" w:hAnsi="Arial" w:eastAsia="MS Mincho" w:cs="Times New Roman"/>
      <w:lang w:val="en-GB" w:eastAsia="en-US" w:bidi="ar-SA"/>
    </w:rPr>
  </w:style>
  <w:style w:type="paragraph" w:customStyle="1" w:styleId="164">
    <w:name w:val="Cell"/>
    <w:basedOn w:val="1"/>
    <w:qFormat/>
    <w:uiPriority w:val="0"/>
    <w:pPr>
      <w:overflowPunct w:val="0"/>
      <w:snapToGrid/>
      <w:spacing w:after="0" w:line="240" w:lineRule="exact"/>
      <w:jc w:val="center"/>
      <w:textAlignment w:val="baseline"/>
    </w:pPr>
    <w:rPr>
      <w:rFonts w:eastAsia="Times New Roman"/>
      <w:sz w:val="16"/>
      <w:szCs w:val="20"/>
      <w:lang w:eastAsia="ja-JP"/>
    </w:rPr>
  </w:style>
  <w:style w:type="paragraph" w:customStyle="1" w:styleId="165">
    <w:name w:val="h6"/>
    <w:basedOn w:val="1"/>
    <w:qFormat/>
    <w:uiPriority w:val="0"/>
    <w:pPr>
      <w:overflowPunct w:val="0"/>
      <w:snapToGrid/>
      <w:spacing w:before="100" w:beforeAutospacing="1" w:after="100" w:afterAutospacing="1"/>
      <w:textAlignment w:val="baseline"/>
    </w:pPr>
    <w:rPr>
      <w:rFonts w:eastAsia="Times New Roman"/>
      <w:sz w:val="24"/>
      <w:szCs w:val="24"/>
      <w:lang w:eastAsia="ja-JP"/>
    </w:rPr>
  </w:style>
  <w:style w:type="paragraph" w:customStyle="1" w:styleId="166">
    <w:name w:val="b1"/>
    <w:basedOn w:val="1"/>
    <w:qFormat/>
    <w:uiPriority w:val="0"/>
    <w:pPr>
      <w:overflowPunct w:val="0"/>
      <w:snapToGrid/>
      <w:spacing w:before="100" w:beforeAutospacing="1" w:after="100" w:afterAutospacing="1"/>
      <w:textAlignment w:val="baseline"/>
    </w:pPr>
    <w:rPr>
      <w:rFonts w:eastAsia="Times New Roman"/>
      <w:sz w:val="24"/>
      <w:szCs w:val="24"/>
      <w:lang w:eastAsia="ja-JP"/>
    </w:rPr>
  </w:style>
  <w:style w:type="paragraph" w:customStyle="1" w:styleId="167">
    <w:name w:val="tah"/>
    <w:basedOn w:val="1"/>
    <w:qFormat/>
    <w:uiPriority w:val="0"/>
    <w:pPr>
      <w:keepNext/>
      <w:overflowPunct w:val="0"/>
      <w:adjustRightInd/>
      <w:snapToGrid/>
      <w:spacing w:after="0"/>
      <w:jc w:val="center"/>
    </w:pPr>
    <w:rPr>
      <w:rFonts w:ascii="Arial" w:hAnsi="Arial" w:eastAsia="Batang" w:cs="Arial"/>
      <w:b/>
      <w:bCs/>
      <w:sz w:val="18"/>
      <w:szCs w:val="18"/>
      <w:lang w:eastAsia="en-GB"/>
    </w:rPr>
  </w:style>
  <w:style w:type="character" w:customStyle="1" w:styleId="168">
    <w:name w:val="Guidance Char"/>
    <w:qFormat/>
    <w:uiPriority w:val="0"/>
    <w:rPr>
      <w:i/>
      <w:color w:val="0000FF"/>
      <w:lang w:val="en-GB" w:eastAsia="ja-JP" w:bidi="ar-SA"/>
    </w:rPr>
  </w:style>
  <w:style w:type="paragraph" w:customStyle="1" w:styleId="169">
    <w:name w:val="Char Char Char Char"/>
    <w:qFormat/>
    <w:uiPriority w:val="0"/>
    <w:pPr>
      <w:keepNext/>
      <w:tabs>
        <w:tab w:val="left" w:pos="-1134"/>
      </w:tabs>
      <w:autoSpaceDE w:val="0"/>
      <w:autoSpaceDN w:val="0"/>
      <w:adjustRightInd w:val="0"/>
      <w:spacing w:before="60" w:after="60" w:line="259" w:lineRule="auto"/>
      <w:jc w:val="both"/>
    </w:pPr>
    <w:rPr>
      <w:rFonts w:ascii="Times New Roman" w:hAnsi="Times New Roman" w:cs="Times New Roman" w:eastAsiaTheme="minorEastAsia"/>
      <w:lang w:val="en-GB" w:eastAsia="en-GB" w:bidi="ar-SA"/>
    </w:rPr>
  </w:style>
  <w:style w:type="paragraph" w:customStyle="1" w:styleId="170">
    <w:name w:val="Char Char Char Char Char Char Char Char Char Char 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cs="Arial" w:eastAsiaTheme="minorEastAsia"/>
      <w:color w:val="0000FF"/>
      <w:kern w:val="2"/>
      <w:lang w:val="en-US" w:eastAsia="zh-CN" w:bidi="ar-SA"/>
    </w:rPr>
  </w:style>
  <w:style w:type="character" w:customStyle="1" w:styleId="171">
    <w:name w:val="h4 Char Char"/>
    <w:qFormat/>
    <w:uiPriority w:val="0"/>
    <w:rPr>
      <w:rFonts w:ascii="Arial" w:hAnsi="Arial"/>
      <w:sz w:val="24"/>
      <w:lang w:val="en-GB" w:eastAsia="ja-JP" w:bidi="ar-SA"/>
    </w:rPr>
  </w:style>
  <w:style w:type="table" w:customStyle="1" w:styleId="172">
    <w:name w:val="Table Grid1"/>
    <w:basedOn w:val="54"/>
    <w:qFormat/>
    <w:uiPriority w:val="59"/>
    <w:pPr>
      <w:overflowPunct w:val="0"/>
      <w:autoSpaceDE w:val="0"/>
      <w:autoSpaceDN w:val="0"/>
      <w:adjustRightInd w:val="0"/>
      <w:spacing w:after="180"/>
      <w:textAlignment w:val="baseline"/>
    </w:pPr>
    <w:rPr>
      <w:rFonts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73">
    <w:name w:val="Normal + After:  3 pt"/>
    <w:basedOn w:val="1"/>
    <w:qFormat/>
    <w:uiPriority w:val="0"/>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174">
    <w:name w:val="B1 Zchn"/>
    <w:qFormat/>
    <w:uiPriority w:val="0"/>
    <w:rPr>
      <w:rFonts w:ascii="Times New Roman" w:hAnsi="Times New Roman" w:eastAsia="Times New Roman" w:cs="Times New Roman"/>
      <w:sz w:val="20"/>
      <w:szCs w:val="20"/>
      <w:lang w:val="en-GB" w:eastAsia="ko-KR"/>
    </w:rPr>
  </w:style>
  <w:style w:type="character" w:customStyle="1" w:styleId="175">
    <w:name w:val="Figure Caption1"/>
    <w:qFormat/>
    <w:uiPriority w:val="0"/>
    <w:rPr>
      <w:rFonts w:ascii="Arial" w:hAnsi="Arial" w:eastAsia="????" w:cs="Arial"/>
      <w:color w:val="0000FF"/>
      <w:kern w:val="2"/>
      <w:lang w:val="en-US" w:eastAsia="en-US" w:bidi="ar-SA"/>
    </w:rPr>
  </w:style>
  <w:style w:type="character" w:customStyle="1" w:styleId="176">
    <w:name w:val="Heading 3 Char"/>
    <w:link w:val="4"/>
    <w:qFormat/>
    <w:uiPriority w:val="0"/>
    <w:rPr>
      <w:b/>
      <w:sz w:val="28"/>
      <w:szCs w:val="22"/>
      <w:lang w:val="en-GB" w:eastAsia="zh-CN"/>
    </w:rPr>
  </w:style>
  <w:style w:type="character" w:customStyle="1" w:styleId="177">
    <w:name w:val="Char Char5"/>
    <w:semiHidden/>
    <w:qFormat/>
    <w:uiPriority w:val="0"/>
    <w:rPr>
      <w:rFonts w:ascii="Times New Roman" w:hAnsi="Times New Roman"/>
      <w:lang w:eastAsia="en-US"/>
    </w:rPr>
  </w:style>
  <w:style w:type="character" w:customStyle="1" w:styleId="178">
    <w:name w:val="H1 Char1"/>
    <w:qFormat/>
    <w:uiPriority w:val="0"/>
    <w:rPr>
      <w:rFonts w:ascii="Arial" w:hAnsi="Arial" w:eastAsia="Times New Roman"/>
      <w:sz w:val="36"/>
    </w:rPr>
  </w:style>
  <w:style w:type="character" w:customStyle="1" w:styleId="179">
    <w:name w:val="Heading 2 Char"/>
    <w:link w:val="3"/>
    <w:qFormat/>
    <w:uiPriority w:val="0"/>
    <w:rPr>
      <w:rFonts w:ascii="Arial" w:hAnsi="Arial"/>
      <w:b/>
      <w:bCs/>
      <w:sz w:val="32"/>
      <w:szCs w:val="22"/>
      <w:lang w:val="en-GB" w:eastAsia="zh-CN"/>
    </w:rPr>
  </w:style>
  <w:style w:type="character" w:customStyle="1" w:styleId="180">
    <w:name w:val="Heading 4 Char"/>
    <w:link w:val="5"/>
    <w:qFormat/>
    <w:uiPriority w:val="0"/>
    <w:rPr>
      <w:rFonts w:eastAsiaTheme="minorEastAsia"/>
      <w:b/>
      <w:bCs/>
      <w:sz w:val="22"/>
      <w:szCs w:val="22"/>
    </w:rPr>
  </w:style>
  <w:style w:type="character" w:customStyle="1" w:styleId="181">
    <w:name w:val="Heading 5 Char"/>
    <w:link w:val="6"/>
    <w:qFormat/>
    <w:uiPriority w:val="0"/>
    <w:rPr>
      <w:b/>
      <w:bCs/>
      <w:i/>
      <w:iCs/>
      <w:sz w:val="26"/>
      <w:szCs w:val="26"/>
    </w:rPr>
  </w:style>
  <w:style w:type="character" w:customStyle="1" w:styleId="182">
    <w:name w:val="Heading 6 Char"/>
    <w:link w:val="7"/>
    <w:qFormat/>
    <w:uiPriority w:val="0"/>
    <w:rPr>
      <w:b/>
      <w:bCs/>
      <w:sz w:val="22"/>
      <w:szCs w:val="22"/>
    </w:rPr>
  </w:style>
  <w:style w:type="character" w:customStyle="1" w:styleId="183">
    <w:name w:val="Heading 7 Char"/>
    <w:link w:val="8"/>
    <w:qFormat/>
    <w:uiPriority w:val="0"/>
    <w:rPr>
      <w:sz w:val="24"/>
      <w:szCs w:val="24"/>
    </w:rPr>
  </w:style>
  <w:style w:type="character" w:customStyle="1" w:styleId="184">
    <w:name w:val="Heading 8 Char"/>
    <w:link w:val="9"/>
    <w:qFormat/>
    <w:uiPriority w:val="0"/>
    <w:rPr>
      <w:i/>
      <w:iCs/>
      <w:sz w:val="24"/>
      <w:szCs w:val="24"/>
    </w:rPr>
  </w:style>
  <w:style w:type="character" w:customStyle="1" w:styleId="185">
    <w:name w:val="Heading 9 Char"/>
    <w:link w:val="10"/>
    <w:qFormat/>
    <w:uiPriority w:val="0"/>
    <w:rPr>
      <w:rFonts w:ascii="Arial" w:hAnsi="Arial"/>
      <w:sz w:val="22"/>
      <w:szCs w:val="22"/>
    </w:rPr>
  </w:style>
  <w:style w:type="character" w:customStyle="1" w:styleId="186">
    <w:name w:val="List Char"/>
    <w:link w:val="22"/>
    <w:qFormat/>
    <w:uiPriority w:val="0"/>
    <w:rPr>
      <w:sz w:val="22"/>
      <w:szCs w:val="22"/>
      <w:lang w:eastAsia="en-US"/>
    </w:rPr>
  </w:style>
  <w:style w:type="character" w:customStyle="1" w:styleId="187">
    <w:name w:val="Footnote Text Char"/>
    <w:link w:val="43"/>
    <w:qFormat/>
    <w:uiPriority w:val="99"/>
    <w:rPr>
      <w:lang w:eastAsia="en-US"/>
    </w:rPr>
  </w:style>
  <w:style w:type="character" w:customStyle="1" w:styleId="188">
    <w:name w:val="PL Char"/>
    <w:link w:val="112"/>
    <w:qFormat/>
    <w:locked/>
    <w:uiPriority w:val="0"/>
    <w:rPr>
      <w:rFonts w:ascii="Courier New" w:hAnsi="Courier New" w:eastAsia="Times New Roman"/>
      <w:sz w:val="16"/>
      <w:lang w:val="en-GB" w:eastAsia="en-GB" w:bidi="ar-SA"/>
    </w:rPr>
  </w:style>
  <w:style w:type="character" w:customStyle="1" w:styleId="189">
    <w:name w:val="List 2 Char"/>
    <w:link w:val="12"/>
    <w:qFormat/>
    <w:uiPriority w:val="0"/>
    <w:rPr>
      <w:sz w:val="22"/>
      <w:szCs w:val="22"/>
      <w:lang w:eastAsia="en-US"/>
    </w:rPr>
  </w:style>
  <w:style w:type="character" w:customStyle="1" w:styleId="190">
    <w:name w:val="List 3 Char"/>
    <w:link w:val="11"/>
    <w:qFormat/>
    <w:uiPriority w:val="0"/>
    <w:rPr>
      <w:rFonts w:eastAsia="Times New Roman"/>
      <w:lang w:val="en-GB" w:eastAsia="en-GB"/>
    </w:rPr>
  </w:style>
  <w:style w:type="character" w:customStyle="1" w:styleId="191">
    <w:name w:val="B3 Char"/>
    <w:link w:val="130"/>
    <w:qFormat/>
    <w:uiPriority w:val="0"/>
    <w:rPr>
      <w:rFonts w:eastAsia="Times New Roman"/>
      <w:lang w:val="en-GB" w:eastAsia="en-GB"/>
    </w:rPr>
  </w:style>
  <w:style w:type="paragraph" w:customStyle="1" w:styleId="192">
    <w:name w:val="tdoc-header"/>
    <w:qFormat/>
    <w:uiPriority w:val="0"/>
    <w:pPr>
      <w:spacing w:after="160" w:line="259" w:lineRule="auto"/>
    </w:pPr>
    <w:rPr>
      <w:rFonts w:ascii="Arial" w:hAnsi="Arial" w:eastAsia="Times New Roman" w:cs="Times New Roman"/>
      <w:sz w:val="24"/>
      <w:lang w:val="en-GB" w:eastAsia="en-US" w:bidi="ar-SA"/>
    </w:rPr>
  </w:style>
  <w:style w:type="paragraph" w:customStyle="1" w:styleId="193">
    <w:name w:val="Char Char3 Char Char Char Char Char Char"/>
    <w:semiHidden/>
    <w:qFormat/>
    <w:uiPriority w:val="0"/>
    <w:pPr>
      <w:keepNext/>
      <w:autoSpaceDE w:val="0"/>
      <w:autoSpaceDN w:val="0"/>
      <w:adjustRightInd w:val="0"/>
      <w:spacing w:before="60" w:after="60" w:line="259" w:lineRule="auto"/>
      <w:ind w:left="567" w:hanging="283"/>
      <w:jc w:val="both"/>
    </w:pPr>
    <w:rPr>
      <w:rFonts w:ascii="Arial" w:hAnsi="Arial" w:cs="Arial" w:eastAsiaTheme="minorEastAsia"/>
      <w:color w:val="0000FF"/>
      <w:kern w:val="2"/>
      <w:lang w:val="en-US" w:eastAsia="zh-CN" w:bidi="ar-SA"/>
    </w:rPr>
  </w:style>
  <w:style w:type="paragraph" w:customStyle="1" w:styleId="194">
    <w:name w:val="Char Char1 Char Char"/>
    <w:qFormat/>
    <w:uiPriority w:val="0"/>
    <w:pPr>
      <w:keepNext/>
      <w:tabs>
        <w:tab w:val="left" w:pos="-1134"/>
      </w:tabs>
      <w:autoSpaceDE w:val="0"/>
      <w:autoSpaceDN w:val="0"/>
      <w:adjustRightInd w:val="0"/>
      <w:spacing w:before="60" w:after="60" w:line="259" w:lineRule="auto"/>
      <w:jc w:val="both"/>
    </w:pPr>
    <w:rPr>
      <w:rFonts w:ascii="Times New Roman" w:hAnsi="Times New Roman" w:cs="Times New Roman" w:eastAsiaTheme="minorEastAsia"/>
      <w:lang w:val="en-GB" w:eastAsia="en-GB" w:bidi="ar-SA"/>
    </w:rPr>
  </w:style>
  <w:style w:type="character" w:customStyle="1" w:styleId="195">
    <w:name w:val="Body Text 2 Char"/>
    <w:link w:val="48"/>
    <w:qFormat/>
    <w:uiPriority w:val="0"/>
    <w:rPr>
      <w:sz w:val="22"/>
      <w:lang w:eastAsia="en-US"/>
    </w:rPr>
  </w:style>
  <w:style w:type="character" w:customStyle="1" w:styleId="196">
    <w:name w:val="List Paragraph Char"/>
    <w:link w:val="82"/>
    <w:qFormat/>
    <w:locked/>
    <w:uiPriority w:val="34"/>
    <w:rPr>
      <w:rFonts w:ascii="Calibri" w:hAnsi="Calibri" w:cs="Calibri"/>
      <w:sz w:val="22"/>
      <w:szCs w:val="22"/>
    </w:rPr>
  </w:style>
  <w:style w:type="paragraph" w:customStyle="1" w:styleId="197">
    <w:name w:val="Doc-text2"/>
    <w:basedOn w:val="1"/>
    <w:link w:val="198"/>
    <w:qFormat/>
    <w:uiPriority w:val="0"/>
    <w:pPr>
      <w:tabs>
        <w:tab w:val="left" w:pos="1622"/>
      </w:tabs>
      <w:autoSpaceDE/>
      <w:autoSpaceDN/>
      <w:adjustRightInd/>
      <w:snapToGrid/>
      <w:spacing w:after="0"/>
      <w:ind w:left="1622" w:hanging="363"/>
    </w:pPr>
    <w:rPr>
      <w:rFonts w:ascii="Arial" w:hAnsi="Arial" w:eastAsia="MS Mincho"/>
      <w:sz w:val="20"/>
      <w:szCs w:val="24"/>
      <w:lang w:val="en-GB" w:eastAsia="en-GB"/>
    </w:rPr>
  </w:style>
  <w:style w:type="character" w:customStyle="1" w:styleId="198">
    <w:name w:val="Doc-text2 Char"/>
    <w:link w:val="197"/>
    <w:qFormat/>
    <w:uiPriority w:val="0"/>
    <w:rPr>
      <w:rFonts w:ascii="Arial" w:hAnsi="Arial" w:eastAsia="MS Mincho"/>
      <w:szCs w:val="24"/>
      <w:lang w:val="en-GB" w:eastAsia="en-GB"/>
    </w:rPr>
  </w:style>
  <w:style w:type="character" w:customStyle="1" w:styleId="199">
    <w:name w:val="B1 Char"/>
    <w:basedOn w:val="61"/>
    <w:qFormat/>
    <w:uiPriority w:val="0"/>
    <w:rPr>
      <w:rFonts w:ascii="Times New Roman" w:hAnsi="Times New Roman" w:eastAsia="Times New Roman" w:cs="Times New Roman"/>
      <w:sz w:val="20"/>
      <w:szCs w:val="20"/>
      <w:lang w:val="en-GB" w:eastAsia="ko-KR"/>
    </w:rPr>
  </w:style>
  <w:style w:type="paragraph" w:customStyle="1" w:styleId="200">
    <w:name w:val="bullet"/>
    <w:basedOn w:val="82"/>
    <w:link w:val="201"/>
    <w:qFormat/>
    <w:uiPriority w:val="0"/>
    <w:pPr>
      <w:widowControl w:val="0"/>
      <w:numPr>
        <w:ilvl w:val="0"/>
        <w:numId w:val="13"/>
      </w:numPr>
      <w:snapToGrid/>
      <w:spacing w:after="60"/>
      <w:contextualSpacing/>
      <w:jc w:val="both"/>
    </w:pPr>
    <w:rPr>
      <w:rFonts w:ascii="Times New Roman" w:hAnsi="Times New Roman" w:eastAsia="Times New Roman"/>
      <w:kern w:val="2"/>
      <w:sz w:val="20"/>
      <w:szCs w:val="24"/>
      <w:lang w:val="en-GB"/>
    </w:rPr>
  </w:style>
  <w:style w:type="character" w:customStyle="1" w:styleId="201">
    <w:name w:val="bullet Char"/>
    <w:link w:val="200"/>
    <w:qFormat/>
    <w:uiPriority w:val="0"/>
    <w:rPr>
      <w:rFonts w:eastAsia="Times New Roman"/>
      <w:kern w:val="2"/>
      <w:szCs w:val="24"/>
      <w:lang w:val="en-GB"/>
    </w:rPr>
  </w:style>
  <w:style w:type="paragraph" w:customStyle="1" w:styleId="202">
    <w:name w:val="main text"/>
    <w:basedOn w:val="1"/>
    <w:link w:val="203"/>
    <w:qFormat/>
    <w:uiPriority w:val="0"/>
    <w:pPr>
      <w:autoSpaceDE/>
      <w:autoSpaceDN/>
      <w:adjustRightInd/>
      <w:snapToGrid/>
      <w:spacing w:before="60" w:after="60" w:line="288" w:lineRule="auto"/>
      <w:ind w:firstLine="200" w:firstLineChars="200"/>
      <w:jc w:val="both"/>
    </w:pPr>
    <w:rPr>
      <w:rFonts w:eastAsia="Malgun Gothic" w:cs="Batang"/>
      <w:sz w:val="20"/>
      <w:szCs w:val="20"/>
      <w:lang w:val="en-GB" w:eastAsia="ko-KR"/>
    </w:rPr>
  </w:style>
  <w:style w:type="character" w:customStyle="1" w:styleId="203">
    <w:name w:val="main text Char"/>
    <w:link w:val="202"/>
    <w:qFormat/>
    <w:uiPriority w:val="0"/>
    <w:rPr>
      <w:rFonts w:eastAsia="Malgun Gothic" w:cs="Batang"/>
      <w:lang w:val="en-GB" w:eastAsia="ko-KR"/>
    </w:rPr>
  </w:style>
  <w:style w:type="paragraph" w:customStyle="1" w:styleId="204">
    <w:name w:val="proposal"/>
    <w:basedOn w:val="1"/>
    <w:link w:val="205"/>
    <w:qFormat/>
    <w:uiPriority w:val="0"/>
    <w:pPr>
      <w:overflowPunct w:val="0"/>
      <w:autoSpaceDE/>
      <w:autoSpaceDN/>
      <w:spacing w:after="60"/>
      <w:jc w:val="both"/>
      <w:textAlignment w:val="baseline"/>
    </w:pPr>
    <w:rPr>
      <w:rFonts w:eastAsia="Batang"/>
      <w:b/>
      <w:sz w:val="20"/>
      <w:szCs w:val="20"/>
      <w:lang w:eastAsia="ko-KR"/>
    </w:rPr>
  </w:style>
  <w:style w:type="character" w:customStyle="1" w:styleId="205">
    <w:name w:val="proposal Char"/>
    <w:basedOn w:val="61"/>
    <w:link w:val="204"/>
    <w:qFormat/>
    <w:uiPriority w:val="0"/>
    <w:rPr>
      <w:rFonts w:eastAsia="Batang"/>
      <w:b/>
      <w:lang w:eastAsia="ko-KR"/>
    </w:rPr>
  </w:style>
  <w:style w:type="paragraph" w:customStyle="1" w:styleId="206">
    <w:name w:val="Eqn"/>
    <w:basedOn w:val="1"/>
    <w:qFormat/>
    <w:uiPriority w:val="0"/>
    <w:pPr>
      <w:tabs>
        <w:tab w:val="center" w:pos="4608"/>
        <w:tab w:val="right" w:pos="9216"/>
      </w:tabs>
      <w:jc w:val="both"/>
    </w:pPr>
    <w:rPr>
      <w:rFonts w:eastAsia="宋体"/>
      <w:lang w:eastAsia="ja-JP"/>
    </w:rPr>
  </w:style>
  <w:style w:type="character" w:customStyle="1" w:styleId="207">
    <w:name w:val="TAC Char"/>
    <w:link w:val="114"/>
    <w:qFormat/>
    <w:locked/>
    <w:uiPriority w:val="0"/>
    <w:rPr>
      <w:rFonts w:ascii="Arial" w:hAnsi="Arial" w:eastAsia="Times New Roman"/>
      <w:sz w:val="18"/>
      <w:lang w:val="en-GB" w:eastAsia="en-GB"/>
    </w:rPr>
  </w:style>
  <w:style w:type="character" w:customStyle="1" w:styleId="208">
    <w:name w:val="TAH Car"/>
    <w:link w:val="90"/>
    <w:qFormat/>
    <w:uiPriority w:val="0"/>
    <w:rPr>
      <w:rFonts w:ascii="Arial" w:hAnsi="Arial" w:eastAsia="Times New Roman"/>
      <w:b/>
      <w:sz w:val="18"/>
      <w:lang w:val="en-GB" w:eastAsia="en-GB"/>
    </w:rPr>
  </w:style>
  <w:style w:type="table" w:customStyle="1" w:styleId="209">
    <w:name w:val="Table Grid2"/>
    <w:basedOn w:val="54"/>
    <w:qFormat/>
    <w:uiPriority w:val="0"/>
    <w:pPr>
      <w:widowControl w:val="0"/>
      <w:autoSpaceDE w:val="0"/>
      <w:autoSpaceDN w:val="0"/>
      <w:adjustRightInd w:val="0"/>
      <w:spacing w:after="12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paragraph" w:customStyle="1" w:styleId="210">
    <w:name w:val="3GPP_Header"/>
    <w:basedOn w:val="31"/>
    <w:qFormat/>
    <w:uiPriority w:val="0"/>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211">
    <w:name w:val="B2 Char"/>
    <w:link w:val="105"/>
    <w:qFormat/>
    <w:uiPriority w:val="0"/>
    <w:rPr>
      <w:rFonts w:eastAsia="Times New Roman"/>
      <w:lang w:val="en-GB" w:eastAsia="en-GB"/>
    </w:rPr>
  </w:style>
  <w:style w:type="paragraph" w:customStyle="1" w:styleId="212">
    <w:name w:val="Proposal"/>
    <w:basedOn w:val="1"/>
    <w:link w:val="214"/>
    <w:qFormat/>
    <w:uiPriority w:val="0"/>
    <w:pPr>
      <w:numPr>
        <w:ilvl w:val="0"/>
        <w:numId w:val="14"/>
      </w:numPr>
      <w:tabs>
        <w:tab w:val="left" w:pos="1701"/>
        <w:tab w:val="left" w:pos="2722"/>
      </w:tabs>
      <w:autoSpaceDE/>
      <w:autoSpaceDN/>
      <w:adjustRightInd/>
      <w:snapToGrid/>
      <w:spacing w:after="160"/>
    </w:pPr>
    <w:rPr>
      <w:rFonts w:asciiTheme="minorHAnsi" w:hAnsiTheme="minorHAnsi" w:eastAsiaTheme="minorHAnsi" w:cstheme="minorBidi"/>
      <w:b/>
      <w:bCs/>
    </w:rPr>
  </w:style>
  <w:style w:type="character" w:customStyle="1" w:styleId="213">
    <w:name w:val="B3 Char2"/>
    <w:qFormat/>
    <w:uiPriority w:val="0"/>
    <w:rPr>
      <w:rFonts w:eastAsia="宋体"/>
      <w:lang w:val="en-GB"/>
    </w:rPr>
  </w:style>
  <w:style w:type="character" w:customStyle="1" w:styleId="214">
    <w:name w:val="Proposal (文字)"/>
    <w:link w:val="212"/>
    <w:qFormat/>
    <w:uiPriority w:val="0"/>
    <w:rPr>
      <w:rFonts w:asciiTheme="minorHAnsi" w:hAnsiTheme="minorHAnsi" w:eastAsiaTheme="minorHAnsi" w:cstheme="minorBidi"/>
      <w:b/>
      <w:bCs/>
      <w:sz w:val="22"/>
      <w:szCs w:val="22"/>
    </w:rPr>
  </w:style>
  <w:style w:type="paragraph" w:customStyle="1" w:styleId="215">
    <w:name w:val="paragraph"/>
    <w:basedOn w:val="1"/>
    <w:qFormat/>
    <w:uiPriority w:val="0"/>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216">
    <w:name w:val="normaltextrun"/>
    <w:basedOn w:val="61"/>
    <w:qFormat/>
    <w:uiPriority w:val="0"/>
  </w:style>
  <w:style w:type="character" w:customStyle="1" w:styleId="217">
    <w:name w:val="eop"/>
    <w:basedOn w:val="61"/>
    <w:qFormat/>
    <w:uiPriority w:val="0"/>
  </w:style>
  <w:style w:type="paragraph" w:customStyle="1" w:styleId="218">
    <w:name w:val="N1"/>
    <w:basedOn w:val="1"/>
    <w:link w:val="219"/>
    <w:qFormat/>
    <w:uiPriority w:val="0"/>
    <w:pPr>
      <w:autoSpaceDE/>
      <w:autoSpaceDN/>
      <w:adjustRightInd/>
      <w:snapToGrid/>
      <w:spacing w:after="0"/>
      <w:ind w:left="634"/>
    </w:pPr>
    <w:rPr>
      <w:rFonts w:asciiTheme="minorHAnsi" w:hAnsiTheme="minorHAnsi" w:cstheme="minorHAnsi"/>
      <w:lang w:eastAsia="ko-KR" w:bidi="hi-IN"/>
    </w:rPr>
  </w:style>
  <w:style w:type="character" w:customStyle="1" w:styleId="219">
    <w:name w:val="N1 Char"/>
    <w:basedOn w:val="61"/>
    <w:link w:val="218"/>
    <w:qFormat/>
    <w:uiPriority w:val="0"/>
    <w:rPr>
      <w:rFonts w:asciiTheme="minorHAnsi" w:hAnsiTheme="minorHAnsi" w:cstheme="minorHAnsi"/>
      <w:sz w:val="22"/>
      <w:szCs w:val="22"/>
      <w:lang w:eastAsia="ko-KR" w:bidi="hi-IN"/>
    </w:rPr>
  </w:style>
  <w:style w:type="paragraph" w:customStyle="1" w:styleId="220">
    <w:name w:val="b110"/>
    <w:basedOn w:val="1"/>
    <w:qFormat/>
    <w:uiPriority w:val="0"/>
    <w:pPr>
      <w:autoSpaceDE/>
      <w:autoSpaceDN/>
      <w:adjustRightInd/>
      <w:snapToGrid/>
      <w:spacing w:before="75" w:after="75"/>
    </w:pPr>
    <w:rPr>
      <w:rFonts w:eastAsia="Times New Roman"/>
      <w:sz w:val="24"/>
      <w:szCs w:val="24"/>
      <w:lang w:eastAsia="zh-CN"/>
    </w:rPr>
  </w:style>
  <w:style w:type="character" w:customStyle="1" w:styleId="221">
    <w:name w:val="Mention1"/>
    <w:basedOn w:val="61"/>
    <w:unhideWhenUsed/>
    <w:qFormat/>
    <w:uiPriority w:val="99"/>
    <w:rPr>
      <w:color w:val="2B579A"/>
      <w:shd w:val="clear" w:color="auto" w:fill="E1DFDD"/>
    </w:rPr>
  </w:style>
  <w:style w:type="character" w:customStyle="1" w:styleId="222">
    <w:name w:val="Unresolved Mention1"/>
    <w:basedOn w:val="61"/>
    <w:unhideWhenUsed/>
    <w:qFormat/>
    <w:uiPriority w:val="99"/>
    <w:rPr>
      <w:color w:val="605E5C"/>
      <w:shd w:val="clear" w:color="auto" w:fill="E1DFDD"/>
    </w:rPr>
  </w:style>
  <w:style w:type="character" w:customStyle="1" w:styleId="223">
    <w:name w:val="Mention2"/>
    <w:basedOn w:val="61"/>
    <w:unhideWhenUsed/>
    <w:qFormat/>
    <w:uiPriority w:val="99"/>
    <w:rPr>
      <w:color w:val="2B579A"/>
      <w:shd w:val="clear" w:color="auto" w:fill="E1DFDD"/>
    </w:rPr>
  </w:style>
  <w:style w:type="paragraph" w:customStyle="1" w:styleId="224">
    <w:name w:val="x_msonormal"/>
    <w:basedOn w:val="1"/>
    <w:qFormat/>
    <w:uiPriority w:val="0"/>
    <w:pPr>
      <w:autoSpaceDE/>
      <w:autoSpaceDN/>
      <w:adjustRightInd/>
      <w:snapToGrid/>
      <w:spacing w:after="0" w:line="240" w:lineRule="auto"/>
    </w:pPr>
    <w:rPr>
      <w:rFonts w:ascii="宋体" w:hAnsi="宋体" w:eastAsia="宋体" w:cs="Calibri"/>
      <w:sz w:val="24"/>
      <w:szCs w:val="24"/>
      <w:lang w:val="de-DE" w:eastAsia="de-DE"/>
    </w:rPr>
  </w:style>
  <w:style w:type="character" w:customStyle="1" w:styleId="225">
    <w:name w:val="B1 (文字)"/>
    <w:qFormat/>
    <w:locked/>
    <w:uiPriority w:val="0"/>
    <w:rPr>
      <w:lang w:val="en-GB" w:eastAsia="en-US"/>
    </w:rPr>
  </w:style>
  <w:style w:type="character" w:customStyle="1" w:styleId="226">
    <w:name w:val="Caption Char1"/>
    <w:qFormat/>
    <w:uiPriority w:val="35"/>
    <w:rPr>
      <w:rFonts w:ascii="Times New Roman" w:hAnsi="Times New Roman"/>
      <w:b/>
    </w:rPr>
  </w:style>
  <w:style w:type="paragraph" w:customStyle="1" w:styleId="227">
    <w:name w:val="Observation"/>
    <w:basedOn w:val="212"/>
    <w:qFormat/>
    <w:uiPriority w:val="0"/>
    <w:pPr>
      <w:numPr>
        <w:ilvl w:val="0"/>
        <w:numId w:val="15"/>
      </w:numPr>
      <w:tabs>
        <w:tab w:val="clear" w:pos="2722"/>
      </w:tabs>
      <w:spacing w:after="120"/>
      <w:ind w:left="1701" w:hanging="1701"/>
      <w:jc w:val="both"/>
    </w:pPr>
    <w:rPr>
      <w:rFonts w:ascii="Arial" w:hAnsi="Arial"/>
      <w:sz w:val="20"/>
      <w:lang w:eastAsia="ja-JP"/>
    </w:rPr>
  </w:style>
  <w:style w:type="paragraph" w:customStyle="1" w:styleId="228">
    <w:name w:val="佐藤２"/>
    <w:basedOn w:val="1"/>
    <w:qFormat/>
    <w:uiPriority w:val="0"/>
    <w:pPr>
      <w:numPr>
        <w:ilvl w:val="0"/>
        <w:numId w:val="16"/>
      </w:numPr>
      <w:autoSpaceDE/>
      <w:autoSpaceDN/>
      <w:adjustRightInd/>
      <w:snapToGrid/>
      <w:spacing w:after="180" w:line="240" w:lineRule="auto"/>
    </w:pPr>
    <w:rPr>
      <w:rFonts w:eastAsia="MS Gothic"/>
      <w:sz w:val="24"/>
      <w:szCs w:val="20"/>
      <w:lang w:val="en-GB" w:eastAsia="ja-JP"/>
    </w:rPr>
  </w:style>
  <w:style w:type="character" w:customStyle="1" w:styleId="229">
    <w:name w:val="TAL Char"/>
    <w:qFormat/>
    <w:uiPriority w:val="0"/>
    <w:rPr>
      <w:rFonts w:ascii="Arial" w:hAnsi="Arial" w:eastAsia="Times New Roman"/>
      <w:sz w:val="18"/>
      <w:lang w:val="en-GB" w:eastAsia="en-US"/>
    </w:rPr>
  </w:style>
  <w:style w:type="paragraph" w:customStyle="1" w:styleId="230">
    <w:name w:val="Style1"/>
    <w:basedOn w:val="1"/>
    <w:link w:val="231"/>
    <w:qFormat/>
    <w:uiPriority w:val="0"/>
    <w:pPr>
      <w:autoSpaceDE/>
      <w:autoSpaceDN/>
      <w:adjustRightInd/>
      <w:snapToGrid/>
      <w:spacing w:after="100" w:afterAutospacing="1" w:line="300" w:lineRule="auto"/>
      <w:ind w:firstLine="360"/>
      <w:contextualSpacing/>
      <w:jc w:val="both"/>
    </w:pPr>
    <w:rPr>
      <w:rFonts w:eastAsia="宋体"/>
      <w:sz w:val="20"/>
      <w:szCs w:val="20"/>
      <w:lang w:eastAsia="zh-CN"/>
    </w:rPr>
  </w:style>
  <w:style w:type="character" w:customStyle="1" w:styleId="231">
    <w:name w:val="Style1 Char"/>
    <w:link w:val="230"/>
    <w:qFormat/>
    <w:uiPriority w:val="0"/>
    <w:rPr>
      <w:rFonts w:eastAsia="宋体"/>
      <w:lang w:val="en-US" w:eastAsia="zh-CN"/>
    </w:rPr>
  </w:style>
  <w:style w:type="paragraph" w:customStyle="1" w:styleId="232">
    <w:name w:val="Style List Paragraph- Bullets목록 단락リスト段落Lista1?? ???????????...1"/>
    <w:basedOn w:val="82"/>
    <w:qFormat/>
    <w:uiPriority w:val="0"/>
    <w:pPr>
      <w:snapToGrid/>
      <w:jc w:val="both"/>
    </w:pPr>
    <w:rPr>
      <w:rFonts w:ascii="Arial" w:hAnsi="Arial" w:eastAsia="Times New Roman"/>
      <w:sz w:val="20"/>
      <w:szCs w:val="20"/>
      <w:lang w:val="zh-CN"/>
    </w:rPr>
  </w:style>
  <w:style w:type="character" w:customStyle="1" w:styleId="233">
    <w:name w:val="TF Char"/>
    <w:link w:val="128"/>
    <w:qFormat/>
    <w:uiPriority w:val="0"/>
    <w:rPr>
      <w:rFonts w:ascii="Arial" w:hAnsi="Arial" w:eastAsia="Times New Roman"/>
      <w:b/>
      <w:lang w:val="en-GB" w:eastAsia="en-GB"/>
    </w:rPr>
  </w:style>
  <w:style w:type="character" w:customStyle="1" w:styleId="234">
    <w:name w:val="MTEquationSection"/>
    <w:qFormat/>
    <w:uiPriority w:val="0"/>
    <w:rPr>
      <w:rFonts w:ascii="Arial" w:hAnsi="Arial"/>
      <w:color w:val="FF0000"/>
      <w:sz w:val="24"/>
    </w:rPr>
  </w:style>
  <w:style w:type="character" w:customStyle="1" w:styleId="235">
    <w:name w:val="Body Text 3 Char"/>
    <w:basedOn w:val="61"/>
    <w:link w:val="30"/>
    <w:qFormat/>
    <w:uiPriority w:val="0"/>
    <w:rPr>
      <w:rFonts w:eastAsia="宋体"/>
      <w:i/>
    </w:rPr>
  </w:style>
  <w:style w:type="paragraph" w:customStyle="1" w:styleId="236">
    <w:name w:val="Bulleted o 1"/>
    <w:basedOn w:val="1"/>
    <w:qFormat/>
    <w:uiPriority w:val="0"/>
    <w:pPr>
      <w:numPr>
        <w:ilvl w:val="0"/>
        <w:numId w:val="17"/>
      </w:numPr>
      <w:overflowPunct w:val="0"/>
      <w:snapToGrid/>
      <w:spacing w:after="180" w:line="240" w:lineRule="auto"/>
      <w:textAlignment w:val="baseline"/>
    </w:pPr>
    <w:rPr>
      <w:rFonts w:eastAsia="MS Mincho"/>
      <w:sz w:val="20"/>
      <w:szCs w:val="20"/>
    </w:rPr>
  </w:style>
  <w:style w:type="paragraph" w:customStyle="1" w:styleId="237">
    <w:name w:val="Equation"/>
    <w:basedOn w:val="1"/>
    <w:next w:val="1"/>
    <w:qFormat/>
    <w:uiPriority w:val="0"/>
    <w:pPr>
      <w:tabs>
        <w:tab w:val="right" w:pos="10206"/>
      </w:tabs>
      <w:overflowPunct w:val="0"/>
      <w:snapToGrid/>
      <w:spacing w:after="220" w:line="240" w:lineRule="auto"/>
      <w:ind w:left="1298"/>
      <w:textAlignment w:val="baseline"/>
    </w:pPr>
    <w:rPr>
      <w:rFonts w:ascii="Arial" w:hAnsi="Arial" w:eastAsia="宋体"/>
      <w:szCs w:val="20"/>
      <w:lang w:eastAsia="zh-CN"/>
    </w:rPr>
  </w:style>
  <w:style w:type="paragraph" w:customStyle="1" w:styleId="238">
    <w:name w:val="00 BodyText"/>
    <w:basedOn w:val="1"/>
    <w:qFormat/>
    <w:uiPriority w:val="0"/>
    <w:pPr>
      <w:overflowPunct w:val="0"/>
      <w:snapToGrid/>
      <w:spacing w:after="220" w:line="240" w:lineRule="auto"/>
      <w:textAlignment w:val="baseline"/>
    </w:pPr>
    <w:rPr>
      <w:rFonts w:ascii="Arial" w:hAnsi="Arial" w:eastAsia="宋体"/>
      <w:szCs w:val="20"/>
    </w:rPr>
  </w:style>
  <w:style w:type="paragraph" w:customStyle="1" w:styleId="239">
    <w:name w:val="11 BodyText"/>
    <w:basedOn w:val="1"/>
    <w:qFormat/>
    <w:uiPriority w:val="0"/>
    <w:pPr>
      <w:overflowPunct w:val="0"/>
      <w:snapToGrid/>
      <w:spacing w:after="220" w:line="240" w:lineRule="auto"/>
      <w:ind w:left="1298"/>
      <w:textAlignment w:val="baseline"/>
    </w:pPr>
    <w:rPr>
      <w:rFonts w:ascii="Arial" w:hAnsi="Arial" w:eastAsia="宋体"/>
      <w:szCs w:val="20"/>
    </w:rPr>
  </w:style>
  <w:style w:type="paragraph" w:customStyle="1" w:styleId="240">
    <w:name w:val="body Char Char Char"/>
    <w:basedOn w:val="1"/>
    <w:qFormat/>
    <w:uiPriority w:val="0"/>
    <w:pPr>
      <w:tabs>
        <w:tab w:val="left" w:pos="2160"/>
      </w:tabs>
      <w:overflowPunct w:val="0"/>
      <w:snapToGrid/>
      <w:spacing w:before="120" w:line="280" w:lineRule="atLeast"/>
      <w:jc w:val="both"/>
      <w:textAlignment w:val="baseline"/>
    </w:pPr>
    <w:rPr>
      <w:rFonts w:ascii="New York" w:hAnsi="New York" w:eastAsia="宋体"/>
      <w:sz w:val="24"/>
      <w:szCs w:val="20"/>
    </w:rPr>
  </w:style>
  <w:style w:type="paragraph" w:customStyle="1" w:styleId="241">
    <w:name w:val="body"/>
    <w:basedOn w:val="1"/>
    <w:qFormat/>
    <w:uiPriority w:val="0"/>
    <w:pPr>
      <w:tabs>
        <w:tab w:val="left" w:pos="2160"/>
      </w:tabs>
      <w:overflowPunct w:val="0"/>
      <w:snapToGrid/>
      <w:spacing w:before="120" w:line="280" w:lineRule="atLeast"/>
      <w:jc w:val="both"/>
      <w:textAlignment w:val="baseline"/>
    </w:pPr>
    <w:rPr>
      <w:rFonts w:ascii="New York" w:hAnsi="New York" w:eastAsia="宋体"/>
      <w:sz w:val="24"/>
      <w:szCs w:val="20"/>
    </w:rPr>
  </w:style>
  <w:style w:type="character" w:customStyle="1" w:styleId="242">
    <w:name w:val="Heading 1 Char1"/>
    <w:qFormat/>
    <w:uiPriority w:val="0"/>
    <w:rPr>
      <w:rFonts w:ascii="Arial" w:hAnsi="Arial"/>
      <w:sz w:val="36"/>
      <w:lang w:val="en-GB"/>
    </w:rPr>
  </w:style>
  <w:style w:type="character" w:customStyle="1" w:styleId="243">
    <w:name w:val="Char Char3"/>
    <w:qFormat/>
    <w:uiPriority w:val="0"/>
    <w:rPr>
      <w:rFonts w:ascii="Arial" w:hAnsi="Arial"/>
      <w:sz w:val="36"/>
      <w:lang w:val="en-GB" w:eastAsia="en-US" w:bidi="ar-SA"/>
    </w:rPr>
  </w:style>
  <w:style w:type="character" w:customStyle="1" w:styleId="244">
    <w:name w:val="Char Char2"/>
    <w:qFormat/>
    <w:uiPriority w:val="0"/>
    <w:rPr>
      <w:rFonts w:ascii="Arial" w:hAnsi="Arial"/>
      <w:sz w:val="32"/>
      <w:lang w:val="en-GB" w:eastAsia="en-US" w:bidi="ar-SA"/>
    </w:rPr>
  </w:style>
  <w:style w:type="character" w:customStyle="1" w:styleId="245">
    <w:name w:val="Char Char1"/>
    <w:qFormat/>
    <w:uiPriority w:val="0"/>
    <w:rPr>
      <w:rFonts w:ascii="Arial" w:hAnsi="Arial"/>
      <w:sz w:val="28"/>
      <w:lang w:val="en-GB" w:eastAsia="en-US" w:bidi="ar-SA"/>
    </w:rPr>
  </w:style>
  <w:style w:type="character" w:customStyle="1" w:styleId="246">
    <w:name w:val="Subtitle Char"/>
    <w:basedOn w:val="61"/>
    <w:link w:val="42"/>
    <w:qFormat/>
    <w:uiPriority w:val="0"/>
    <w:rPr>
      <w:rFonts w:ascii="Cambria" w:hAnsi="Cambria" w:eastAsia="Times New Roman"/>
      <w:sz w:val="24"/>
      <w:szCs w:val="24"/>
      <w:lang w:val="en-GB" w:eastAsia="zh-CN"/>
    </w:rPr>
  </w:style>
  <w:style w:type="paragraph" w:customStyle="1" w:styleId="247">
    <w:name w:val="変更箇所1"/>
    <w:hidden/>
    <w:semiHidden/>
    <w:qFormat/>
    <w:uiPriority w:val="99"/>
    <w:pPr>
      <w:spacing w:after="160" w:line="259" w:lineRule="auto"/>
    </w:pPr>
    <w:rPr>
      <w:rFonts w:ascii="Times New Roman" w:hAnsi="Times New Roman" w:eastAsia="宋体" w:cs="Times New Roman"/>
      <w:lang w:val="en-GB" w:eastAsia="en-US" w:bidi="ar-SA"/>
    </w:rPr>
  </w:style>
  <w:style w:type="character" w:customStyle="1" w:styleId="248">
    <w:name w:val="snippet"/>
    <w:qFormat/>
    <w:uiPriority w:val="0"/>
    <w:rPr>
      <w:color w:val="E37222"/>
    </w:rPr>
  </w:style>
  <w:style w:type="paragraph" w:customStyle="1" w:styleId="249">
    <w:name w:val="T1"/>
    <w:basedOn w:val="1"/>
    <w:qFormat/>
    <w:uiPriority w:val="0"/>
    <w:pPr>
      <w:autoSpaceDE/>
      <w:autoSpaceDN/>
      <w:adjustRightInd/>
      <w:snapToGrid/>
      <w:spacing w:after="0" w:line="240" w:lineRule="auto"/>
      <w:jc w:val="center"/>
    </w:pPr>
    <w:rPr>
      <w:rFonts w:eastAsia="Times New Roman"/>
      <w:b/>
      <w:sz w:val="28"/>
      <w:szCs w:val="20"/>
    </w:rPr>
  </w:style>
  <w:style w:type="paragraph" w:customStyle="1" w:styleId="250">
    <w:name w:val="T2"/>
    <w:basedOn w:val="249"/>
    <w:qFormat/>
    <w:uiPriority w:val="0"/>
    <w:pPr>
      <w:spacing w:after="240"/>
      <w:ind w:left="720" w:right="720"/>
    </w:pPr>
  </w:style>
  <w:style w:type="paragraph" w:customStyle="1" w:styleId="251">
    <w:name w:val="Table_text"/>
    <w:basedOn w:val="1"/>
    <w:qFormat/>
    <w:uiPriority w:val="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snapToGrid/>
      <w:spacing w:before="40" w:after="40" w:line="240" w:lineRule="auto"/>
      <w:jc w:val="both"/>
      <w:textAlignment w:val="baseline"/>
    </w:pPr>
    <w:rPr>
      <w:rFonts w:eastAsia="Batang"/>
      <w:szCs w:val="20"/>
      <w:lang w:val="fr-FR"/>
    </w:rPr>
  </w:style>
  <w:style w:type="paragraph" w:customStyle="1" w:styleId="252">
    <w:name w:val="Char1 Char Char1 Char"/>
    <w:basedOn w:val="1"/>
    <w:qFormat/>
    <w:uiPriority w:val="0"/>
    <w:pPr>
      <w:tabs>
        <w:tab w:val="left" w:pos="540"/>
        <w:tab w:val="left" w:pos="1260"/>
        <w:tab w:val="left" w:pos="1800"/>
      </w:tabs>
      <w:autoSpaceDE/>
      <w:autoSpaceDN/>
      <w:adjustRightInd/>
      <w:snapToGrid/>
      <w:spacing w:before="240" w:after="160" w:line="240" w:lineRule="exact"/>
    </w:pPr>
    <w:rPr>
      <w:rFonts w:ascii="Verdana" w:hAnsi="Verdana" w:eastAsia="Batang"/>
      <w:sz w:val="24"/>
      <w:szCs w:val="20"/>
    </w:rPr>
  </w:style>
  <w:style w:type="paragraph" w:customStyle="1" w:styleId="253">
    <w:name w:val="bullet1"/>
    <w:basedOn w:val="1"/>
    <w:qFormat/>
    <w:uiPriority w:val="0"/>
    <w:pPr>
      <w:overflowPunct w:val="0"/>
      <w:snapToGrid/>
      <w:spacing w:after="180" w:line="240" w:lineRule="auto"/>
      <w:textAlignment w:val="baseline"/>
    </w:pPr>
    <w:rPr>
      <w:rFonts w:eastAsia="宋体"/>
      <w:sz w:val="20"/>
      <w:szCs w:val="20"/>
    </w:rPr>
  </w:style>
  <w:style w:type="paragraph" w:customStyle="1" w:styleId="254">
    <w:name w:val="Comments"/>
    <w:basedOn w:val="1"/>
    <w:link w:val="255"/>
    <w:qFormat/>
    <w:uiPriority w:val="0"/>
    <w:pPr>
      <w:autoSpaceDE/>
      <w:autoSpaceDN/>
      <w:adjustRightInd/>
      <w:snapToGrid/>
      <w:spacing w:before="40" w:after="0" w:line="240" w:lineRule="auto"/>
    </w:pPr>
    <w:rPr>
      <w:rFonts w:ascii="Arial" w:hAnsi="Arial" w:eastAsia="MS Mincho"/>
      <w:i/>
      <w:sz w:val="18"/>
      <w:szCs w:val="24"/>
      <w:lang w:val="en-GB" w:eastAsia="en-GB"/>
    </w:rPr>
  </w:style>
  <w:style w:type="character" w:customStyle="1" w:styleId="255">
    <w:name w:val="Comments Char"/>
    <w:link w:val="254"/>
    <w:qFormat/>
    <w:uiPriority w:val="0"/>
    <w:rPr>
      <w:rFonts w:ascii="Arial" w:hAnsi="Arial" w:eastAsia="MS Mincho"/>
      <w:i/>
      <w:sz w:val="18"/>
      <w:szCs w:val="24"/>
      <w:lang w:val="en-GB" w:eastAsia="en-GB"/>
    </w:rPr>
  </w:style>
  <w:style w:type="paragraph" w:customStyle="1" w:styleId="256">
    <w:name w:val="Tdoc Text"/>
    <w:basedOn w:val="31"/>
    <w:qFormat/>
    <w:uiPriority w:val="0"/>
    <w:pPr>
      <w:overflowPunct w:val="0"/>
      <w:snapToGrid/>
      <w:spacing w:before="240" w:line="240" w:lineRule="auto"/>
      <w:ind w:firstLine="288"/>
      <w:jc w:val="both"/>
      <w:textAlignment w:val="baseline"/>
    </w:pPr>
    <w:rPr>
      <w:rFonts w:eastAsia="Times New Roman"/>
      <w:sz w:val="22"/>
    </w:rPr>
  </w:style>
  <w:style w:type="table" w:customStyle="1" w:styleId="257">
    <w:name w:val="Table Grid3"/>
    <w:basedOn w:val="54"/>
    <w:qFormat/>
    <w:uiPriority w:val="0"/>
    <w:pPr>
      <w:spacing w:before="120" w:line="280" w:lineRule="atLeast"/>
      <w:jc w:val="both"/>
    </w:pPr>
    <w:rPr>
      <w:rFonts w:ascii="New York" w:hAnsi="New York"/>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58">
    <w:name w:val="Heading Appendix"/>
    <w:basedOn w:val="3"/>
    <w:link w:val="259"/>
    <w:qFormat/>
    <w:uiPriority w:val="0"/>
    <w:pPr>
      <w:keepLines/>
      <w:numPr>
        <w:ilvl w:val="0"/>
        <w:numId w:val="18"/>
      </w:numPr>
      <w:overflowPunct w:val="0"/>
      <w:snapToGrid/>
      <w:spacing w:before="180" w:after="180" w:line="240" w:lineRule="auto"/>
      <w:textAlignment w:val="baseline"/>
    </w:pPr>
    <w:rPr>
      <w:rFonts w:eastAsia="宋体"/>
      <w:b w:val="0"/>
      <w:bCs w:val="0"/>
    </w:rPr>
  </w:style>
  <w:style w:type="character" w:customStyle="1" w:styleId="259">
    <w:name w:val="Heading Appendix Char"/>
    <w:basedOn w:val="179"/>
    <w:link w:val="258"/>
    <w:qFormat/>
    <w:uiPriority w:val="0"/>
    <w:rPr>
      <w:rFonts w:ascii="Arial" w:hAnsi="Arial" w:eastAsia="宋体"/>
      <w:b w:val="0"/>
      <w:bCs w:val="0"/>
      <w:sz w:val="32"/>
      <w:szCs w:val="22"/>
      <w:lang w:val="en-GB" w:eastAsia="zh-CN"/>
    </w:rPr>
  </w:style>
  <w:style w:type="character" w:customStyle="1" w:styleId="260">
    <w:name w:val="Unresolved Mention2"/>
    <w:basedOn w:val="61"/>
    <w:unhideWhenUsed/>
    <w:qFormat/>
    <w:uiPriority w:val="99"/>
    <w:rPr>
      <w:color w:val="605E5C"/>
      <w:shd w:val="clear" w:color="auto" w:fill="E1DFDD"/>
    </w:rPr>
  </w:style>
  <w:style w:type="character" w:customStyle="1" w:styleId="261">
    <w:name w:val="Mention3"/>
    <w:basedOn w:val="61"/>
    <w:unhideWhenUsed/>
    <w:qFormat/>
    <w:uiPriority w:val="99"/>
    <w:rPr>
      <w:color w:val="2B579A"/>
      <w:shd w:val="clear" w:color="auto" w:fill="E1DFDD"/>
    </w:rPr>
  </w:style>
  <w:style w:type="character" w:customStyle="1" w:styleId="262">
    <w:name w:val="fontstyle01"/>
    <w:basedOn w:val="61"/>
    <w:qFormat/>
    <w:uiPriority w:val="0"/>
    <w:rPr>
      <w:rFonts w:hint="default" w:ascii="ArialMT" w:hAnsi="ArialMT"/>
      <w:color w:val="000000"/>
      <w:sz w:val="18"/>
      <w:szCs w:val="18"/>
    </w:rPr>
  </w:style>
  <w:style w:type="table" w:customStyle="1" w:styleId="263">
    <w:name w:val="Table Grid4"/>
    <w:basedOn w:val="54"/>
    <w:qFormat/>
    <w:uiPriority w:val="0"/>
    <w:pPr>
      <w:widowControl w:val="0"/>
      <w:autoSpaceDE w:val="0"/>
      <w:autoSpaceDN w:val="0"/>
      <w:adjustRightInd w:val="0"/>
      <w:spacing w:after="12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table" w:customStyle="1" w:styleId="264">
    <w:name w:val="Table Grid5"/>
    <w:basedOn w:val="54"/>
    <w:qFormat/>
    <w:uiPriority w:val="0"/>
    <w:pPr>
      <w:widowControl w:val="0"/>
      <w:autoSpaceDE w:val="0"/>
      <w:autoSpaceDN w:val="0"/>
      <w:adjustRightInd w:val="0"/>
      <w:spacing w:after="12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table" w:customStyle="1" w:styleId="265">
    <w:name w:val="Table Grid6"/>
    <w:basedOn w:val="54"/>
    <w:qFormat/>
    <w:uiPriority w:val="0"/>
    <w:pPr>
      <w:widowControl w:val="0"/>
      <w:autoSpaceDE w:val="0"/>
      <w:autoSpaceDN w:val="0"/>
      <w:adjustRightInd w:val="0"/>
      <w:spacing w:after="12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table" w:customStyle="1" w:styleId="266">
    <w:name w:val="Table Grid7"/>
    <w:basedOn w:val="54"/>
    <w:qFormat/>
    <w:uiPriority w:val="0"/>
    <w:pPr>
      <w:widowControl w:val="0"/>
      <w:autoSpaceDE w:val="0"/>
      <w:autoSpaceDN w:val="0"/>
      <w:adjustRightInd w:val="0"/>
      <w:spacing w:after="12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table" w:customStyle="1" w:styleId="267">
    <w:name w:val="Table Grid8"/>
    <w:basedOn w:val="54"/>
    <w:qFormat/>
    <w:uiPriority w:val="0"/>
    <w:pPr>
      <w:widowControl w:val="0"/>
      <w:autoSpaceDE w:val="0"/>
      <w:autoSpaceDN w:val="0"/>
      <w:adjustRightInd w:val="0"/>
      <w:spacing w:after="12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table" w:customStyle="1" w:styleId="268">
    <w:name w:val="Table Grid9"/>
    <w:basedOn w:val="54"/>
    <w:qFormat/>
    <w:uiPriority w:val="0"/>
    <w:pPr>
      <w:widowControl w:val="0"/>
      <w:autoSpaceDE w:val="0"/>
      <w:autoSpaceDN w:val="0"/>
      <w:adjustRightInd w:val="0"/>
      <w:spacing w:after="12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table" w:customStyle="1" w:styleId="269">
    <w:name w:val="Table Grid10"/>
    <w:basedOn w:val="54"/>
    <w:qFormat/>
    <w:uiPriority w:val="0"/>
    <w:pPr>
      <w:widowControl w:val="0"/>
      <w:autoSpaceDE w:val="0"/>
      <w:autoSpaceDN w:val="0"/>
      <w:adjustRightInd w:val="0"/>
      <w:spacing w:after="12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table" w:customStyle="1" w:styleId="270">
    <w:name w:val="Table Grid11"/>
    <w:basedOn w:val="54"/>
    <w:qFormat/>
    <w:uiPriority w:val="0"/>
    <w:pPr>
      <w:widowControl w:val="0"/>
      <w:autoSpaceDE w:val="0"/>
      <w:autoSpaceDN w:val="0"/>
      <w:adjustRightInd w:val="0"/>
      <w:spacing w:after="12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table" w:customStyle="1" w:styleId="271">
    <w:name w:val="Table Grid12"/>
    <w:basedOn w:val="54"/>
    <w:qFormat/>
    <w:uiPriority w:val="0"/>
    <w:pPr>
      <w:widowControl w:val="0"/>
      <w:autoSpaceDE w:val="0"/>
      <w:autoSpaceDN w:val="0"/>
      <w:adjustRightInd w:val="0"/>
      <w:spacing w:after="12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table" w:customStyle="1" w:styleId="272">
    <w:name w:val="Table Grid13"/>
    <w:basedOn w:val="54"/>
    <w:qFormat/>
    <w:uiPriority w:val="0"/>
    <w:pPr>
      <w:widowControl w:val="0"/>
      <w:autoSpaceDE w:val="0"/>
      <w:autoSpaceDN w:val="0"/>
      <w:adjustRightInd w:val="0"/>
      <w:spacing w:after="12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table" w:customStyle="1" w:styleId="273">
    <w:name w:val="Table Grid14"/>
    <w:basedOn w:val="54"/>
    <w:qFormat/>
    <w:uiPriority w:val="0"/>
    <w:pPr>
      <w:widowControl w:val="0"/>
      <w:autoSpaceDE w:val="0"/>
      <w:autoSpaceDN w:val="0"/>
      <w:adjustRightInd w:val="0"/>
      <w:spacing w:after="12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table" w:customStyle="1" w:styleId="274">
    <w:name w:val="Table Grid15"/>
    <w:basedOn w:val="54"/>
    <w:qFormat/>
    <w:uiPriority w:val="0"/>
    <w:pPr>
      <w:widowControl w:val="0"/>
      <w:autoSpaceDE w:val="0"/>
      <w:autoSpaceDN w:val="0"/>
      <w:adjustRightInd w:val="0"/>
      <w:spacing w:after="12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table" w:customStyle="1" w:styleId="275">
    <w:name w:val="Table Grid16"/>
    <w:basedOn w:val="54"/>
    <w:qFormat/>
    <w:uiPriority w:val="0"/>
    <w:pPr>
      <w:widowControl w:val="0"/>
      <w:autoSpaceDE w:val="0"/>
      <w:autoSpaceDN w:val="0"/>
      <w:adjustRightInd w:val="0"/>
      <w:spacing w:after="12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table" w:customStyle="1" w:styleId="276">
    <w:name w:val="Table Grid17"/>
    <w:basedOn w:val="54"/>
    <w:qFormat/>
    <w:uiPriority w:val="0"/>
    <w:pPr>
      <w:widowControl w:val="0"/>
      <w:autoSpaceDE w:val="0"/>
      <w:autoSpaceDN w:val="0"/>
      <w:adjustRightInd w:val="0"/>
      <w:spacing w:after="12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table" w:customStyle="1" w:styleId="277">
    <w:name w:val="Table Grid18"/>
    <w:basedOn w:val="54"/>
    <w:qFormat/>
    <w:uiPriority w:val="0"/>
    <w:pPr>
      <w:widowControl w:val="0"/>
      <w:autoSpaceDE w:val="0"/>
      <w:autoSpaceDN w:val="0"/>
      <w:adjustRightInd w:val="0"/>
      <w:spacing w:after="12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table" w:customStyle="1" w:styleId="278">
    <w:name w:val="Table Grid19"/>
    <w:basedOn w:val="54"/>
    <w:qFormat/>
    <w:uiPriority w:val="0"/>
    <w:pPr>
      <w:widowControl w:val="0"/>
      <w:autoSpaceDE w:val="0"/>
      <w:autoSpaceDN w:val="0"/>
      <w:adjustRightInd w:val="0"/>
      <w:spacing w:after="12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table" w:customStyle="1" w:styleId="279">
    <w:name w:val="Table Grid20"/>
    <w:basedOn w:val="54"/>
    <w:qFormat/>
    <w:uiPriority w:val="0"/>
    <w:pPr>
      <w:widowControl w:val="0"/>
      <w:autoSpaceDE w:val="0"/>
      <w:autoSpaceDN w:val="0"/>
      <w:adjustRightInd w:val="0"/>
      <w:spacing w:after="12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table" w:customStyle="1" w:styleId="280">
    <w:name w:val="Table Grid21"/>
    <w:basedOn w:val="54"/>
    <w:qFormat/>
    <w:uiPriority w:val="0"/>
    <w:pPr>
      <w:widowControl w:val="0"/>
      <w:autoSpaceDE w:val="0"/>
      <w:autoSpaceDN w:val="0"/>
      <w:adjustRightInd w:val="0"/>
      <w:spacing w:after="12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table" w:customStyle="1" w:styleId="281">
    <w:name w:val="Table Grid22"/>
    <w:basedOn w:val="54"/>
    <w:qFormat/>
    <w:uiPriority w:val="0"/>
    <w:pPr>
      <w:widowControl w:val="0"/>
      <w:autoSpaceDE w:val="0"/>
      <w:autoSpaceDN w:val="0"/>
      <w:adjustRightInd w:val="0"/>
      <w:spacing w:after="12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table" w:customStyle="1" w:styleId="282">
    <w:name w:val="Table Grid23"/>
    <w:basedOn w:val="54"/>
    <w:qFormat/>
    <w:uiPriority w:val="0"/>
    <w:pPr>
      <w:widowControl w:val="0"/>
      <w:autoSpaceDE w:val="0"/>
      <w:autoSpaceDN w:val="0"/>
      <w:adjustRightInd w:val="0"/>
      <w:spacing w:after="12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table" w:customStyle="1" w:styleId="283">
    <w:name w:val="Table Grid24"/>
    <w:basedOn w:val="54"/>
    <w:qFormat/>
    <w:uiPriority w:val="0"/>
    <w:pPr>
      <w:widowControl w:val="0"/>
      <w:autoSpaceDE w:val="0"/>
      <w:autoSpaceDN w:val="0"/>
      <w:adjustRightInd w:val="0"/>
      <w:spacing w:after="12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table" w:customStyle="1" w:styleId="284">
    <w:name w:val="Table Grid25"/>
    <w:basedOn w:val="54"/>
    <w:qFormat/>
    <w:uiPriority w:val="0"/>
    <w:pPr>
      <w:widowControl w:val="0"/>
      <w:autoSpaceDE w:val="0"/>
      <w:autoSpaceDN w:val="0"/>
      <w:adjustRightInd w:val="0"/>
      <w:spacing w:after="12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paragraph" w:styleId="285">
    <w:name w:val="Quote"/>
    <w:basedOn w:val="1"/>
    <w:next w:val="1"/>
    <w:link w:val="286"/>
    <w:qFormat/>
    <w:uiPriority w:val="29"/>
    <w:pPr>
      <w:widowControl w:val="0"/>
      <w:autoSpaceDE/>
      <w:autoSpaceDN/>
      <w:adjustRightInd/>
      <w:snapToGrid/>
      <w:spacing w:before="200" w:after="160" w:line="240" w:lineRule="auto"/>
      <w:ind w:left="864" w:right="864"/>
      <w:jc w:val="center"/>
    </w:pPr>
    <w:rPr>
      <w:rFonts w:asciiTheme="minorHAnsi" w:hAnsiTheme="minorHAnsi" w:cstheme="minorBidi"/>
      <w:i/>
      <w:iCs/>
      <w:color w:val="404040" w:themeColor="text1" w:themeTint="BF"/>
      <w:kern w:val="2"/>
      <w:sz w:val="21"/>
      <w:lang w:eastAsia="zh-CN"/>
      <w14:textFill>
        <w14:solidFill>
          <w14:schemeClr w14:val="tx1">
            <w14:lumMod w14:val="75000"/>
            <w14:lumOff w14:val="25000"/>
          </w14:schemeClr>
        </w14:solidFill>
      </w14:textFill>
    </w:rPr>
  </w:style>
  <w:style w:type="character" w:customStyle="1" w:styleId="286">
    <w:name w:val="Quote Char"/>
    <w:basedOn w:val="61"/>
    <w:link w:val="285"/>
    <w:qFormat/>
    <w:uiPriority w:val="29"/>
    <w:rPr>
      <w:rFonts w:asciiTheme="minorHAnsi" w:hAnsiTheme="minorHAnsi" w:cstheme="minorBidi"/>
      <w:i/>
      <w:iCs/>
      <w:color w:val="404040" w:themeColor="text1" w:themeTint="BF"/>
      <w:kern w:val="2"/>
      <w:sz w:val="21"/>
      <w:szCs w:val="22"/>
      <w:lang w:eastAsia="zh-CN"/>
      <w14:textFill>
        <w14:solidFill>
          <w14:schemeClr w14:val="tx1">
            <w14:lumMod w14:val="75000"/>
            <w14:lumOff w14:val="25000"/>
          </w14:schemeClr>
        </w14:solidFill>
      </w14:textFill>
    </w:rPr>
  </w:style>
  <w:style w:type="paragraph" w:customStyle="1" w:styleId="287">
    <w:name w:val="YJ-Proposal"/>
    <w:basedOn w:val="1"/>
    <w:qFormat/>
    <w:uiPriority w:val="0"/>
    <w:pPr>
      <w:numPr>
        <w:ilvl w:val="0"/>
        <w:numId w:val="19"/>
      </w:numPr>
    </w:pPr>
    <w:rPr>
      <w:b/>
      <w:bCs/>
      <w:i/>
      <w:iCs/>
      <w:sz w:val="20"/>
      <w:lang w:val="en-GB"/>
    </w:rPr>
  </w:style>
  <w:style w:type="paragraph" w:customStyle="1" w:styleId="288">
    <w:name w:val="Revision"/>
    <w:hidden/>
    <w:semiHidden/>
    <w:qFormat/>
    <w:uiPriority w:val="99"/>
    <w:rPr>
      <w:rFonts w:ascii="Times New Roman" w:hAnsi="Times New Roman" w:cs="Times New Roman" w:eastAsiaTheme="minorEastAsia"/>
      <w:sz w:val="22"/>
      <w:szCs w:val="22"/>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oleObject" Target="embeddings/oleObject3.bin"/><Relationship Id="rId8" Type="http://schemas.openxmlformats.org/officeDocument/2006/relationships/image" Target="media/image3.wmf"/><Relationship Id="rId72" Type="http://schemas.microsoft.com/office/2011/relationships/people" Target="people.xml"/><Relationship Id="rId71" Type="http://schemas.openxmlformats.org/officeDocument/2006/relationships/fontTable" Target="fontTable.xml"/><Relationship Id="rId70" Type="http://schemas.openxmlformats.org/officeDocument/2006/relationships/customXml" Target="../customXml/item2.xml"/><Relationship Id="rId7" Type="http://schemas.openxmlformats.org/officeDocument/2006/relationships/oleObject" Target="embeddings/oleObject2.bin"/><Relationship Id="rId69" Type="http://schemas.openxmlformats.org/officeDocument/2006/relationships/numbering" Target="numbering.xml"/><Relationship Id="rId68" Type="http://schemas.openxmlformats.org/officeDocument/2006/relationships/customXml" Target="../customXml/item1.xml"/><Relationship Id="rId67" Type="http://schemas.openxmlformats.org/officeDocument/2006/relationships/image" Target="media/image38.png"/><Relationship Id="rId66" Type="http://schemas.openxmlformats.org/officeDocument/2006/relationships/package" Target="embeddings/Microsoft_Visio___9.vsdx"/><Relationship Id="rId65" Type="http://schemas.openxmlformats.org/officeDocument/2006/relationships/image" Target="media/image37.wmf"/><Relationship Id="rId64" Type="http://schemas.openxmlformats.org/officeDocument/2006/relationships/oleObject" Target="embeddings/oleObject16.bin"/><Relationship Id="rId63" Type="http://schemas.openxmlformats.org/officeDocument/2006/relationships/image" Target="media/image36.wmf"/><Relationship Id="rId62" Type="http://schemas.openxmlformats.org/officeDocument/2006/relationships/oleObject" Target="embeddings/oleObject15.bin"/><Relationship Id="rId61" Type="http://schemas.openxmlformats.org/officeDocument/2006/relationships/image" Target="media/image35.emf"/><Relationship Id="rId60" Type="http://schemas.openxmlformats.org/officeDocument/2006/relationships/oleObject" Target="embeddings/Microsoft_Visio_2003-2010___8.vsd"/><Relationship Id="rId6" Type="http://schemas.openxmlformats.org/officeDocument/2006/relationships/image" Target="media/image2.wmf"/><Relationship Id="rId59" Type="http://schemas.openxmlformats.org/officeDocument/2006/relationships/image" Target="media/image34.png"/><Relationship Id="rId58" Type="http://schemas.openxmlformats.org/officeDocument/2006/relationships/image" Target="media/image33.emf"/><Relationship Id="rId57" Type="http://schemas.openxmlformats.org/officeDocument/2006/relationships/package" Target="embeddings/Microsoft_Visio___7.vsdx"/><Relationship Id="rId56" Type="http://schemas.openxmlformats.org/officeDocument/2006/relationships/package" Target="embeddings/Microsoft_Visio___6.vsdx"/><Relationship Id="rId55" Type="http://schemas.openxmlformats.org/officeDocument/2006/relationships/image" Target="media/image32.png"/><Relationship Id="rId54" Type="http://schemas.openxmlformats.org/officeDocument/2006/relationships/image" Target="media/image31.emf"/><Relationship Id="rId53" Type="http://schemas.openxmlformats.org/officeDocument/2006/relationships/package" Target="embeddings/Microsoft_Visio___5.vsdx"/><Relationship Id="rId52" Type="http://schemas.openxmlformats.org/officeDocument/2006/relationships/image" Target="media/image30.png"/><Relationship Id="rId51" Type="http://schemas.openxmlformats.org/officeDocument/2006/relationships/image" Target="media/image29.png"/><Relationship Id="rId50" Type="http://schemas.openxmlformats.org/officeDocument/2006/relationships/image" Target="media/image28.png"/><Relationship Id="rId5" Type="http://schemas.openxmlformats.org/officeDocument/2006/relationships/oleObject" Target="embeddings/oleObject1.bin"/><Relationship Id="rId49" Type="http://schemas.openxmlformats.org/officeDocument/2006/relationships/image" Target="media/image27.bmp"/><Relationship Id="rId48" Type="http://schemas.openxmlformats.org/officeDocument/2006/relationships/image" Target="media/image26.emf"/><Relationship Id="rId47" Type="http://schemas.openxmlformats.org/officeDocument/2006/relationships/package" Target="embeddings/Microsoft_Visio___4.vsdx"/><Relationship Id="rId46" Type="http://schemas.openxmlformats.org/officeDocument/2006/relationships/oleObject" Target="embeddings/oleObject14.bin"/><Relationship Id="rId45" Type="http://schemas.openxmlformats.org/officeDocument/2006/relationships/oleObject" Target="embeddings/oleObject13.bin"/><Relationship Id="rId44" Type="http://schemas.openxmlformats.org/officeDocument/2006/relationships/oleObject" Target="embeddings/oleObject12.bin"/><Relationship Id="rId43" Type="http://schemas.openxmlformats.org/officeDocument/2006/relationships/oleObject" Target="embeddings/oleObject11.bin"/><Relationship Id="rId42" Type="http://schemas.openxmlformats.org/officeDocument/2006/relationships/oleObject" Target="embeddings/oleObject10.bin"/><Relationship Id="rId41" Type="http://schemas.openxmlformats.org/officeDocument/2006/relationships/oleObject" Target="embeddings/oleObject9.bin"/><Relationship Id="rId40" Type="http://schemas.openxmlformats.org/officeDocument/2006/relationships/oleObject" Target="embeddings/oleObject8.bin"/><Relationship Id="rId4" Type="http://schemas.openxmlformats.org/officeDocument/2006/relationships/image" Target="media/image1.wmf"/><Relationship Id="rId39" Type="http://schemas.openxmlformats.org/officeDocument/2006/relationships/image" Target="media/image25.png"/><Relationship Id="rId38" Type="http://schemas.openxmlformats.org/officeDocument/2006/relationships/image" Target="media/image24.png"/><Relationship Id="rId37" Type="http://schemas.openxmlformats.org/officeDocument/2006/relationships/image" Target="media/image23.png"/><Relationship Id="rId36" Type="http://schemas.openxmlformats.org/officeDocument/2006/relationships/image" Target="media/image22.emf"/><Relationship Id="rId35" Type="http://schemas.openxmlformats.org/officeDocument/2006/relationships/package" Target="embeddings/Microsoft_Visio___3.vsdx"/><Relationship Id="rId34" Type="http://schemas.openxmlformats.org/officeDocument/2006/relationships/image" Target="media/image21.png"/><Relationship Id="rId33" Type="http://schemas.openxmlformats.org/officeDocument/2006/relationships/image" Target="cid:image002.png@01D828CE.8E15D880" TargetMode="External"/><Relationship Id="rId32" Type="http://schemas.openxmlformats.org/officeDocument/2006/relationships/image" Target="media/image20.png"/><Relationship Id="rId31" Type="http://schemas.openxmlformats.org/officeDocument/2006/relationships/image" Target="media/image19.emf"/><Relationship Id="rId30" Type="http://schemas.openxmlformats.org/officeDocument/2006/relationships/package" Target="embeddings/Microsoft_Visio___2.vsdx"/><Relationship Id="rId3" Type="http://schemas.openxmlformats.org/officeDocument/2006/relationships/theme" Target="theme/theme1.xml"/><Relationship Id="rId29" Type="http://schemas.openxmlformats.org/officeDocument/2006/relationships/image" Target="media/image18.emf"/><Relationship Id="rId28" Type="http://schemas.openxmlformats.org/officeDocument/2006/relationships/package" Target="embeddings/Microsoft_Visio___1.vsdx"/><Relationship Id="rId27" Type="http://schemas.openxmlformats.org/officeDocument/2006/relationships/image" Target="media/image17.wmf"/><Relationship Id="rId26" Type="http://schemas.openxmlformats.org/officeDocument/2006/relationships/image" Target="media/image16.wmf"/><Relationship Id="rId25" Type="http://schemas.openxmlformats.org/officeDocument/2006/relationships/oleObject" Target="embeddings/oleObject7.bin"/><Relationship Id="rId24" Type="http://schemas.openxmlformats.org/officeDocument/2006/relationships/oleObject" Target="embeddings/oleObject6.bin"/><Relationship Id="rId23" Type="http://schemas.openxmlformats.org/officeDocument/2006/relationships/oleObject" Target="embeddings/oleObject5.bin"/><Relationship Id="rId22" Type="http://schemas.openxmlformats.org/officeDocument/2006/relationships/oleObject" Target="embeddings/oleObject4.bin"/><Relationship Id="rId21" Type="http://schemas.openxmlformats.org/officeDocument/2006/relationships/image" Target="media/image15.wmf"/><Relationship Id="rId20" Type="http://schemas.openxmlformats.org/officeDocument/2006/relationships/image" Target="media/image14.wmf"/><Relationship Id="rId2" Type="http://schemas.openxmlformats.org/officeDocument/2006/relationships/settings" Target="settings.xml"/><Relationship Id="rId19" Type="http://schemas.openxmlformats.org/officeDocument/2006/relationships/image" Target="media/image13.wmf"/><Relationship Id="rId18" Type="http://schemas.openxmlformats.org/officeDocument/2006/relationships/image" Target="media/image12.wmf"/><Relationship Id="rId17" Type="http://schemas.openxmlformats.org/officeDocument/2006/relationships/image" Target="media/image11.wmf"/><Relationship Id="rId16" Type="http://schemas.openxmlformats.org/officeDocument/2006/relationships/image" Target="media/image10.wmf"/><Relationship Id="rId15" Type="http://schemas.openxmlformats.org/officeDocument/2006/relationships/image" Target="media/image9.wmf"/><Relationship Id="rId14" Type="http://schemas.openxmlformats.org/officeDocument/2006/relationships/image" Target="media/image8.wmf"/><Relationship Id="rId13" Type="http://schemas.openxmlformats.org/officeDocument/2006/relationships/image" Target="media/image7.wmf"/><Relationship Id="rId12" Type="http://schemas.openxmlformats.org/officeDocument/2006/relationships/image" Target="media/image6.wmf"/><Relationship Id="rId11" Type="http://schemas.openxmlformats.org/officeDocument/2006/relationships/image" Target="media/image5.wmf"/><Relationship Id="rId10" Type="http://schemas.openxmlformats.org/officeDocument/2006/relationships/image" Target="media/image4.wmf"/><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C4BA68A-3CEB-4CEA-BB9C-465FF34DDEFC}">
  <ds:schemaRefs/>
</ds:datastoreItem>
</file>

<file path=docProps/app.xml><?xml version="1.0" encoding="utf-8"?>
<Properties xmlns="http://schemas.openxmlformats.org/officeDocument/2006/extended-properties" xmlns:vt="http://schemas.openxmlformats.org/officeDocument/2006/docPropsVTypes">
  <Template>Normal.dotm</Template>
  <Company>Lenovo.com</Company>
  <Pages>209</Pages>
  <Words>67081</Words>
  <Characters>422616</Characters>
  <Lines>3521</Lines>
  <Paragraphs>977</Paragraphs>
  <TotalTime>1</TotalTime>
  <ScaleCrop>false</ScaleCrop>
  <LinksUpToDate>false</LinksUpToDate>
  <CharactersWithSpaces>488720</CharactersWithSpaces>
  <Application>WPS Office_11.8.2.8875_F1E327BC-269C-435d-A152-05C5408002CA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2022-02-25T07:48:00Z</dcterms:created>
  <dc:creator>lenovo</dc:creator>
  <cp:keywords>CTPClassification=CTP_NT</cp:keywords>
  <cp:lastModifiedBy>ZTE - Mengzhen Li</cp:lastModifiedBy>
  <cp:lastPrinted>2016-08-13T07:06:00Z</cp:lastPrinted>
  <dcterms:modified xsi:type="dcterms:W3CDTF">2022-02-25T08:09:48Z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