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f0"/>
        <w:jc w:val="left"/>
        <w:rPr>
          <w:color w:val="000000"/>
          <w:sz w:val="16"/>
          <w:szCs w:val="16"/>
        </w:rPr>
      </w:pPr>
    </w:p>
    <w:p w14:paraId="45B87CC9" w14:textId="77777777" w:rsidR="00577143" w:rsidRPr="00434D06" w:rsidRDefault="00577143" w:rsidP="009209DD">
      <w:pPr>
        <w:pStyle w:val="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proofErr w:type="spellStart"/>
            <w:r w:rsidRPr="0028253A">
              <w:rPr>
                <w:rFonts w:ascii="Calibri" w:hAnsi="Calibri"/>
                <w:color w:val="000000"/>
                <w:lang w:eastAsia="ko-KR"/>
              </w:rPr>
              <w:t>HiSilicon</w:t>
            </w:r>
            <w:proofErr w:type="spellEnd"/>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9"/>
              <w:gridCol w:w="1348"/>
              <w:gridCol w:w="2709"/>
              <w:gridCol w:w="222"/>
              <w:gridCol w:w="527"/>
              <w:gridCol w:w="447"/>
              <w:gridCol w:w="2125"/>
              <w:gridCol w:w="999"/>
              <w:gridCol w:w="447"/>
              <w:gridCol w:w="447"/>
              <w:gridCol w:w="2003"/>
              <w:gridCol w:w="3541"/>
              <w:gridCol w:w="3019"/>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 xml:space="preserve">26. </w:t>
                  </w:r>
                  <w:proofErr w:type="spellStart"/>
                  <w:r>
                    <w:rPr>
                      <w:rFonts w:cs="Arial"/>
                      <w:color w:val="000000"/>
                      <w:szCs w:val="18"/>
                    </w:rPr>
                    <w:t>NR_NTN_solutions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ac"/>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ac"/>
                    <w:numPr>
                      <w:ilvl w:val="0"/>
                      <w:numId w:val="13"/>
                    </w:numPr>
                    <w:spacing w:before="0" w:afterLines="50"/>
                    <w:ind w:left="1080"/>
                    <w:jc w:val="left"/>
                    <w:rPr>
                      <w:rFonts w:cs="Arial"/>
                      <w:strike/>
                      <w:color w:val="FF0000"/>
                      <w:sz w:val="18"/>
                      <w:szCs w:val="18"/>
                    </w:rPr>
                  </w:pPr>
                  <w:r>
                    <w:rPr>
                      <w:rFonts w:eastAsia="SimSun" w:cs="Arial"/>
                      <w:strike/>
                      <w:color w:val="FF0000"/>
                      <w:sz w:val="18"/>
                      <w:szCs w:val="18"/>
                    </w:rPr>
                    <w:t>FFS: Support on the maximal HARQ process number is up to UE capability</w:t>
                  </w:r>
                </w:p>
                <w:p w14:paraId="067CB078" w14:textId="77777777" w:rsidR="0028253A" w:rsidRDefault="0028253A" w:rsidP="009209DD">
                  <w:pPr>
                    <w:pStyle w:val="ac"/>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SimSun" w:cs="Arial"/>
                      <w:color w:val="FF0000"/>
                      <w:szCs w:val="18"/>
                      <w:lang w:eastAsia="zh-CN"/>
                    </w:rPr>
                  </w:pPr>
                  <w:r>
                    <w:rPr>
                      <w:rFonts w:eastAsia="SimSun" w:cs="Arial"/>
                      <w:strike/>
                      <w:color w:val="FF0000"/>
                      <w:szCs w:val="18"/>
                      <w:lang w:eastAsia="zh-CN"/>
                    </w:rPr>
                    <w:t>[Increasing the number of HARQ processes avoids HARQ stalling]</w:t>
                  </w:r>
                  <w:r>
                    <w:rPr>
                      <w:rFonts w:eastAsia="SimSun"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proofErr w:type="gramStart"/>
                  <w:r>
                    <w:rPr>
                      <w:rFonts w:cs="Arial"/>
                      <w:color w:val="FF0000"/>
                      <w:szCs w:val="18"/>
                    </w:rPr>
                    <w:t>X</w:t>
                  </w:r>
                  <w:r>
                    <w:rPr>
                      <w:rFonts w:cs="Arial"/>
                      <w:color w:val="0070C0"/>
                      <w:szCs w:val="18"/>
                    </w:rPr>
                    <w:t>,Y</w:t>
                  </w:r>
                  <w:proofErr w:type="gramEnd"/>
                  <w:r>
                    <w:rPr>
                      <w:rFonts w:cs="Arial"/>
                      <w:color w:val="0070C0"/>
                      <w:szCs w:val="18"/>
                    </w:rPr>
                    <w:t>)</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above 52.6GHz, the following two FGs were agreed on the support of 32 HARQ </w:t>
            </w:r>
            <w:proofErr w:type="gramStart"/>
            <w:r>
              <w:rPr>
                <w:sz w:val="22"/>
                <w:szCs w:val="22"/>
              </w:rPr>
              <w:t>processes  in</w:t>
            </w:r>
            <w:proofErr w:type="gramEnd"/>
            <w:r>
              <w:rPr>
                <w:sz w:val="22"/>
                <w:szCs w:val="22"/>
              </w:rPr>
              <w:t xml:space="preserve">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lastRenderedPageBreak/>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SimSun"/>
                <w:sz w:val="22"/>
                <w:szCs w:val="22"/>
              </w:rPr>
            </w:pPr>
            <w:r w:rsidRPr="0030180F">
              <w:rPr>
                <w:rFonts w:eastAsia="SimSun"/>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 xml:space="preserve">expected to support hardware for more HARQ processes for receiving broadcast in Rel-17 in addition to the maximum number of HARQ processes supported for receiving unicast in Rel-16, </w:t>
            </w:r>
            <w:proofErr w:type="gramStart"/>
            <w:r w:rsidRPr="007A6514">
              <w:rPr>
                <w:sz w:val="22"/>
                <w:szCs w:val="22"/>
              </w:rPr>
              <w:t>i.e.</w:t>
            </w:r>
            <w:proofErr w:type="gramEnd"/>
            <w:r w:rsidRPr="007A6514">
              <w:rPr>
                <w:sz w:val="22"/>
                <w:szCs w:val="22"/>
              </w:rPr>
              <w:t xml:space="preserv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w:t>
            </w:r>
            <w:proofErr w:type="spellStart"/>
            <w:r>
              <w:rPr>
                <w:sz w:val="22"/>
                <w:szCs w:val="22"/>
              </w:rPr>
              <w:t>precdule</w:t>
            </w:r>
            <w:proofErr w:type="spellEnd"/>
            <w:r>
              <w:rPr>
                <w:sz w:val="22"/>
                <w:szCs w:val="22"/>
              </w:rPr>
              <w:t xml:space="preserv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w:t>
            </w:r>
            <w:proofErr w:type="spellStart"/>
            <w:r w:rsidRPr="0028253A">
              <w:rPr>
                <w:sz w:val="22"/>
                <w:szCs w:val="22"/>
                <w:lang w:eastAsia="zh-CN"/>
              </w:rPr>
              <w:t>ackowleged</w:t>
            </w:r>
            <w:proofErr w:type="spellEnd"/>
            <w:r w:rsidRPr="0028253A">
              <w:rPr>
                <w:sz w:val="22"/>
                <w:szCs w:val="22"/>
                <w:lang w:eastAsia="zh-CN"/>
              </w:rPr>
              <w:t xml:space="preserve">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ac"/>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t>
            </w:r>
            <w:proofErr w:type="spellStart"/>
            <w:r w:rsidRPr="0028253A">
              <w:rPr>
                <w:sz w:val="22"/>
                <w:szCs w:val="22"/>
                <w:lang w:eastAsia="zh-CN"/>
              </w:rPr>
              <w:t>WIs.</w:t>
            </w:r>
            <w:proofErr w:type="spellEnd"/>
            <w:r w:rsidRPr="0028253A">
              <w:rPr>
                <w:sz w:val="22"/>
                <w:szCs w:val="22"/>
                <w:lang w:eastAsia="zh-CN"/>
              </w:rPr>
              <w:t xml:space="preserve"> </w:t>
            </w:r>
          </w:p>
          <w:p w14:paraId="04914099" w14:textId="77777777" w:rsidR="0028253A" w:rsidRPr="0028253A" w:rsidRDefault="0028253A" w:rsidP="009209DD">
            <w:pPr>
              <w:pStyle w:val="ac"/>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w:t>
            </w:r>
            <w:proofErr w:type="spellStart"/>
            <w:r w:rsidRPr="0028253A">
              <w:rPr>
                <w:sz w:val="22"/>
                <w:szCs w:val="22"/>
                <w:lang w:eastAsia="zh-CN"/>
              </w:rPr>
              <w:t>capabilitie</w:t>
            </w:r>
            <w:proofErr w:type="spellEnd"/>
            <w:r w:rsidRPr="0028253A">
              <w:rPr>
                <w:sz w:val="22"/>
                <w:szCs w:val="22"/>
                <w:lang w:eastAsia="zh-CN"/>
              </w:rPr>
              <w:t xml:space="preserve"> such as above 52.6GHz, NTN or MBS. </w:t>
            </w:r>
          </w:p>
          <w:p w14:paraId="5367E57A" w14:textId="77777777" w:rsidR="0028253A" w:rsidRPr="0028253A" w:rsidRDefault="0028253A" w:rsidP="009209DD">
            <w:pPr>
              <w:pStyle w:val="ac"/>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ac"/>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w:t>
            </w:r>
            <w:proofErr w:type="spellStart"/>
            <w:r w:rsidRPr="0028253A">
              <w:rPr>
                <w:sz w:val="22"/>
                <w:szCs w:val="22"/>
                <w:lang w:eastAsia="zh-CN"/>
              </w:rPr>
              <w:t>combinitions</w:t>
            </w:r>
            <w:proofErr w:type="spellEnd"/>
            <w:r w:rsidRPr="0028253A">
              <w:rPr>
                <w:sz w:val="22"/>
                <w:szCs w:val="22"/>
                <w:lang w:eastAsia="zh-CN"/>
              </w:rPr>
              <w:t xml:space="preserve">. As a result, the support of 52.6GHz or NTN and the support of 32 HARQ processes can be naturally coupled together. </w:t>
            </w:r>
          </w:p>
          <w:p w14:paraId="22F7BC34" w14:textId="77777777" w:rsidR="0028253A" w:rsidRPr="0028253A" w:rsidRDefault="0028253A" w:rsidP="009209DD">
            <w:pPr>
              <w:pStyle w:val="ac"/>
              <w:numPr>
                <w:ilvl w:val="1"/>
                <w:numId w:val="14"/>
              </w:numPr>
              <w:spacing w:before="0"/>
              <w:contextualSpacing w:val="0"/>
              <w:rPr>
                <w:sz w:val="22"/>
                <w:szCs w:val="22"/>
                <w:lang w:eastAsia="zh-CN"/>
              </w:rPr>
            </w:pPr>
            <w:r w:rsidRPr="0028253A">
              <w:rPr>
                <w:sz w:val="22"/>
                <w:szCs w:val="22"/>
                <w:lang w:eastAsia="zh-CN"/>
              </w:rPr>
              <w:t xml:space="preserve">One </w:t>
            </w:r>
            <w:proofErr w:type="spellStart"/>
            <w:r w:rsidRPr="0028253A">
              <w:rPr>
                <w:sz w:val="22"/>
                <w:szCs w:val="22"/>
                <w:lang w:eastAsia="zh-CN"/>
              </w:rPr>
              <w:t>addtional</w:t>
            </w:r>
            <w:proofErr w:type="spellEnd"/>
            <w:r w:rsidRPr="0028253A">
              <w:rPr>
                <w:sz w:val="22"/>
                <w:szCs w:val="22"/>
                <w:lang w:eastAsia="zh-CN"/>
              </w:rPr>
              <w:t xml:space="preserve"> benefit by doing so is that the support of 32 HARQ processes can be extended for licensed terrestrial bands. </w:t>
            </w:r>
          </w:p>
          <w:p w14:paraId="14FBD4DC" w14:textId="77777777" w:rsidR="0028253A" w:rsidRPr="0028253A" w:rsidRDefault="0028253A" w:rsidP="009209DD">
            <w:pPr>
              <w:pStyle w:val="ac"/>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w:t>
            </w:r>
            <w:proofErr w:type="spellStart"/>
            <w:r w:rsidRPr="0028253A">
              <w:rPr>
                <w:sz w:val="22"/>
                <w:szCs w:val="22"/>
                <w:lang w:eastAsia="zh-CN"/>
              </w:rPr>
              <w:t>ULand</w:t>
            </w:r>
            <w:proofErr w:type="spellEnd"/>
            <w:r w:rsidRPr="0028253A">
              <w:rPr>
                <w:sz w:val="22"/>
                <w:szCs w:val="22"/>
                <w:lang w:eastAsia="zh-CN"/>
              </w:rPr>
              <w:t xml:space="preserve"> DL while in above 52.6GHz two FGs are defined separately for UL and DL. Even though there may be no </w:t>
            </w:r>
            <w:proofErr w:type="spellStart"/>
            <w:r w:rsidRPr="0028253A">
              <w:rPr>
                <w:sz w:val="22"/>
                <w:szCs w:val="22"/>
                <w:lang w:eastAsia="zh-CN"/>
              </w:rPr>
              <w:t>pratical</w:t>
            </w:r>
            <w:proofErr w:type="spellEnd"/>
            <w:r w:rsidRPr="0028253A">
              <w:rPr>
                <w:sz w:val="22"/>
                <w:szCs w:val="22"/>
                <w:lang w:eastAsia="zh-CN"/>
              </w:rPr>
              <w:t xml:space="preserve">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SimSun"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SimSun"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8.16.2</w:t>
      </w:r>
      <w:r>
        <w:rPr>
          <w:rFonts w:ascii="Calibri" w:eastAsia="SimSun"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ＭＳ 明朝" w:hAnsi="Calibri" w:cs="Calibri"/>
                <w:color w:val="000000"/>
              </w:rPr>
            </w:pPr>
            <w:r w:rsidRPr="00434D06">
              <w:rPr>
                <w:rFonts w:ascii="Calibri" w:eastAsia="ＭＳ 明朝"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ac"/>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04FB183B" w:rsidR="0028253A" w:rsidRDefault="00523F51" w:rsidP="008A5387">
            <w:pPr>
              <w:pStyle w:val="ac"/>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7216" behindDoc="0" locked="0" layoutInCell="1" allowOverlap="1" wp14:anchorId="02895D2F" wp14:editId="05FE39C6">
                      <wp:simplePos x="0" y="0"/>
                      <wp:positionH relativeFrom="column">
                        <wp:posOffset>280035</wp:posOffset>
                      </wp:positionH>
                      <wp:positionV relativeFrom="paragraph">
                        <wp:posOffset>125730</wp:posOffset>
                      </wp:positionV>
                      <wp:extent cx="12636500" cy="66167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661670"/>
                              </a:xfrm>
                              <a:prstGeom prst="rect">
                                <a:avLst/>
                              </a:prstGeom>
                              <a:solidFill>
                                <a:srgbClr val="FFFFFF"/>
                              </a:solidFill>
                              <a:ln w="9525">
                                <a:solidFill>
                                  <a:srgbClr val="000000"/>
                                </a:solidFill>
                                <a:miter lim="800000"/>
                                <a:headEnd/>
                                <a:tailEnd/>
                              </a:ln>
                            </wps:spPr>
                            <wps:txbx>
                              <w:txbxContent>
                                <w:p w14:paraId="288C6ED7" w14:textId="77777777" w:rsidR="007C5032" w:rsidRPr="00F465F1" w:rsidRDefault="007C5032" w:rsidP="0028253A">
                                  <w:pPr>
                                    <w:rPr>
                                      <w:b/>
                                      <w:bCs/>
                                      <w:iCs/>
                                      <w:lang w:eastAsia="x-none"/>
                                    </w:rPr>
                                  </w:pPr>
                                  <w:r w:rsidRPr="00F465F1">
                                    <w:rPr>
                                      <w:b/>
                                      <w:bCs/>
                                      <w:iCs/>
                                      <w:highlight w:val="green"/>
                                      <w:lang w:eastAsia="x-none"/>
                                    </w:rPr>
                                    <w:t>Agreement</w:t>
                                  </w:r>
                                </w:p>
                                <w:p w14:paraId="2E84FAE9"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95D2F"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5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">
                      <v:textbox style="mso-fit-shape-to-text:t">
                        <w:txbxContent>
                          <w:p w14:paraId="288C6ED7" w14:textId="77777777" w:rsidR="007C5032" w:rsidRPr="00F465F1" w:rsidRDefault="007C5032" w:rsidP="0028253A">
                            <w:pPr>
                              <w:rPr>
                                <w:b/>
                                <w:bCs/>
                                <w:iCs/>
                                <w:lang w:eastAsia="x-none"/>
                              </w:rPr>
                            </w:pPr>
                            <w:r w:rsidRPr="00F465F1">
                              <w:rPr>
                                <w:b/>
                                <w:bCs/>
                                <w:iCs/>
                                <w:highlight w:val="green"/>
                                <w:lang w:eastAsia="x-none"/>
                              </w:rPr>
                              <w:t>Agreement</w:t>
                            </w:r>
                          </w:p>
                          <w:p w14:paraId="2E84FAE9"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ac"/>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ac"/>
              <w:spacing w:beforeLines="50" w:before="120" w:afterLines="50"/>
              <w:ind w:left="0"/>
              <w:contextualSpacing w:val="0"/>
              <w:rPr>
                <w:b/>
                <w:lang w:eastAsia="zh-CN"/>
              </w:rPr>
            </w:pPr>
            <w:r>
              <w:rPr>
                <w:b/>
                <w:i/>
                <w:lang w:eastAsia="zh-CN"/>
              </w:rPr>
              <w:lastRenderedPageBreak/>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w:t>
            </w:r>
            <w:proofErr w:type="gramStart"/>
            <w:r>
              <w:rPr>
                <w:b/>
                <w:i/>
                <w:lang w:eastAsia="zh-CN"/>
              </w:rPr>
              <w:t>i.e.</w:t>
            </w:r>
            <w:proofErr w:type="gramEnd"/>
            <w:r>
              <w:rPr>
                <w:b/>
                <w:i/>
                <w:lang w:eastAsia="zh-CN"/>
              </w:rPr>
              <w:t xml:space="preserv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Optional with capability </w:t>
                  </w:r>
                  <w:proofErr w:type="spellStart"/>
                  <w:r w:rsidRPr="009209DD">
                    <w:rPr>
                      <w:rFonts w:cs="Arial"/>
                      <w:color w:val="000000"/>
                      <w:sz w:val="18"/>
                      <w:szCs w:val="18"/>
                    </w:rPr>
                    <w:t>signalling</w:t>
                  </w:r>
                  <w:proofErr w:type="spellEnd"/>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SimSun"/>
                <w:szCs w:val="24"/>
                <w:u w:val="single"/>
                <w:lang w:eastAsia="zh-CN"/>
              </w:rPr>
            </w:pPr>
            <w:proofErr w:type="spellStart"/>
            <w:r>
              <w:rPr>
                <w:rFonts w:eastAsia="SimSun"/>
                <w:szCs w:val="24"/>
                <w:u w:val="single"/>
                <w:lang w:eastAsia="zh-CN"/>
              </w:rPr>
              <w:t>ew</w:t>
            </w:r>
            <w:proofErr w:type="spellEnd"/>
            <w:r>
              <w:rPr>
                <w:rFonts w:eastAsia="SimSun"/>
                <w:szCs w:val="24"/>
                <w:u w:val="single"/>
                <w:lang w:eastAsia="zh-CN"/>
              </w:rPr>
              <w:t xml:space="preserve"> FG for 32 HARQ processes</w:t>
            </w:r>
          </w:p>
          <w:p w14:paraId="20CC622F" w14:textId="77777777" w:rsidR="0028253A" w:rsidRDefault="0028253A" w:rsidP="008A5387">
            <w:pPr>
              <w:rPr>
                <w:rFonts w:eastAsia="SimSun"/>
                <w:szCs w:val="24"/>
                <w:lang w:eastAsia="zh-CN"/>
              </w:rPr>
            </w:pPr>
            <w:r>
              <w:rPr>
                <w:rFonts w:eastAsia="SimSun"/>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ＭＳ 明朝"/>
                <w:lang w:eastAsia="ja-JP"/>
              </w:rPr>
            </w:pPr>
            <w:r>
              <w:rPr>
                <w:rFonts w:eastAsia="ＭＳ 明朝" w:hint="eastAsia"/>
                <w:lang w:eastAsia="ja-JP"/>
              </w:rPr>
              <w:t>F</w:t>
            </w:r>
            <w:r>
              <w:rPr>
                <w:rFonts w:eastAsia="ＭＳ 明朝"/>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ＭＳ 明朝"/>
                      <w:lang w:eastAsia="ja-JP"/>
                    </w:rPr>
                  </w:pPr>
                </w:p>
              </w:tc>
            </w:tr>
          </w:tbl>
          <w:p w14:paraId="55C47E6A" w14:textId="77777777" w:rsidR="0028253A" w:rsidRDefault="0028253A" w:rsidP="008A5387">
            <w:pPr>
              <w:rPr>
                <w:rFonts w:eastAsia="ＭＳ 明朝"/>
                <w:lang w:eastAsia="ja-JP"/>
              </w:rPr>
            </w:pPr>
            <w:r>
              <w:rPr>
                <w:rFonts w:eastAsia="ＭＳ 明朝"/>
                <w:lang w:eastAsia="ja-JP"/>
              </w:rPr>
              <w:t xml:space="preserve">The agreement above can be interpreted by itself such that 1) we </w:t>
            </w:r>
            <w:proofErr w:type="gramStart"/>
            <w:r>
              <w:rPr>
                <w:rFonts w:eastAsia="ＭＳ 明朝"/>
                <w:lang w:eastAsia="ja-JP"/>
              </w:rPr>
              <w:t>have to</w:t>
            </w:r>
            <w:proofErr w:type="gramEnd"/>
            <w:r>
              <w:rPr>
                <w:rFonts w:eastAsia="ＭＳ 明朝"/>
                <w:lang w:eastAsia="ja-JP"/>
              </w:rPr>
              <w:t xml:space="preserve">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w:t>
            </w:r>
            <w:proofErr w:type="gramStart"/>
            <w:r>
              <w:rPr>
                <w:rFonts w:eastAsia="ＭＳ 明朝"/>
                <w:lang w:eastAsia="ja-JP"/>
              </w:rPr>
              <w:t>based on the fact that</w:t>
            </w:r>
            <w:proofErr w:type="gramEnd"/>
            <w:r>
              <w:rPr>
                <w:rFonts w:eastAsia="ＭＳ 明朝"/>
                <w:lang w:eastAsia="ja-JP"/>
              </w:rPr>
              <w:t xml:space="preserve">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ＭＳ 明朝"/>
                <w:lang w:eastAsia="ja-JP"/>
              </w:rPr>
              <w:t>an</w:t>
            </w:r>
            <w:proofErr w:type="gramEnd"/>
            <w:r>
              <w:rPr>
                <w:rFonts w:eastAsia="ＭＳ 明朝"/>
                <w:lang w:eastAsia="ja-JP"/>
              </w:rPr>
              <w:t xml:space="preserve">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ＭＳ 明朝"/>
                <w:lang w:eastAsia="ja-JP"/>
              </w:rPr>
            </w:pPr>
          </w:p>
          <w:p w14:paraId="23187DFF" w14:textId="77777777" w:rsidR="0028253A" w:rsidRDefault="0028253A" w:rsidP="008A5387">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ac"/>
              <w:numPr>
                <w:ilvl w:val="0"/>
                <w:numId w:val="17"/>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ac"/>
              <w:numPr>
                <w:ilvl w:val="0"/>
                <w:numId w:val="17"/>
              </w:numPr>
              <w:spacing w:beforeLines="50" w:before="120" w:afterLines="50"/>
              <w:contextualSpacing w:val="0"/>
            </w:pPr>
            <w:r>
              <w:rPr>
                <w:rFonts w:hint="eastAsia"/>
              </w:rPr>
              <w:lastRenderedPageBreak/>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ＭＳ 明朝"/>
                <w:lang w:eastAsia="ja-JP"/>
              </w:rPr>
            </w:pPr>
          </w:p>
          <w:p w14:paraId="730467C6" w14:textId="77777777" w:rsidR="0028253A" w:rsidRPr="004D6C21" w:rsidRDefault="0028253A" w:rsidP="008A5387">
            <w:pPr>
              <w:rPr>
                <w:rFonts w:eastAsia="ＭＳ 明朝"/>
                <w:lang w:eastAsia="ja-JP"/>
              </w:rPr>
            </w:pPr>
            <w:r>
              <w:rPr>
                <w:rFonts w:eastAsia="ＭＳ 明朝"/>
                <w:lang w:eastAsia="ja-JP"/>
              </w:rPr>
              <w:t xml:space="preserve">Also, as FG24-8 and FG24-9, there is still an issue specific to FR2-2. If we are to merge it with the one in NR NTN WI, such WI-specific issues may need to be considered even in other </w:t>
            </w:r>
            <w:proofErr w:type="spellStart"/>
            <w:r>
              <w:rPr>
                <w:rFonts w:eastAsia="ＭＳ 明朝"/>
                <w:lang w:eastAsia="ja-JP"/>
              </w:rPr>
              <w:t>WIs.</w:t>
            </w:r>
            <w:proofErr w:type="spellEnd"/>
            <w:r>
              <w:rPr>
                <w:rFonts w:eastAsia="ＭＳ 明朝"/>
                <w:lang w:eastAsia="ja-JP"/>
              </w:rPr>
              <w:t xml:space="preserve"> We assume such direction just makes the discussion much more complex, and no clear need to do so is observed at this stage. </w:t>
            </w:r>
          </w:p>
          <w:p w14:paraId="0B0E0F0B" w14:textId="77777777" w:rsidR="0028253A" w:rsidRDefault="0028253A" w:rsidP="008A5387">
            <w:pPr>
              <w:rPr>
                <w:rFonts w:eastAsia="ＭＳ 明朝"/>
                <w:lang w:eastAsia="ja-JP"/>
              </w:rPr>
            </w:pPr>
          </w:p>
          <w:p w14:paraId="3563D311" w14:textId="77777777" w:rsidR="0028253A" w:rsidRDefault="0028253A" w:rsidP="008A5387">
            <w:pPr>
              <w:rPr>
                <w:rFonts w:eastAsia="ＭＳ 明朝"/>
                <w:lang w:eastAsia="ja-JP"/>
              </w:rPr>
            </w:pPr>
            <w:r>
              <w:rPr>
                <w:rFonts w:eastAsia="ＭＳ 明朝"/>
                <w:lang w:eastAsia="ja-JP"/>
              </w:rPr>
              <w:t>Given above, we suggest the following update for NR 52.6 – 71 GHz feature list:</w:t>
            </w:r>
          </w:p>
          <w:p w14:paraId="51A5043F" w14:textId="77777777" w:rsidR="0028253A" w:rsidRDefault="0028253A" w:rsidP="008A5387">
            <w:pPr>
              <w:rPr>
                <w:rFonts w:eastAsia="ＭＳ 明朝"/>
                <w:lang w:eastAsia="ja-JP"/>
              </w:rPr>
            </w:pPr>
          </w:p>
          <w:p w14:paraId="42A0D342" w14:textId="77777777" w:rsidR="0028253A" w:rsidRPr="006D12FA" w:rsidRDefault="0028253A" w:rsidP="008A5387">
            <w:pPr>
              <w:rPr>
                <w:rFonts w:eastAsia="ＭＳ 明朝"/>
                <w:i/>
                <w:iCs/>
                <w:lang w:eastAsia="ja-JP"/>
              </w:rPr>
            </w:pPr>
            <w:r>
              <w:rPr>
                <w:rStyle w:val="aff1"/>
                <w:rFonts w:eastAsia="ＭＳ 明朝" w:hint="eastAsia"/>
                <w:b/>
                <w:u w:val="single"/>
                <w:lang w:eastAsia="ja-JP"/>
              </w:rPr>
              <w:t xml:space="preserve">Proposal </w:t>
            </w:r>
            <w:r>
              <w:rPr>
                <w:rStyle w:val="aff1"/>
                <w:rFonts w:eastAsia="ＭＳ 明朝"/>
                <w:b/>
                <w:u w:val="single"/>
                <w:lang w:eastAsia="ja-JP"/>
              </w:rPr>
              <w:t>2</w:t>
            </w:r>
            <w:r w:rsidRPr="00AA42F5">
              <w:rPr>
                <w:rStyle w:val="aff1"/>
                <w:rFonts w:eastAsia="ＭＳ 明朝" w:hint="eastAsia"/>
                <w:b/>
                <w:lang w:eastAsia="ja-JP"/>
              </w:rPr>
              <w:t>:</w:t>
            </w:r>
            <w:r w:rsidRPr="00AA42F5">
              <w:rPr>
                <w:rStyle w:val="aff1"/>
                <w:rFonts w:eastAsia="ＭＳ 明朝" w:hint="eastAsia"/>
                <w:lang w:eastAsia="ja-JP"/>
              </w:rPr>
              <w:t xml:space="preserve"> </w:t>
            </w:r>
            <w:r>
              <w:rPr>
                <w:rStyle w:val="aff1"/>
                <w:rFonts w:eastAsia="ＭＳ 明朝"/>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ＭＳ ゴシック" w:cs="Arial"/>
                      <w:color w:val="000000"/>
                      <w:sz w:val="18"/>
                      <w:szCs w:val="18"/>
                      <w:lang w:eastAsia="ja-JP"/>
                    </w:rPr>
                    <w:t>Support 32 HARQ processes in DL</w:t>
                  </w:r>
                  <w:del w:id="13" w:author="Naoya Shibaike" w:date="2022-02-09T20:08:00Z">
                    <w:r w:rsidRPr="009209DD" w:rsidDel="00B1254E">
                      <w:rPr>
                        <w:rFonts w:eastAsia="ＭＳ ゴシック"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 xml:space="preserve">Optional with capability </w:t>
                  </w:r>
                  <w:proofErr w:type="spellStart"/>
                  <w:r w:rsidRPr="009209DD">
                    <w:rPr>
                      <w:rFonts w:eastAsia="SimSun" w:cs="Arial"/>
                      <w:color w:val="000000"/>
                      <w:sz w:val="18"/>
                      <w:szCs w:val="18"/>
                    </w:rPr>
                    <w:t>signalling</w:t>
                  </w:r>
                  <w:proofErr w:type="spellEnd"/>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afa"/>
            </w:pPr>
            <w:r>
              <w:t>For FG 24-8 and FG 24-</w:t>
            </w:r>
            <w:proofErr w:type="gramStart"/>
            <w:r>
              <w:t>9,  there</w:t>
            </w:r>
            <w:proofErr w:type="gramEnd"/>
            <w:r>
              <w:t xml:space="preserv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afa"/>
            </w:pPr>
          </w:p>
          <w:p w14:paraId="2FBE987A" w14:textId="77777777" w:rsidR="0028253A" w:rsidRDefault="0028253A" w:rsidP="008A5387">
            <w:pPr>
              <w:pStyle w:val="afa"/>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 xml:space="preserve">(similar to FG 10-1 </w:t>
            </w:r>
            <w:proofErr w:type="gramStart"/>
            <w:r>
              <w:rPr>
                <w:lang w:eastAsia="ko-KR"/>
              </w:rPr>
              <w:t>for  NR</w:t>
            </w:r>
            <w:proofErr w:type="gramEnd"/>
            <w:r>
              <w:rPr>
                <w:lang w:eastAsia="ko-KR"/>
              </w:rPr>
              <w:t>-U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ac"/>
              <w:numPr>
                <w:ilvl w:val="0"/>
                <w:numId w:val="20"/>
              </w:numPr>
              <w:spacing w:before="0" w:after="0"/>
              <w:contextualSpacing w:val="0"/>
              <w:jc w:val="left"/>
              <w:rPr>
                <w:b/>
                <w:u w:val="single"/>
              </w:rPr>
            </w:pPr>
            <w:r>
              <w:rPr>
                <w:b/>
                <w:u w:val="single"/>
              </w:rPr>
              <w:t xml:space="preserve">Keep the FGs separately from supporting 32 HARQ processes in </w:t>
            </w:r>
            <w:proofErr w:type="gramStart"/>
            <w:r>
              <w:rPr>
                <w:b/>
                <w:u w:val="single"/>
              </w:rPr>
              <w:t>NTN;</w:t>
            </w:r>
            <w:proofErr w:type="gramEnd"/>
          </w:p>
          <w:p w14:paraId="2AE03DC4" w14:textId="77777777" w:rsidR="0028253A" w:rsidRPr="006A74CB" w:rsidRDefault="0028253A" w:rsidP="009209DD">
            <w:pPr>
              <w:pStyle w:val="ac"/>
              <w:numPr>
                <w:ilvl w:val="0"/>
                <w:numId w:val="20"/>
              </w:numPr>
              <w:spacing w:before="0" w:after="0"/>
              <w:contextualSpacing w:val="0"/>
              <w:jc w:val="left"/>
              <w:rPr>
                <w:b/>
                <w:u w:val="single"/>
              </w:rPr>
            </w:pPr>
            <w:r>
              <w:rPr>
                <w:b/>
                <w:u w:val="single"/>
              </w:rPr>
              <w:t xml:space="preserve">“Type” of the FGs </w:t>
            </w:r>
            <w:proofErr w:type="gramStart"/>
            <w:r>
              <w:rPr>
                <w:b/>
                <w:u w:val="single"/>
              </w:rPr>
              <w:t>are</w:t>
            </w:r>
            <w:proofErr w:type="gramEnd"/>
            <w:r>
              <w:rPr>
                <w:b/>
                <w:u w:val="single"/>
              </w:rPr>
              <w:t xml:space="preserv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ＭＳ ゴシック" w:cs="Arial"/>
                      <w:color w:val="000000"/>
                      <w:sz w:val="18"/>
                      <w:szCs w:val="18"/>
                      <w:lang w:eastAsia="ja-JP"/>
                    </w:rPr>
                  </w:pPr>
                  <w:r w:rsidRPr="00F03264">
                    <w:rPr>
                      <w:rFonts w:eastAsia="ＭＳ ゴシック" w:cs="Arial"/>
                      <w:color w:val="000000"/>
                      <w:sz w:val="18"/>
                      <w:szCs w:val="18"/>
                      <w:lang w:eastAsia="ja-JP"/>
                    </w:rPr>
                    <w:t xml:space="preserve">Support 32 HARQ processes in DL for </w:t>
                  </w:r>
                  <w:ins w:id="17" w:author="Seonwook Kim" w:date="2022-02-14T11:56:00Z">
                    <w:r>
                      <w:rPr>
                        <w:rFonts w:eastAsia="ＭＳ ゴシック" w:cs="Arial"/>
                        <w:color w:val="000000"/>
                        <w:sz w:val="18"/>
                        <w:szCs w:val="18"/>
                        <w:lang w:eastAsia="ja-JP"/>
                      </w:rPr>
                      <w:t>120/</w:t>
                    </w:r>
                  </w:ins>
                  <w:r w:rsidRPr="00F03264">
                    <w:rPr>
                      <w:rFonts w:eastAsia="ＭＳ ゴシック"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SimSun" w:cs="Arial"/>
                      <w:color w:val="000000"/>
                      <w:sz w:val="18"/>
                      <w:szCs w:val="18"/>
                    </w:rPr>
                  </w:pPr>
                  <w:del w:id="18" w:author="Seonwook Kim" w:date="2022-02-14T11:56:00Z">
                    <w:r w:rsidRPr="00F03264" w:rsidDel="00482249">
                      <w:rPr>
                        <w:rFonts w:eastAsia="SimSun"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ＭＳ 明朝" w:hAnsi="Calibri" w:cs="Calibri"/>
                <w:color w:val="000000"/>
              </w:rPr>
            </w:pPr>
            <w:r w:rsidRPr="00434D06">
              <w:rPr>
                <w:rFonts w:ascii="Calibri" w:eastAsia="ＭＳ 明朝"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ac"/>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6F6A46EF" w:rsidR="0028253A" w:rsidRDefault="00523F51" w:rsidP="0028253A">
            <w:pPr>
              <w:pStyle w:val="ac"/>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8240" behindDoc="0" locked="0" layoutInCell="1" allowOverlap="1" wp14:anchorId="6AC87DBB" wp14:editId="46A2D24A">
                      <wp:simplePos x="0" y="0"/>
                      <wp:positionH relativeFrom="column">
                        <wp:posOffset>280035</wp:posOffset>
                      </wp:positionH>
                      <wp:positionV relativeFrom="paragraph">
                        <wp:posOffset>125730</wp:posOffset>
                      </wp:positionV>
                      <wp:extent cx="12611100" cy="66167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661670"/>
                              </a:xfrm>
                              <a:prstGeom prst="rect">
                                <a:avLst/>
                              </a:prstGeom>
                              <a:solidFill>
                                <a:srgbClr val="FFFFFF"/>
                              </a:solidFill>
                              <a:ln w="9525">
                                <a:solidFill>
                                  <a:srgbClr val="000000"/>
                                </a:solidFill>
                                <a:miter lim="800000"/>
                                <a:headEnd/>
                                <a:tailEnd/>
                              </a:ln>
                            </wps:spPr>
                            <wps:txbx>
                              <w:txbxContent>
                                <w:p w14:paraId="46D77AE8" w14:textId="77777777" w:rsidR="007C5032" w:rsidRPr="00F465F1" w:rsidRDefault="007C5032" w:rsidP="0028253A">
                                  <w:pPr>
                                    <w:rPr>
                                      <w:b/>
                                      <w:bCs/>
                                      <w:iCs/>
                                      <w:lang w:eastAsia="x-none"/>
                                    </w:rPr>
                                  </w:pPr>
                                  <w:r w:rsidRPr="00F465F1">
                                    <w:rPr>
                                      <w:b/>
                                      <w:bCs/>
                                      <w:iCs/>
                                      <w:highlight w:val="green"/>
                                      <w:lang w:eastAsia="x-none"/>
                                    </w:rPr>
                                    <w:t>Agreement</w:t>
                                  </w:r>
                                </w:p>
                                <w:p w14:paraId="5392F00B"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87DBB" id="_x0000_s1027" type="#_x0000_t202" style="position:absolute;left:0;text-align:left;margin-left:22.05pt;margin-top:9.9pt;width:993pt;height:5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">
                      <v:textbox style="mso-fit-shape-to-text:t">
                        <w:txbxContent>
                          <w:p w14:paraId="46D77AE8" w14:textId="77777777" w:rsidR="007C5032" w:rsidRPr="00F465F1" w:rsidRDefault="007C5032" w:rsidP="0028253A">
                            <w:pPr>
                              <w:rPr>
                                <w:b/>
                                <w:bCs/>
                                <w:iCs/>
                                <w:lang w:eastAsia="x-none"/>
                              </w:rPr>
                            </w:pPr>
                            <w:r w:rsidRPr="00F465F1">
                              <w:rPr>
                                <w:b/>
                                <w:bCs/>
                                <w:iCs/>
                                <w:highlight w:val="green"/>
                                <w:lang w:eastAsia="x-none"/>
                              </w:rPr>
                              <w:t>Agreement</w:t>
                            </w:r>
                          </w:p>
                          <w:p w14:paraId="5392F00B"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ac"/>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ac"/>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w:t>
            </w:r>
            <w:proofErr w:type="gramStart"/>
            <w:r>
              <w:rPr>
                <w:b/>
                <w:i/>
                <w:lang w:eastAsia="zh-CN"/>
              </w:rPr>
              <w:t>i.e.</w:t>
            </w:r>
            <w:proofErr w:type="gramEnd"/>
            <w:r>
              <w:rPr>
                <w:b/>
                <w:i/>
                <w:lang w:eastAsia="zh-CN"/>
              </w:rPr>
              <w:t xml:space="preserv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Optional with capability </w:t>
                  </w:r>
                  <w:proofErr w:type="spellStart"/>
                  <w:r w:rsidRPr="009209DD">
                    <w:rPr>
                      <w:rFonts w:cs="Arial"/>
                      <w:color w:val="000000"/>
                      <w:sz w:val="18"/>
                      <w:szCs w:val="18"/>
                    </w:rPr>
                    <w:t>signalling</w:t>
                  </w:r>
                  <w:proofErr w:type="spellEnd"/>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SimSun"/>
                <w:szCs w:val="24"/>
                <w:u w:val="single"/>
                <w:lang w:eastAsia="zh-CN"/>
              </w:rPr>
            </w:pPr>
            <w:proofErr w:type="spellStart"/>
            <w:r>
              <w:rPr>
                <w:rFonts w:eastAsia="SimSun"/>
                <w:szCs w:val="24"/>
                <w:u w:val="single"/>
                <w:lang w:eastAsia="zh-CN"/>
              </w:rPr>
              <w:t>ew</w:t>
            </w:r>
            <w:proofErr w:type="spellEnd"/>
            <w:r>
              <w:rPr>
                <w:rFonts w:eastAsia="SimSun"/>
                <w:szCs w:val="24"/>
                <w:u w:val="single"/>
                <w:lang w:eastAsia="zh-CN"/>
              </w:rPr>
              <w:t xml:space="preserve"> FG for 32 HARQ processes</w:t>
            </w:r>
          </w:p>
          <w:p w14:paraId="45EB4522" w14:textId="77777777" w:rsidR="0028253A" w:rsidRDefault="0028253A" w:rsidP="0028253A">
            <w:pPr>
              <w:rPr>
                <w:rFonts w:eastAsia="SimSun"/>
                <w:szCs w:val="24"/>
                <w:lang w:eastAsia="zh-CN"/>
              </w:rPr>
            </w:pPr>
            <w:r>
              <w:rPr>
                <w:rFonts w:eastAsia="SimSun"/>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lastRenderedPageBreak/>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lastRenderedPageBreak/>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ＭＳ 明朝"/>
                <w:lang w:eastAsia="ja-JP"/>
              </w:rPr>
            </w:pPr>
            <w:r>
              <w:rPr>
                <w:rFonts w:eastAsia="ＭＳ 明朝" w:hint="eastAsia"/>
                <w:lang w:eastAsia="ja-JP"/>
              </w:rPr>
              <w:t>F</w:t>
            </w:r>
            <w:r>
              <w:rPr>
                <w:rFonts w:eastAsia="ＭＳ 明朝"/>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ＭＳ 明朝"/>
                      <w:lang w:eastAsia="ja-JP"/>
                    </w:rPr>
                  </w:pPr>
                </w:p>
              </w:tc>
            </w:tr>
          </w:tbl>
          <w:p w14:paraId="44F9F57A" w14:textId="77777777" w:rsidR="0028253A" w:rsidRDefault="0028253A" w:rsidP="0028253A">
            <w:pPr>
              <w:rPr>
                <w:rFonts w:eastAsia="ＭＳ 明朝"/>
                <w:lang w:eastAsia="ja-JP"/>
              </w:rPr>
            </w:pPr>
            <w:r>
              <w:rPr>
                <w:rFonts w:eastAsia="ＭＳ 明朝"/>
                <w:lang w:eastAsia="ja-JP"/>
              </w:rPr>
              <w:t xml:space="preserve">The agreement above can be interpreted by itself such that 1) we </w:t>
            </w:r>
            <w:proofErr w:type="gramStart"/>
            <w:r>
              <w:rPr>
                <w:rFonts w:eastAsia="ＭＳ 明朝"/>
                <w:lang w:eastAsia="ja-JP"/>
              </w:rPr>
              <w:t>have to</w:t>
            </w:r>
            <w:proofErr w:type="gramEnd"/>
            <w:r>
              <w:rPr>
                <w:rFonts w:eastAsia="ＭＳ 明朝"/>
                <w:lang w:eastAsia="ja-JP"/>
              </w:rPr>
              <w:t xml:space="preserve">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w:t>
            </w:r>
            <w:proofErr w:type="gramStart"/>
            <w:r>
              <w:rPr>
                <w:rFonts w:eastAsia="ＭＳ 明朝"/>
                <w:lang w:eastAsia="ja-JP"/>
              </w:rPr>
              <w:t>based on the fact that</w:t>
            </w:r>
            <w:proofErr w:type="gramEnd"/>
            <w:r>
              <w:rPr>
                <w:rFonts w:eastAsia="ＭＳ 明朝"/>
                <w:lang w:eastAsia="ja-JP"/>
              </w:rPr>
              <w:t xml:space="preserve">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ＭＳ 明朝"/>
                <w:lang w:eastAsia="ja-JP"/>
              </w:rPr>
              <w:t>an</w:t>
            </w:r>
            <w:proofErr w:type="gramEnd"/>
            <w:r>
              <w:rPr>
                <w:rFonts w:eastAsia="ＭＳ 明朝"/>
                <w:lang w:eastAsia="ja-JP"/>
              </w:rPr>
              <w:t xml:space="preserve">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ＭＳ 明朝"/>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ac"/>
              <w:numPr>
                <w:ilvl w:val="0"/>
                <w:numId w:val="17"/>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ac"/>
              <w:numPr>
                <w:ilvl w:val="0"/>
                <w:numId w:val="17"/>
              </w:numPr>
              <w:spacing w:beforeLines="50" w:before="120" w:afterLines="50"/>
              <w:contextualSpacing w:val="0"/>
            </w:pPr>
            <w:r>
              <w:rPr>
                <w:rFonts w:hint="eastAsia"/>
              </w:rPr>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ＭＳ 明朝"/>
                <w:lang w:eastAsia="ja-JP"/>
              </w:rPr>
            </w:pPr>
          </w:p>
          <w:p w14:paraId="64F27328" w14:textId="77777777" w:rsidR="0028253A" w:rsidRPr="004D6C21" w:rsidRDefault="0028253A" w:rsidP="0028253A">
            <w:pPr>
              <w:rPr>
                <w:rFonts w:eastAsia="ＭＳ 明朝"/>
                <w:lang w:eastAsia="ja-JP"/>
              </w:rPr>
            </w:pPr>
            <w:r>
              <w:rPr>
                <w:rFonts w:eastAsia="ＭＳ 明朝"/>
                <w:lang w:eastAsia="ja-JP"/>
              </w:rPr>
              <w:t xml:space="preserve">Also, as FG24-8 and FG24-9, there is still an issue specific to FR2-2. If we are to merge it with the one in NR NTN WI, such WI-specific issues may need to be considered even in other </w:t>
            </w:r>
            <w:proofErr w:type="spellStart"/>
            <w:r>
              <w:rPr>
                <w:rFonts w:eastAsia="ＭＳ 明朝"/>
                <w:lang w:eastAsia="ja-JP"/>
              </w:rPr>
              <w:t>WIs.</w:t>
            </w:r>
            <w:proofErr w:type="spellEnd"/>
            <w:r>
              <w:rPr>
                <w:rFonts w:eastAsia="ＭＳ 明朝"/>
                <w:lang w:eastAsia="ja-JP"/>
              </w:rPr>
              <w:t xml:space="preserve"> We assume such direction just makes the discussion much more complex, and no clear need to do so is observed at this stage. </w:t>
            </w:r>
          </w:p>
          <w:p w14:paraId="44389F4C" w14:textId="77777777" w:rsidR="0028253A" w:rsidRDefault="0028253A" w:rsidP="0028253A">
            <w:pPr>
              <w:rPr>
                <w:rFonts w:eastAsia="ＭＳ 明朝"/>
                <w:lang w:eastAsia="ja-JP"/>
              </w:rPr>
            </w:pPr>
          </w:p>
          <w:p w14:paraId="4B43F150" w14:textId="77777777" w:rsidR="0028253A" w:rsidRDefault="0028253A" w:rsidP="0028253A">
            <w:pPr>
              <w:rPr>
                <w:rFonts w:eastAsia="ＭＳ 明朝"/>
                <w:lang w:eastAsia="ja-JP"/>
              </w:rPr>
            </w:pPr>
            <w:r>
              <w:rPr>
                <w:rFonts w:eastAsia="ＭＳ 明朝"/>
                <w:lang w:eastAsia="ja-JP"/>
              </w:rPr>
              <w:t>Given above, we suggest the following update for NR 52.6 – 71 GHz feature list:</w:t>
            </w:r>
          </w:p>
          <w:p w14:paraId="088D6794" w14:textId="77777777" w:rsidR="0028253A" w:rsidRDefault="0028253A" w:rsidP="0028253A">
            <w:pPr>
              <w:rPr>
                <w:rFonts w:eastAsia="ＭＳ 明朝"/>
                <w:lang w:eastAsia="ja-JP"/>
              </w:rPr>
            </w:pPr>
          </w:p>
          <w:p w14:paraId="33CB4041" w14:textId="77777777" w:rsidR="0028253A" w:rsidRPr="006D12FA" w:rsidRDefault="0028253A" w:rsidP="0028253A">
            <w:pPr>
              <w:rPr>
                <w:rFonts w:eastAsia="ＭＳ 明朝"/>
                <w:i/>
                <w:iCs/>
                <w:lang w:eastAsia="ja-JP"/>
              </w:rPr>
            </w:pPr>
            <w:r>
              <w:rPr>
                <w:rStyle w:val="aff1"/>
                <w:rFonts w:eastAsia="ＭＳ 明朝" w:hint="eastAsia"/>
                <w:b/>
                <w:u w:val="single"/>
                <w:lang w:eastAsia="ja-JP"/>
              </w:rPr>
              <w:t xml:space="preserve">Proposal </w:t>
            </w:r>
            <w:r>
              <w:rPr>
                <w:rStyle w:val="aff1"/>
                <w:rFonts w:eastAsia="ＭＳ 明朝"/>
                <w:b/>
                <w:u w:val="single"/>
                <w:lang w:eastAsia="ja-JP"/>
              </w:rPr>
              <w:t>2</w:t>
            </w:r>
            <w:r w:rsidRPr="00AA42F5">
              <w:rPr>
                <w:rStyle w:val="aff1"/>
                <w:rFonts w:eastAsia="ＭＳ 明朝" w:hint="eastAsia"/>
                <w:b/>
                <w:lang w:eastAsia="ja-JP"/>
              </w:rPr>
              <w:t>:</w:t>
            </w:r>
            <w:r w:rsidRPr="00AA42F5">
              <w:rPr>
                <w:rStyle w:val="aff1"/>
                <w:rFonts w:eastAsia="ＭＳ 明朝" w:hint="eastAsia"/>
                <w:lang w:eastAsia="ja-JP"/>
              </w:rPr>
              <w:t xml:space="preserve"> </w:t>
            </w:r>
            <w:r>
              <w:rPr>
                <w:rStyle w:val="aff1"/>
                <w:rFonts w:eastAsia="ＭＳ 明朝"/>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ＭＳ ゴシック" w:cs="Arial"/>
                      <w:color w:val="000000"/>
                      <w:sz w:val="18"/>
                      <w:szCs w:val="18"/>
                      <w:lang w:eastAsia="ja-JP"/>
                    </w:rPr>
                    <w:t>Support 32 HARQ processes in UL</w:t>
                  </w:r>
                  <w:del w:id="30" w:author="Naoya Shibaike" w:date="2022-02-09T20:08:00Z">
                    <w:r w:rsidRPr="009209DD" w:rsidDel="00B1254E">
                      <w:rPr>
                        <w:rFonts w:eastAsia="ＭＳ ゴシック"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 xml:space="preserve">Optional with capability </w:t>
                  </w:r>
                  <w:proofErr w:type="spellStart"/>
                  <w:r w:rsidRPr="009209DD">
                    <w:rPr>
                      <w:rFonts w:eastAsia="SimSun" w:cs="Arial"/>
                      <w:color w:val="000000"/>
                      <w:sz w:val="18"/>
                      <w:szCs w:val="18"/>
                    </w:rPr>
                    <w:t>signalling</w:t>
                  </w:r>
                  <w:proofErr w:type="spellEnd"/>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afa"/>
            </w:pPr>
            <w:r>
              <w:t>For FG 24-8 and FG 24-</w:t>
            </w:r>
            <w:proofErr w:type="gramStart"/>
            <w:r>
              <w:t>9,  there</w:t>
            </w:r>
            <w:proofErr w:type="gramEnd"/>
            <w:r>
              <w:t xml:space="preserv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afa"/>
            </w:pPr>
          </w:p>
          <w:p w14:paraId="75A3C88E" w14:textId="77777777" w:rsidR="0028253A" w:rsidRDefault="0028253A" w:rsidP="0028253A">
            <w:pPr>
              <w:pStyle w:val="afa"/>
            </w:pPr>
            <w:r>
              <w:lastRenderedPageBreak/>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 xml:space="preserve">(similar to FG 10-1 </w:t>
            </w:r>
            <w:proofErr w:type="gramStart"/>
            <w:r>
              <w:rPr>
                <w:lang w:eastAsia="ko-KR"/>
              </w:rPr>
              <w:t>for  NR</w:t>
            </w:r>
            <w:proofErr w:type="gramEnd"/>
            <w:r>
              <w:rPr>
                <w:lang w:eastAsia="ko-KR"/>
              </w:rPr>
              <w:t>-U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ac"/>
              <w:numPr>
                <w:ilvl w:val="0"/>
                <w:numId w:val="20"/>
              </w:numPr>
              <w:spacing w:before="0" w:after="0"/>
              <w:contextualSpacing w:val="0"/>
              <w:jc w:val="left"/>
              <w:rPr>
                <w:b/>
                <w:u w:val="single"/>
              </w:rPr>
            </w:pPr>
            <w:r>
              <w:rPr>
                <w:b/>
                <w:u w:val="single"/>
              </w:rPr>
              <w:t xml:space="preserve">Keep the FGs separately from supporting 32 HARQ processes in </w:t>
            </w:r>
            <w:proofErr w:type="gramStart"/>
            <w:r>
              <w:rPr>
                <w:b/>
                <w:u w:val="single"/>
              </w:rPr>
              <w:t>NTN;</w:t>
            </w:r>
            <w:proofErr w:type="gramEnd"/>
          </w:p>
          <w:p w14:paraId="046F01F8" w14:textId="77777777" w:rsidR="0028253A" w:rsidRPr="006A74CB" w:rsidRDefault="0028253A" w:rsidP="009209DD">
            <w:pPr>
              <w:pStyle w:val="ac"/>
              <w:numPr>
                <w:ilvl w:val="0"/>
                <w:numId w:val="20"/>
              </w:numPr>
              <w:spacing w:before="0" w:after="0"/>
              <w:contextualSpacing w:val="0"/>
              <w:jc w:val="left"/>
              <w:rPr>
                <w:b/>
                <w:u w:val="single"/>
              </w:rPr>
            </w:pPr>
            <w:r>
              <w:rPr>
                <w:b/>
                <w:u w:val="single"/>
              </w:rPr>
              <w:t xml:space="preserve">“Type” of the FGs </w:t>
            </w:r>
            <w:proofErr w:type="gramStart"/>
            <w:r>
              <w:rPr>
                <w:b/>
                <w:u w:val="single"/>
              </w:rPr>
              <w:t>are</w:t>
            </w:r>
            <w:proofErr w:type="gramEnd"/>
            <w:r>
              <w:rPr>
                <w:b/>
                <w:u w:val="single"/>
              </w:rPr>
              <w:t xml:space="preserv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ＭＳ ゴシック" w:cs="Arial"/>
                      <w:color w:val="000000"/>
                      <w:sz w:val="18"/>
                      <w:szCs w:val="18"/>
                      <w:lang w:eastAsia="ja-JP"/>
                    </w:rPr>
                  </w:pPr>
                  <w:r w:rsidRPr="00F03264">
                    <w:rPr>
                      <w:rFonts w:eastAsia="ＭＳ ゴシック" w:cs="Arial"/>
                      <w:color w:val="000000"/>
                      <w:sz w:val="18"/>
                      <w:szCs w:val="18"/>
                      <w:lang w:eastAsia="ja-JP"/>
                    </w:rPr>
                    <w:t xml:space="preserve">Support 32 HARQ processes in UL for </w:t>
                  </w:r>
                  <w:ins w:id="33" w:author="Seonwook Kim" w:date="2022-02-14T11:56:00Z">
                    <w:r>
                      <w:rPr>
                        <w:rFonts w:eastAsia="ＭＳ ゴシック" w:cs="Arial"/>
                        <w:color w:val="000000"/>
                        <w:sz w:val="18"/>
                        <w:szCs w:val="18"/>
                        <w:lang w:eastAsia="ja-JP"/>
                      </w:rPr>
                      <w:t>120/</w:t>
                    </w:r>
                  </w:ins>
                  <w:r w:rsidRPr="00F03264">
                    <w:rPr>
                      <w:rFonts w:eastAsia="ＭＳ ゴシック"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SimSun" w:cs="Arial"/>
                      <w:color w:val="000000"/>
                      <w:sz w:val="18"/>
                      <w:szCs w:val="18"/>
                    </w:rPr>
                  </w:pPr>
                  <w:del w:id="34" w:author="Seonwook Kim" w:date="2022-02-14T11:56:00Z">
                    <w:r w:rsidRPr="00F03264" w:rsidDel="00482249">
                      <w:rPr>
                        <w:rFonts w:eastAsia="SimSun"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SimSun" w:hAnsi="Calibri" w:cs="Calibri"/>
          <w:lang w:eastAsia="zh-CN"/>
        </w:rPr>
      </w:pPr>
    </w:p>
    <w:p w14:paraId="7EACDDE9" w14:textId="1CBDC250" w:rsidR="0028253A" w:rsidRDefault="0028253A" w:rsidP="004D050E">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w:t>
      </w:r>
      <w:r w:rsidR="00AF41CE">
        <w:rPr>
          <w:rFonts w:ascii="Calibri" w:eastAsia="SimSun" w:hAnsi="Calibri" w:cs="Calibri"/>
          <w:lang w:eastAsia="zh-CN"/>
        </w:rPr>
        <w:t>4</w:t>
      </w:r>
      <w:r>
        <w:rPr>
          <w:rFonts w:ascii="Calibri" w:eastAsia="SimSun"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16"/>
        <w:gridCol w:w="2068"/>
        <w:gridCol w:w="2958"/>
        <w:gridCol w:w="222"/>
        <w:gridCol w:w="527"/>
        <w:gridCol w:w="447"/>
        <w:gridCol w:w="2451"/>
        <w:gridCol w:w="1569"/>
        <w:gridCol w:w="447"/>
        <w:gridCol w:w="447"/>
        <w:gridCol w:w="222"/>
        <w:gridCol w:w="3385"/>
        <w:gridCol w:w="5227"/>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proofErr w:type="spellStart"/>
            <w:r w:rsidRPr="003036E0">
              <w:rPr>
                <w:rFonts w:ascii="Arial" w:hAnsi="Arial" w:cs="Arial"/>
                <w:color w:val="000000"/>
                <w:sz w:val="18"/>
                <w:szCs w:val="18"/>
                <w:lang w:eastAsia="ja-JP"/>
              </w:rPr>
              <w:t>NR_NTN_solutions</w:t>
            </w:r>
            <w:proofErr w:type="spellEnd"/>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w:t>
            </w:r>
            <w:proofErr w:type="gramStart"/>
            <w:r w:rsidRPr="003036E0">
              <w:rPr>
                <w:rFonts w:ascii="Arial" w:hAnsi="Arial" w:cs="Arial"/>
                <w:color w:val="000000"/>
                <w:sz w:val="18"/>
                <w:szCs w:val="18"/>
              </w:rPr>
              <w:t>X,Y</w:t>
            </w:r>
            <w:proofErr w:type="gramEnd"/>
            <w:r w:rsidRPr="003036E0">
              <w:rPr>
                <w:rFonts w:ascii="Arial" w:hAnsi="Arial" w:cs="Arial"/>
                <w:color w:val="000000"/>
                <w:sz w:val="18"/>
                <w:szCs w:val="18"/>
              </w:rPr>
              <w:t>):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ＭＳ 明朝" w:hAnsi="Calibri" w:cs="Calibri"/>
                <w:color w:val="000000"/>
              </w:rPr>
            </w:pPr>
            <w:r w:rsidRPr="00434D06">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ＭＳ 明朝" w:hAnsi="Calibri" w:cs="Calibri"/>
                <w:color w:val="000000"/>
              </w:rPr>
            </w:pPr>
            <w:r w:rsidRPr="00434D06">
              <w:rPr>
                <w:rFonts w:ascii="Calibri" w:eastAsia="ＭＳ 明朝"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ac"/>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ac"/>
              <w:numPr>
                <w:ilvl w:val="0"/>
                <w:numId w:val="17"/>
              </w:numPr>
              <w:spacing w:beforeLines="50" w:before="120" w:afterLines="50"/>
              <w:ind w:firstLine="440"/>
              <w:contextualSpacing w:val="0"/>
              <w:rPr>
                <w:sz w:val="22"/>
              </w:rPr>
            </w:pPr>
            <w:r w:rsidRPr="00FE57C3">
              <w:rPr>
                <w:sz w:val="22"/>
              </w:rPr>
              <w:t xml:space="preserve">No agreements in any </w:t>
            </w:r>
            <w:proofErr w:type="spellStart"/>
            <w:r w:rsidRPr="00FE57C3">
              <w:rPr>
                <w:sz w:val="22"/>
              </w:rPr>
              <w:t>WIs.</w:t>
            </w:r>
            <w:proofErr w:type="spellEnd"/>
            <w:r w:rsidRPr="00FE57C3">
              <w:rPr>
                <w:sz w:val="22"/>
              </w:rPr>
              <w:t xml:space="preserve">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ac"/>
              <w:numPr>
                <w:ilvl w:val="0"/>
                <w:numId w:val="17"/>
              </w:numPr>
              <w:spacing w:beforeLines="50" w:before="120" w:afterLines="50"/>
              <w:ind w:firstLine="440"/>
              <w:contextualSpacing w:val="0"/>
              <w:rPr>
                <w:sz w:val="22"/>
              </w:rPr>
            </w:pPr>
            <w:r w:rsidRPr="00FE57C3">
              <w:rPr>
                <w:rFonts w:hint="eastAsia"/>
                <w:sz w:val="22"/>
              </w:rPr>
              <w:t>U</w:t>
            </w:r>
            <w:r w:rsidRPr="00FE57C3">
              <w:rPr>
                <w:sz w:val="22"/>
              </w:rP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rsidRPr="00FE57C3">
              <w:rPr>
                <w:sz w:val="22"/>
              </w:rPr>
              <w:t>Alternatively</w:t>
            </w:r>
            <w:proofErr w:type="gramEnd"/>
            <w:r w:rsidRPr="00FE57C3">
              <w:rPr>
                <w:sz w:val="22"/>
              </w:rPr>
              <w:t xml:space="preserve">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 xml:space="preserve">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w:t>
            </w:r>
            <w:proofErr w:type="gramStart"/>
            <w:r w:rsidRPr="00FE57C3">
              <w:rPr>
                <w:sz w:val="22"/>
              </w:rPr>
              <w:t>e.g.</w:t>
            </w:r>
            <w:proofErr w:type="gramEnd"/>
            <w:r w:rsidRPr="00FE57C3">
              <w:rPr>
                <w:sz w:val="22"/>
              </w:rPr>
              <w:t xml:space="preserve">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ac"/>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ac"/>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proofErr w:type="spellStart"/>
                  <w:r w:rsidRPr="009A5DC4">
                    <w:rPr>
                      <w:rFonts w:cs="Arial"/>
                      <w:color w:val="000000"/>
                      <w:sz w:val="18"/>
                      <w:szCs w:val="18"/>
                      <w:lang w:eastAsia="ja-JP"/>
                    </w:rPr>
                    <w:t>NR_NTN_solutions</w:t>
                  </w:r>
                  <w:proofErr w:type="spellEnd"/>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ＭＳ ゴシック"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w:t>
                  </w:r>
                  <w:proofErr w:type="gramStart"/>
                  <w:r w:rsidRPr="009A5DC4">
                    <w:rPr>
                      <w:rFonts w:cs="Arial"/>
                      <w:color w:val="000000"/>
                      <w:sz w:val="18"/>
                      <w:szCs w:val="18"/>
                    </w:rPr>
                    <w:t>X,Y</w:t>
                  </w:r>
                  <w:proofErr w:type="gramEnd"/>
                  <w:r w:rsidRPr="009A5DC4">
                    <w:rPr>
                      <w:rFonts w:cs="Arial"/>
                      <w:color w:val="000000"/>
                      <w:sz w:val="18"/>
                      <w:szCs w:val="18"/>
                    </w:rPr>
                    <w:t>):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 xml:space="preserve">Optional with capability </w:t>
                  </w:r>
                  <w:proofErr w:type="spellStart"/>
                  <w:r w:rsidRPr="009A5DC4">
                    <w:rPr>
                      <w:rFonts w:cs="Arial"/>
                      <w:color w:val="000000"/>
                      <w:sz w:val="18"/>
                      <w:szCs w:val="18"/>
                    </w:rPr>
                    <w:t>signalling</w:t>
                  </w:r>
                  <w:proofErr w:type="spellEnd"/>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proofErr w:type="spellStart"/>
                  <w:r w:rsidRPr="009A5DC4">
                    <w:rPr>
                      <w:rFonts w:cs="Arial"/>
                      <w:color w:val="000000"/>
                      <w:sz w:val="18"/>
                      <w:szCs w:val="18"/>
                      <w:lang w:eastAsia="ja-JP"/>
                    </w:rPr>
                    <w:t>NR_NTN_solutions</w:t>
                  </w:r>
                  <w:proofErr w:type="spellEnd"/>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proofErr w:type="spellStart"/>
                  <w:r w:rsidRPr="009A5DC4">
                    <w:rPr>
                      <w:rFonts w:cs="Arial"/>
                      <w:color w:val="000000"/>
                      <w:sz w:val="18"/>
                      <w:szCs w:val="18"/>
                      <w:highlight w:val="yellow"/>
                    </w:rPr>
                    <w:t>or</w:t>
                  </w:r>
                  <w:proofErr w:type="spellEnd"/>
                  <w:r w:rsidRPr="009A5DC4">
                    <w:rPr>
                      <w:rFonts w:cs="Arial"/>
                      <w:color w:val="000000"/>
                      <w:sz w:val="18"/>
                      <w:szCs w:val="18"/>
                      <w:highlight w:val="yellow"/>
                    </w:rPr>
                    <w:t xml:space="preserve">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w:t>
                  </w:r>
                  <w:proofErr w:type="gramStart"/>
                  <w:r w:rsidRPr="009A5DC4">
                    <w:rPr>
                      <w:rFonts w:cs="Arial"/>
                      <w:color w:val="000000"/>
                      <w:sz w:val="18"/>
                      <w:szCs w:val="18"/>
                    </w:rPr>
                    <w:t>X,Y</w:t>
                  </w:r>
                  <w:proofErr w:type="gramEnd"/>
                  <w:r w:rsidRPr="009A5DC4">
                    <w:rPr>
                      <w:rFonts w:cs="Arial"/>
                      <w:color w:val="000000"/>
                      <w:sz w:val="18"/>
                      <w:szCs w:val="18"/>
                    </w:rPr>
                    <w:t>):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lastRenderedPageBreak/>
                    <w:t xml:space="preserve"> 26. </w:t>
                  </w:r>
                  <w:proofErr w:type="spellStart"/>
                  <w:r w:rsidRPr="00614D51">
                    <w:rPr>
                      <w:rFonts w:cs="Arial"/>
                      <w:szCs w:val="18"/>
                    </w:rPr>
                    <w:t>NR_NTN_solutions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ac"/>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ac"/>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ac"/>
              <w:numPr>
                <w:ilvl w:val="0"/>
                <w:numId w:val="2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ac"/>
              <w:ind w:left="0"/>
              <w:rPr>
                <w:rFonts w:ascii="Times New Roman" w:eastAsia="SimSun"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 xml:space="preserve">W.r.t FG 26-5, the </w:t>
            </w:r>
            <w:proofErr w:type="gramStart"/>
            <w:r w:rsidRPr="002C224E">
              <w:rPr>
                <w:rFonts w:hint="eastAsia"/>
              </w:rPr>
              <w:t>type</w:t>
            </w:r>
            <w:proofErr w:type="gramEnd"/>
            <w:r w:rsidRPr="002C224E">
              <w:rPr>
                <w:rFonts w:hint="eastAsia"/>
              </w:rPr>
              <w:t xml:space="preserv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3"/>
              <w:gridCol w:w="1733"/>
              <w:gridCol w:w="2320"/>
              <w:gridCol w:w="222"/>
              <w:gridCol w:w="527"/>
              <w:gridCol w:w="1987"/>
              <w:gridCol w:w="1283"/>
              <w:gridCol w:w="447"/>
              <w:gridCol w:w="447"/>
              <w:gridCol w:w="222"/>
              <w:gridCol w:w="2979"/>
              <w:gridCol w:w="3861"/>
              <w:gridCol w:w="1849"/>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proofErr w:type="spellStart"/>
                  <w:r w:rsidRPr="009A5DC4">
                    <w:rPr>
                      <w:color w:val="000000"/>
                      <w:sz w:val="18"/>
                      <w:szCs w:val="18"/>
                      <w:lang w:eastAsia="ja-JP"/>
                    </w:rPr>
                    <w:t>NR_NTN_solutions</w:t>
                  </w:r>
                  <w:proofErr w:type="spellEnd"/>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w:t>
                  </w:r>
                  <w:proofErr w:type="gramStart"/>
                  <w:r w:rsidRPr="009A5DC4">
                    <w:rPr>
                      <w:color w:val="000000"/>
                      <w:sz w:val="18"/>
                      <w:szCs w:val="18"/>
                    </w:rPr>
                    <w:t>X,Y</w:t>
                  </w:r>
                  <w:proofErr w:type="gramEnd"/>
                  <w:r w:rsidRPr="009A5DC4">
                    <w:rPr>
                      <w:color w:val="000000"/>
                      <w:sz w:val="18"/>
                      <w:szCs w:val="18"/>
                    </w:rPr>
                    <w:t>):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proofErr w:type="spellStart"/>
                  <w:r w:rsidRPr="009A5DC4">
                    <w:rPr>
                      <w:color w:val="000000"/>
                      <w:sz w:val="18"/>
                      <w:szCs w:val="18"/>
                      <w:lang w:eastAsia="ja-JP"/>
                    </w:rPr>
                    <w:t>NR_NTN_solutions</w:t>
                  </w:r>
                  <w:proofErr w:type="spellEnd"/>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SimSun" w:hAnsi="Calibri" w:cs="Calibri"/>
          <w:lang w:eastAsia="zh-CN"/>
        </w:rPr>
      </w:pPr>
      <w:bookmarkStart w:id="37"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w:t>
      </w:r>
      <w:r w:rsidR="00075C31">
        <w:rPr>
          <w:rFonts w:ascii="Calibri" w:eastAsia="SimSun" w:hAnsi="Calibri" w:cs="Calibri"/>
          <w:lang w:eastAsia="zh-CN"/>
        </w:rPr>
        <w:t>on this issue</w:t>
      </w:r>
      <w:r>
        <w:rPr>
          <w:rFonts w:ascii="Calibri" w:eastAsia="SimSun" w:hAnsi="Calibri" w:cs="Calibri"/>
          <w:lang w:eastAsia="zh-CN"/>
        </w:rPr>
        <w:t xml:space="preserve">,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8C7130" w:rsidR="00BB299B" w:rsidRPr="00BB299B" w:rsidRDefault="004D050E" w:rsidP="009209DD">
      <w:pPr>
        <w:pStyle w:val="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2"/>
        <w:gridCol w:w="1705"/>
        <w:gridCol w:w="2417"/>
        <w:gridCol w:w="502"/>
        <w:gridCol w:w="527"/>
        <w:gridCol w:w="447"/>
        <w:gridCol w:w="2941"/>
        <w:gridCol w:w="1490"/>
        <w:gridCol w:w="447"/>
        <w:gridCol w:w="447"/>
        <w:gridCol w:w="222"/>
        <w:gridCol w:w="2945"/>
        <w:gridCol w:w="5943"/>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8A5387">
              <w:rPr>
                <w:rFonts w:ascii="Arial" w:eastAsia="SimSun" w:hAnsi="Arial" w:cs="Arial"/>
                <w:color w:val="FF0000"/>
                <w:sz w:val="18"/>
                <w:szCs w:val="18"/>
                <w:lang w:eastAsia="zh-CN"/>
              </w:rPr>
              <w:t xml:space="preserve">32 </w:t>
            </w:r>
            <w:r>
              <w:rPr>
                <w:rFonts w:ascii="Arial" w:eastAsia="SimSun" w:hAnsi="Arial" w:cs="Arial"/>
                <w:color w:val="FF0000"/>
                <w:sz w:val="18"/>
                <w:szCs w:val="18"/>
                <w:lang w:eastAsia="zh-CN"/>
              </w:rPr>
              <w:t>UL</w:t>
            </w:r>
            <w:r w:rsidRPr="008A5387">
              <w:rPr>
                <w:rFonts w:ascii="Arial" w:eastAsia="SimSun"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proofErr w:type="spellStart"/>
            <w:r w:rsidRPr="009A5DC4">
              <w:rPr>
                <w:rFonts w:ascii="Arial" w:hAnsi="Arial" w:cs="Arial"/>
                <w:color w:val="000000"/>
                <w:sz w:val="18"/>
                <w:szCs w:val="18"/>
                <w:lang w:eastAsia="ja-JP"/>
              </w:rPr>
              <w:t>NR_NTN_solutions</w:t>
            </w:r>
            <w:proofErr w:type="spellEnd"/>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Increasing the 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The maximal supported 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Increased number of HARQ processes is not supported </w:t>
            </w:r>
            <w:r w:rsidRPr="003D5FE9">
              <w:rPr>
                <w:rFonts w:ascii="Arial" w:eastAsia="SimSun"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w:t>
            </w:r>
            <w:proofErr w:type="gramStart"/>
            <w:r w:rsidRPr="009A5DC4">
              <w:rPr>
                <w:rFonts w:ascii="Arial" w:hAnsi="Arial" w:cs="Arial"/>
                <w:color w:val="000000"/>
                <w:sz w:val="18"/>
                <w:szCs w:val="18"/>
              </w:rPr>
              <w:t>X,Y</w:t>
            </w:r>
            <w:proofErr w:type="gramEnd"/>
            <w:r w:rsidRPr="009A5DC4">
              <w:rPr>
                <w:rFonts w:ascii="Arial" w:hAnsi="Arial" w:cs="Arial"/>
                <w:color w:val="000000"/>
                <w:sz w:val="18"/>
                <w:szCs w:val="18"/>
              </w:rPr>
              <w:t>):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w:t>
            </w:r>
            <w:proofErr w:type="spellStart"/>
            <w:r w:rsidRPr="003D5FE9">
              <w:rPr>
                <w:rFonts w:ascii="Arial" w:hAnsi="Arial" w:cs="Arial"/>
                <w:color w:val="FF0000"/>
                <w:sz w:val="18"/>
                <w:szCs w:val="18"/>
              </w:rPr>
              <w:t>gNB</w:t>
            </w:r>
            <w:proofErr w:type="spellEnd"/>
            <w:r w:rsidRPr="003D5FE9">
              <w:rPr>
                <w:rFonts w:ascii="Arial" w:hAnsi="Arial" w:cs="Arial"/>
                <w:color w:val="FF0000"/>
                <w:sz w:val="18"/>
                <w:szCs w:val="18"/>
              </w:rPr>
              <w:t xml:space="preserve"> as specified in TS 38.101-</w:t>
            </w:r>
            <w:r w:rsidRPr="003D5FE9">
              <w:rPr>
                <w:rFonts w:ascii="Arial" w:hAnsi="Arial" w:cs="Arial"/>
                <w:color w:val="FF0000"/>
                <w:sz w:val="18"/>
                <w:szCs w:val="18"/>
              </w:rPr>
              <w:lastRenderedPageBreak/>
              <w:t xml:space="preserve">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F579BC">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ＭＳ 明朝" w:hAnsi="Calibri" w:cs="Calibri"/>
              </w:rPr>
            </w:pPr>
            <w:r w:rsidRPr="00D17BA8">
              <w:rPr>
                <w:rFonts w:ascii="Calibri" w:eastAsia="ＭＳ 明朝" w:hAnsi="Calibri" w:cs="Calibri"/>
              </w:rPr>
              <w:t>Comments/Questions/Suggestions</w:t>
            </w:r>
          </w:p>
        </w:tc>
      </w:tr>
      <w:tr w:rsidR="009F3A54" w14:paraId="0E8E9BB8" w14:textId="77777777" w:rsidTr="00F579BC">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SimSun" w:cs="Arial"/>
              </w:rPr>
            </w:pPr>
            <w:r w:rsidRPr="0025770D">
              <w:rPr>
                <w:rFonts w:eastAsia="SimSun" w:cs="Arial"/>
              </w:rPr>
              <w:t>The two feature</w:t>
            </w:r>
            <w:r w:rsidR="005D7A79">
              <w:rPr>
                <w:rFonts w:eastAsia="SimSun" w:cs="Arial"/>
              </w:rPr>
              <w:t>s</w:t>
            </w:r>
            <w:r w:rsidRPr="0025770D">
              <w:rPr>
                <w:rFonts w:eastAsia="SimSun" w:cs="Arial"/>
              </w:rPr>
              <w:t xml:space="preserve"> for NTN and 60GHz are </w:t>
            </w:r>
            <w:proofErr w:type="gramStart"/>
            <w:r w:rsidRPr="0025770D">
              <w:rPr>
                <w:rFonts w:eastAsia="SimSun" w:cs="Arial"/>
              </w:rPr>
              <w:t>actually after</w:t>
            </w:r>
            <w:proofErr w:type="gramEnd"/>
            <w:r w:rsidRPr="0025770D">
              <w:rPr>
                <w:rFonts w:eastAsia="SimSun" w:cs="Arial"/>
              </w:rPr>
              <w:t xml:space="preserve"> the same thing.</w:t>
            </w:r>
          </w:p>
          <w:p w14:paraId="1ACC7513" w14:textId="1A567A08" w:rsidR="0025770D" w:rsidRPr="0025770D" w:rsidRDefault="0025770D" w:rsidP="00324F5D">
            <w:pPr>
              <w:jc w:val="left"/>
              <w:rPr>
                <w:rFonts w:eastAsia="SimSun" w:cs="Arial"/>
              </w:rPr>
            </w:pPr>
            <w:r w:rsidRPr="0025770D">
              <w:rPr>
                <w:rFonts w:eastAsia="SimSun" w:cs="Arial"/>
              </w:rPr>
              <w:t xml:space="preserve">Furthermore, as LGE pointed out there was </w:t>
            </w:r>
            <w:proofErr w:type="gramStart"/>
            <w:r w:rsidRPr="0025770D">
              <w:rPr>
                <w:rFonts w:eastAsia="SimSun" w:cs="Arial"/>
              </w:rPr>
              <w:t>an</w:t>
            </w:r>
            <w:proofErr w:type="gramEnd"/>
            <w:r w:rsidRPr="0025770D">
              <w:rPr>
                <w:rFonts w:eastAsia="SimSun" w:cs="Arial"/>
              </w:rPr>
              <w:t xml:space="preserve"> working assumption for 60 GHz where it was </w:t>
            </w:r>
            <w:proofErr w:type="spellStart"/>
            <w:r w:rsidRPr="0025770D">
              <w:rPr>
                <w:rFonts w:eastAsia="SimSun" w:cs="Arial"/>
              </w:rPr>
              <w:t>suppose to</w:t>
            </w:r>
            <w:proofErr w:type="spellEnd"/>
            <w:r w:rsidRPr="0025770D">
              <w:rPr>
                <w:rFonts w:eastAsia="SimSun" w:cs="Arial"/>
              </w:rPr>
              <w:t xml:space="preserve"> use NTN feature as is (unless there were problems to do so).</w:t>
            </w:r>
          </w:p>
          <w:p w14:paraId="7068C728" w14:textId="77777777" w:rsidR="0025770D" w:rsidRPr="0025770D" w:rsidRDefault="0025770D" w:rsidP="00324F5D">
            <w:pPr>
              <w:jc w:val="left"/>
              <w:rPr>
                <w:rFonts w:eastAsia="Batang" w:cs="Arial"/>
                <w:lang w:eastAsia="ko-KR"/>
              </w:rPr>
            </w:pPr>
            <w:r w:rsidRPr="0025770D">
              <w:rPr>
                <w:rFonts w:eastAsia="Batang" w:cs="Arial"/>
                <w:lang w:eastAsia="ko-KR"/>
              </w:rPr>
              <w:t>“</w:t>
            </w:r>
            <w:r w:rsidRPr="0025770D">
              <w:rPr>
                <w:rFonts w:eastAsia="Batang" w:cs="Arial"/>
                <w:highlight w:val="darkYellow"/>
                <w:lang w:eastAsia="ko-KR"/>
              </w:rPr>
              <w:t>Working assumption:</w:t>
            </w:r>
            <w:r w:rsidRPr="0025770D">
              <w:rPr>
                <w:rFonts w:eastAsia="Batang" w:cs="Arial"/>
                <w:lang w:eastAsia="ko-KR"/>
              </w:rPr>
              <w:t xml:space="preserve"> The same solution to support up to 32 HARQ process number in Rel-17 NTN WI is reused for NR FR2-2.”</w:t>
            </w:r>
          </w:p>
          <w:p w14:paraId="302ECD81" w14:textId="219288E1" w:rsidR="0025770D" w:rsidRPr="0025770D" w:rsidRDefault="0025770D" w:rsidP="00324F5D">
            <w:pPr>
              <w:jc w:val="left"/>
              <w:rPr>
                <w:rFonts w:eastAsia="SimSun" w:cs="Arial"/>
              </w:rPr>
            </w:pPr>
            <w:r>
              <w:rPr>
                <w:rFonts w:eastAsia="SimSun" w:cs="Arial"/>
              </w:rPr>
              <w:t xml:space="preserve">There for we think the two features should be merged. The fact that moderator is suggesting the feature be per FSPC makes it more compelling to have the feature be defined </w:t>
            </w:r>
            <w:r w:rsidR="00886B0D">
              <w:rPr>
                <w:rFonts w:eastAsia="SimSun" w:cs="Arial"/>
              </w:rPr>
              <w:t>in a generic manner.</w:t>
            </w:r>
          </w:p>
        </w:tc>
      </w:tr>
      <w:tr w:rsidR="00523F51" w14:paraId="20AD7A95" w14:textId="77777777" w:rsidTr="00F579BC">
        <w:tc>
          <w:tcPr>
            <w:tcW w:w="1818" w:type="dxa"/>
            <w:tcBorders>
              <w:top w:val="single" w:sz="4" w:space="0" w:color="auto"/>
              <w:left w:val="single" w:sz="4" w:space="0" w:color="auto"/>
              <w:bottom w:val="single" w:sz="4" w:space="0" w:color="auto"/>
              <w:right w:val="single" w:sz="4" w:space="0" w:color="auto"/>
            </w:tcBorders>
          </w:tcPr>
          <w:p w14:paraId="2CD45F29" w14:textId="2F5744BE" w:rsidR="00523F51" w:rsidRDefault="00523F51"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5381F5" w14:textId="36855917" w:rsidR="00523F51" w:rsidRPr="0025770D" w:rsidRDefault="00523F51" w:rsidP="00324F5D">
            <w:pPr>
              <w:jc w:val="left"/>
              <w:rPr>
                <w:rFonts w:eastAsia="SimSun" w:cs="Arial"/>
              </w:rPr>
            </w:pPr>
            <w:r>
              <w:rPr>
                <w:rFonts w:eastAsia="SimSun" w:cs="Arial"/>
              </w:rPr>
              <w:t xml:space="preserve">In principle we are fine with merging of the features </w:t>
            </w:r>
            <w:proofErr w:type="gramStart"/>
            <w:r>
              <w:rPr>
                <w:rFonts w:eastAsia="SimSun" w:cs="Arial"/>
              </w:rPr>
              <w:t>as long as</w:t>
            </w:r>
            <w:proofErr w:type="gramEnd"/>
            <w:r>
              <w:rPr>
                <w:rFonts w:eastAsia="SimSun" w:cs="Arial"/>
              </w:rPr>
              <w:t xml:space="preserve"> the signaling itself doesn’t become unnecessarily complex. However, we don’t see a compelling motivation to have the FGs as FSPC, as there is nothing in it that would require different behaviors for specific carriers within a frequency band or for specific carriers within a band combination. For the purposes of differentiating the support for FR2-2 and NTN it is more than enough to have the signaling defined as per band. </w:t>
            </w:r>
          </w:p>
        </w:tc>
      </w:tr>
      <w:tr w:rsidR="00F579BC" w14:paraId="4493DCE8" w14:textId="77777777" w:rsidTr="00F579BC">
        <w:tc>
          <w:tcPr>
            <w:tcW w:w="1818" w:type="dxa"/>
            <w:tcBorders>
              <w:top w:val="single" w:sz="4" w:space="0" w:color="auto"/>
              <w:left w:val="single" w:sz="4" w:space="0" w:color="auto"/>
              <w:bottom w:val="single" w:sz="4" w:space="0" w:color="auto"/>
              <w:right w:val="single" w:sz="4" w:space="0" w:color="auto"/>
            </w:tcBorders>
          </w:tcPr>
          <w:p w14:paraId="63F62026" w14:textId="1AD7ACC6" w:rsidR="00F579BC" w:rsidRDefault="00F579BC" w:rsidP="00F579BC">
            <w:pPr>
              <w:pStyle w:val="paragraph"/>
              <w:spacing w:before="0" w:beforeAutospacing="0" w:after="0" w:afterAutospacing="0"/>
              <w:textAlignment w:val="baseline"/>
              <w:rPr>
                <w:rStyle w:val="normaltextrun"/>
                <w:rFonts w:eastAsia="Malgun Gothic"/>
                <w:sz w:val="20"/>
                <w:lang w:eastAsia="ko-KR"/>
              </w:rPr>
            </w:pPr>
            <w:r w:rsidRPr="00DE534D">
              <w:rPr>
                <w:rStyle w:val="normaltextrun"/>
                <w:rFonts w:eastAsiaTheme="minorEastAsia"/>
                <w:sz w:val="22"/>
                <w:szCs w:val="22"/>
                <w:lang w:eastAsia="zh-CN"/>
              </w:rPr>
              <w:t xml:space="preserve">Huawei, </w:t>
            </w:r>
            <w:proofErr w:type="spellStart"/>
            <w:r w:rsidRPr="00DE534D">
              <w:rPr>
                <w:rStyle w:val="normaltextrun"/>
                <w:rFonts w:eastAsiaTheme="minorEastAsia"/>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F0BECF0" w14:textId="77777777" w:rsidR="00F579BC" w:rsidRDefault="00F579BC" w:rsidP="00F579BC">
            <w:pPr>
              <w:jc w:val="left"/>
              <w:rPr>
                <w:rFonts w:ascii="Times New Roman" w:eastAsia="SimSun" w:hAnsi="Times New Roman"/>
                <w:sz w:val="22"/>
                <w:szCs w:val="22"/>
                <w:lang w:eastAsia="zh-CN"/>
              </w:rPr>
            </w:pPr>
            <w:r w:rsidRPr="00DE534D">
              <w:rPr>
                <w:rFonts w:ascii="Times New Roman" w:eastAsia="SimSun" w:hAnsi="Times New Roman"/>
                <w:sz w:val="22"/>
                <w:szCs w:val="22"/>
                <w:lang w:eastAsia="zh-CN"/>
              </w:rPr>
              <w:t>We</w:t>
            </w:r>
            <w:r>
              <w:rPr>
                <w:rFonts w:ascii="Times New Roman" w:eastAsia="SimSun" w:hAnsi="Times New Roman"/>
                <w:sz w:val="22"/>
                <w:szCs w:val="22"/>
                <w:lang w:eastAsia="zh-CN"/>
              </w:rPr>
              <w:t xml:space="preserve"> don’t support the proposal. We still think it is beneficial to define the FG(s) for the support of 32 HARQ processes </w:t>
            </w:r>
            <w:r w:rsidRPr="00674A82">
              <w:rPr>
                <w:rFonts w:ascii="Times New Roman" w:eastAsia="SimSun" w:hAnsi="Times New Roman"/>
                <w:b/>
                <w:sz w:val="22"/>
                <w:szCs w:val="22"/>
                <w:lang w:eastAsia="zh-CN"/>
              </w:rPr>
              <w:t>without</w:t>
            </w:r>
            <w:r>
              <w:rPr>
                <w:rFonts w:ascii="Times New Roman" w:eastAsia="SimSun" w:hAnsi="Times New Roman"/>
                <w:sz w:val="22"/>
                <w:szCs w:val="22"/>
                <w:lang w:eastAsia="zh-CN"/>
              </w:rPr>
              <w:t xml:space="preserve"> tying it to 52.6 GHz and/or NTN. The reasons are given as below:</w:t>
            </w:r>
          </w:p>
          <w:p w14:paraId="678D9830"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lang w:eastAsia="zh-CN"/>
              </w:rPr>
              <w:t xml:space="preserve">1. Since anyway the reporting granularity of the FG(s) for 32 HARQ processes would be a finer granularity, </w:t>
            </w:r>
            <w:proofErr w:type="gramStart"/>
            <w:r>
              <w:rPr>
                <w:rFonts w:ascii="Times New Roman" w:eastAsia="SimSun" w:hAnsi="Times New Roman"/>
                <w:sz w:val="22"/>
                <w:szCs w:val="22"/>
                <w:lang w:eastAsia="zh-CN"/>
              </w:rPr>
              <w:t>e.g.</w:t>
            </w:r>
            <w:proofErr w:type="gramEnd"/>
            <w:r>
              <w:rPr>
                <w:rFonts w:ascii="Times New Roman" w:eastAsia="SimSun" w:hAnsi="Times New Roman"/>
                <w:sz w:val="22"/>
                <w:szCs w:val="22"/>
                <w:lang w:eastAsia="zh-CN"/>
              </w:rPr>
              <w:t xml:space="preserve"> per band or even per FSPC if companies insist, then no need to define </w:t>
            </w:r>
            <w:r w:rsidRPr="00DE534D">
              <w:rPr>
                <w:rFonts w:ascii="Times New Roman" w:eastAsia="SimSun" w:hAnsi="Times New Roman"/>
                <w:sz w:val="22"/>
                <w:szCs w:val="22"/>
              </w:rPr>
              <w:t>dup</w:t>
            </w:r>
            <w:r>
              <w:rPr>
                <w:rFonts w:ascii="Times New Roman" w:eastAsia="SimSun" w:hAnsi="Times New Roman"/>
                <w:sz w:val="22"/>
                <w:szCs w:val="22"/>
              </w:rPr>
              <w:t xml:space="preserve">licated FGs in different </w:t>
            </w:r>
            <w:proofErr w:type="spellStart"/>
            <w:r>
              <w:rPr>
                <w:rFonts w:ascii="Times New Roman" w:eastAsia="SimSun" w:hAnsi="Times New Roman"/>
                <w:sz w:val="22"/>
                <w:szCs w:val="22"/>
              </w:rPr>
              <w:t>WIs.</w:t>
            </w:r>
            <w:proofErr w:type="spellEnd"/>
            <w:r>
              <w:rPr>
                <w:rFonts w:ascii="Times New Roman" w:eastAsia="SimSun" w:hAnsi="Times New Roman"/>
                <w:sz w:val="22"/>
                <w:szCs w:val="22"/>
              </w:rPr>
              <w:t xml:space="preserve"> </w:t>
            </w:r>
          </w:p>
          <w:p w14:paraId="3E1463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2. </w:t>
            </w:r>
            <w:r>
              <w:rPr>
                <w:rFonts w:ascii="Times New Roman" w:eastAsia="SimSun" w:hAnsi="Times New Roman"/>
                <w:sz w:val="22"/>
                <w:szCs w:val="22"/>
                <w:lang w:eastAsia="zh-CN"/>
              </w:rPr>
              <w:t>On</w:t>
            </w:r>
            <w:r w:rsidRPr="00DE534D">
              <w:rPr>
                <w:rFonts w:ascii="Times New Roman" w:eastAsia="SimSun" w:hAnsi="Times New Roman"/>
                <w:sz w:val="22"/>
                <w:szCs w:val="22"/>
              </w:rPr>
              <w:t xml:space="preserve">e additional benefit by doing so is that the support of 32 HARQ processes can be used for other scenarios for a UE supporting this feature, </w:t>
            </w:r>
            <w:proofErr w:type="gramStart"/>
            <w:r w:rsidRPr="00DE534D">
              <w:rPr>
                <w:rFonts w:ascii="Times New Roman" w:eastAsia="SimSun" w:hAnsi="Times New Roman"/>
                <w:sz w:val="22"/>
                <w:szCs w:val="22"/>
              </w:rPr>
              <w:t>e.g.</w:t>
            </w:r>
            <w:proofErr w:type="gramEnd"/>
            <w:r w:rsidRPr="00DE534D">
              <w:rPr>
                <w:rFonts w:ascii="Times New Roman" w:eastAsia="SimSun" w:hAnsi="Times New Roman"/>
                <w:sz w:val="22"/>
                <w:szCs w:val="22"/>
              </w:rPr>
              <w:t xml:space="preserve"> used for FR1 licensed terrestrial bands and FR2-1.</w:t>
            </w:r>
            <w:r>
              <w:rPr>
                <w:rFonts w:ascii="Times New Roman" w:eastAsia="SimSun" w:hAnsi="Times New Roman"/>
                <w:sz w:val="22"/>
                <w:szCs w:val="22"/>
              </w:rPr>
              <w:t xml:space="preserve">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p>
          <w:p w14:paraId="2F4B1414"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3. Even if we don’t restrict the support of 32 HARQ processes to NTN and/or 52.6 GHz, UE still has fully flexibility to report its capability. Support of 32 HARQ processes for other WIs is not mandatory</w:t>
            </w:r>
            <w:proofErr w:type="gramStart"/>
            <w:r>
              <w:rPr>
                <w:rFonts w:ascii="Times New Roman" w:eastAsia="SimSun" w:hAnsi="Times New Roman"/>
                <w:sz w:val="22"/>
                <w:szCs w:val="22"/>
              </w:rPr>
              <w:t>. .</w:t>
            </w:r>
            <w:proofErr w:type="gramEnd"/>
          </w:p>
          <w:p w14:paraId="6E4E22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4. We don’t agree with the comment that extending it to other WIs would increase the signaling overhead thus should not be supported. Since UE will report the capability for a certain band only if it will support the feature. If UE can support the feature and report it for a certain band, then the signaling is necessary. On the other hand, defining 3 FGs as shown in the proposal may increase the capability signaling, </w:t>
            </w:r>
            <w:proofErr w:type="gramStart"/>
            <w:r>
              <w:rPr>
                <w:rFonts w:ascii="Times New Roman" w:eastAsia="SimSun" w:hAnsi="Times New Roman"/>
                <w:sz w:val="22"/>
                <w:szCs w:val="22"/>
              </w:rPr>
              <w:t>e.g.</w:t>
            </w:r>
            <w:proofErr w:type="gramEnd"/>
            <w:r>
              <w:rPr>
                <w:rFonts w:ascii="Times New Roman" w:eastAsia="SimSun" w:hAnsi="Times New Roman"/>
                <w:sz w:val="22"/>
                <w:szCs w:val="22"/>
              </w:rPr>
              <w:t xml:space="preserve"> if there is NTN bands in FR2-2 in the future, then with the proposal here UE needs to report the same functionality twice, which increase the signaling overhead. In general, FGs should be defined from functionality perspective, not from scenario perspective. </w:t>
            </w:r>
          </w:p>
          <w:p w14:paraId="469F9C65"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5. We don’t agree with the argument that that there is no agreement for other WIs thus it should not be supported. Whether to apply it to other scenarios also is what we are discussing, </w:t>
            </w:r>
            <w:proofErr w:type="gramStart"/>
            <w:r>
              <w:rPr>
                <w:rFonts w:ascii="Times New Roman" w:eastAsia="SimSun" w:hAnsi="Times New Roman"/>
                <w:sz w:val="22"/>
                <w:szCs w:val="22"/>
              </w:rPr>
              <w:t>i.e.</w:t>
            </w:r>
            <w:proofErr w:type="gramEnd"/>
            <w:r>
              <w:rPr>
                <w:rFonts w:ascii="Times New Roman" w:eastAsia="SimSun" w:hAnsi="Times New Roman"/>
                <w:sz w:val="22"/>
                <w:szCs w:val="22"/>
              </w:rPr>
              <w:t xml:space="preserve"> we are trying to see if we can make any agreement. In addition, we don’t see additional optimization or spec impact needed due to extending 32 HARQ processes to other </w:t>
            </w:r>
            <w:proofErr w:type="spellStart"/>
            <w:r>
              <w:rPr>
                <w:rFonts w:ascii="Times New Roman" w:eastAsia="SimSun" w:hAnsi="Times New Roman"/>
                <w:sz w:val="22"/>
                <w:szCs w:val="22"/>
              </w:rPr>
              <w:t>WIs.</w:t>
            </w:r>
            <w:proofErr w:type="spellEnd"/>
          </w:p>
          <w:p w14:paraId="46F254F1" w14:textId="77777777" w:rsidR="00F579BC" w:rsidRDefault="00F579BC" w:rsidP="00F579BC">
            <w:pPr>
              <w:jc w:val="left"/>
              <w:rPr>
                <w:rFonts w:ascii="Times New Roman" w:eastAsia="SimSun" w:hAnsi="Times New Roman"/>
                <w:sz w:val="22"/>
                <w:szCs w:val="22"/>
              </w:rPr>
            </w:pPr>
          </w:p>
          <w:p w14:paraId="59B18DAC"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Therefore, we still propose to define the following FGs for the support of 32 HARQ processes instead.   </w:t>
            </w:r>
          </w:p>
          <w:p w14:paraId="0B94DD73" w14:textId="77777777" w:rsidR="00F579BC" w:rsidRPr="00DE534D" w:rsidRDefault="00F579BC" w:rsidP="00F579BC">
            <w:pPr>
              <w:rPr>
                <w:rFonts w:ascii="Times New Roman" w:hAnsi="Times New Roman"/>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77"/>
              <w:gridCol w:w="2137"/>
              <w:gridCol w:w="7100"/>
              <w:gridCol w:w="236"/>
              <w:gridCol w:w="236"/>
              <w:gridCol w:w="236"/>
              <w:gridCol w:w="236"/>
              <w:gridCol w:w="1867"/>
              <w:gridCol w:w="236"/>
              <w:gridCol w:w="236"/>
              <w:gridCol w:w="236"/>
              <w:gridCol w:w="236"/>
              <w:gridCol w:w="2858"/>
            </w:tblGrid>
            <w:tr w:rsidR="00F579BC" w:rsidRPr="00DE534D" w14:paraId="5560E296" w14:textId="77777777" w:rsidTr="007C5032">
              <w:trPr>
                <w:trHeight w:val="20"/>
              </w:trPr>
              <w:tc>
                <w:tcPr>
                  <w:tcW w:w="417" w:type="dxa"/>
                  <w:tcBorders>
                    <w:top w:val="single" w:sz="4" w:space="0" w:color="auto"/>
                    <w:left w:val="single" w:sz="4" w:space="0" w:color="auto"/>
                    <w:bottom w:val="single" w:sz="4" w:space="0" w:color="auto"/>
                    <w:right w:val="single" w:sz="4" w:space="0" w:color="auto"/>
                  </w:tcBorders>
                </w:tcPr>
                <w:p w14:paraId="69002FB6"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47333607"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39-1</w:t>
                  </w:r>
                </w:p>
              </w:tc>
              <w:tc>
                <w:tcPr>
                  <w:tcW w:w="2137" w:type="dxa"/>
                  <w:tcBorders>
                    <w:top w:val="single" w:sz="4" w:space="0" w:color="auto"/>
                    <w:left w:val="single" w:sz="4" w:space="0" w:color="auto"/>
                    <w:bottom w:val="single" w:sz="4" w:space="0" w:color="auto"/>
                    <w:right w:val="single" w:sz="4" w:space="0" w:color="auto"/>
                  </w:tcBorders>
                  <w:hideMark/>
                </w:tcPr>
                <w:p w14:paraId="12AC8D60"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DL HARQ processes</w:t>
                  </w:r>
                </w:p>
              </w:tc>
              <w:tc>
                <w:tcPr>
                  <w:tcW w:w="7100" w:type="dxa"/>
                  <w:tcBorders>
                    <w:top w:val="single" w:sz="4" w:space="0" w:color="auto"/>
                    <w:left w:val="single" w:sz="4" w:space="0" w:color="auto"/>
                    <w:bottom w:val="single" w:sz="4" w:space="0" w:color="auto"/>
                    <w:right w:val="single" w:sz="4" w:space="0" w:color="auto"/>
                  </w:tcBorders>
                  <w:hideMark/>
                </w:tcPr>
                <w:p w14:paraId="00B865C2"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DL HARQ processes of up to 32</w:t>
                  </w:r>
                </w:p>
              </w:tc>
              <w:tc>
                <w:tcPr>
                  <w:tcW w:w="222" w:type="dxa"/>
                  <w:tcBorders>
                    <w:top w:val="single" w:sz="4" w:space="0" w:color="auto"/>
                    <w:left w:val="single" w:sz="4" w:space="0" w:color="auto"/>
                    <w:bottom w:val="single" w:sz="4" w:space="0" w:color="auto"/>
                    <w:right w:val="single" w:sz="4" w:space="0" w:color="auto"/>
                  </w:tcBorders>
                </w:tcPr>
                <w:p w14:paraId="3D247AB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B83F9D9"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5114D07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68DA4B8"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22F4F1A0"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29E6453E"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1FB2542"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1AD0FE44"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EB72D67" w14:textId="77777777" w:rsidR="00F579BC" w:rsidRPr="00DE534D" w:rsidRDefault="00F579BC" w:rsidP="00F579BC">
                  <w:pPr>
                    <w:pStyle w:val="TAL"/>
                    <w:rPr>
                      <w:rFonts w:ascii="Times New Roman" w:hAnsi="Times New Roman"/>
                      <w:color w:val="0070C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3455A9D3"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r w:rsidR="00F579BC" w:rsidRPr="00DE534D" w14:paraId="4B877335" w14:textId="77777777" w:rsidTr="007C5032">
              <w:trPr>
                <w:trHeight w:val="20"/>
              </w:trPr>
              <w:tc>
                <w:tcPr>
                  <w:tcW w:w="417" w:type="dxa"/>
                  <w:tcBorders>
                    <w:top w:val="single" w:sz="4" w:space="0" w:color="auto"/>
                    <w:left w:val="single" w:sz="4" w:space="0" w:color="auto"/>
                    <w:bottom w:val="single" w:sz="4" w:space="0" w:color="auto"/>
                    <w:right w:val="single" w:sz="4" w:space="0" w:color="auto"/>
                  </w:tcBorders>
                  <w:hideMark/>
                </w:tcPr>
                <w:p w14:paraId="00E173A8"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641E9B5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39-2</w:t>
                  </w:r>
                </w:p>
              </w:tc>
              <w:tc>
                <w:tcPr>
                  <w:tcW w:w="2137" w:type="dxa"/>
                  <w:tcBorders>
                    <w:top w:val="single" w:sz="4" w:space="0" w:color="auto"/>
                    <w:left w:val="single" w:sz="4" w:space="0" w:color="auto"/>
                    <w:bottom w:val="single" w:sz="4" w:space="0" w:color="auto"/>
                    <w:right w:val="single" w:sz="4" w:space="0" w:color="auto"/>
                  </w:tcBorders>
                  <w:hideMark/>
                </w:tcPr>
                <w:p w14:paraId="053B4CDB"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UL HARQ processes</w:t>
                  </w:r>
                </w:p>
              </w:tc>
              <w:tc>
                <w:tcPr>
                  <w:tcW w:w="7100" w:type="dxa"/>
                  <w:tcBorders>
                    <w:top w:val="single" w:sz="4" w:space="0" w:color="auto"/>
                    <w:left w:val="single" w:sz="4" w:space="0" w:color="auto"/>
                    <w:bottom w:val="single" w:sz="4" w:space="0" w:color="auto"/>
                    <w:right w:val="single" w:sz="4" w:space="0" w:color="auto"/>
                  </w:tcBorders>
                  <w:hideMark/>
                </w:tcPr>
                <w:p w14:paraId="4F00151F"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UL HARQ processes of up to 32</w:t>
                  </w:r>
                </w:p>
              </w:tc>
              <w:tc>
                <w:tcPr>
                  <w:tcW w:w="222" w:type="dxa"/>
                  <w:tcBorders>
                    <w:top w:val="single" w:sz="4" w:space="0" w:color="auto"/>
                    <w:left w:val="single" w:sz="4" w:space="0" w:color="auto"/>
                    <w:bottom w:val="single" w:sz="4" w:space="0" w:color="auto"/>
                    <w:right w:val="single" w:sz="4" w:space="0" w:color="auto"/>
                  </w:tcBorders>
                </w:tcPr>
                <w:p w14:paraId="51371C81"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4A4D5D53"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1502188A"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C742261"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5E579836"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61773990"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5E8435F"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A6D693B"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26ACE7B" w14:textId="77777777" w:rsidR="00F579BC" w:rsidRPr="00DE534D" w:rsidRDefault="00F579BC" w:rsidP="00F579BC">
                  <w:pPr>
                    <w:pStyle w:val="TAL"/>
                    <w:rPr>
                      <w:rFonts w:ascii="Times New Roman" w:hAnsi="Times New Roman"/>
                      <w:color w:val="00000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16801A8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bl>
          <w:p w14:paraId="743C3395" w14:textId="77777777" w:rsidR="00F579BC" w:rsidRDefault="00F579BC" w:rsidP="00F579BC">
            <w:pPr>
              <w:jc w:val="left"/>
              <w:rPr>
                <w:rFonts w:eastAsia="SimSun" w:cs="Arial"/>
              </w:rPr>
            </w:pPr>
          </w:p>
        </w:tc>
      </w:tr>
      <w:tr w:rsidR="008E675D" w14:paraId="2637BF8D" w14:textId="77777777" w:rsidTr="00F579BC">
        <w:tc>
          <w:tcPr>
            <w:tcW w:w="1818" w:type="dxa"/>
            <w:tcBorders>
              <w:top w:val="single" w:sz="4" w:space="0" w:color="auto"/>
              <w:left w:val="single" w:sz="4" w:space="0" w:color="auto"/>
              <w:bottom w:val="single" w:sz="4" w:space="0" w:color="auto"/>
              <w:right w:val="single" w:sz="4" w:space="0" w:color="auto"/>
            </w:tcBorders>
          </w:tcPr>
          <w:p w14:paraId="110234E1" w14:textId="43BC476F" w:rsidR="008E675D" w:rsidRPr="00DE534D" w:rsidRDefault="008E675D"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New H3C</w:t>
            </w:r>
          </w:p>
        </w:tc>
        <w:tc>
          <w:tcPr>
            <w:tcW w:w="20522" w:type="dxa"/>
            <w:tcBorders>
              <w:top w:val="single" w:sz="4" w:space="0" w:color="auto"/>
              <w:left w:val="single" w:sz="4" w:space="0" w:color="auto"/>
              <w:bottom w:val="single" w:sz="4" w:space="0" w:color="auto"/>
              <w:right w:val="single" w:sz="4" w:space="0" w:color="auto"/>
            </w:tcBorders>
          </w:tcPr>
          <w:p w14:paraId="1CB35104" w14:textId="2C482B9A" w:rsidR="008E675D" w:rsidRPr="00DE534D" w:rsidRDefault="008E675D"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fine with supporting the FG(s) for 32 HARQ processes for NTN and FR2-2 based on previous agreement. We are </w:t>
            </w:r>
            <w:proofErr w:type="gramStart"/>
            <w:r>
              <w:rPr>
                <w:rFonts w:ascii="Times New Roman" w:eastAsia="SimSun" w:hAnsi="Times New Roman"/>
                <w:sz w:val="22"/>
                <w:szCs w:val="22"/>
                <w:lang w:eastAsia="zh-CN"/>
              </w:rPr>
              <w:t>open  for</w:t>
            </w:r>
            <w:proofErr w:type="gramEnd"/>
            <w:r>
              <w:rPr>
                <w:rFonts w:ascii="Times New Roman" w:eastAsia="SimSun" w:hAnsi="Times New Roman"/>
                <w:sz w:val="22"/>
                <w:szCs w:val="22"/>
                <w:lang w:eastAsia="zh-CN"/>
              </w:rPr>
              <w:t xml:space="preserve"> discussion about extending this feature to other scenarios.</w:t>
            </w:r>
          </w:p>
        </w:tc>
      </w:tr>
      <w:tr w:rsidR="007B220F" w14:paraId="20B3DF95" w14:textId="77777777" w:rsidTr="00F579BC">
        <w:tc>
          <w:tcPr>
            <w:tcW w:w="1818" w:type="dxa"/>
            <w:tcBorders>
              <w:top w:val="single" w:sz="4" w:space="0" w:color="auto"/>
              <w:left w:val="single" w:sz="4" w:space="0" w:color="auto"/>
              <w:bottom w:val="single" w:sz="4" w:space="0" w:color="auto"/>
              <w:right w:val="single" w:sz="4" w:space="0" w:color="auto"/>
            </w:tcBorders>
          </w:tcPr>
          <w:p w14:paraId="2B92D322" w14:textId="5F601094" w:rsidR="007B220F" w:rsidRDefault="007B220F"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ABA8602" w14:textId="0DFF0DDF" w:rsidR="007B220F" w:rsidRDefault="007B220F"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 xml:space="preserve">We support the proposal. These two features, though similar, were introduced for </w:t>
            </w:r>
            <w:r w:rsidR="00EE7216">
              <w:rPr>
                <w:rFonts w:ascii="Times New Roman" w:eastAsia="SimSun" w:hAnsi="Times New Roman"/>
                <w:sz w:val="22"/>
                <w:szCs w:val="22"/>
                <w:lang w:eastAsia="zh-CN"/>
              </w:rPr>
              <w:t>different reasons. There is no need for artificially merge them, even though there are similarities. By separating the feature, we can have better flexibility in the future when evolving the designs.</w:t>
            </w:r>
          </w:p>
        </w:tc>
      </w:tr>
      <w:tr w:rsidR="005057AB" w:rsidRPr="005057AB" w14:paraId="7FFC5866" w14:textId="77777777" w:rsidTr="00F579BC">
        <w:tc>
          <w:tcPr>
            <w:tcW w:w="1818" w:type="dxa"/>
            <w:tcBorders>
              <w:top w:val="single" w:sz="4" w:space="0" w:color="auto"/>
              <w:left w:val="single" w:sz="4" w:space="0" w:color="auto"/>
              <w:bottom w:val="single" w:sz="4" w:space="0" w:color="auto"/>
              <w:right w:val="single" w:sz="4" w:space="0" w:color="auto"/>
            </w:tcBorders>
          </w:tcPr>
          <w:p w14:paraId="263D45AF" w14:textId="54779FD1" w:rsidR="005057AB" w:rsidRPr="005057AB" w:rsidRDefault="005057AB" w:rsidP="00F579BC">
            <w:pPr>
              <w:pStyle w:val="paragraph"/>
              <w:spacing w:before="0" w:beforeAutospacing="0" w:after="0" w:afterAutospacing="0"/>
              <w:textAlignment w:val="baseline"/>
              <w:rPr>
                <w:rStyle w:val="normaltextrun"/>
                <w:rFonts w:eastAsiaTheme="minorEastAsia"/>
                <w:sz w:val="20"/>
                <w:szCs w:val="22"/>
                <w:lang w:eastAsia="zh-CN"/>
              </w:rPr>
            </w:pPr>
            <w:r>
              <w:rPr>
                <w:rStyle w:val="normaltextrun"/>
                <w:rFonts w:eastAsiaTheme="minorEastAsia"/>
                <w:sz w:val="20"/>
                <w:szCs w:val="22"/>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8E59E9"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 xml:space="preserve">For operation in FR2-2, we support that whatever UE capability is defined, it should </w:t>
            </w:r>
            <w:r w:rsidRPr="005057AB">
              <w:rPr>
                <w:rFonts w:ascii="Times New Roman" w:eastAsia="SimSun" w:hAnsi="Times New Roman"/>
                <w:szCs w:val="22"/>
                <w:u w:val="single"/>
                <w:lang w:eastAsia="zh-CN"/>
              </w:rPr>
              <w:t>not</w:t>
            </w:r>
            <w:r>
              <w:rPr>
                <w:rFonts w:ascii="Times New Roman" w:eastAsia="SimSun" w:hAnsi="Times New Roman"/>
                <w:szCs w:val="22"/>
                <w:lang w:eastAsia="zh-CN"/>
              </w:rPr>
              <w:t xml:space="preserve"> depend on the SCS (120, 480, 960 kHz). Hence, if the UE supports 32 HARQ processes for a band in FR2-2, it should be supported for all SCS values for that band.</w:t>
            </w:r>
          </w:p>
          <w:p w14:paraId="071BE231"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Given this, we don't really understand why separate FGs for FR2-2 and NTN would be necessary since the only difference between the FGs listed in the proposal is the frequency band.</w:t>
            </w:r>
          </w:p>
          <w:p w14:paraId="53C11B29"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Hence, we think a better approach would be to define a merged FG that is agnostic to SCS with "per band" signaling granularity. Either a single FG with candidate values {32,16}, {16,32}, and {32,32} can be one way. Another would be to have separate FGs for UL/DL. Both seem equivalent.</w:t>
            </w:r>
          </w:p>
          <w:p w14:paraId="17A715CF" w14:textId="279D1885" w:rsidR="005057AB" w:rsidRP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Regardless, we prefer to avoid "per FSPC," and use "per band" instead to simplify UE capability processing amongst different UEs.</w:t>
            </w:r>
          </w:p>
        </w:tc>
      </w:tr>
      <w:tr w:rsidR="00111EBA" w:rsidRPr="005057AB" w14:paraId="21587C87" w14:textId="77777777" w:rsidTr="00F579BC">
        <w:tc>
          <w:tcPr>
            <w:tcW w:w="1818" w:type="dxa"/>
            <w:tcBorders>
              <w:top w:val="single" w:sz="4" w:space="0" w:color="auto"/>
              <w:left w:val="single" w:sz="4" w:space="0" w:color="auto"/>
              <w:bottom w:val="single" w:sz="4" w:space="0" w:color="auto"/>
              <w:right w:val="single" w:sz="4" w:space="0" w:color="auto"/>
            </w:tcBorders>
          </w:tcPr>
          <w:p w14:paraId="75881326" w14:textId="6D7056F4" w:rsidR="00111EBA" w:rsidRDefault="00111EBA" w:rsidP="00F579BC">
            <w:pPr>
              <w:pStyle w:val="paragraph"/>
              <w:spacing w:before="0" w:beforeAutospacing="0" w:after="0" w:afterAutospacing="0"/>
              <w:textAlignment w:val="baseline"/>
              <w:rPr>
                <w:rStyle w:val="normaltextrun"/>
                <w:rFonts w:eastAsiaTheme="minorEastAsia"/>
                <w:sz w:val="20"/>
                <w:szCs w:val="22"/>
                <w:lang w:eastAsia="ko-KR"/>
              </w:rPr>
            </w:pPr>
            <w:r>
              <w:rPr>
                <w:rStyle w:val="normaltextrun"/>
                <w:rFonts w:eastAsiaTheme="minorEastAsia" w:hint="eastAsia"/>
                <w:sz w:val="20"/>
                <w:szCs w:val="22"/>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3FB5411" w14:textId="77777777" w:rsidR="00111EBA" w:rsidRDefault="00111EBA" w:rsidP="00111EBA">
            <w:pPr>
              <w:rPr>
                <w:rFonts w:ascii="Times New Roman" w:hAnsi="Times New Roman"/>
                <w:lang w:eastAsia="zh-CN"/>
              </w:rPr>
            </w:pPr>
            <w:r>
              <w:rPr>
                <w:rFonts w:ascii="Times New Roman" w:hAnsi="Times New Roman"/>
                <w:lang w:eastAsia="zh-CN"/>
              </w:rPr>
              <w:t>We are OK with having separate FGs for FR2-2 and NTN, to support 32 HARQ processes.</w:t>
            </w:r>
          </w:p>
          <w:p w14:paraId="005393C4" w14:textId="5BD4D0FD" w:rsidR="00111EBA" w:rsidRDefault="00111EBA" w:rsidP="00111EBA">
            <w:pPr>
              <w:jc w:val="left"/>
              <w:rPr>
                <w:rFonts w:ascii="Times New Roman" w:eastAsia="SimSun" w:hAnsi="Times New Roman"/>
                <w:szCs w:val="22"/>
                <w:lang w:eastAsia="zh-CN"/>
              </w:rPr>
            </w:pPr>
            <w:r>
              <w:rPr>
                <w:rFonts w:ascii="Times New Roman" w:hAnsi="Times New Roman"/>
                <w:lang w:eastAsia="zh-CN"/>
              </w:rPr>
              <w:t>One editorial comment for FG 24-9: The pre-requisite needs to be changed from 24-1 to 24-1</w:t>
            </w:r>
            <w:r>
              <w:rPr>
                <w:rFonts w:ascii="Times New Roman" w:hAnsi="Times New Roman"/>
                <w:color w:val="FF0000"/>
                <w:lang w:eastAsia="zh-CN"/>
              </w:rPr>
              <w:t xml:space="preserve">a </w:t>
            </w:r>
            <w:r>
              <w:rPr>
                <w:rFonts w:ascii="Times New Roman" w:hAnsi="Times New Roman"/>
                <w:lang w:eastAsia="zh-CN"/>
              </w:rPr>
              <w:t>(corresponding to Basic FR2-2 UL support).</w:t>
            </w:r>
          </w:p>
        </w:tc>
      </w:tr>
      <w:tr w:rsidR="007C5032" w:rsidRPr="005057AB" w14:paraId="7C952D61" w14:textId="77777777" w:rsidTr="00F579BC">
        <w:tc>
          <w:tcPr>
            <w:tcW w:w="1818" w:type="dxa"/>
            <w:tcBorders>
              <w:top w:val="single" w:sz="4" w:space="0" w:color="auto"/>
              <w:left w:val="single" w:sz="4" w:space="0" w:color="auto"/>
              <w:bottom w:val="single" w:sz="4" w:space="0" w:color="auto"/>
              <w:right w:val="single" w:sz="4" w:space="0" w:color="auto"/>
            </w:tcBorders>
          </w:tcPr>
          <w:p w14:paraId="1CE1E97F" w14:textId="6BF677B7" w:rsidR="007C5032" w:rsidRPr="007C5032" w:rsidRDefault="00CC3A5A" w:rsidP="00F579BC">
            <w:pPr>
              <w:pStyle w:val="paragraph"/>
              <w:spacing w:before="0" w:beforeAutospacing="0" w:after="0" w:afterAutospacing="0"/>
              <w:textAlignment w:val="baseline"/>
              <w:rPr>
                <w:rStyle w:val="normaltextrun"/>
                <w:rFonts w:eastAsia="DengXian"/>
                <w:sz w:val="20"/>
                <w:szCs w:val="22"/>
                <w:lang w:eastAsia="zh-CN"/>
              </w:rPr>
            </w:pPr>
            <w:r>
              <w:rPr>
                <w:rStyle w:val="normaltextrun"/>
                <w:rFonts w:eastAsia="DengXian"/>
                <w:sz w:val="20"/>
                <w:szCs w:val="22"/>
                <w:lang w:eastAsia="zh-CN"/>
              </w:rPr>
              <w:lastRenderedPageBreak/>
              <w:t>v</w:t>
            </w:r>
            <w:r w:rsidR="007C5032">
              <w:rPr>
                <w:rStyle w:val="normaltextrun"/>
                <w:rFonts w:eastAsia="DengXian"/>
                <w:sz w:val="20"/>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1C779B7" w14:textId="459BDAD4" w:rsidR="007C5032" w:rsidRPr="00DA21C5" w:rsidRDefault="007C5032" w:rsidP="00111EBA">
            <w:pPr>
              <w:rPr>
                <w:rFonts w:ascii="Times New Roman" w:eastAsia="DengXian" w:hAnsi="Times New Roman"/>
                <w:lang w:eastAsia="zh-CN"/>
              </w:rPr>
            </w:pPr>
            <w:r>
              <w:rPr>
                <w:rFonts w:ascii="Times New Roman" w:eastAsia="DengXian" w:hAnsi="Times New Roman"/>
                <w:lang w:eastAsia="zh-CN"/>
              </w:rPr>
              <w:t xml:space="preserve">RAN1 only agreed to support 32HARQ processes in FR2-2 and NTN use cases, although RAN1 has also explicitly discussed the same thing in MBS and MIMO but eventually not agreed. Having a generic UE feature for 32HARQ process with per band will extend the use case of 32HARQ process to MBS and MIMO which somehow contradicts with previous RAN1 agreement, and many other use cases which RAN1 did not discussed at all, </w:t>
            </w:r>
            <w:proofErr w:type="gramStart"/>
            <w:r>
              <w:rPr>
                <w:rFonts w:ascii="Times New Roman" w:eastAsia="DengXian" w:hAnsi="Times New Roman"/>
                <w:lang w:eastAsia="zh-CN"/>
              </w:rPr>
              <w:t>e.g.</w:t>
            </w:r>
            <w:proofErr w:type="gramEnd"/>
            <w:r>
              <w:rPr>
                <w:rFonts w:ascii="Times New Roman" w:eastAsia="DengXian" w:hAnsi="Times New Roman"/>
                <w:lang w:eastAsia="zh-CN"/>
              </w:rPr>
              <w:t xml:space="preserve"> URLLC.</w:t>
            </w:r>
          </w:p>
        </w:tc>
      </w:tr>
      <w:tr w:rsidR="000F1DC3" w:rsidRPr="005057AB" w14:paraId="364AB548" w14:textId="77777777" w:rsidTr="00F579BC">
        <w:tc>
          <w:tcPr>
            <w:tcW w:w="1818" w:type="dxa"/>
            <w:tcBorders>
              <w:top w:val="single" w:sz="4" w:space="0" w:color="auto"/>
              <w:left w:val="single" w:sz="4" w:space="0" w:color="auto"/>
              <w:bottom w:val="single" w:sz="4" w:space="0" w:color="auto"/>
              <w:right w:val="single" w:sz="4" w:space="0" w:color="auto"/>
            </w:tcBorders>
          </w:tcPr>
          <w:p w14:paraId="34B72829" w14:textId="0BA96802" w:rsidR="000F1DC3" w:rsidRDefault="000F1DC3" w:rsidP="000F1DC3">
            <w:pPr>
              <w:pStyle w:val="paragraph"/>
              <w:spacing w:before="0" w:beforeAutospacing="0" w:after="0" w:afterAutospacing="0"/>
              <w:textAlignment w:val="baseline"/>
              <w:rPr>
                <w:rStyle w:val="normaltextrun"/>
                <w:rFonts w:eastAsia="DengXian"/>
                <w:sz w:val="20"/>
                <w:szCs w:val="22"/>
                <w:lang w:eastAsia="zh-CN"/>
              </w:rPr>
            </w:pPr>
            <w:r>
              <w:rPr>
                <w:rStyle w:val="normaltextrun"/>
                <w:rFonts w:eastAsia="DengXian" w:hint="eastAsia"/>
                <w:sz w:val="20"/>
                <w:szCs w:val="22"/>
                <w:lang w:eastAsia="zh-CN"/>
              </w:rPr>
              <w:t>Z</w:t>
            </w:r>
            <w:r>
              <w:rPr>
                <w:rStyle w:val="normaltextrun"/>
                <w:rFonts w:eastAsia="DengXian"/>
                <w:sz w:val="20"/>
                <w:szCs w:val="22"/>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D07C294" w14:textId="77777777" w:rsidR="000F1DC3" w:rsidRDefault="000F1DC3" w:rsidP="000F1DC3">
            <w:pPr>
              <w:rPr>
                <w:rFonts w:ascii="Times New Roman" w:eastAsia="DengXian" w:hAnsi="Times New Roman"/>
                <w:lang w:eastAsia="zh-CN"/>
              </w:rPr>
            </w:pPr>
            <w:r>
              <w:rPr>
                <w:rFonts w:ascii="Times New Roman" w:eastAsia="DengXian" w:hAnsi="Times New Roman"/>
                <w:lang w:eastAsia="zh-CN"/>
              </w:rPr>
              <w:t xml:space="preserve">We are supportive of defining the unified FGs. And prefer to take it as per UE as the </w:t>
            </w:r>
            <w:proofErr w:type="gramStart"/>
            <w:r>
              <w:rPr>
                <w:rFonts w:ascii="Times New Roman" w:eastAsia="DengXian" w:hAnsi="Times New Roman"/>
                <w:lang w:eastAsia="zh-CN"/>
              </w:rPr>
              <w:t>first priority</w:t>
            </w:r>
            <w:proofErr w:type="gramEnd"/>
            <w:r>
              <w:rPr>
                <w:rFonts w:ascii="Times New Roman" w:eastAsia="DengXian" w:hAnsi="Times New Roman"/>
                <w:lang w:eastAsia="zh-CN"/>
              </w:rPr>
              <w:t xml:space="preserve">. </w:t>
            </w:r>
          </w:p>
          <w:p w14:paraId="718C8156" w14:textId="2DC0AE43" w:rsidR="000F1DC3" w:rsidRDefault="000F1DC3" w:rsidP="000F1DC3">
            <w:pPr>
              <w:rPr>
                <w:rFonts w:ascii="Times New Roman" w:eastAsia="DengXian" w:hAnsi="Times New Roman"/>
                <w:lang w:eastAsia="zh-CN"/>
              </w:rPr>
            </w:pPr>
            <w:r>
              <w:rPr>
                <w:rFonts w:ascii="Times New Roman" w:eastAsia="DengXian" w:hAnsi="Times New Roman"/>
                <w:lang w:eastAsia="zh-CN"/>
              </w:rPr>
              <w:t xml:space="preserve">The motivation behind is that from scheduling’s perspective, same implementation of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is considered regardless of SCS.  Meanwhile, Taking the “Per UE” is beneficial to unify the UE’s behavior among all relevant scenario (with similar implementation).</w:t>
            </w:r>
          </w:p>
        </w:tc>
      </w:tr>
      <w:tr w:rsidR="002623F1" w:rsidRPr="005057AB" w14:paraId="2AE44B26" w14:textId="77777777" w:rsidTr="00F579BC">
        <w:tc>
          <w:tcPr>
            <w:tcW w:w="1818" w:type="dxa"/>
            <w:tcBorders>
              <w:top w:val="single" w:sz="4" w:space="0" w:color="auto"/>
              <w:left w:val="single" w:sz="4" w:space="0" w:color="auto"/>
              <w:bottom w:val="single" w:sz="4" w:space="0" w:color="auto"/>
              <w:right w:val="single" w:sz="4" w:space="0" w:color="auto"/>
            </w:tcBorders>
          </w:tcPr>
          <w:p w14:paraId="42D98692" w14:textId="15A2CB2B" w:rsidR="002623F1" w:rsidRPr="002623F1" w:rsidRDefault="002623F1" w:rsidP="000F1DC3">
            <w:pPr>
              <w:pStyle w:val="paragraph"/>
              <w:spacing w:before="0" w:beforeAutospacing="0" w:after="0" w:afterAutospacing="0"/>
              <w:textAlignment w:val="baseline"/>
              <w:rPr>
                <w:rStyle w:val="normaltextrun"/>
                <w:rFonts w:eastAsia="游明朝" w:hint="eastAsia"/>
                <w:sz w:val="20"/>
                <w:szCs w:val="22"/>
                <w:lang w:eastAsia="ja-JP"/>
              </w:rPr>
            </w:pPr>
            <w:r>
              <w:rPr>
                <w:rStyle w:val="normaltextrun"/>
                <w:rFonts w:eastAsia="游明朝" w:hint="eastAsia"/>
                <w:sz w:val="20"/>
                <w:szCs w:val="22"/>
                <w:lang w:eastAsia="ja-JP"/>
              </w:rPr>
              <w:t>D</w:t>
            </w:r>
            <w:r>
              <w:rPr>
                <w:rStyle w:val="normaltextrun"/>
                <w:rFonts w:eastAsia="游明朝"/>
                <w:sz w:val="20"/>
                <w:szCs w:val="22"/>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9516038" w14:textId="77777777" w:rsidR="002623F1" w:rsidRDefault="002623F1" w:rsidP="000F1DC3">
            <w:pPr>
              <w:rPr>
                <w:rFonts w:ascii="Times New Roman" w:eastAsia="DengXian" w:hAnsi="Times New Roman"/>
                <w:lang w:eastAsia="zh-CN"/>
              </w:rPr>
            </w:pPr>
            <w:r w:rsidRPr="002623F1">
              <w:rPr>
                <w:rFonts w:ascii="Times New Roman" w:eastAsia="DengXian" w:hAnsi="Times New Roman"/>
                <w:lang w:eastAsia="zh-CN"/>
              </w:rPr>
              <w:t xml:space="preserve">We support “The Rel. 17 features that increase the number of HARQ processes are separate FGs for FR2-2 and NR NTN”.  As we described in our </w:t>
            </w:r>
            <w:proofErr w:type="spellStart"/>
            <w:r w:rsidRPr="002623F1">
              <w:rPr>
                <w:rFonts w:ascii="Times New Roman" w:eastAsia="DengXian" w:hAnsi="Times New Roman"/>
                <w:lang w:eastAsia="zh-CN"/>
              </w:rPr>
              <w:t>tdoc</w:t>
            </w:r>
            <w:proofErr w:type="spellEnd"/>
            <w:r w:rsidRPr="002623F1">
              <w:rPr>
                <w:rFonts w:ascii="Times New Roman" w:eastAsia="DengXian" w:hAnsi="Times New Roman"/>
                <w:lang w:eastAsia="zh-CN"/>
              </w:rPr>
              <w:t>, the reasons are 1) no agreements in any other WIs (one note is “not support” was agreed as a conclusion at MBS WI), 2) UE burden or signaling overhead can be mitigated if UE is not required to perform capability reporting about the support of this feature except for NTN/ATG/FR2-2 bands.</w:t>
            </w:r>
          </w:p>
          <w:p w14:paraId="310AA486" w14:textId="77777777" w:rsidR="002623F1" w:rsidRDefault="002623F1" w:rsidP="002623F1">
            <w:pPr>
              <w:jc w:val="left"/>
              <w:rPr>
                <w:rFonts w:eastAsia="游明朝"/>
                <w:lang w:eastAsia="ja-JP"/>
              </w:rPr>
            </w:pPr>
            <w:r>
              <w:rPr>
                <w:rFonts w:eastAsia="游明朝"/>
                <w:lang w:eastAsia="ja-JP"/>
              </w:rPr>
              <w:t xml:space="preserve">For FG24-8 and 24-9, we support to add 120 kHz SCS. </w:t>
            </w:r>
          </w:p>
          <w:p w14:paraId="2E0C59F8" w14:textId="005686F2" w:rsidR="002623F1" w:rsidRDefault="002623F1" w:rsidP="002623F1">
            <w:pPr>
              <w:rPr>
                <w:rFonts w:ascii="Times New Roman" w:eastAsia="DengXian" w:hAnsi="Times New Roman"/>
                <w:lang w:eastAsia="zh-CN"/>
              </w:rPr>
            </w:pPr>
            <w:r>
              <w:rPr>
                <w:rFonts w:eastAsiaTheme="minorEastAsia" w:hint="eastAsia"/>
                <w:lang w:eastAsia="ja-JP"/>
              </w:rPr>
              <w:t>F</w:t>
            </w:r>
            <w:r>
              <w:rPr>
                <w:rFonts w:eastAsiaTheme="minorEastAsia"/>
                <w:lang w:eastAsia="ja-JP"/>
              </w:rPr>
              <w:t>or FG26-5, HAPS should be added as “satellite/HAPS”.</w:t>
            </w: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ＭＳ 明朝" w:hAnsi="Calibri" w:cs="Calibri"/>
                <w:color w:val="EDEDED"/>
              </w:rPr>
            </w:pPr>
            <w:r w:rsidRPr="009209DD">
              <w:rPr>
                <w:rFonts w:ascii="Calibri" w:eastAsia="ＭＳ 明朝"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ＭＳ 明朝" w:hAnsi="Calibri" w:cs="Calibri"/>
                <w:color w:val="EDEDED"/>
              </w:rPr>
            </w:pPr>
            <w:r w:rsidRPr="009209DD">
              <w:rPr>
                <w:rFonts w:ascii="Calibri" w:eastAsia="ＭＳ 明朝"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ＭＳ 明朝"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ＭＳ 明朝" w:hAnsi="Calibri" w:cs="Calibri"/>
                <w:color w:val="EDEDED"/>
              </w:rPr>
            </w:pPr>
          </w:p>
        </w:tc>
      </w:tr>
    </w:tbl>
    <w:p w14:paraId="01C71A55"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9209DD" w:rsidRDefault="00A16BE5" w:rsidP="009209DD">
      <w:pPr>
        <w:pStyle w:val="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ＭＳ 明朝" w:hAnsi="Calibri" w:cs="Calibri"/>
                <w:color w:val="EDEDED"/>
              </w:rPr>
            </w:pPr>
            <w:r w:rsidRPr="009209DD">
              <w:rPr>
                <w:rFonts w:ascii="Calibri" w:eastAsia="ＭＳ 明朝"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ＭＳ 明朝" w:hAnsi="Calibri" w:cs="Calibri"/>
                <w:color w:val="EDEDED"/>
              </w:rPr>
            </w:pPr>
            <w:r w:rsidRPr="009209DD">
              <w:rPr>
                <w:rFonts w:ascii="Calibri" w:eastAsia="ＭＳ 明朝"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ＭＳ 明朝"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ＭＳ 明朝" w:hAnsi="Calibri" w:cs="Calibri"/>
                <w:color w:val="EDEDED"/>
              </w:rPr>
            </w:pPr>
          </w:p>
        </w:tc>
      </w:tr>
    </w:tbl>
    <w:p w14:paraId="4C6F6637"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9209DD" w:rsidRDefault="00A16BE5" w:rsidP="009209DD">
      <w:pPr>
        <w:pStyle w:val="1"/>
        <w:numPr>
          <w:ilvl w:val="1"/>
          <w:numId w:val="9"/>
        </w:numPr>
        <w:jc w:val="both"/>
        <w:rPr>
          <w:color w:val="EDEDED"/>
        </w:rPr>
      </w:pPr>
      <w:r w:rsidRPr="009209DD">
        <w:rPr>
          <w:color w:val="EDEDED"/>
        </w:rPr>
        <w:lastRenderedPageBreak/>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 xml:space="preserve">Companies can continue to update their comments in the previous </w:t>
      </w:r>
      <w:proofErr w:type="gramStart"/>
      <w:r w:rsidRPr="009209DD">
        <w:rPr>
          <w:rFonts w:ascii="Calibri" w:eastAsia="SimSun" w:hAnsi="Calibri" w:cs="Calibri"/>
          <w:color w:val="EDEDED"/>
          <w:lang w:eastAsia="zh-CN"/>
        </w:rPr>
        <w:t>Sections,</w:t>
      </w:r>
      <w:proofErr w:type="gramEnd"/>
      <w:r w:rsidRPr="009209DD">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8"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proofErr w:type="spellStart"/>
      <w:r w:rsidRPr="0028253A">
        <w:rPr>
          <w:rFonts w:ascii="Calibri" w:hAnsi="Calibri" w:cs="Times New Roman"/>
          <w:color w:val="000000"/>
          <w:lang w:eastAsia="ko-KR"/>
        </w:rPr>
        <w:t>HiSilicon</w:t>
      </w:r>
      <w:bookmarkEnd w:id="38"/>
      <w:proofErr w:type="spellEnd"/>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39"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proofErr w:type="spellStart"/>
      <w:r w:rsidRPr="005F189B">
        <w:rPr>
          <w:rFonts w:ascii="Calibri" w:hAnsi="Calibri" w:cs="Times New Roman"/>
          <w:color w:val="000000"/>
          <w:lang w:eastAsia="ko-KR"/>
        </w:rPr>
        <w:t>HiSilicon</w:t>
      </w:r>
      <w:bookmarkEnd w:id="39"/>
      <w:proofErr w:type="spellEnd"/>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0"/>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1"/>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proofErr w:type="spellStart"/>
      <w:r w:rsidRPr="005F189B">
        <w:rPr>
          <w:rFonts w:ascii="Calibri" w:hAnsi="Calibri" w:cs="Times New Roman"/>
          <w:color w:val="000000"/>
          <w:lang w:eastAsia="ko-KR"/>
        </w:rPr>
        <w:t>Sanechips</w:t>
      </w:r>
      <w:bookmarkEnd w:id="42"/>
      <w:proofErr w:type="spellEnd"/>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3"/>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4"/>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5"/>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6"/>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7"/>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8"/>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83"/>
      <w:r w:rsidRPr="005F189B">
        <w:rPr>
          <w:rFonts w:ascii="Calibri" w:hAnsi="Calibri" w:cs="Times New Roman"/>
          <w:color w:val="000000"/>
          <w:lang w:eastAsia="ko-KR"/>
        </w:rPr>
        <w:lastRenderedPageBreak/>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49"/>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 xml:space="preserve">UE features for NR from 52.6 </w:t>
      </w:r>
      <w:proofErr w:type="spellStart"/>
      <w:r w:rsidRPr="005F189B">
        <w:rPr>
          <w:rFonts w:ascii="Calibri" w:hAnsi="Calibri" w:cs="Times New Roman"/>
          <w:color w:val="000000"/>
          <w:lang w:eastAsia="ko-KR"/>
        </w:rPr>
        <w:t>Ghz</w:t>
      </w:r>
      <w:proofErr w:type="spellEnd"/>
      <w:r w:rsidRPr="005F189B">
        <w:rPr>
          <w:rFonts w:ascii="Calibri" w:hAnsi="Calibri" w:cs="Times New Roman"/>
          <w:color w:val="000000"/>
          <w:lang w:eastAsia="ko-KR"/>
        </w:rPr>
        <w:t xml:space="preserve"> to 71 </w:t>
      </w:r>
      <w:proofErr w:type="spellStart"/>
      <w:r w:rsidRPr="005F189B">
        <w:rPr>
          <w:rFonts w:ascii="Calibri" w:hAnsi="Calibri" w:cs="Times New Roman"/>
          <w:color w:val="000000"/>
          <w:lang w:eastAsia="ko-KR"/>
        </w:rPr>
        <w:t>Ghz</w:t>
      </w:r>
      <w:r>
        <w:rPr>
          <w:rFonts w:ascii="Calibri" w:hAnsi="Calibri" w:cs="Times New Roman"/>
          <w:color w:val="000000"/>
          <w:lang w:eastAsia="ko-KR"/>
        </w:rPr>
        <w:t>m</w:t>
      </w:r>
      <w:proofErr w:type="spellEnd"/>
      <w:r>
        <w:rPr>
          <w:rFonts w:ascii="Calibri" w:hAnsi="Calibri" w:cs="Times New Roman"/>
          <w:color w:val="000000"/>
          <w:lang w:eastAsia="ko-KR"/>
        </w:rPr>
        <w:t xml:space="preserve"> </w:t>
      </w:r>
      <w:r w:rsidRPr="005F189B">
        <w:rPr>
          <w:rFonts w:ascii="Calibri" w:hAnsi="Calibri" w:cs="Times New Roman"/>
          <w:color w:val="000000"/>
          <w:lang w:eastAsia="ko-KR"/>
        </w:rPr>
        <w:t>Qualcomm Incorporated</w:t>
      </w:r>
      <w:bookmarkStart w:id="51" w:name="_Ref96099594"/>
      <w:bookmarkEnd w:id="50"/>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2" w:name="_Ref96116663"/>
      <w:r w:rsidRPr="00596C08">
        <w:rPr>
          <w:rFonts w:ascii="Calibri" w:hAnsi="Calibri" w:cs="Times New Roman"/>
          <w:color w:val="000000"/>
          <w:lang w:eastAsia="ko-KR"/>
        </w:rPr>
        <w:t>R1-2202355, Discussion on UE features for NR above 52.6 GHz, LG Electronics</w:t>
      </w:r>
      <w:bookmarkEnd w:id="51"/>
      <w:bookmarkEnd w:id="52"/>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proofErr w:type="spellStart"/>
      <w:r w:rsidRPr="00796198">
        <w:rPr>
          <w:rFonts w:ascii="Calibri" w:hAnsi="Calibri" w:cs="Times New Roman"/>
          <w:color w:val="000000"/>
          <w:lang w:eastAsia="ko-KR"/>
        </w:rPr>
        <w:t>HiSilicon</w:t>
      </w:r>
      <w:bookmarkEnd w:id="53"/>
      <w:proofErr w:type="spellEnd"/>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4"/>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5"/>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6"/>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7"/>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8"/>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59"/>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0"/>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1"/>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2"/>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3"/>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4"/>
    </w:p>
    <w:p w14:paraId="620C4D9D" w14:textId="77777777" w:rsidR="00000D8D" w:rsidRPr="00434D06" w:rsidRDefault="00000D8D" w:rsidP="00577143">
      <w:pPr>
        <w:pStyle w:val="af0"/>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DB7D" w14:textId="77777777" w:rsidR="00BA7643" w:rsidRDefault="00BA7643" w:rsidP="00FF028D">
      <w:pPr>
        <w:spacing w:before="0" w:after="0"/>
      </w:pPr>
      <w:r>
        <w:separator/>
      </w:r>
    </w:p>
  </w:endnote>
  <w:endnote w:type="continuationSeparator" w:id="0">
    <w:p w14:paraId="65798FC0" w14:textId="77777777" w:rsidR="00BA7643" w:rsidRDefault="00BA7643"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9973" w14:textId="77777777" w:rsidR="00BA7643" w:rsidRDefault="00BA7643" w:rsidP="00FF028D">
      <w:pPr>
        <w:spacing w:before="0" w:after="0"/>
      </w:pPr>
      <w:r>
        <w:separator/>
      </w:r>
    </w:p>
  </w:footnote>
  <w:footnote w:type="continuationSeparator" w:id="0">
    <w:p w14:paraId="6D7F846E" w14:textId="77777777" w:rsidR="00BA7643" w:rsidRDefault="00BA7643"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E6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1DC3"/>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A"/>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4A9C"/>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3F1"/>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57AB"/>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F5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A82"/>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6E22"/>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20F"/>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032"/>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75D"/>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9B8"/>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D4E"/>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59A8"/>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A7643"/>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E76"/>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0ED4"/>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3A5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B29"/>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C5"/>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5F26"/>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216"/>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0D16"/>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9BC"/>
    <w:rsid w:val="00F608C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字列 (文字)"/>
    <w:link w:val="a8"/>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rPr>
  </w:style>
  <w:style w:type="character" w:customStyle="1" w:styleId="apple-converted-space">
    <w:name w:val="apple-converted-space"/>
  </w:style>
  <w:style w:type="character" w:customStyle="1" w:styleId="a9">
    <w:name w:val="コメント内容 (文字)"/>
    <w:link w:val="aa"/>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c"/>
    <w:uiPriority w:val="34"/>
    <w:qFormat/>
    <w:locked/>
    <w:rPr>
      <w:rFonts w:ascii="Arial" w:eastAsia="Times New Roman" w:hAnsi="Arial"/>
    </w:rPr>
  </w:style>
  <w:style w:type="character" w:customStyle="1" w:styleId="B1Char">
    <w:name w:val="B1 Char"/>
    <w:link w:val="B1"/>
    <w:rPr>
      <w:rFonts w:ascii="Times New Roman" w:eastAsia="ＭＳ 明朝" w:hAnsi="Times New Roman"/>
      <w:lang w:val="en-GB"/>
    </w:rPr>
  </w:style>
  <w:style w:type="character" w:customStyle="1" w:styleId="ad">
    <w:name w:val="フッター (文字)"/>
    <w:link w:val="ae"/>
    <w:uiPriority w:val="99"/>
    <w:rPr>
      <w:rFonts w:ascii="Arial" w:eastAsia="Times New Roman" w:hAnsi="Arial" w:cs="Times New Roman"/>
      <w:sz w:val="20"/>
      <w:szCs w:val="20"/>
    </w:rPr>
  </w:style>
  <w:style w:type="character" w:customStyle="1" w:styleId="af">
    <w:name w:val="行間詰め (文字)"/>
    <w:link w:val="af0"/>
    <w:uiPriority w:val="1"/>
    <w:rPr>
      <w:rFonts w:ascii="Arial" w:eastAsia="Times New Roman" w:hAnsi="Arial" w:cs="Times New Roman"/>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Pr>
      <w:rFonts w:ascii="Arial" w:eastAsia="Times New Roman" w:hAnsi="Arial"/>
      <w:b/>
      <w:sz w:val="24"/>
      <w:szCs w:val="24"/>
    </w:rPr>
  </w:style>
  <w:style w:type="character" w:customStyle="1" w:styleId="80">
    <w:name w:val="見出し 8 (文字)"/>
    <w:link w:val="8"/>
    <w:rPr>
      <w:rFonts w:ascii="Arial" w:eastAsia="Times New Roman" w:hAnsi="Arial"/>
      <w:i/>
    </w:rPr>
  </w:style>
  <w:style w:type="character" w:customStyle="1" w:styleId="30">
    <w:name w:val="見出し 3 (文字)"/>
    <w:aliases w:val="h3 (文字),H3 (文字),Underrubrik2 (文字),no break (文字),Memo Heading 3 (文字),0H (文字),l3 (文字),list 3 (文字),Head 3 (文字),1.1.1 (文字),3rd level (文字),Major Section Sub Section (文字),PA Minor Section (文字),Head3 (文字),Level 3 Head (文字),31 (文字),32 (文字),33 (文字)"/>
    <w:link w:val="3"/>
    <w:rPr>
      <w:rFonts w:ascii="Arial" w:eastAsia="Times New Roman" w:hAnsi="Arial"/>
      <w:b/>
      <w:sz w:val="24"/>
    </w:rPr>
  </w:style>
  <w:style w:type="character" w:customStyle="1" w:styleId="af1">
    <w:name w:val="吹き出し (文字)"/>
    <w:link w:val="af2"/>
    <w:uiPriority w:val="99"/>
    <w:semiHidden/>
    <w:rPr>
      <w:rFonts w:ascii="Segoe UI" w:eastAsia="Times New Roman" w:hAnsi="Segoe UI" w:cs="Segoe UI"/>
      <w:sz w:val="18"/>
      <w:szCs w:val="18"/>
    </w:rPr>
  </w:style>
  <w:style w:type="character" w:customStyle="1" w:styleId="af3">
    <w:name w:val="書式なし (文字)"/>
    <w:link w:val="af4"/>
    <w:uiPriority w:val="99"/>
    <w:semiHidden/>
    <w:rPr>
      <w:rFonts w:ascii="Courier New" w:eastAsia="Gulim" w:hAnsi="Courier New" w:cs="Courier New"/>
      <w:kern w:val="2"/>
    </w:rPr>
  </w:style>
  <w:style w:type="character" w:customStyle="1" w:styleId="70">
    <w:name w:val="見出し 7 (文字)"/>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見出し 6 (文字)"/>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0">
    <w:name w:val="見出し 2 (文字)"/>
    <w:link w:val="2"/>
    <w:rPr>
      <w:rFonts w:ascii="Arial" w:eastAsia="Times New Roman" w:hAnsi="Arial"/>
      <w:b/>
      <w:i/>
      <w:sz w:val="28"/>
    </w:rPr>
  </w:style>
  <w:style w:type="character" w:customStyle="1" w:styleId="50">
    <w:name w:val="見出し 5 (文字)"/>
    <w:link w:val="5"/>
    <w:rPr>
      <w:rFonts w:ascii="Arial" w:eastAsia="Times New Roman" w:hAnsi="Arial"/>
    </w:rPr>
  </w:style>
  <w:style w:type="character" w:customStyle="1" w:styleId="af5">
    <w:name w:val="ヘッダー (文字)"/>
    <w:link w:val="af6"/>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7">
    <w:name w:val="コメント文字列 (文字)"/>
    <w:link w:val="af8"/>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9">
    <w:name w:val="本文 (文字)"/>
    <w:link w:val="afa"/>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b">
    <w:name w:val="図表番号 (文字)"/>
    <w:link w:val="afc"/>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e">
    <w:name w:val="List"/>
    <w:basedOn w:val="a"/>
    <w:uiPriority w:val="99"/>
    <w:unhideWhenUsed/>
    <w:pPr>
      <w:ind w:left="360" w:hanging="360"/>
      <w:contextualSpacing/>
    </w:pPr>
  </w:style>
  <w:style w:type="paragraph" w:styleId="aa">
    <w:name w:val="annotation subject"/>
    <w:basedOn w:val="af8"/>
    <w:next w:val="af8"/>
    <w:link w:val="a9"/>
    <w:uiPriority w:val="99"/>
    <w:unhideWhenUsed/>
    <w:rPr>
      <w:b/>
      <w:bCs/>
    </w:rPr>
  </w:style>
  <w:style w:type="paragraph" w:styleId="51">
    <w:name w:val="toc 5"/>
    <w:basedOn w:val="a"/>
    <w:next w:val="a"/>
    <w:uiPriority w:val="39"/>
    <w:unhideWhenUsed/>
    <w:pPr>
      <w:ind w:left="800"/>
    </w:pPr>
  </w:style>
  <w:style w:type="paragraph" w:styleId="afa">
    <w:name w:val="Body Text"/>
    <w:basedOn w:val="a"/>
    <w:link w:val="af9"/>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8">
    <w:name w:val="annotation text"/>
    <w:basedOn w:val="a"/>
    <w:link w:val="af7"/>
    <w:uiPriority w:val="99"/>
    <w:unhideWhenUsed/>
  </w:style>
  <w:style w:type="paragraph" w:styleId="af6">
    <w:name w:val="header"/>
    <w:basedOn w:val="a"/>
    <w:link w:val="af5"/>
    <w:uiPriority w:val="99"/>
    <w:unhideWhenUsed/>
    <w:pPr>
      <w:tabs>
        <w:tab w:val="center" w:pos="4680"/>
        <w:tab w:val="right" w:pos="9360"/>
      </w:tabs>
      <w:spacing w:before="0" w:after="0"/>
    </w:pPr>
  </w:style>
  <w:style w:type="paragraph" w:styleId="ae">
    <w:name w:val="footer"/>
    <w:basedOn w:val="a"/>
    <w:link w:val="ad"/>
    <w:uiPriority w:val="99"/>
    <w:unhideWhenUsed/>
    <w:pPr>
      <w:tabs>
        <w:tab w:val="center" w:pos="4680"/>
        <w:tab w:val="right" w:pos="9360"/>
      </w:tabs>
      <w:spacing w:before="0" w:after="0"/>
    </w:pPr>
  </w:style>
  <w:style w:type="paragraph" w:styleId="Web">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c">
    <w:name w:val="caption"/>
    <w:basedOn w:val="a"/>
    <w:next w:val="a"/>
    <w:link w:val="afb"/>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2">
    <w:name w:val="Balloon Text"/>
    <w:basedOn w:val="a"/>
    <w:link w:val="af1"/>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
    <w:link w:val="af"/>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列出段落1"/>
    <w:basedOn w:val="a"/>
    <w:link w:val="ab"/>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eastAsia="en-US"/>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e"/>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a"/>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f0">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afa"/>
    <w:link w:val="3GPPNormalTextChar"/>
    <w:qFormat/>
    <w:rsid w:val="0028253A"/>
    <w:pPr>
      <w:tabs>
        <w:tab w:val="clear" w:pos="1440"/>
      </w:tabs>
      <w:ind w:left="720" w:hanging="720"/>
    </w:pPr>
    <w:rPr>
      <w:rFonts w:ascii="Times New Roman" w:eastAsia="ＭＳ 明朝" w:hAnsi="Times New Roman"/>
      <w:sz w:val="22"/>
      <w:lang w:val="en-US"/>
    </w:rPr>
  </w:style>
  <w:style w:type="character" w:customStyle="1" w:styleId="3GPPNormalTextChar">
    <w:name w:val="3GPP Normal Text Char"/>
    <w:link w:val="3GPPNormalText"/>
    <w:rsid w:val="0028253A"/>
    <w:rPr>
      <w:rFonts w:eastAsia="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473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42DE61-A18C-4CC0-A031-53F22629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7028</Words>
  <Characters>40066</Characters>
  <Application>Microsoft Office Word</Application>
  <DocSecurity>0</DocSecurity>
  <Lines>333</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Naoya Shibaike</cp:lastModifiedBy>
  <cp:revision>2</cp:revision>
  <cp:lastPrinted>2020-07-20T16:11:00Z</cp:lastPrinted>
  <dcterms:created xsi:type="dcterms:W3CDTF">2022-02-22T11:28:00Z</dcterms:created>
  <dcterms:modified xsi:type="dcterms:W3CDTF">2022-02-22T11:28:00Z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(3)EL4J4rekcBaIF88keTS2t88oibi/S5Dprs0W7BdsGYL/9NLlUeVl3RQo/ZnNvIdODFC2CRYo
le7eUp0/XK2F+OtAZYmsjaNFHiREpb5n0ZU/M+IoZvge2/NBVtT/LneRK9VEqxRQsex2/S4c
1VX5rTcylSOhk1NZhEAm5/euh4qeqMd3Hx4zQMApbsIeQHBIRK2qH3YwL6isxd/BtPaLQzwt
VZO534jPQP7V/oGAnK</vt:lpwstr>
  </property>
  <property fmtid="{D5CDD505-2E9C-101B-9397-08002B2CF9AE}" pid="15" name="_2015_ms_pID_7253431">
    <vt:lpwstr>xgISbqoX/3s21+Ly80l5jrWU/nsz9IthscT2Nbj8UIQhXLO2/uiLLf
1RAaXCFfOBn7Fb9/H1ZyFiwtguQf7Ta0lHEzZZLUyOEtXhdcpfmYE16HusfzBWlDw02wk8aJ
7pH1ZezddaQRiBxKFOx7BVwbSqqSUEuP9+2OrWLJpVeXvyRRrJ4L73arrJ8YUyeK9jsT4lT/
tVbQBpoqF9mHOsIV7qF1kZwvYbLl5YKtnRmm</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cA==</vt:lpwstr>
  </property>
</Properties>
</file>