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A8FD" w14:textId="77777777" w:rsidR="002F4D61" w:rsidRDefault="00B03222">
      <w:pPr>
        <w:tabs>
          <w:tab w:val="center" w:pos="4536"/>
          <w:tab w:val="right" w:pos="8280"/>
          <w:tab w:val="right" w:pos="9639"/>
        </w:tabs>
        <w:spacing w:after="120" w:line="276" w:lineRule="auto"/>
        <w:ind w:right="2"/>
        <w:rPr>
          <w:rFonts w:ascii="Arial" w:eastAsia="Malgun Gothic" w:hAnsi="Arial" w:cs="Arial"/>
          <w:b/>
          <w:bCs/>
          <w:lang w:val="de-DE"/>
        </w:rPr>
      </w:pPr>
      <w:r>
        <w:rPr>
          <w:rFonts w:ascii="Arial" w:eastAsia="Malgun Gothic" w:hAnsi="Arial" w:cs="Arial"/>
          <w:b/>
          <w:bCs/>
          <w:lang w:val="de-DE"/>
        </w:rPr>
        <w:t>3GPP TSG RAN WG1 #10</w:t>
      </w:r>
      <w:r>
        <w:rPr>
          <w:rFonts w:ascii="Arial" w:eastAsia="MS Mincho" w:hAnsi="Arial" w:cs="Arial"/>
          <w:b/>
          <w:bCs/>
          <w:lang w:val="de-DE"/>
        </w:rPr>
        <w:t>8</w:t>
      </w:r>
      <w:r>
        <w:rPr>
          <w:rFonts w:ascii="Arial" w:eastAsia="Malgun Gothic" w:hAnsi="Arial" w:cs="Arial"/>
          <w:b/>
          <w:bCs/>
          <w:lang w:val="de-DE"/>
        </w:rPr>
        <w:t>-e</w:t>
      </w:r>
      <w:r>
        <w:rPr>
          <w:rFonts w:ascii="Arial" w:eastAsia="Malgun Gothic" w:hAnsi="Arial" w:cs="Arial"/>
          <w:b/>
          <w:bCs/>
          <w:lang w:val="de-DE"/>
        </w:rPr>
        <w:tab/>
      </w:r>
      <w:r>
        <w:rPr>
          <w:rFonts w:ascii="Arial" w:eastAsia="Malgun Gothic" w:hAnsi="Arial" w:cs="Arial"/>
          <w:b/>
          <w:bCs/>
          <w:lang w:val="de-DE"/>
        </w:rPr>
        <w:tab/>
      </w:r>
      <w:r>
        <w:rPr>
          <w:rFonts w:ascii="Arial" w:eastAsia="Malgun Gothic" w:hAnsi="Arial" w:cs="Arial"/>
          <w:b/>
          <w:bCs/>
          <w:lang w:val="de-DE"/>
        </w:rPr>
        <w:tab/>
      </w:r>
      <w:r>
        <w:rPr>
          <w:rFonts w:ascii="Arial" w:eastAsia="MS Mincho" w:hAnsi="Arial" w:cs="Arial"/>
          <w:b/>
          <w:bCs/>
          <w:highlight w:val="yellow"/>
          <w:lang w:val="de-DE"/>
        </w:rPr>
        <w:t>R1-22xxxxx</w:t>
      </w:r>
    </w:p>
    <w:p w14:paraId="3FBBD916" w14:textId="77777777" w:rsidR="002F4D61" w:rsidRDefault="00B03222">
      <w:pPr>
        <w:tabs>
          <w:tab w:val="center" w:pos="4536"/>
          <w:tab w:val="right" w:pos="9072"/>
        </w:tabs>
        <w:spacing w:after="120" w:line="276" w:lineRule="auto"/>
        <w:rPr>
          <w:rFonts w:ascii="Arial" w:eastAsia="Malgun Gothic" w:hAnsi="Arial" w:cs="Arial"/>
          <w:b/>
          <w:bCs/>
        </w:rPr>
      </w:pPr>
      <w:r>
        <w:rPr>
          <w:rFonts w:ascii="Arial" w:eastAsia="Malgun Gothic" w:hAnsi="Arial" w:cs="Arial"/>
          <w:b/>
          <w:bCs/>
        </w:rPr>
        <w:t>e-Meeting, February 21</w:t>
      </w:r>
      <w:r>
        <w:rPr>
          <w:rFonts w:ascii="Arial" w:eastAsia="Malgun Gothic" w:hAnsi="Arial" w:cs="Arial"/>
          <w:b/>
          <w:bCs/>
          <w:vertAlign w:val="superscript"/>
        </w:rPr>
        <w:t>st</w:t>
      </w:r>
      <w:r>
        <w:rPr>
          <w:rFonts w:ascii="Arial" w:eastAsia="Malgun Gothic" w:hAnsi="Arial" w:cs="Arial"/>
          <w:b/>
          <w:bCs/>
        </w:rPr>
        <w:t xml:space="preserve"> – March 3</w:t>
      </w:r>
      <w:r>
        <w:rPr>
          <w:rFonts w:ascii="Arial" w:eastAsia="Malgun Gothic" w:hAnsi="Arial" w:cs="Arial"/>
          <w:b/>
          <w:bCs/>
          <w:vertAlign w:val="superscript"/>
        </w:rPr>
        <w:t>rd</w:t>
      </w:r>
      <w:r>
        <w:rPr>
          <w:rFonts w:ascii="Arial" w:eastAsia="Malgun Gothic" w:hAnsi="Arial" w:cs="Arial"/>
          <w:b/>
          <w:bCs/>
        </w:rPr>
        <w:t>, 2022</w:t>
      </w:r>
    </w:p>
    <w:p w14:paraId="2483FF67" w14:textId="77777777" w:rsidR="002F4D61" w:rsidRDefault="002F4D61">
      <w:pPr>
        <w:tabs>
          <w:tab w:val="center" w:pos="4536"/>
          <w:tab w:val="right" w:pos="9072"/>
        </w:tabs>
        <w:spacing w:line="276" w:lineRule="auto"/>
        <w:rPr>
          <w:rFonts w:ascii="Arial" w:eastAsia="Malgun Gothic" w:hAnsi="Arial" w:cs="Arial"/>
          <w:b/>
          <w:bCs/>
          <w:szCs w:val="24"/>
          <w:lang w:eastAsia="en-US"/>
        </w:rPr>
      </w:pPr>
    </w:p>
    <w:p w14:paraId="76E9E729" w14:textId="77777777" w:rsidR="002F4D61" w:rsidRDefault="00B03222">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6.9</w:t>
      </w:r>
    </w:p>
    <w:p w14:paraId="0655FA72" w14:textId="77777777" w:rsidR="002F4D61" w:rsidRDefault="00B03222">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75A648" w14:textId="77777777" w:rsidR="002F4D61" w:rsidRDefault="00B03222">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highlight w:val="yellow"/>
          <w:lang w:val="en-US" w:eastAsia="en-US"/>
        </w:rPr>
        <w:t>[draft]</w:t>
      </w:r>
      <w:r>
        <w:rPr>
          <w:rFonts w:ascii="Arial" w:eastAsia="Malgun Gothic" w:hAnsi="Arial"/>
          <w:b/>
          <w:lang w:val="en-US" w:eastAsia="en-US"/>
        </w:rPr>
        <w:t xml:space="preserve"> </w:t>
      </w:r>
      <w:r>
        <w:rPr>
          <w:rFonts w:ascii="Arial" w:eastAsia="Malgun Gothic" w:hAnsi="Arial"/>
          <w:bCs/>
          <w:lang w:val="en-US" w:eastAsia="en-US"/>
        </w:rPr>
        <w:t>Summary on UE features for NB-IoT and LTE-MTC enhancements</w:t>
      </w:r>
    </w:p>
    <w:p w14:paraId="5B78DAD7" w14:textId="77777777" w:rsidR="002F4D61" w:rsidRDefault="00B03222">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6705D45" w14:textId="77777777" w:rsidR="002F4D61" w:rsidRDefault="00B03222">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FB700DF" w14:textId="77777777" w:rsidR="002F4D61" w:rsidRDefault="00B03222">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8.16.9 regarding UE features for NB-IoT and LTE-MTC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2F4D61" w14:paraId="3CB0EA6C" w14:textId="77777777">
        <w:tc>
          <w:tcPr>
            <w:tcW w:w="9962" w:type="dxa"/>
          </w:tcPr>
          <w:p w14:paraId="0AA95EEE" w14:textId="77777777" w:rsidR="002F4D61" w:rsidRDefault="00B03222">
            <w:pPr>
              <w:spacing w:after="0" w:line="240" w:lineRule="auto"/>
              <w:rPr>
                <w:rFonts w:ascii="Times" w:eastAsia="Batang" w:hAnsi="Times"/>
                <w:sz w:val="20"/>
                <w:szCs w:val="24"/>
                <w:lang w:val="en-US" w:eastAsia="zh-CN"/>
              </w:rPr>
            </w:pPr>
            <w:r>
              <w:rPr>
                <w:rFonts w:ascii="Times" w:eastAsia="Batang" w:hAnsi="Times"/>
                <w:sz w:val="20"/>
                <w:szCs w:val="24"/>
                <w:highlight w:val="cyan"/>
                <w:lang w:eastAsia="zh-CN"/>
              </w:rPr>
              <w:t>[108-e-R17-UE-features-NB-IoT-eMTC-01] Email discussion on UE features for NB-IoT and LTE-MTC enhancements</w:t>
            </w:r>
            <w:r>
              <w:rPr>
                <w:rFonts w:ascii="Times" w:eastAsia="Batang" w:hAnsi="Times"/>
                <w:sz w:val="20"/>
                <w:szCs w:val="24"/>
                <w:highlight w:val="cyan"/>
                <w:lang w:val="en-US" w:eastAsia="en-US"/>
              </w:rPr>
              <w:t xml:space="preserve"> – Shinya (DOCOMO)</w:t>
            </w:r>
          </w:p>
          <w:p w14:paraId="1EAB83DD" w14:textId="77777777" w:rsidR="002F4D61" w:rsidRDefault="00B03222">
            <w:pPr>
              <w:numPr>
                <w:ilvl w:val="0"/>
                <w:numId w:val="11"/>
              </w:numPr>
              <w:spacing w:after="0" w:line="240" w:lineRule="auto"/>
              <w:rPr>
                <w:rFonts w:ascii="Times" w:eastAsia="Batang" w:hAnsi="Times"/>
                <w:sz w:val="20"/>
                <w:szCs w:val="24"/>
                <w:highlight w:val="cyan"/>
                <w:lang w:eastAsia="zh-CN"/>
              </w:rPr>
            </w:pPr>
            <w:r>
              <w:rPr>
                <w:rFonts w:ascii="Times" w:eastAsia="Batang" w:hAnsi="Times" w:hint="eastAsia"/>
                <w:sz w:val="20"/>
                <w:szCs w:val="24"/>
                <w:highlight w:val="cyan"/>
                <w:lang w:eastAsia="zh-CN"/>
              </w:rPr>
              <w:t>1</w:t>
            </w:r>
            <w:r>
              <w:rPr>
                <w:rFonts w:ascii="Times" w:eastAsia="Batang" w:hAnsi="Times" w:hint="eastAsia"/>
                <w:sz w:val="20"/>
                <w:szCs w:val="24"/>
                <w:highlight w:val="cyan"/>
                <w:vertAlign w:val="superscript"/>
                <w:lang w:eastAsia="zh-CN"/>
              </w:rPr>
              <w:t>st</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February</w:t>
            </w:r>
            <w:r>
              <w:rPr>
                <w:rFonts w:ascii="Times" w:eastAsia="Batang" w:hAnsi="Times" w:hint="eastAsia"/>
                <w:sz w:val="20"/>
                <w:szCs w:val="24"/>
                <w:highlight w:val="cyan"/>
                <w:lang w:eastAsia="en-US"/>
              </w:rPr>
              <w:t xml:space="preserve"> </w:t>
            </w:r>
            <w:r>
              <w:rPr>
                <w:rFonts w:ascii="Times" w:eastAsia="Batang" w:hAnsi="Times"/>
                <w:sz w:val="20"/>
                <w:szCs w:val="24"/>
                <w:highlight w:val="cyan"/>
                <w:lang w:eastAsia="en-US"/>
              </w:rPr>
              <w:t>25</w:t>
            </w:r>
          </w:p>
          <w:p w14:paraId="34EE7FFD" w14:textId="77777777" w:rsidR="002F4D61" w:rsidRDefault="00B03222">
            <w:pPr>
              <w:numPr>
                <w:ilvl w:val="0"/>
                <w:numId w:val="11"/>
              </w:numPr>
              <w:spacing w:after="0" w:line="240" w:lineRule="auto"/>
              <w:rPr>
                <w:rFonts w:ascii="Times" w:eastAsia="Batang" w:hAnsi="Times"/>
                <w:sz w:val="20"/>
                <w:szCs w:val="24"/>
                <w:highlight w:val="cyan"/>
                <w:lang w:eastAsia="zh-CN"/>
              </w:rPr>
            </w:pPr>
            <w:r>
              <w:rPr>
                <w:rFonts w:ascii="Times" w:eastAsia="Batang" w:hAnsi="Times"/>
                <w:sz w:val="20"/>
                <w:szCs w:val="24"/>
                <w:highlight w:val="cyan"/>
                <w:lang w:eastAsia="zh-CN"/>
              </w:rPr>
              <w:t>Final</w:t>
            </w:r>
            <w:r>
              <w:rPr>
                <w:rFonts w:ascii="Times" w:eastAsia="Batang" w:hAnsi="Times" w:hint="eastAsia"/>
                <w:sz w:val="20"/>
                <w:szCs w:val="24"/>
                <w:highlight w:val="cyan"/>
                <w:lang w:eastAsia="zh-CN"/>
              </w:rPr>
              <w:t xml:space="preserve"> check point: </w:t>
            </w:r>
            <w:r>
              <w:rPr>
                <w:rFonts w:ascii="Times" w:eastAsia="Batang" w:hAnsi="Times"/>
                <w:sz w:val="20"/>
                <w:szCs w:val="24"/>
                <w:highlight w:val="cyan"/>
                <w:lang w:eastAsia="en-US"/>
              </w:rPr>
              <w:t>March 3</w:t>
            </w:r>
          </w:p>
        </w:tc>
      </w:tr>
    </w:tbl>
    <w:p w14:paraId="6A1DFF15" w14:textId="77777777" w:rsidR="002F4D61" w:rsidRDefault="002F4D61">
      <w:pPr>
        <w:spacing w:afterLines="50" w:after="120"/>
        <w:jc w:val="both"/>
        <w:rPr>
          <w:rFonts w:eastAsia="MS Mincho"/>
          <w:sz w:val="22"/>
          <w:szCs w:val="22"/>
          <w:lang w:val="en-US"/>
        </w:rPr>
      </w:pPr>
    </w:p>
    <w:p w14:paraId="1BCFBE45" w14:textId="77777777" w:rsidR="002F4D61" w:rsidRDefault="00B03222">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the updated RAN1 UE features list for Rel-17 LTE after RAN1 #107-e [1], there are following feature groups for NB-IoT and LTE-MTC enhancements.</w:t>
      </w:r>
    </w:p>
    <w:p w14:paraId="0BC3174A" w14:textId="77777777" w:rsidR="002F4D61" w:rsidRDefault="00B03222">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1-1</w:t>
      </w:r>
      <w:r>
        <w:rPr>
          <w:rFonts w:eastAsia="MS Mincho"/>
          <w:sz w:val="22"/>
          <w:szCs w:val="22"/>
          <w:lang w:val="en-US"/>
        </w:rPr>
        <w:tab/>
      </w:r>
      <w:r>
        <w:rPr>
          <w:rFonts w:eastAsia="MS Mincho"/>
          <w:sz w:val="22"/>
          <w:szCs w:val="22"/>
          <w:lang w:val="en-US"/>
        </w:rPr>
        <w:tab/>
        <w:t>16-QAM for unicast NPDSCH</w:t>
      </w:r>
    </w:p>
    <w:p w14:paraId="56612A87" w14:textId="77777777" w:rsidR="002F4D61" w:rsidRDefault="00B03222">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1-2</w:t>
      </w:r>
      <w:r>
        <w:rPr>
          <w:rFonts w:eastAsia="MS Mincho"/>
          <w:sz w:val="22"/>
          <w:szCs w:val="22"/>
          <w:lang w:val="en-US"/>
        </w:rPr>
        <w:tab/>
      </w:r>
      <w:r>
        <w:rPr>
          <w:rFonts w:eastAsia="MS Mincho"/>
          <w:sz w:val="22"/>
          <w:szCs w:val="22"/>
          <w:lang w:val="en-US"/>
        </w:rPr>
        <w:tab/>
        <w:t>16-QAM for unicast NPUSCH</w:t>
      </w:r>
    </w:p>
    <w:p w14:paraId="68A9632B" w14:textId="77777777" w:rsidR="002F4D61" w:rsidRDefault="00B03222">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1-3</w:t>
      </w:r>
      <w:r>
        <w:rPr>
          <w:rFonts w:eastAsia="MS Mincho"/>
          <w:sz w:val="22"/>
          <w:szCs w:val="22"/>
          <w:lang w:val="en-US"/>
        </w:rPr>
        <w:tab/>
      </w:r>
      <w:r>
        <w:rPr>
          <w:rFonts w:eastAsia="MS Mincho"/>
          <w:sz w:val="22"/>
          <w:szCs w:val="22"/>
          <w:lang w:val="en-US"/>
        </w:rPr>
        <w:tab/>
        <w:t>14 HARQ processes for PDSCH for HD-FDD Cat. M1 UEs</w:t>
      </w:r>
    </w:p>
    <w:p w14:paraId="454E5890" w14:textId="77777777" w:rsidR="002F4D61" w:rsidRDefault="00B03222">
      <w:pPr>
        <w:pStyle w:val="ListParagraph"/>
        <w:numPr>
          <w:ilvl w:val="0"/>
          <w:numId w:val="12"/>
        </w:numPr>
        <w:spacing w:afterLines="50" w:after="120"/>
        <w:ind w:leftChars="0"/>
        <w:jc w:val="both"/>
        <w:rPr>
          <w:rFonts w:eastAsia="MS Mincho"/>
          <w:sz w:val="22"/>
          <w:szCs w:val="22"/>
          <w:lang w:val="en-US"/>
        </w:rPr>
      </w:pPr>
      <w:r>
        <w:rPr>
          <w:rFonts w:eastAsia="MS Mincho"/>
          <w:sz w:val="22"/>
          <w:szCs w:val="22"/>
          <w:lang w:val="en-US"/>
        </w:rPr>
        <w:t>1-4</w:t>
      </w:r>
      <w:r>
        <w:rPr>
          <w:rFonts w:eastAsia="MS Mincho"/>
          <w:sz w:val="22"/>
          <w:szCs w:val="22"/>
          <w:lang w:val="en-US"/>
        </w:rPr>
        <w:tab/>
      </w:r>
      <w:r>
        <w:rPr>
          <w:rFonts w:eastAsia="MS Mincho"/>
          <w:sz w:val="22"/>
          <w:szCs w:val="22"/>
          <w:lang w:val="en-US"/>
        </w:rPr>
        <w:tab/>
        <w:t>A maximum DL TBS of 1736 bits for HD-FDD Cat. M1 UEs in CE mode A only</w:t>
      </w:r>
    </w:p>
    <w:p w14:paraId="69A87463" w14:textId="77777777" w:rsidR="002F4D61" w:rsidRDefault="002F4D61">
      <w:pPr>
        <w:spacing w:afterLines="50" w:after="120"/>
        <w:jc w:val="both"/>
        <w:rPr>
          <w:rFonts w:eastAsia="MS Mincho"/>
          <w:sz w:val="22"/>
          <w:szCs w:val="22"/>
          <w:lang w:val="en-US"/>
        </w:rPr>
      </w:pPr>
    </w:p>
    <w:p w14:paraId="7E85DF44" w14:textId="77777777" w:rsidR="002F4D61" w:rsidRDefault="00B03222">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70D323B8" w14:textId="77777777" w:rsidR="002F4D61" w:rsidRDefault="002F4D61">
      <w:pPr>
        <w:rPr>
          <w:sz w:val="22"/>
        </w:rPr>
        <w:sectPr w:rsidR="002F4D61">
          <w:footerReference w:type="default" r:id="rId14"/>
          <w:pgSz w:w="12240" w:h="15840"/>
          <w:pgMar w:top="851" w:right="1134" w:bottom="567" w:left="1134" w:header="720" w:footer="720" w:gutter="0"/>
          <w:cols w:space="720"/>
          <w:docGrid w:linePitch="326"/>
        </w:sectPr>
      </w:pPr>
    </w:p>
    <w:p w14:paraId="6F0E38F6" w14:textId="77777777" w:rsidR="002F4D61" w:rsidRDefault="00B03222">
      <w:pPr>
        <w:pStyle w:val="Heading1"/>
        <w:numPr>
          <w:ilvl w:val="0"/>
          <w:numId w:val="10"/>
        </w:numPr>
        <w:spacing w:before="180" w:after="120"/>
        <w:rPr>
          <w:rFonts w:eastAsia="MS Mincho"/>
          <w:b/>
          <w:bCs/>
          <w:szCs w:val="24"/>
          <w:lang w:val="en-US"/>
        </w:rPr>
      </w:pPr>
      <w:r>
        <w:rPr>
          <w:rFonts w:eastAsia="MS Mincho"/>
          <w:b/>
          <w:bCs/>
          <w:szCs w:val="24"/>
          <w:lang w:val="en-US"/>
        </w:rPr>
        <w:lastRenderedPageBreak/>
        <w:t>1-1 to 1-2: 16-QAM for unicast NPDSCH/NPUSCH</w:t>
      </w:r>
    </w:p>
    <w:p w14:paraId="0FAC1D99" w14:textId="77777777" w:rsidR="002F4D61" w:rsidRDefault="00B03222">
      <w:pPr>
        <w:spacing w:afterLines="50" w:after="120"/>
        <w:jc w:val="both"/>
        <w:rPr>
          <w:sz w:val="22"/>
          <w:lang w:val="en-US"/>
        </w:rPr>
      </w:pPr>
      <w:r>
        <w:rPr>
          <w:rFonts w:hint="eastAsia"/>
          <w:sz w:val="22"/>
          <w:lang w:val="en-US"/>
        </w:rPr>
        <w:t>I</w:t>
      </w:r>
      <w:r>
        <w:rPr>
          <w:sz w:val="22"/>
          <w:lang w:val="en-US"/>
        </w:rPr>
        <w:t>n [1], FGs 1-1 to 1-2 are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2F4D61" w14:paraId="0514AE14" w14:textId="77777777">
        <w:tc>
          <w:tcPr>
            <w:tcW w:w="2423" w:type="dxa"/>
            <w:tcBorders>
              <w:top w:val="single" w:sz="4" w:space="0" w:color="auto"/>
              <w:left w:val="single" w:sz="4" w:space="0" w:color="auto"/>
              <w:bottom w:val="single" w:sz="4" w:space="0" w:color="auto"/>
              <w:right w:val="single" w:sz="4" w:space="0" w:color="auto"/>
            </w:tcBorders>
          </w:tcPr>
          <w:p w14:paraId="58F81D2B" w14:textId="77777777" w:rsidR="002F4D61" w:rsidRDefault="00B03222">
            <w:pPr>
              <w:pStyle w:val="TAH"/>
            </w:pPr>
            <w:r>
              <w:t>Features</w:t>
            </w:r>
          </w:p>
        </w:tc>
        <w:tc>
          <w:tcPr>
            <w:tcW w:w="701" w:type="dxa"/>
            <w:tcBorders>
              <w:top w:val="single" w:sz="4" w:space="0" w:color="auto"/>
              <w:left w:val="single" w:sz="4" w:space="0" w:color="auto"/>
              <w:bottom w:val="single" w:sz="4" w:space="0" w:color="auto"/>
              <w:right w:val="single" w:sz="4" w:space="0" w:color="auto"/>
            </w:tcBorders>
          </w:tcPr>
          <w:p w14:paraId="4183E95E" w14:textId="77777777" w:rsidR="002F4D61" w:rsidRDefault="00B03222">
            <w:pPr>
              <w:pStyle w:val="TAH"/>
            </w:pPr>
            <w:r>
              <w:t>Index</w:t>
            </w:r>
          </w:p>
        </w:tc>
        <w:tc>
          <w:tcPr>
            <w:tcW w:w="1189" w:type="dxa"/>
            <w:tcBorders>
              <w:top w:val="single" w:sz="4" w:space="0" w:color="auto"/>
              <w:left w:val="single" w:sz="4" w:space="0" w:color="auto"/>
              <w:bottom w:val="single" w:sz="4" w:space="0" w:color="auto"/>
              <w:right w:val="single" w:sz="4" w:space="0" w:color="auto"/>
            </w:tcBorders>
          </w:tcPr>
          <w:p w14:paraId="7C9C8074" w14:textId="77777777" w:rsidR="002F4D61" w:rsidRDefault="00B03222">
            <w:pPr>
              <w:pStyle w:val="TAH"/>
            </w:pPr>
            <w:r>
              <w:t>Feature group</w:t>
            </w:r>
          </w:p>
        </w:tc>
        <w:tc>
          <w:tcPr>
            <w:tcW w:w="1847" w:type="dxa"/>
            <w:tcBorders>
              <w:top w:val="single" w:sz="4" w:space="0" w:color="auto"/>
              <w:left w:val="single" w:sz="4" w:space="0" w:color="auto"/>
              <w:bottom w:val="single" w:sz="4" w:space="0" w:color="auto"/>
              <w:right w:val="single" w:sz="4" w:space="0" w:color="auto"/>
            </w:tcBorders>
          </w:tcPr>
          <w:p w14:paraId="1AF8E305" w14:textId="77777777" w:rsidR="002F4D61" w:rsidRDefault="00B03222">
            <w:pPr>
              <w:pStyle w:val="TAH"/>
            </w:pPr>
            <w:r>
              <w:t>Components</w:t>
            </w:r>
          </w:p>
        </w:tc>
        <w:tc>
          <w:tcPr>
            <w:tcW w:w="1484" w:type="dxa"/>
            <w:tcBorders>
              <w:top w:val="single" w:sz="4" w:space="0" w:color="auto"/>
              <w:left w:val="single" w:sz="4" w:space="0" w:color="auto"/>
              <w:bottom w:val="single" w:sz="4" w:space="0" w:color="auto"/>
              <w:right w:val="single" w:sz="4" w:space="0" w:color="auto"/>
            </w:tcBorders>
          </w:tcPr>
          <w:p w14:paraId="5929FA7A" w14:textId="77777777" w:rsidR="002F4D61" w:rsidRDefault="00B03222">
            <w:pPr>
              <w:pStyle w:val="TAH"/>
            </w:pPr>
            <w:r>
              <w:t>Prerequisite feature groups</w:t>
            </w:r>
          </w:p>
        </w:tc>
        <w:tc>
          <w:tcPr>
            <w:tcW w:w="1148" w:type="dxa"/>
            <w:tcBorders>
              <w:top w:val="single" w:sz="4" w:space="0" w:color="auto"/>
              <w:left w:val="single" w:sz="4" w:space="0" w:color="auto"/>
              <w:bottom w:val="single" w:sz="4" w:space="0" w:color="auto"/>
              <w:right w:val="single" w:sz="4" w:space="0" w:color="auto"/>
            </w:tcBorders>
          </w:tcPr>
          <w:p w14:paraId="3A7AF4FC" w14:textId="77777777" w:rsidR="002F4D61" w:rsidRDefault="00B03222">
            <w:pPr>
              <w:pStyle w:val="TAH"/>
            </w:pPr>
            <w:r>
              <w:t xml:space="preserve">Need for the </w:t>
            </w:r>
            <w:proofErr w:type="spellStart"/>
            <w:r>
              <w:t>eNB</w:t>
            </w:r>
            <w:proofErr w:type="spellEnd"/>
            <w:r>
              <w:t xml:space="preserve"> to know if the feature is supported</w:t>
            </w:r>
          </w:p>
        </w:tc>
        <w:tc>
          <w:tcPr>
            <w:tcW w:w="1172" w:type="dxa"/>
            <w:tcBorders>
              <w:top w:val="single" w:sz="4" w:space="0" w:color="auto"/>
              <w:left w:val="single" w:sz="4" w:space="0" w:color="auto"/>
              <w:bottom w:val="single" w:sz="4" w:space="0" w:color="auto"/>
              <w:right w:val="single" w:sz="4" w:space="0" w:color="auto"/>
            </w:tcBorders>
          </w:tcPr>
          <w:p w14:paraId="1A153925" w14:textId="77777777" w:rsidR="002F4D61" w:rsidRDefault="00B03222">
            <w:pPr>
              <w:pStyle w:val="TAH"/>
            </w:pPr>
            <w:r>
              <w:t>[Need for the UE to know if the feature is supported (only for V2X WI, where the PC5-RRC capability signalling is delivered between the UEs)]</w:t>
            </w:r>
          </w:p>
        </w:tc>
        <w:tc>
          <w:tcPr>
            <w:tcW w:w="1516" w:type="dxa"/>
            <w:tcBorders>
              <w:top w:val="single" w:sz="4" w:space="0" w:color="auto"/>
              <w:left w:val="single" w:sz="4" w:space="0" w:color="auto"/>
              <w:bottom w:val="single" w:sz="4" w:space="0" w:color="auto"/>
              <w:right w:val="single" w:sz="4" w:space="0" w:color="auto"/>
            </w:tcBorders>
          </w:tcPr>
          <w:p w14:paraId="3B3E12DD" w14:textId="77777777" w:rsidR="002F4D61" w:rsidRDefault="00B03222">
            <w:pPr>
              <w:pStyle w:val="TAN"/>
              <w:ind w:left="0" w:firstLine="0"/>
              <w:rPr>
                <w:b/>
                <w:lang w:eastAsia="ja-JP"/>
              </w:rPr>
            </w:pPr>
            <w:r>
              <w:rPr>
                <w:b/>
                <w:lang w:eastAsia="ja-JP"/>
              </w:rPr>
              <w:t>Consequence if the feature is not supported by the UE</w:t>
            </w:r>
          </w:p>
        </w:tc>
        <w:tc>
          <w:tcPr>
            <w:tcW w:w="1435" w:type="dxa"/>
            <w:tcBorders>
              <w:top w:val="single" w:sz="4" w:space="0" w:color="auto"/>
              <w:left w:val="single" w:sz="4" w:space="0" w:color="auto"/>
              <w:bottom w:val="single" w:sz="4" w:space="0" w:color="auto"/>
              <w:right w:val="single" w:sz="4" w:space="0" w:color="auto"/>
            </w:tcBorders>
          </w:tcPr>
          <w:p w14:paraId="57667AA1" w14:textId="77777777" w:rsidR="002F4D61" w:rsidRDefault="00B03222">
            <w:pPr>
              <w:pStyle w:val="TAN"/>
              <w:ind w:left="0" w:firstLine="0"/>
              <w:rPr>
                <w:b/>
                <w:lang w:eastAsia="ja-JP"/>
              </w:rPr>
            </w:pPr>
            <w:r>
              <w:rPr>
                <w:b/>
                <w:lang w:eastAsia="ja-JP"/>
              </w:rPr>
              <w:t>Type</w:t>
            </w:r>
          </w:p>
          <w:p w14:paraId="117B643C" w14:textId="77777777" w:rsidR="002F4D61" w:rsidRDefault="00B03222">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45C0FAEF" w14:textId="77777777" w:rsidR="002F4D61" w:rsidRDefault="00B03222">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tcPr>
          <w:p w14:paraId="176771F4" w14:textId="77777777" w:rsidR="002F4D61" w:rsidRDefault="00B03222">
            <w:pPr>
              <w:pStyle w:val="TAH"/>
            </w:pPr>
            <w:r>
              <w:t>Capability interpretation for mixture of FDD/TDD</w:t>
            </w:r>
          </w:p>
        </w:tc>
        <w:tc>
          <w:tcPr>
            <w:tcW w:w="4753" w:type="dxa"/>
            <w:tcBorders>
              <w:top w:val="single" w:sz="4" w:space="0" w:color="auto"/>
              <w:left w:val="single" w:sz="4" w:space="0" w:color="auto"/>
              <w:bottom w:val="single" w:sz="4" w:space="0" w:color="auto"/>
              <w:right w:val="single" w:sz="4" w:space="0" w:color="auto"/>
            </w:tcBorders>
          </w:tcPr>
          <w:p w14:paraId="768B49EC" w14:textId="77777777" w:rsidR="002F4D61" w:rsidRDefault="00B03222">
            <w:pPr>
              <w:pStyle w:val="TAH"/>
            </w:pPr>
            <w:r>
              <w:t>Note</w:t>
            </w:r>
          </w:p>
        </w:tc>
        <w:tc>
          <w:tcPr>
            <w:tcW w:w="1907" w:type="dxa"/>
            <w:tcBorders>
              <w:top w:val="single" w:sz="4" w:space="0" w:color="auto"/>
              <w:left w:val="single" w:sz="4" w:space="0" w:color="auto"/>
              <w:bottom w:val="single" w:sz="4" w:space="0" w:color="auto"/>
              <w:right w:val="single" w:sz="4" w:space="0" w:color="auto"/>
            </w:tcBorders>
          </w:tcPr>
          <w:p w14:paraId="589FC9FC" w14:textId="77777777" w:rsidR="002F4D61" w:rsidRDefault="00B03222">
            <w:pPr>
              <w:pStyle w:val="TAH"/>
            </w:pPr>
            <w:r>
              <w:t>Mandatory/Optional</w:t>
            </w:r>
          </w:p>
        </w:tc>
      </w:tr>
      <w:tr w:rsidR="002F4D61" w14:paraId="6E2F75A0" w14:textId="77777777">
        <w:tc>
          <w:tcPr>
            <w:tcW w:w="2423" w:type="dxa"/>
            <w:tcBorders>
              <w:top w:val="single" w:sz="4" w:space="0" w:color="auto"/>
              <w:left w:val="single" w:sz="4" w:space="0" w:color="auto"/>
              <w:bottom w:val="single" w:sz="4" w:space="0" w:color="auto"/>
              <w:right w:val="single" w:sz="4" w:space="0" w:color="auto"/>
            </w:tcBorders>
          </w:tcPr>
          <w:p w14:paraId="0566ED77" w14:textId="77777777" w:rsidR="002F4D61" w:rsidRDefault="00B03222">
            <w:pPr>
              <w:pStyle w:val="TAL"/>
              <w:rPr>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1" w:type="dxa"/>
            <w:tcBorders>
              <w:top w:val="single" w:sz="4" w:space="0" w:color="auto"/>
              <w:left w:val="single" w:sz="4" w:space="0" w:color="auto"/>
              <w:bottom w:val="single" w:sz="4" w:space="0" w:color="auto"/>
              <w:right w:val="single" w:sz="4" w:space="0" w:color="auto"/>
            </w:tcBorders>
          </w:tcPr>
          <w:p w14:paraId="58B0AA8C" w14:textId="77777777" w:rsidR="002F4D61" w:rsidRDefault="00B03222">
            <w:pPr>
              <w:pStyle w:val="TAL"/>
              <w:rPr>
                <w:lang w:eastAsia="ja-JP"/>
              </w:rPr>
            </w:pPr>
            <w:r>
              <w:rPr>
                <w:lang w:eastAsia="ja-JP"/>
              </w:rPr>
              <w:t>1-1</w:t>
            </w:r>
          </w:p>
        </w:tc>
        <w:tc>
          <w:tcPr>
            <w:tcW w:w="1189" w:type="dxa"/>
            <w:tcBorders>
              <w:top w:val="single" w:sz="4" w:space="0" w:color="auto"/>
              <w:left w:val="single" w:sz="4" w:space="0" w:color="auto"/>
              <w:bottom w:val="single" w:sz="4" w:space="0" w:color="auto"/>
              <w:right w:val="single" w:sz="4" w:space="0" w:color="auto"/>
            </w:tcBorders>
          </w:tcPr>
          <w:p w14:paraId="0C8B9F2B" w14:textId="77777777" w:rsidR="002F4D61" w:rsidRDefault="00B03222">
            <w:pPr>
              <w:pStyle w:val="TAL"/>
              <w:rPr>
                <w:lang w:eastAsia="zh-CN"/>
              </w:rPr>
            </w:pPr>
            <w:r>
              <w:rPr>
                <w:lang w:eastAsia="zh-CN"/>
              </w:rPr>
              <w:t>16-QAM for unicast NPDSCH</w:t>
            </w:r>
          </w:p>
        </w:tc>
        <w:tc>
          <w:tcPr>
            <w:tcW w:w="1847" w:type="dxa"/>
            <w:tcBorders>
              <w:top w:val="single" w:sz="4" w:space="0" w:color="auto"/>
              <w:left w:val="single" w:sz="4" w:space="0" w:color="auto"/>
              <w:bottom w:val="single" w:sz="4" w:space="0" w:color="auto"/>
              <w:right w:val="single" w:sz="4" w:space="0" w:color="auto"/>
            </w:tcBorders>
          </w:tcPr>
          <w:p w14:paraId="6365F415" w14:textId="77777777" w:rsidR="002F4D61" w:rsidRDefault="00B03222">
            <w:pPr>
              <w:pStyle w:val="TAL"/>
              <w:rPr>
                <w:lang w:val="en-US" w:eastAsia="zh-CN"/>
              </w:rPr>
            </w:pPr>
            <w:r>
              <w:rPr>
                <w:lang w:eastAsia="zh-CN"/>
              </w:rPr>
              <w:t xml:space="preserve">1. </w:t>
            </w:r>
            <w:r>
              <w:rPr>
                <w:lang w:val="en-US" w:eastAsia="zh-CN"/>
              </w:rPr>
              <w:t>Reception of unicast NPDSCH modulated with 16-QAM</w:t>
            </w:r>
          </w:p>
          <w:p w14:paraId="5951C40F" w14:textId="77777777" w:rsidR="002F4D61" w:rsidRDefault="00B03222">
            <w:pPr>
              <w:pStyle w:val="TAL"/>
              <w:rPr>
                <w:lang w:eastAsia="zh-CN"/>
              </w:rPr>
            </w:pPr>
            <w:r>
              <w:rPr>
                <w:lang w:eastAsia="zh-CN"/>
              </w:rPr>
              <w:t>2. CQI report to support 16-QAM modulation</w:t>
            </w:r>
          </w:p>
          <w:p w14:paraId="30DB6C03" w14:textId="77777777" w:rsidR="002F4D61" w:rsidRDefault="00B03222">
            <w:pPr>
              <w:pStyle w:val="TAL"/>
              <w:rPr>
                <w:lang w:eastAsia="zh-CN"/>
              </w:rPr>
            </w:pPr>
            <w:r>
              <w:rPr>
                <w:lang w:eastAsia="zh-CN"/>
              </w:rPr>
              <w:t>3. Downlink power allocation for 16-QAM</w:t>
            </w:r>
          </w:p>
        </w:tc>
        <w:tc>
          <w:tcPr>
            <w:tcW w:w="1484" w:type="dxa"/>
            <w:tcBorders>
              <w:top w:val="single" w:sz="4" w:space="0" w:color="auto"/>
              <w:left w:val="single" w:sz="4" w:space="0" w:color="auto"/>
              <w:bottom w:val="single" w:sz="4" w:space="0" w:color="auto"/>
              <w:right w:val="single" w:sz="4" w:space="0" w:color="auto"/>
            </w:tcBorders>
          </w:tcPr>
          <w:p w14:paraId="6CCB6C87" w14:textId="77777777" w:rsidR="002F4D61" w:rsidRDefault="00B03222">
            <w:pPr>
              <w:pStyle w:val="TAL"/>
            </w:pPr>
            <w:r>
              <w:t>Category NB-2</w:t>
            </w:r>
          </w:p>
        </w:tc>
        <w:tc>
          <w:tcPr>
            <w:tcW w:w="1148" w:type="dxa"/>
            <w:tcBorders>
              <w:top w:val="single" w:sz="4" w:space="0" w:color="auto"/>
              <w:left w:val="single" w:sz="4" w:space="0" w:color="auto"/>
              <w:bottom w:val="single" w:sz="4" w:space="0" w:color="auto"/>
              <w:right w:val="single" w:sz="4" w:space="0" w:color="auto"/>
            </w:tcBorders>
          </w:tcPr>
          <w:p w14:paraId="530F7525" w14:textId="77777777" w:rsidR="002F4D61" w:rsidRDefault="00B03222">
            <w:pPr>
              <w:pStyle w:val="TAL"/>
              <w:rPr>
                <w:rFonts w:eastAsia="MS Mincho"/>
                <w:lang w:eastAsia="ja-JP"/>
              </w:rPr>
            </w:pPr>
            <w:r>
              <w:rPr>
                <w:rFonts w:eastAsia="MS Mincho"/>
                <w:lang w:eastAsia="ja-JP"/>
              </w:rPr>
              <w:t>Yes</w:t>
            </w:r>
          </w:p>
        </w:tc>
        <w:tc>
          <w:tcPr>
            <w:tcW w:w="1172" w:type="dxa"/>
            <w:tcBorders>
              <w:top w:val="single" w:sz="4" w:space="0" w:color="auto"/>
              <w:left w:val="single" w:sz="4" w:space="0" w:color="auto"/>
              <w:bottom w:val="single" w:sz="4" w:space="0" w:color="auto"/>
              <w:right w:val="single" w:sz="4" w:space="0" w:color="auto"/>
            </w:tcBorders>
          </w:tcPr>
          <w:p w14:paraId="130E0142" w14:textId="77777777" w:rsidR="002F4D61" w:rsidRDefault="00B03222">
            <w:pPr>
              <w:pStyle w:val="TAL"/>
              <w:rPr>
                <w:rFonts w:eastAsia="MS Mincho"/>
                <w:lang w:eastAsia="ja-JP"/>
              </w:rPr>
            </w:pPr>
            <w:r>
              <w:rPr>
                <w:rFonts w:eastAsia="MS Mincho"/>
                <w:lang w:eastAsia="ja-JP"/>
              </w:rPr>
              <w:t>N/A</w:t>
            </w:r>
          </w:p>
        </w:tc>
        <w:tc>
          <w:tcPr>
            <w:tcW w:w="1516" w:type="dxa"/>
            <w:tcBorders>
              <w:top w:val="single" w:sz="4" w:space="0" w:color="auto"/>
              <w:left w:val="single" w:sz="4" w:space="0" w:color="auto"/>
              <w:bottom w:val="single" w:sz="4" w:space="0" w:color="auto"/>
              <w:right w:val="single" w:sz="4" w:space="0" w:color="auto"/>
            </w:tcBorders>
          </w:tcPr>
          <w:p w14:paraId="1B52FB46" w14:textId="77777777" w:rsidR="002F4D61" w:rsidRDefault="00B03222">
            <w:pPr>
              <w:pStyle w:val="TAL"/>
              <w:rPr>
                <w:rFonts w:eastAsia="MS Mincho"/>
                <w:lang w:eastAsia="ja-JP"/>
              </w:rPr>
            </w:pPr>
            <w:r>
              <w:rPr>
                <w:rFonts w:eastAsia="MS Mincho"/>
                <w:lang w:eastAsia="ja-JP"/>
              </w:rPr>
              <w:t>The network cannot schedule a unicast NPDSCH modulated with 16-QAM for the UE</w:t>
            </w:r>
          </w:p>
        </w:tc>
        <w:tc>
          <w:tcPr>
            <w:tcW w:w="1435" w:type="dxa"/>
            <w:tcBorders>
              <w:top w:val="single" w:sz="4" w:space="0" w:color="auto"/>
              <w:left w:val="single" w:sz="4" w:space="0" w:color="auto"/>
              <w:bottom w:val="single" w:sz="4" w:space="0" w:color="auto"/>
              <w:right w:val="single" w:sz="4" w:space="0" w:color="auto"/>
            </w:tcBorders>
            <w:shd w:val="clear" w:color="auto" w:fill="FFFF00"/>
          </w:tcPr>
          <w:p w14:paraId="597E6C0B" w14:textId="77777777" w:rsidR="002F4D61" w:rsidRDefault="00B03222">
            <w:pPr>
              <w:pStyle w:val="TAL"/>
              <w:rPr>
                <w:rFonts w:eastAsia="MS Mincho"/>
                <w:lang w:eastAsia="ja-JP"/>
              </w:rPr>
            </w:pPr>
            <w:r>
              <w:rPr>
                <w:rFonts w:eastAsia="MS Mincho"/>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203C400" w14:textId="77777777" w:rsidR="002F4D61" w:rsidRDefault="00B03222">
            <w:pPr>
              <w:pStyle w:val="TAL"/>
              <w:rPr>
                <w:rFonts w:eastAsia="MS Mincho"/>
                <w:lang w:eastAsia="ja-JP"/>
              </w:rPr>
            </w:pPr>
            <w:r>
              <w:rPr>
                <w:rFonts w:eastAsia="MS Mincho"/>
                <w:lang w:eastAsia="ja-JP"/>
              </w:rPr>
              <w:t>[Yes]</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45832451" w14:textId="77777777" w:rsidR="002F4D61" w:rsidRDefault="00B03222">
            <w:pPr>
              <w:pStyle w:val="TAL"/>
              <w:rPr>
                <w:rFonts w:eastAsia="MS Mincho"/>
                <w:lang w:eastAsia="ja-JP"/>
              </w:rPr>
            </w:pPr>
            <w:r>
              <w:rPr>
                <w:rFonts w:eastAsia="MS Mincho"/>
                <w:lang w:eastAsia="ja-JP"/>
              </w:rPr>
              <w:t>N/A</w:t>
            </w:r>
          </w:p>
        </w:tc>
        <w:tc>
          <w:tcPr>
            <w:tcW w:w="4753" w:type="dxa"/>
            <w:tcBorders>
              <w:top w:val="single" w:sz="4" w:space="0" w:color="auto"/>
              <w:left w:val="single" w:sz="4" w:space="0" w:color="auto"/>
              <w:bottom w:val="single" w:sz="4" w:space="0" w:color="auto"/>
              <w:right w:val="single" w:sz="4" w:space="0" w:color="auto"/>
            </w:tcBorders>
          </w:tcPr>
          <w:p w14:paraId="53151BFB" w14:textId="77777777" w:rsidR="002F4D61" w:rsidRDefault="00B03222">
            <w:pPr>
              <w:pStyle w:val="TAL"/>
            </w:pPr>
            <w:r>
              <w:rPr>
                <w:szCs w:val="21"/>
                <w:lang w:val="en-US"/>
              </w:rPr>
              <w:t>It is RAN1 assumption that 16-QAM for unicast in DL is compatible with all other NB-IoT features in connected-mode plus PUR</w:t>
            </w:r>
          </w:p>
        </w:tc>
        <w:tc>
          <w:tcPr>
            <w:tcW w:w="1907" w:type="dxa"/>
            <w:tcBorders>
              <w:top w:val="single" w:sz="4" w:space="0" w:color="auto"/>
              <w:left w:val="single" w:sz="4" w:space="0" w:color="auto"/>
              <w:bottom w:val="single" w:sz="4" w:space="0" w:color="auto"/>
              <w:right w:val="single" w:sz="4" w:space="0" w:color="auto"/>
            </w:tcBorders>
          </w:tcPr>
          <w:p w14:paraId="6BDF3CE1" w14:textId="77777777" w:rsidR="002F4D61" w:rsidRDefault="00B03222">
            <w:pPr>
              <w:pStyle w:val="TAL"/>
              <w:rPr>
                <w:rFonts w:eastAsia="MS Mincho"/>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r w:rsidR="002F4D61" w14:paraId="674AF4B4" w14:textId="77777777">
        <w:tc>
          <w:tcPr>
            <w:tcW w:w="2423" w:type="dxa"/>
            <w:tcBorders>
              <w:top w:val="single" w:sz="4" w:space="0" w:color="auto"/>
              <w:left w:val="single" w:sz="4" w:space="0" w:color="auto"/>
              <w:bottom w:val="single" w:sz="4" w:space="0" w:color="auto"/>
              <w:right w:val="single" w:sz="4" w:space="0" w:color="auto"/>
            </w:tcBorders>
          </w:tcPr>
          <w:p w14:paraId="2DC07EED" w14:textId="77777777" w:rsidR="002F4D61" w:rsidRDefault="00B03222">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1" w:type="dxa"/>
            <w:tcBorders>
              <w:top w:val="single" w:sz="4" w:space="0" w:color="auto"/>
              <w:left w:val="single" w:sz="4" w:space="0" w:color="auto"/>
              <w:bottom w:val="single" w:sz="4" w:space="0" w:color="auto"/>
              <w:right w:val="single" w:sz="4" w:space="0" w:color="auto"/>
            </w:tcBorders>
          </w:tcPr>
          <w:p w14:paraId="4CD2110E" w14:textId="77777777" w:rsidR="002F4D61" w:rsidRDefault="00B03222">
            <w:pPr>
              <w:pStyle w:val="TAL"/>
              <w:rPr>
                <w:lang w:eastAsia="ja-JP"/>
              </w:rPr>
            </w:pPr>
            <w:r>
              <w:rPr>
                <w:lang w:eastAsia="ja-JP"/>
              </w:rPr>
              <w:t>1-2</w:t>
            </w:r>
          </w:p>
        </w:tc>
        <w:tc>
          <w:tcPr>
            <w:tcW w:w="1189" w:type="dxa"/>
            <w:tcBorders>
              <w:top w:val="single" w:sz="4" w:space="0" w:color="auto"/>
              <w:left w:val="single" w:sz="4" w:space="0" w:color="auto"/>
              <w:bottom w:val="single" w:sz="4" w:space="0" w:color="auto"/>
              <w:right w:val="single" w:sz="4" w:space="0" w:color="auto"/>
            </w:tcBorders>
          </w:tcPr>
          <w:p w14:paraId="31E52073" w14:textId="77777777" w:rsidR="002F4D61" w:rsidRDefault="00B03222">
            <w:pPr>
              <w:pStyle w:val="TAL"/>
            </w:pPr>
            <w:r>
              <w:t>16-QAM for unicast NPUSCH</w:t>
            </w:r>
          </w:p>
        </w:tc>
        <w:tc>
          <w:tcPr>
            <w:tcW w:w="1847" w:type="dxa"/>
            <w:tcBorders>
              <w:top w:val="single" w:sz="4" w:space="0" w:color="auto"/>
              <w:left w:val="single" w:sz="4" w:space="0" w:color="auto"/>
              <w:bottom w:val="single" w:sz="4" w:space="0" w:color="auto"/>
              <w:right w:val="single" w:sz="4" w:space="0" w:color="auto"/>
            </w:tcBorders>
          </w:tcPr>
          <w:p w14:paraId="3E1AB7DD" w14:textId="77777777" w:rsidR="002F4D61" w:rsidRDefault="00B03222">
            <w:pPr>
              <w:pStyle w:val="TAL"/>
            </w:pPr>
            <w:r>
              <w:t>1. Transmission of unicast NPUSCH modulated with 16-QAM</w:t>
            </w:r>
          </w:p>
          <w:p w14:paraId="220C7C31" w14:textId="77777777" w:rsidR="002F4D61" w:rsidRDefault="00B03222">
            <w:pPr>
              <w:pStyle w:val="TAL"/>
            </w:pPr>
            <w:r>
              <w:t>2. New term in the UE’s transmit power control equation.</w:t>
            </w:r>
          </w:p>
        </w:tc>
        <w:tc>
          <w:tcPr>
            <w:tcW w:w="1484" w:type="dxa"/>
            <w:tcBorders>
              <w:top w:val="single" w:sz="4" w:space="0" w:color="auto"/>
              <w:left w:val="single" w:sz="4" w:space="0" w:color="auto"/>
              <w:bottom w:val="single" w:sz="4" w:space="0" w:color="auto"/>
              <w:right w:val="single" w:sz="4" w:space="0" w:color="auto"/>
            </w:tcBorders>
          </w:tcPr>
          <w:p w14:paraId="540534A6" w14:textId="77777777" w:rsidR="002F4D61" w:rsidRDefault="00B03222">
            <w:pPr>
              <w:pStyle w:val="TAL"/>
            </w:pPr>
            <w:r>
              <w:t>Category NB-2</w:t>
            </w:r>
          </w:p>
        </w:tc>
        <w:tc>
          <w:tcPr>
            <w:tcW w:w="1148" w:type="dxa"/>
            <w:tcBorders>
              <w:top w:val="single" w:sz="4" w:space="0" w:color="auto"/>
              <w:left w:val="single" w:sz="4" w:space="0" w:color="auto"/>
              <w:bottom w:val="single" w:sz="4" w:space="0" w:color="auto"/>
              <w:right w:val="single" w:sz="4" w:space="0" w:color="auto"/>
            </w:tcBorders>
          </w:tcPr>
          <w:p w14:paraId="66C19DC4" w14:textId="77777777" w:rsidR="002F4D61" w:rsidRDefault="00B03222">
            <w:pPr>
              <w:pStyle w:val="TAL"/>
              <w:rPr>
                <w:rFonts w:eastAsia="MS Mincho"/>
                <w:lang w:eastAsia="ja-JP"/>
              </w:rPr>
            </w:pPr>
            <w:r>
              <w:rPr>
                <w:rFonts w:eastAsia="MS Mincho"/>
                <w:lang w:eastAsia="ja-JP"/>
              </w:rPr>
              <w:t>Yes</w:t>
            </w:r>
          </w:p>
        </w:tc>
        <w:tc>
          <w:tcPr>
            <w:tcW w:w="1172" w:type="dxa"/>
            <w:tcBorders>
              <w:top w:val="single" w:sz="4" w:space="0" w:color="auto"/>
              <w:left w:val="single" w:sz="4" w:space="0" w:color="auto"/>
              <w:bottom w:val="single" w:sz="4" w:space="0" w:color="auto"/>
              <w:right w:val="single" w:sz="4" w:space="0" w:color="auto"/>
            </w:tcBorders>
          </w:tcPr>
          <w:p w14:paraId="2CCE63C3" w14:textId="77777777" w:rsidR="002F4D61" w:rsidRDefault="00B03222">
            <w:pPr>
              <w:pStyle w:val="TAL"/>
              <w:rPr>
                <w:rFonts w:eastAsia="MS Mincho"/>
                <w:lang w:eastAsia="ja-JP"/>
              </w:rPr>
            </w:pPr>
            <w:r>
              <w:rPr>
                <w:rFonts w:eastAsia="MS Mincho"/>
                <w:lang w:eastAsia="ja-JP"/>
              </w:rPr>
              <w:t>N/A</w:t>
            </w:r>
          </w:p>
        </w:tc>
        <w:tc>
          <w:tcPr>
            <w:tcW w:w="1516" w:type="dxa"/>
            <w:tcBorders>
              <w:top w:val="single" w:sz="4" w:space="0" w:color="auto"/>
              <w:left w:val="single" w:sz="4" w:space="0" w:color="auto"/>
              <w:bottom w:val="single" w:sz="4" w:space="0" w:color="auto"/>
              <w:right w:val="single" w:sz="4" w:space="0" w:color="auto"/>
            </w:tcBorders>
          </w:tcPr>
          <w:p w14:paraId="04D5F77A" w14:textId="77777777" w:rsidR="002F4D61" w:rsidRDefault="00B03222">
            <w:pPr>
              <w:pStyle w:val="TAL"/>
              <w:rPr>
                <w:rFonts w:eastAsia="MS Mincho"/>
                <w:lang w:eastAsia="ja-JP"/>
              </w:rPr>
            </w:pPr>
            <w:r>
              <w:rPr>
                <w:rFonts w:eastAsia="MS Mincho"/>
                <w:lang w:eastAsia="ja-JP"/>
              </w:rPr>
              <w:t>The network cannot schedule a unicast NPUSCH modulated with 16-QAM for the UE</w:t>
            </w:r>
          </w:p>
        </w:tc>
        <w:tc>
          <w:tcPr>
            <w:tcW w:w="1435" w:type="dxa"/>
            <w:tcBorders>
              <w:top w:val="single" w:sz="4" w:space="0" w:color="auto"/>
              <w:left w:val="single" w:sz="4" w:space="0" w:color="auto"/>
              <w:bottom w:val="single" w:sz="4" w:space="0" w:color="auto"/>
              <w:right w:val="single" w:sz="4" w:space="0" w:color="auto"/>
            </w:tcBorders>
            <w:shd w:val="clear" w:color="auto" w:fill="FFFF00"/>
          </w:tcPr>
          <w:p w14:paraId="1F83A950" w14:textId="77777777" w:rsidR="002F4D61" w:rsidRDefault="00B03222">
            <w:pPr>
              <w:pStyle w:val="TAL"/>
              <w:rPr>
                <w:lang w:eastAsia="ja-JP"/>
              </w:rPr>
            </w:pPr>
            <w:r>
              <w:rPr>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19031910" w14:textId="77777777" w:rsidR="002F4D61" w:rsidRDefault="00B03222">
            <w:pPr>
              <w:pStyle w:val="TAL"/>
              <w:rPr>
                <w:rFonts w:eastAsia="MS Mincho"/>
                <w:lang w:eastAsia="ja-JP"/>
              </w:rPr>
            </w:pPr>
            <w:r>
              <w:rPr>
                <w:rFonts w:eastAsia="MS Mincho"/>
                <w:lang w:eastAsia="ja-JP"/>
              </w:rPr>
              <w:t>[Yes]</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26E53ABA" w14:textId="77777777" w:rsidR="002F4D61" w:rsidRDefault="00B03222">
            <w:pPr>
              <w:pStyle w:val="TAL"/>
              <w:rPr>
                <w:rFonts w:eastAsia="MS Mincho"/>
                <w:lang w:eastAsia="ja-JP"/>
              </w:rPr>
            </w:pPr>
            <w:r>
              <w:rPr>
                <w:rFonts w:eastAsia="MS Mincho"/>
                <w:lang w:eastAsia="ja-JP"/>
              </w:rPr>
              <w:t>N/A</w:t>
            </w:r>
          </w:p>
        </w:tc>
        <w:tc>
          <w:tcPr>
            <w:tcW w:w="4753" w:type="dxa"/>
            <w:tcBorders>
              <w:top w:val="single" w:sz="4" w:space="0" w:color="auto"/>
              <w:left w:val="single" w:sz="4" w:space="0" w:color="auto"/>
              <w:bottom w:val="single" w:sz="4" w:space="0" w:color="auto"/>
              <w:right w:val="single" w:sz="4" w:space="0" w:color="auto"/>
            </w:tcBorders>
          </w:tcPr>
          <w:p w14:paraId="430AC916" w14:textId="77777777" w:rsidR="002F4D61" w:rsidRDefault="00B03222">
            <w:pPr>
              <w:pStyle w:val="TAL"/>
            </w:pPr>
            <w:r>
              <w:rPr>
                <w:szCs w:val="21"/>
                <w:lang w:val="en-US"/>
              </w:rPr>
              <w:t>It is RAN1 assumption that 16-QAM for unicast in UL is compatible with all other NB-IoT features in connected-mode plus PUR</w:t>
            </w:r>
          </w:p>
        </w:tc>
        <w:tc>
          <w:tcPr>
            <w:tcW w:w="1907" w:type="dxa"/>
            <w:tcBorders>
              <w:top w:val="single" w:sz="4" w:space="0" w:color="auto"/>
              <w:left w:val="single" w:sz="4" w:space="0" w:color="auto"/>
              <w:bottom w:val="single" w:sz="4" w:space="0" w:color="auto"/>
              <w:right w:val="single" w:sz="4" w:space="0" w:color="auto"/>
            </w:tcBorders>
          </w:tcPr>
          <w:p w14:paraId="0FD130D4" w14:textId="77777777" w:rsidR="002F4D61" w:rsidRDefault="00B03222">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bl>
    <w:p w14:paraId="419A865E" w14:textId="77777777" w:rsidR="002F4D61" w:rsidRDefault="002F4D61">
      <w:pPr>
        <w:spacing w:afterLines="50" w:after="120"/>
        <w:jc w:val="both"/>
        <w:rPr>
          <w:sz w:val="22"/>
          <w:lang w:val="en-US"/>
        </w:rPr>
      </w:pPr>
    </w:p>
    <w:p w14:paraId="602189FB" w14:textId="77777777" w:rsidR="002F4D61" w:rsidRDefault="00B0322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21"/>
        <w:gridCol w:w="1831"/>
        <w:gridCol w:w="19931"/>
      </w:tblGrid>
      <w:tr w:rsidR="002F4D61" w14:paraId="4B1E09F1" w14:textId="77777777">
        <w:tc>
          <w:tcPr>
            <w:tcW w:w="621" w:type="dxa"/>
          </w:tcPr>
          <w:p w14:paraId="01B7471E" w14:textId="77777777" w:rsidR="002F4D61" w:rsidRDefault="00B03222">
            <w:pPr>
              <w:spacing w:after="180"/>
              <w:jc w:val="both"/>
              <w:rPr>
                <w:rFonts w:eastAsia="MS Mincho"/>
                <w:sz w:val="22"/>
              </w:rPr>
            </w:pPr>
            <w:r>
              <w:rPr>
                <w:rFonts w:eastAsia="MS Mincho" w:hint="eastAsia"/>
                <w:sz w:val="22"/>
              </w:rPr>
              <w:t>[</w:t>
            </w:r>
            <w:r>
              <w:rPr>
                <w:rFonts w:eastAsia="MS Mincho"/>
                <w:sz w:val="22"/>
              </w:rPr>
              <w:t>2]</w:t>
            </w:r>
          </w:p>
        </w:tc>
        <w:tc>
          <w:tcPr>
            <w:tcW w:w="1831" w:type="dxa"/>
          </w:tcPr>
          <w:p w14:paraId="6F2FF0B5" w14:textId="77777777" w:rsidR="002F4D61" w:rsidRDefault="00B03222">
            <w:pPr>
              <w:spacing w:after="18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19931" w:type="dxa"/>
          </w:tcPr>
          <w:p w14:paraId="1D325368" w14:textId="77777777" w:rsidR="002F4D61" w:rsidRDefault="00B03222">
            <w:pPr>
              <w:rPr>
                <w:lang w:eastAsia="zh-CN"/>
              </w:rPr>
            </w:pPr>
            <w:r>
              <w:rPr>
                <w:lang w:eastAsia="zh-CN"/>
              </w:rPr>
              <w:t xml:space="preserve">For Rel-17 NB-IoT UE features </w:t>
            </w:r>
            <w:r>
              <w:rPr>
                <w:i/>
                <w:lang w:eastAsia="zh-CN"/>
              </w:rPr>
              <w:t xml:space="preserve">16-QAM for unicast NPDSCH </w:t>
            </w:r>
            <w:r>
              <w:rPr>
                <w:lang w:eastAsia="zh-CN"/>
              </w:rPr>
              <w:t xml:space="preserve">and </w:t>
            </w:r>
            <w:r>
              <w:rPr>
                <w:i/>
                <w:lang w:eastAsia="zh-CN"/>
              </w:rPr>
              <w:t xml:space="preserve">16-QAM for unicast NPUSCH, </w:t>
            </w:r>
            <w:r>
              <w:rPr>
                <w:lang w:eastAsia="zh-CN"/>
              </w:rPr>
              <w:t>the need of FDD/TDD differentiation is [Yes] in the preliminary version</w:t>
            </w:r>
            <w:r>
              <w:rPr>
                <w:i/>
                <w:lang w:eastAsia="zh-CN"/>
              </w:rPr>
              <w:t>.</w:t>
            </w:r>
            <w:r>
              <w:rPr>
                <w:lang w:eastAsia="zh-CN"/>
              </w:rPr>
              <w:t xml:space="preserve"> Regarding support of 16-QAM, we failed to see the difference between TDD and FDD. Furthermore, for the legacy NB-IoT, the MCS table for unicast NPDSCH and unicast NPUSCH</w:t>
            </w:r>
            <w:r>
              <w:rPr>
                <w:i/>
                <w:lang w:eastAsia="zh-CN"/>
              </w:rPr>
              <w:t xml:space="preserve"> </w:t>
            </w:r>
            <w:r>
              <w:rPr>
                <w:lang w:eastAsia="zh-CN"/>
              </w:rPr>
              <w:t>is the same for TDD and FDD. Therefore, the need of FDD/TDD differentiation should be no for UE features 16-QAM for unicast NPDSCH and 16-QAM for unicast NPUSCH.</w:t>
            </w:r>
          </w:p>
          <w:p w14:paraId="2EB68CBB" w14:textId="77777777" w:rsidR="002F4D61" w:rsidRDefault="00B03222">
            <w:pPr>
              <w:rPr>
                <w:b/>
                <w:lang w:eastAsia="zh-CN"/>
              </w:rPr>
            </w:pPr>
            <w:r>
              <w:rPr>
                <w:rFonts w:hint="eastAsia"/>
                <w:b/>
                <w:lang w:eastAsia="zh-CN"/>
              </w:rPr>
              <w:t>P</w:t>
            </w:r>
            <w:r>
              <w:rPr>
                <w:b/>
                <w:lang w:eastAsia="zh-CN"/>
              </w:rPr>
              <w:t>roposal 1: The need of FDD/TDD differentiation should be no for UE features 16-QAM for unicast NPDSCH and 16-QAM for unicast NPUSCH.</w:t>
            </w:r>
          </w:p>
          <w:p w14:paraId="2C41B482" w14:textId="77777777" w:rsidR="002F4D61" w:rsidRDefault="00B03222">
            <w:pPr>
              <w:rPr>
                <w:lang w:eastAsia="zh-CN"/>
              </w:rPr>
            </w:pPr>
            <w:r>
              <w:rPr>
                <w:lang w:eastAsia="zh-CN"/>
              </w:rPr>
              <w:t xml:space="preserve">One remaining issue is whether reporting types of FGs 1-1, 1-2, 1-3 and 1-4 are per UE or per band. As from RAN1 point of view, there’s no problem in supporting the reporting types as per UE. In addition, regarding the large </w:t>
            </w:r>
            <w:proofErr w:type="spellStart"/>
            <w:r>
              <w:rPr>
                <w:lang w:eastAsia="zh-CN"/>
              </w:rPr>
              <w:t>signaling</w:t>
            </w:r>
            <w:proofErr w:type="spellEnd"/>
            <w:r>
              <w:rPr>
                <w:lang w:eastAsia="zh-CN"/>
              </w:rPr>
              <w:t xml:space="preserve"> overhead, reporting type of per UE is preferred.</w:t>
            </w:r>
          </w:p>
          <w:p w14:paraId="6FB69925" w14:textId="77777777" w:rsidR="002F4D61" w:rsidRDefault="00B03222">
            <w:pPr>
              <w:rPr>
                <w:rFonts w:eastAsia="SimSun"/>
                <w:b/>
                <w:lang w:eastAsia="zh-CN"/>
              </w:rPr>
            </w:pPr>
            <w:r>
              <w:rPr>
                <w:b/>
                <w:lang w:eastAsia="zh-CN"/>
              </w:rPr>
              <w:t>Proposal 2: The reporting type of FGs 1-1, 1-2, 1-3 and 1-4 is per UE.</w:t>
            </w:r>
          </w:p>
        </w:tc>
      </w:tr>
      <w:tr w:rsidR="002F4D61" w14:paraId="2322139E" w14:textId="77777777">
        <w:tc>
          <w:tcPr>
            <w:tcW w:w="621" w:type="dxa"/>
          </w:tcPr>
          <w:p w14:paraId="5A7032CC" w14:textId="77777777" w:rsidR="002F4D61" w:rsidRDefault="00B03222">
            <w:pPr>
              <w:spacing w:after="180"/>
              <w:jc w:val="both"/>
              <w:rPr>
                <w:rFonts w:eastAsia="MS Mincho"/>
                <w:sz w:val="22"/>
              </w:rPr>
            </w:pPr>
            <w:r>
              <w:rPr>
                <w:rFonts w:eastAsia="MS Mincho" w:hint="eastAsia"/>
                <w:sz w:val="22"/>
              </w:rPr>
              <w:t>[</w:t>
            </w:r>
            <w:r>
              <w:rPr>
                <w:rFonts w:eastAsia="MS Mincho"/>
                <w:sz w:val="22"/>
              </w:rPr>
              <w:t>3]</w:t>
            </w:r>
          </w:p>
        </w:tc>
        <w:tc>
          <w:tcPr>
            <w:tcW w:w="1831" w:type="dxa"/>
          </w:tcPr>
          <w:p w14:paraId="1D59AA8E" w14:textId="77777777" w:rsidR="002F4D61" w:rsidRDefault="00B03222">
            <w:pPr>
              <w:spacing w:after="18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19931" w:type="dxa"/>
          </w:tcPr>
          <w:p w14:paraId="13F0D963" w14:textId="77777777" w:rsidR="002F4D61" w:rsidRDefault="00B03222">
            <w:pPr>
              <w:spacing w:before="120"/>
              <w:rPr>
                <w:rFonts w:eastAsia="SimSun"/>
                <w:b/>
                <w:u w:val="single"/>
                <w:lang w:eastAsia="zh-CN"/>
              </w:rPr>
            </w:pPr>
            <w:r>
              <w:rPr>
                <w:rFonts w:eastAsia="SimSun" w:hint="eastAsia"/>
                <w:b/>
                <w:u w:val="single"/>
                <w:lang w:eastAsia="zh-CN"/>
              </w:rPr>
              <w:t>Per UE or P</w:t>
            </w:r>
            <w:r>
              <w:rPr>
                <w:rFonts w:eastAsia="SimSun"/>
                <w:b/>
                <w:u w:val="single"/>
                <w:lang w:eastAsia="zh-CN"/>
              </w:rPr>
              <w:t>er band</w:t>
            </w:r>
          </w:p>
          <w:p w14:paraId="19D06F9A" w14:textId="77777777" w:rsidR="002F4D61" w:rsidRDefault="00B03222">
            <w:pPr>
              <w:spacing w:before="120"/>
            </w:pPr>
            <w:r>
              <w:rPr>
                <w:rFonts w:eastAsia="SimSun"/>
                <w:lang w:eastAsia="zh-CN"/>
              </w:rPr>
              <w:t>For type of FGs 1-1, 1-2, 1-3 and 1-4, whether they are per UE reported or per band reported has been initially discussed in last meeting. For 16-QAM (FGs 1-1 and 1-2), some contributions mentioned</w:t>
            </w:r>
            <w:r>
              <w:t xml:space="preserve"> 1-1 and 1-2 have RF impact (Tx and Rx EVM), so it makes sense to have these per band. However, in practice, </w:t>
            </w:r>
          </w:p>
          <w:p w14:paraId="6C56291B" w14:textId="77777777" w:rsidR="002F4D61" w:rsidRDefault="00B03222">
            <w:pPr>
              <w:spacing w:before="120"/>
              <w:rPr>
                <w:rFonts w:eastAsia="SimSun"/>
                <w:lang w:eastAsia="zh-CN"/>
              </w:rPr>
            </w:pPr>
            <w:r>
              <w:rPr>
                <w:rFonts w:eastAsia="SimSun"/>
                <w:lang w:eastAsia="zh-CN"/>
              </w:rPr>
              <w:t>1) MTC 64QAM is per UE. Similarly, we do not see any issue to adopt the similar method.</w:t>
            </w:r>
          </w:p>
          <w:p w14:paraId="4073D98F" w14:textId="77777777" w:rsidR="002F4D61" w:rsidRDefault="00B03222">
            <w:pPr>
              <w:spacing w:before="120"/>
              <w:rPr>
                <w:rFonts w:eastAsia="SimSun"/>
                <w:lang w:eastAsia="zh-CN"/>
              </w:rPr>
            </w:pPr>
            <w:r>
              <w:rPr>
                <w:rFonts w:eastAsia="SimSun"/>
                <w:lang w:eastAsia="zh-CN"/>
              </w:rPr>
              <w:lastRenderedPageBreak/>
              <w:t xml:space="preserve">2) The EVM in LTE or NR is the same across all bands </w:t>
            </w:r>
            <w:r>
              <w:rPr>
                <w:rFonts w:eastAsia="SimSun"/>
                <w:vertAlign w:val="superscript"/>
                <w:lang w:eastAsia="zh-CN"/>
              </w:rPr>
              <w:t>[2]</w:t>
            </w:r>
            <w:r>
              <w:rPr>
                <w:rFonts w:eastAsia="SimSun"/>
                <w:lang w:eastAsia="zh-CN"/>
              </w:rPr>
              <w:t xml:space="preserve">. We do not see the necessity to </w:t>
            </w:r>
            <w:r>
              <w:rPr>
                <w:rFonts w:eastAsia="SimSun" w:hint="eastAsia"/>
                <w:lang w:eastAsia="zh-CN"/>
              </w:rPr>
              <w:t>set</w:t>
            </w:r>
            <w:r>
              <w:rPr>
                <w:rFonts w:eastAsia="SimSun"/>
                <w:lang w:eastAsia="zh-CN"/>
              </w:rPr>
              <w:t>16-QAM as per band.</w:t>
            </w:r>
          </w:p>
          <w:p w14:paraId="376E1A64" w14:textId="77777777" w:rsidR="002F4D61" w:rsidRDefault="00B03222">
            <w:pPr>
              <w:spacing w:before="120"/>
              <w:rPr>
                <w:rFonts w:eastAsia="SimSun"/>
                <w:lang w:eastAsia="zh-CN"/>
              </w:rPr>
            </w:pPr>
            <w:r>
              <w:rPr>
                <w:rFonts w:eastAsia="SimSun" w:hint="eastAsia"/>
                <w:lang w:eastAsia="zh-CN"/>
              </w:rPr>
              <w:t xml:space="preserve">Therefore, </w:t>
            </w:r>
            <w:r>
              <w:rPr>
                <w:rFonts w:eastAsia="SimSun"/>
                <w:lang w:eastAsia="zh-CN"/>
              </w:rPr>
              <w:t xml:space="preserve">at least for 16-QAM, it should not be per band. Regarding 14-HARQ processes </w:t>
            </w:r>
            <w:r>
              <w:rPr>
                <w:rFonts w:eastAsia="SimSun" w:hint="eastAsia"/>
                <w:lang w:eastAsia="zh-CN"/>
              </w:rPr>
              <w:t>(</w:t>
            </w:r>
            <w:r>
              <w:rPr>
                <w:rFonts w:eastAsia="SimSun"/>
                <w:lang w:eastAsia="zh-CN"/>
              </w:rPr>
              <w:t>FG 1-3</w:t>
            </w:r>
            <w:r>
              <w:rPr>
                <w:rFonts w:eastAsia="SimSun" w:hint="eastAsia"/>
                <w:lang w:eastAsia="zh-CN"/>
              </w:rPr>
              <w:t>)</w:t>
            </w:r>
            <w:r>
              <w:rPr>
                <w:rFonts w:eastAsia="SimSun"/>
                <w:lang w:eastAsia="zh-CN"/>
              </w:rPr>
              <w:t xml:space="preserve"> and 1736bits (FG 1-4), these two features would not have impact on the RF </w:t>
            </w:r>
            <w:proofErr w:type="gramStart"/>
            <w:r>
              <w:rPr>
                <w:rFonts w:eastAsia="SimSun"/>
                <w:lang w:eastAsia="zh-CN"/>
              </w:rPr>
              <w:t>and also</w:t>
            </w:r>
            <w:proofErr w:type="gramEnd"/>
            <w:r>
              <w:rPr>
                <w:rFonts w:eastAsia="SimSun"/>
                <w:lang w:eastAsia="zh-CN"/>
              </w:rPr>
              <w:t xml:space="preserve"> there would not exist the IODT issues. Therefore, we do not see any reason to set it as per band.</w:t>
            </w:r>
            <w:r>
              <w:rPr>
                <w:rFonts w:eastAsia="SimSun" w:hint="eastAsia"/>
                <w:lang w:eastAsia="zh-CN"/>
              </w:rPr>
              <w:t xml:space="preserve">  </w:t>
            </w:r>
          </w:p>
          <w:p w14:paraId="15F74732" w14:textId="77777777" w:rsidR="002F4D61" w:rsidRDefault="00B03222">
            <w:pPr>
              <w:spacing w:before="120" w:after="240"/>
              <w:rPr>
                <w:rFonts w:eastAsia="SimSun"/>
                <w:b/>
                <w:i/>
                <w:lang w:eastAsia="zh-CN"/>
              </w:rPr>
            </w:pPr>
            <w:r>
              <w:rPr>
                <w:rFonts w:eastAsia="SimSun"/>
                <w:b/>
                <w:i/>
                <w:lang w:eastAsia="zh-CN"/>
              </w:rPr>
              <w:t>Proposal 1: The type of FGs 1-1, 1-2, 1-3 and 1-4 should be Per UE.</w:t>
            </w:r>
          </w:p>
          <w:p w14:paraId="4A730CF9" w14:textId="77777777" w:rsidR="002F4D61" w:rsidRDefault="00B03222">
            <w:pPr>
              <w:pStyle w:val="10"/>
              <w:spacing w:before="120" w:afterLines="50" w:after="120" w:line="276" w:lineRule="auto"/>
              <w:rPr>
                <w:b/>
                <w:u w:val="single"/>
              </w:rPr>
            </w:pPr>
            <w:r>
              <w:rPr>
                <w:b/>
                <w:u w:val="single"/>
              </w:rPr>
              <w:t>Need of FDD/TDD differentiation</w:t>
            </w:r>
          </w:p>
          <w:p w14:paraId="3AC5950F" w14:textId="77777777" w:rsidR="002F4D61" w:rsidRDefault="00B03222">
            <w:pPr>
              <w:spacing w:before="120"/>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16-QAM, if TDD is supported, there are some RAN1 impacts and RAN4 impacts as mentioned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F4D61" w14:paraId="2AB94150" w14:textId="77777777">
              <w:tc>
                <w:tcPr>
                  <w:tcW w:w="9854" w:type="dxa"/>
                </w:tcPr>
                <w:p w14:paraId="48F429CE" w14:textId="77777777" w:rsidR="002F4D61" w:rsidRDefault="00B03222">
                  <w:pPr>
                    <w:pStyle w:val="Observation"/>
                    <w:widowControl/>
                    <w:numPr>
                      <w:ilvl w:val="0"/>
                      <w:numId w:val="13"/>
                    </w:numPr>
                    <w:tabs>
                      <w:tab w:val="clear" w:pos="1304"/>
                      <w:tab w:val="clear" w:pos="1701"/>
                    </w:tabs>
                    <w:overflowPunct w:val="0"/>
                    <w:autoSpaceDE w:val="0"/>
                    <w:autoSpaceDN w:val="0"/>
                    <w:adjustRightInd w:val="0"/>
                    <w:spacing w:before="100" w:beforeAutospacing="1" w:line="240" w:lineRule="auto"/>
                    <w:ind w:left="1701" w:hanging="1701"/>
                    <w:textAlignment w:val="baseline"/>
                    <w:rPr>
                      <w:rFonts w:eastAsia="SimSun" w:cs="Times New Roman"/>
                      <w:lang w:eastAsia="zh-CN"/>
                    </w:rPr>
                  </w:pPr>
                  <w:r>
                    <w:rPr>
                      <w:rFonts w:cs="Times New Roman"/>
                    </w:rPr>
                    <w:t xml:space="preserve"> Recently it has been found that supporting 16-QAM for TDD won’t be transparent from a RAN1 perspective nor from a RAN4 perspective.</w:t>
                  </w:r>
                </w:p>
                <w:p w14:paraId="59F49701" w14:textId="77777777" w:rsidR="002F4D61" w:rsidRDefault="00B03222">
                  <w:pPr>
                    <w:pStyle w:val="Observation"/>
                    <w:widowControl/>
                    <w:numPr>
                      <w:ilvl w:val="0"/>
                      <w:numId w:val="13"/>
                    </w:numPr>
                    <w:tabs>
                      <w:tab w:val="clear" w:pos="1304"/>
                      <w:tab w:val="clear" w:pos="1701"/>
                    </w:tabs>
                    <w:overflowPunct w:val="0"/>
                    <w:autoSpaceDE w:val="0"/>
                    <w:autoSpaceDN w:val="0"/>
                    <w:adjustRightInd w:val="0"/>
                    <w:spacing w:before="100" w:beforeAutospacing="1" w:line="240" w:lineRule="auto"/>
                    <w:ind w:left="1701" w:hanging="1701"/>
                    <w:textAlignment w:val="baseline"/>
                    <w:rPr>
                      <w:rFonts w:cs="Times New Roman"/>
                    </w:rPr>
                  </w:pPr>
                  <w:r>
                    <w:rPr>
                      <w:rFonts w:cs="Times New Roman"/>
                    </w:rPr>
                    <w:t xml:space="preserve"> The foreseen RAN1 impacts from supporting 16-QAM for TDD NB-IoT are:</w:t>
                  </w:r>
                </w:p>
                <w:p w14:paraId="1751F308" w14:textId="77777777" w:rsidR="002F4D61" w:rsidRDefault="00B03222">
                  <w:pPr>
                    <w:pStyle w:val="Observation"/>
                    <w:widowControl/>
                    <w:numPr>
                      <w:ilvl w:val="0"/>
                      <w:numId w:val="14"/>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Pr>
                      <w:rFonts w:cs="Times New Roman"/>
                    </w:rPr>
                    <w:t xml:space="preserve">In legacy TDD NB-IoT, NPDSCH can be transmitted on </w:t>
                  </w:r>
                  <w:proofErr w:type="spellStart"/>
                  <w:r>
                    <w:rPr>
                      <w:rFonts w:cs="Times New Roman"/>
                    </w:rPr>
                    <w:t>DwPTS</w:t>
                  </w:r>
                  <w:proofErr w:type="spellEnd"/>
                  <w:r>
                    <w:rPr>
                      <w:rFonts w:cs="Times New Roman"/>
                    </w:rPr>
                    <w:t>.</w:t>
                  </w:r>
                </w:p>
                <w:p w14:paraId="3DE54270" w14:textId="77777777" w:rsidR="002F4D61" w:rsidRDefault="00B03222">
                  <w:pPr>
                    <w:pStyle w:val="Observation"/>
                    <w:widowControl/>
                    <w:numPr>
                      <w:ilvl w:val="0"/>
                      <w:numId w:val="14"/>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Pr>
                      <w:rFonts w:cs="Times New Roman"/>
                    </w:rPr>
                    <w:t>For NPDSCH without repetition, rate matching is used for the Resource Element (RE) mapping into the special subframe.</w:t>
                  </w:r>
                </w:p>
                <w:p w14:paraId="1F3295EF" w14:textId="77777777" w:rsidR="002F4D61" w:rsidRDefault="00B03222">
                  <w:pPr>
                    <w:pStyle w:val="Observation"/>
                    <w:widowControl/>
                    <w:numPr>
                      <w:ilvl w:val="0"/>
                      <w:numId w:val="14"/>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Pr>
                      <w:rFonts w:cs="Times New Roman"/>
                    </w:rPr>
                    <w:t>The RE mapping on special subframes including rate matching aspects would have to be discussed for supporting 16-QAM in TDD NB-IoT.</w:t>
                  </w:r>
                </w:p>
                <w:p w14:paraId="72AEC418" w14:textId="77777777" w:rsidR="002F4D61" w:rsidRDefault="00B03222">
                  <w:pPr>
                    <w:pStyle w:val="Observation"/>
                    <w:widowControl/>
                    <w:numPr>
                      <w:ilvl w:val="0"/>
                      <w:numId w:val="13"/>
                    </w:numPr>
                    <w:tabs>
                      <w:tab w:val="clear" w:pos="1304"/>
                      <w:tab w:val="clear" w:pos="1701"/>
                    </w:tabs>
                    <w:overflowPunct w:val="0"/>
                    <w:autoSpaceDE w:val="0"/>
                    <w:autoSpaceDN w:val="0"/>
                    <w:adjustRightInd w:val="0"/>
                    <w:spacing w:before="100" w:beforeAutospacing="1" w:line="240" w:lineRule="auto"/>
                    <w:ind w:left="1701" w:hanging="1701"/>
                    <w:textAlignment w:val="baseline"/>
                    <w:rPr>
                      <w:rFonts w:cs="Times New Roman"/>
                    </w:rPr>
                  </w:pPr>
                  <w:r>
                    <w:rPr>
                      <w:rFonts w:cs="Times New Roman"/>
                    </w:rPr>
                    <w:t xml:space="preserve"> The foreseen RAN4 impacts from supporting 16-QAM for TDD NB-IoT are:</w:t>
                  </w:r>
                </w:p>
                <w:p w14:paraId="35A5B77E" w14:textId="77777777" w:rsidR="002F4D61" w:rsidRDefault="00B03222">
                  <w:pPr>
                    <w:pStyle w:val="Observation"/>
                    <w:widowControl/>
                    <w:numPr>
                      <w:ilvl w:val="0"/>
                      <w:numId w:val="15"/>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Pr>
                      <w:rFonts w:cs="Times New Roman"/>
                    </w:rPr>
                    <w:t>Define dedicated UE demodulation requirements for 16QAM in TDD NB-IoT in TS 36.101.</w:t>
                  </w:r>
                </w:p>
                <w:p w14:paraId="317D3078" w14:textId="77777777" w:rsidR="002F4D61" w:rsidRDefault="00B03222">
                  <w:pPr>
                    <w:pStyle w:val="Observation"/>
                    <w:widowControl/>
                    <w:numPr>
                      <w:ilvl w:val="0"/>
                      <w:numId w:val="15"/>
                    </w:numPr>
                    <w:tabs>
                      <w:tab w:val="clear" w:pos="1304"/>
                      <w:tab w:val="clear" w:pos="1701"/>
                    </w:tabs>
                    <w:overflowPunct w:val="0"/>
                    <w:autoSpaceDE w:val="0"/>
                    <w:autoSpaceDN w:val="0"/>
                    <w:adjustRightInd w:val="0"/>
                    <w:spacing w:before="100" w:beforeAutospacing="1" w:line="240" w:lineRule="auto"/>
                    <w:textAlignment w:val="baseline"/>
                    <w:rPr>
                      <w:rFonts w:cs="Times New Roman"/>
                    </w:rPr>
                  </w:pPr>
                  <w:r>
                    <w:rPr>
                      <w:rFonts w:cs="Times New Roman"/>
                    </w:rPr>
                    <w:t>Define a BS conformance test (Test Model) for 16-QAM in TDD NB-IoT in TS 36.141.</w:t>
                  </w:r>
                </w:p>
              </w:tc>
            </w:tr>
          </w:tbl>
          <w:p w14:paraId="200B6C1C" w14:textId="77777777" w:rsidR="002F4D61" w:rsidRDefault="00B03222">
            <w:pPr>
              <w:spacing w:before="120"/>
              <w:rPr>
                <w:rFonts w:eastAsia="SimSun"/>
                <w:lang w:eastAsia="zh-CN"/>
              </w:rPr>
            </w:pPr>
            <w:r>
              <w:rPr>
                <w:rFonts w:eastAsia="SimSun" w:hint="eastAsia"/>
                <w:lang w:eastAsia="zh-CN"/>
              </w:rPr>
              <w:t xml:space="preserve">From RAN1 perspective, </w:t>
            </w:r>
            <w:r>
              <w:rPr>
                <w:rFonts w:eastAsia="SimSun"/>
                <w:lang w:eastAsia="zh-CN"/>
              </w:rPr>
              <w:t xml:space="preserve">the rate matching issue for </w:t>
            </w:r>
            <w:r>
              <w:rPr>
                <w:rFonts w:eastAsia="SimSun" w:hint="eastAsia"/>
                <w:lang w:eastAsia="zh-CN"/>
              </w:rPr>
              <w:t xml:space="preserve">supporting TDD for 16-QAM </w:t>
            </w:r>
            <w:r>
              <w:rPr>
                <w:rFonts w:eastAsia="SimSun"/>
                <w:lang w:eastAsia="zh-CN"/>
              </w:rPr>
              <w:t xml:space="preserve">are similar with QPSK, which is </w:t>
            </w:r>
            <w:proofErr w:type="gramStart"/>
            <w:r>
              <w:rPr>
                <w:rFonts w:eastAsia="SimSun"/>
                <w:lang w:eastAsia="zh-CN"/>
              </w:rPr>
              <w:t>actually the</w:t>
            </w:r>
            <w:proofErr w:type="gramEnd"/>
            <w:r>
              <w:rPr>
                <w:rFonts w:eastAsia="SimSun"/>
                <w:lang w:eastAsia="zh-CN"/>
              </w:rPr>
              <w:t xml:space="preserve"> remaining issue. As for the RAN4 impacts, we can ask RAN4 to decide whether to support TDD for 16-QAM.</w:t>
            </w:r>
          </w:p>
          <w:p w14:paraId="713F4409" w14:textId="77777777" w:rsidR="002F4D61" w:rsidRDefault="00B03222">
            <w:pPr>
              <w:spacing w:before="120" w:after="240"/>
              <w:rPr>
                <w:rFonts w:eastAsia="SimSun"/>
                <w:b/>
                <w:i/>
                <w:lang w:eastAsia="zh-CN"/>
              </w:rPr>
            </w:pPr>
            <w:r>
              <w:rPr>
                <w:rFonts w:eastAsia="SimSun"/>
                <w:b/>
                <w:i/>
                <w:lang w:eastAsia="zh-CN"/>
              </w:rPr>
              <w:t>Proposal 2: From RAN1 perspective, rate matching issue for supporting TDD for 16-QAM can be further discussed.</w:t>
            </w:r>
          </w:p>
        </w:tc>
      </w:tr>
      <w:tr w:rsidR="002F4D61" w14:paraId="68FE49F1" w14:textId="77777777">
        <w:tc>
          <w:tcPr>
            <w:tcW w:w="621" w:type="dxa"/>
          </w:tcPr>
          <w:p w14:paraId="6D576219" w14:textId="77777777" w:rsidR="002F4D61" w:rsidRDefault="00B03222">
            <w:pPr>
              <w:spacing w:after="18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C5B40C8" w14:textId="77777777" w:rsidR="002F4D61" w:rsidRDefault="00B03222">
            <w:pPr>
              <w:spacing w:after="180"/>
              <w:jc w:val="both"/>
              <w:rPr>
                <w:rFonts w:eastAsia="MS Mincho"/>
                <w:sz w:val="22"/>
              </w:rPr>
            </w:pPr>
            <w:r>
              <w:rPr>
                <w:rFonts w:eastAsia="MS Mincho" w:hint="eastAsia"/>
                <w:sz w:val="22"/>
              </w:rPr>
              <w:t>N</w:t>
            </w:r>
            <w:r>
              <w:rPr>
                <w:rFonts w:eastAsia="MS Mincho"/>
                <w:sz w:val="22"/>
              </w:rPr>
              <w:t>okia, NSB</w:t>
            </w:r>
          </w:p>
        </w:tc>
        <w:tc>
          <w:tcPr>
            <w:tcW w:w="19931" w:type="dxa"/>
          </w:tcPr>
          <w:p w14:paraId="63D1217B" w14:textId="77777777" w:rsidR="002F4D61" w:rsidRDefault="00B03222">
            <w:pPr>
              <w:pStyle w:val="ListParagraph"/>
              <w:numPr>
                <w:ilvl w:val="0"/>
                <w:numId w:val="16"/>
              </w:numPr>
              <w:spacing w:after="0" w:line="240" w:lineRule="auto"/>
              <w:ind w:leftChars="0"/>
              <w:contextualSpacing/>
              <w:rPr>
                <w:sz w:val="20"/>
              </w:rPr>
            </w:pPr>
            <w:r>
              <w:rPr>
                <w:b/>
                <w:bCs/>
                <w:sz w:val="20"/>
              </w:rPr>
              <w:t>FGs 1-1, 1-2, 1-3, 1-4</w:t>
            </w:r>
            <w:r>
              <w:rPr>
                <w:sz w:val="20"/>
              </w:rPr>
              <w:t>: per UE</w:t>
            </w:r>
          </w:p>
        </w:tc>
      </w:tr>
      <w:tr w:rsidR="002F4D61" w14:paraId="039C83C6" w14:textId="77777777">
        <w:tc>
          <w:tcPr>
            <w:tcW w:w="621" w:type="dxa"/>
          </w:tcPr>
          <w:p w14:paraId="7E678FB8" w14:textId="77777777" w:rsidR="002F4D61" w:rsidRDefault="00B03222">
            <w:pPr>
              <w:spacing w:after="180"/>
              <w:jc w:val="both"/>
              <w:rPr>
                <w:rFonts w:eastAsia="MS Mincho"/>
                <w:sz w:val="22"/>
              </w:rPr>
            </w:pPr>
            <w:r>
              <w:rPr>
                <w:rFonts w:eastAsia="MS Mincho" w:hint="eastAsia"/>
                <w:sz w:val="22"/>
              </w:rPr>
              <w:t>[</w:t>
            </w:r>
            <w:r>
              <w:rPr>
                <w:rFonts w:eastAsia="MS Mincho"/>
                <w:sz w:val="22"/>
              </w:rPr>
              <w:t>5]</w:t>
            </w:r>
          </w:p>
        </w:tc>
        <w:tc>
          <w:tcPr>
            <w:tcW w:w="1831" w:type="dxa"/>
          </w:tcPr>
          <w:p w14:paraId="660178A2" w14:textId="77777777" w:rsidR="002F4D61" w:rsidRDefault="00B03222">
            <w:pPr>
              <w:spacing w:after="180"/>
              <w:jc w:val="both"/>
              <w:rPr>
                <w:rFonts w:eastAsia="MS Mincho"/>
                <w:sz w:val="22"/>
              </w:rPr>
            </w:pPr>
            <w:r>
              <w:rPr>
                <w:rFonts w:eastAsia="MS Mincho" w:hint="eastAsia"/>
                <w:sz w:val="22"/>
              </w:rPr>
              <w:t>D</w:t>
            </w:r>
            <w:r>
              <w:rPr>
                <w:rFonts w:eastAsia="MS Mincho"/>
                <w:sz w:val="22"/>
              </w:rPr>
              <w:t>OCOMO</w:t>
            </w:r>
          </w:p>
        </w:tc>
        <w:tc>
          <w:tcPr>
            <w:tcW w:w="19931" w:type="dxa"/>
          </w:tcPr>
          <w:p w14:paraId="617DC32E" w14:textId="77777777" w:rsidR="002F4D61" w:rsidRDefault="00B03222">
            <w:pPr>
              <w:pStyle w:val="ListParagraph"/>
              <w:numPr>
                <w:ilvl w:val="0"/>
                <w:numId w:val="17"/>
              </w:numPr>
              <w:spacing w:afterLines="50" w:after="120" w:line="240" w:lineRule="auto"/>
              <w:ind w:leftChars="0"/>
              <w:jc w:val="both"/>
              <w:rPr>
                <w:rFonts w:eastAsiaTheme="minorEastAsia"/>
                <w:sz w:val="22"/>
                <w:szCs w:val="22"/>
              </w:rPr>
            </w:pPr>
            <w:r>
              <w:rPr>
                <w:rFonts w:eastAsiaTheme="minorEastAsia" w:hint="eastAsia"/>
                <w:sz w:val="22"/>
                <w:szCs w:val="22"/>
              </w:rPr>
              <w:t>1</w:t>
            </w:r>
            <w:r>
              <w:rPr>
                <w:rFonts w:eastAsiaTheme="minorEastAsia"/>
                <w:sz w:val="22"/>
                <w:szCs w:val="22"/>
              </w:rPr>
              <w:t>-1: 16-QAM for unicast NPDSCH</w:t>
            </w:r>
          </w:p>
          <w:p w14:paraId="30B59DDE" w14:textId="77777777" w:rsidR="002F4D61" w:rsidRDefault="00B03222">
            <w:pPr>
              <w:pStyle w:val="ListParagraph"/>
              <w:numPr>
                <w:ilvl w:val="1"/>
                <w:numId w:val="17"/>
              </w:numPr>
              <w:spacing w:afterLines="50" w:after="120" w:line="240" w:lineRule="auto"/>
              <w:ind w:leftChars="0"/>
              <w:jc w:val="both"/>
              <w:rPr>
                <w:rFonts w:eastAsiaTheme="minorEastAsia"/>
                <w:sz w:val="22"/>
                <w:szCs w:val="22"/>
              </w:rPr>
            </w:pPr>
            <w:r>
              <w:rPr>
                <w:rFonts w:eastAsiaTheme="minorEastAsia"/>
                <w:sz w:val="22"/>
                <w:szCs w:val="22"/>
              </w:rPr>
              <w:t>At the RAN1#107-e meeting, some companies pointed that FGs 1-1 and 1-2 have RF impact (Tx and Rx EVM) and hence the type of FGs 1-1 and 1-2 should be per band, while some other companies argued that the RF impact should be discussed and confirmed in RAN4 [2].</w:t>
            </w:r>
          </w:p>
          <w:p w14:paraId="4276258A" w14:textId="77777777" w:rsidR="002F4D61" w:rsidRDefault="00B03222">
            <w:pPr>
              <w:pStyle w:val="ListParagraph"/>
              <w:numPr>
                <w:ilvl w:val="1"/>
                <w:numId w:val="17"/>
              </w:numPr>
              <w:spacing w:afterLines="50" w:after="120" w:line="240" w:lineRule="auto"/>
              <w:ind w:leftChars="0"/>
              <w:jc w:val="both"/>
              <w:rPr>
                <w:rFonts w:eastAsiaTheme="minorEastAsia"/>
                <w:sz w:val="22"/>
                <w:szCs w:val="22"/>
              </w:rPr>
            </w:pPr>
            <w:r>
              <w:rPr>
                <w:rFonts w:eastAsiaTheme="minorEastAsia" w:hint="eastAsia"/>
                <w:sz w:val="22"/>
                <w:szCs w:val="22"/>
              </w:rPr>
              <w:t>W</w:t>
            </w:r>
            <w:r>
              <w:rPr>
                <w:rFonts w:eastAsiaTheme="minorEastAsia"/>
                <w:sz w:val="22"/>
                <w:szCs w:val="22"/>
              </w:rPr>
              <w:t xml:space="preserve">e think the type of FGs 1-1 and 1-2 can be per UE with FDD/TDD differentiation same as Rel-16 </w:t>
            </w:r>
            <w:proofErr w:type="spellStart"/>
            <w:r>
              <w:rPr>
                <w:rFonts w:eastAsiaTheme="minorEastAsia"/>
                <w:sz w:val="22"/>
                <w:szCs w:val="22"/>
              </w:rPr>
              <w:t>eMTC</w:t>
            </w:r>
            <w:proofErr w:type="spellEnd"/>
            <w:r>
              <w:rPr>
                <w:rFonts w:eastAsiaTheme="minorEastAsia"/>
                <w:sz w:val="22"/>
                <w:szCs w:val="22"/>
              </w:rPr>
              <w:t xml:space="preserve">/NB-IoT FGs, but we can also accept asking RAN4 to </w:t>
            </w:r>
            <w:proofErr w:type="gramStart"/>
            <w:r>
              <w:rPr>
                <w:rFonts w:eastAsiaTheme="minorEastAsia"/>
                <w:sz w:val="22"/>
                <w:szCs w:val="22"/>
              </w:rPr>
              <w:t>make a decision</w:t>
            </w:r>
            <w:proofErr w:type="gramEnd"/>
            <w:r>
              <w:rPr>
                <w:rFonts w:eastAsiaTheme="minorEastAsia"/>
                <w:sz w:val="22"/>
                <w:szCs w:val="22"/>
              </w:rPr>
              <w:t xml:space="preserve"> on the type of FGs 1-1 and 1-2.</w:t>
            </w:r>
          </w:p>
          <w:p w14:paraId="498AFB72" w14:textId="77777777" w:rsidR="002F4D61" w:rsidRDefault="00B03222">
            <w:pPr>
              <w:pStyle w:val="ListParagraph"/>
              <w:numPr>
                <w:ilvl w:val="0"/>
                <w:numId w:val="17"/>
              </w:numPr>
              <w:spacing w:afterLines="50" w:after="120" w:line="240" w:lineRule="auto"/>
              <w:ind w:leftChars="0"/>
              <w:jc w:val="both"/>
              <w:rPr>
                <w:rFonts w:eastAsiaTheme="minorEastAsia"/>
                <w:sz w:val="22"/>
                <w:szCs w:val="22"/>
              </w:rPr>
            </w:pPr>
            <w:r>
              <w:rPr>
                <w:rFonts w:eastAsiaTheme="minorEastAsia" w:hint="eastAsia"/>
                <w:sz w:val="22"/>
                <w:szCs w:val="22"/>
              </w:rPr>
              <w:t>1</w:t>
            </w:r>
            <w:r>
              <w:rPr>
                <w:rFonts w:eastAsiaTheme="minorEastAsia"/>
                <w:sz w:val="22"/>
                <w:szCs w:val="22"/>
              </w:rPr>
              <w:t>-2: 16-QAM for unicast NPUSCH</w:t>
            </w:r>
          </w:p>
          <w:p w14:paraId="73DD15DC" w14:textId="77777777" w:rsidR="002F4D61" w:rsidRDefault="00B03222">
            <w:pPr>
              <w:pStyle w:val="ListParagraph"/>
              <w:numPr>
                <w:ilvl w:val="1"/>
                <w:numId w:val="17"/>
              </w:numPr>
              <w:spacing w:afterLines="50" w:after="120" w:line="240" w:lineRule="auto"/>
              <w:ind w:leftChars="0"/>
              <w:jc w:val="both"/>
              <w:rPr>
                <w:rFonts w:eastAsiaTheme="minorEastAsia"/>
                <w:sz w:val="22"/>
                <w:szCs w:val="22"/>
              </w:rPr>
            </w:pPr>
            <w:r>
              <w:rPr>
                <w:rFonts w:eastAsiaTheme="minorEastAsia"/>
                <w:sz w:val="22"/>
                <w:szCs w:val="22"/>
              </w:rPr>
              <w:t>Same as above</w:t>
            </w:r>
          </w:p>
        </w:tc>
      </w:tr>
      <w:tr w:rsidR="002F4D61" w14:paraId="7265D287" w14:textId="77777777">
        <w:tc>
          <w:tcPr>
            <w:tcW w:w="621" w:type="dxa"/>
          </w:tcPr>
          <w:p w14:paraId="2677F74E" w14:textId="77777777" w:rsidR="002F4D61" w:rsidRDefault="00B03222">
            <w:pPr>
              <w:spacing w:after="180"/>
              <w:jc w:val="both"/>
              <w:rPr>
                <w:rFonts w:eastAsia="MS Mincho"/>
                <w:sz w:val="22"/>
              </w:rPr>
            </w:pPr>
            <w:r>
              <w:rPr>
                <w:rFonts w:eastAsia="MS Mincho" w:hint="eastAsia"/>
                <w:sz w:val="22"/>
              </w:rPr>
              <w:t>[</w:t>
            </w:r>
            <w:r>
              <w:rPr>
                <w:rFonts w:eastAsia="MS Mincho"/>
                <w:sz w:val="22"/>
              </w:rPr>
              <w:t>6]</w:t>
            </w:r>
          </w:p>
        </w:tc>
        <w:tc>
          <w:tcPr>
            <w:tcW w:w="1831" w:type="dxa"/>
          </w:tcPr>
          <w:p w14:paraId="635743E6" w14:textId="77777777" w:rsidR="002F4D61" w:rsidRDefault="00B03222">
            <w:pPr>
              <w:spacing w:after="180"/>
              <w:jc w:val="both"/>
              <w:rPr>
                <w:rFonts w:eastAsia="MS Mincho"/>
                <w:sz w:val="22"/>
              </w:rPr>
            </w:pPr>
            <w:r>
              <w:rPr>
                <w:rFonts w:eastAsia="MS Mincho" w:hint="eastAsia"/>
                <w:sz w:val="22"/>
              </w:rPr>
              <w:t>Q</w:t>
            </w:r>
            <w:r>
              <w:rPr>
                <w:rFonts w:eastAsia="MS Mincho"/>
                <w:sz w:val="22"/>
              </w:rPr>
              <w:t>ualcomm</w:t>
            </w:r>
          </w:p>
        </w:tc>
        <w:tc>
          <w:tcPr>
            <w:tcW w:w="19931" w:type="dxa"/>
          </w:tcPr>
          <w:p w14:paraId="25D4C338" w14:textId="77777777" w:rsidR="002F4D61" w:rsidRDefault="00B03222">
            <w:pPr>
              <w:rPr>
                <w:lang w:val="en-US"/>
              </w:rPr>
            </w:pPr>
            <w:r>
              <w:rPr>
                <w:lang w:val="en-US"/>
              </w:rPr>
              <w:t xml:space="preserve">One of the most contentious issues in the last meeting was whether the features for </w:t>
            </w:r>
            <w:proofErr w:type="spellStart"/>
            <w:r>
              <w:rPr>
                <w:lang w:val="en-US"/>
              </w:rPr>
              <w:t>eMTC</w:t>
            </w:r>
            <w:proofErr w:type="spellEnd"/>
            <w:r>
              <w:rPr>
                <w:lang w:val="en-US"/>
              </w:rPr>
              <w:t xml:space="preserve"> and NB-IoT were “per UE” or “per band”.</w:t>
            </w:r>
          </w:p>
          <w:p w14:paraId="6E520E10" w14:textId="77777777" w:rsidR="002F4D61" w:rsidRDefault="00B03222">
            <w:pPr>
              <w:rPr>
                <w:lang w:val="en-US"/>
              </w:rPr>
            </w:pPr>
            <w:r>
              <w:rPr>
                <w:lang w:val="en-US"/>
              </w:rPr>
              <w:t>In our view, the newly introduced features should be “per band” for the following reason: with the introduction of NTN IOT, there should be a way to differentiate the capability of using 16-QAM or 14 HARQ processes for terrestrial and non-terrestrial cases. “Per band” capability indication allows for this indication.</w:t>
            </w:r>
          </w:p>
          <w:p w14:paraId="5CF26A08" w14:textId="77777777" w:rsidR="002F4D61" w:rsidRDefault="00B03222">
            <w:pPr>
              <w:rPr>
                <w:b/>
                <w:bCs/>
                <w:lang w:val="en-US"/>
              </w:rPr>
            </w:pPr>
            <w:r>
              <w:rPr>
                <w:b/>
                <w:bCs/>
                <w:u w:val="single"/>
                <w:lang w:val="en-US"/>
              </w:rPr>
              <w:t>Observation 1:</w:t>
            </w:r>
            <w:r>
              <w:rPr>
                <w:b/>
                <w:bCs/>
                <w:lang w:val="en-US"/>
              </w:rPr>
              <w:t xml:space="preserve"> All the IOT features should be “per band” to allow differentiation of support of a feature in terrestrial and non-terrestrial networks.</w:t>
            </w:r>
          </w:p>
          <w:p w14:paraId="5ADA963D" w14:textId="77777777" w:rsidR="002F4D61" w:rsidRDefault="00B03222">
            <w:pPr>
              <w:rPr>
                <w:lang w:val="en-US"/>
              </w:rPr>
            </w:pPr>
            <w:r>
              <w:rPr>
                <w:lang w:val="en-US"/>
              </w:rPr>
              <w:t xml:space="preserve">For support of 16-QAM, in line with the observation above, we propose the type of this feature to be “per band”. </w:t>
            </w:r>
          </w:p>
          <w:p w14:paraId="0EC27A21" w14:textId="77777777" w:rsidR="002F4D61" w:rsidRDefault="00B03222">
            <w:pPr>
              <w:rPr>
                <w:lang w:val="en-US"/>
              </w:rPr>
            </w:pPr>
            <w:r>
              <w:rPr>
                <w:lang w:val="en-US"/>
              </w:rPr>
              <w:t>For the particular case of 16-QAM, there is an additional reason to make this feature “per band”: different frequency bands may have different difficulties to meet the necessary RF requirements to support 16-QAM (</w:t>
            </w:r>
            <w:proofErr w:type="gramStart"/>
            <w:r>
              <w:rPr>
                <w:lang w:val="en-US"/>
              </w:rPr>
              <w:t>e.g.</w:t>
            </w:r>
            <w:proofErr w:type="gramEnd"/>
            <w:r>
              <w:rPr>
                <w:lang w:val="en-US"/>
              </w:rPr>
              <w:t xml:space="preserve"> in terms of transmit / receive EVM). </w:t>
            </w:r>
          </w:p>
          <w:p w14:paraId="55D400E7" w14:textId="77777777" w:rsidR="002F4D61" w:rsidRDefault="00B03222">
            <w:pPr>
              <w:rPr>
                <w:lang w:val="en-US"/>
              </w:rPr>
            </w:pPr>
            <w:r>
              <w:rPr>
                <w:lang w:val="en-US"/>
              </w:rPr>
              <w:lastRenderedPageBreak/>
              <w:t>Additionally, the signaling of “per band” capability prevents potential issues in the field in the case there is lack of IODT opportunities with multiple infrastructure vendors when initially deploying the feature: a second vendor with which the UE has not been tested against may think the feature is tested, which may lead to malfunctioning in the field.</w:t>
            </w:r>
          </w:p>
          <w:p w14:paraId="4133919C" w14:textId="77777777" w:rsidR="002F4D61" w:rsidRDefault="00B03222">
            <w:pPr>
              <w:rPr>
                <w:b/>
                <w:bCs/>
                <w:lang w:val="en-US"/>
              </w:rPr>
            </w:pPr>
            <w:r>
              <w:rPr>
                <w:b/>
                <w:bCs/>
                <w:u w:val="single"/>
                <w:lang w:val="en-US"/>
              </w:rPr>
              <w:t>Proposal 1:</w:t>
            </w:r>
            <w:r>
              <w:rPr>
                <w:b/>
                <w:bCs/>
                <w:lang w:val="en-US"/>
              </w:rPr>
              <w:t xml:space="preserve"> The capability for 16-QAM for NPUSCH and NPDSCH (FG1-1 and 1-2) is “per band”.</w:t>
            </w:r>
          </w:p>
        </w:tc>
      </w:tr>
      <w:tr w:rsidR="002F4D61" w14:paraId="1A627A67" w14:textId="77777777">
        <w:tc>
          <w:tcPr>
            <w:tcW w:w="621" w:type="dxa"/>
          </w:tcPr>
          <w:p w14:paraId="474A8279" w14:textId="77777777" w:rsidR="002F4D61" w:rsidRDefault="00B03222">
            <w:pPr>
              <w:spacing w:after="180"/>
              <w:jc w:val="both"/>
              <w:rPr>
                <w:rFonts w:eastAsia="MS Mincho"/>
                <w:sz w:val="22"/>
              </w:rPr>
            </w:pPr>
            <w:r>
              <w:rPr>
                <w:rFonts w:eastAsia="MS Mincho" w:hint="eastAsia"/>
                <w:sz w:val="22"/>
              </w:rPr>
              <w:lastRenderedPageBreak/>
              <w:t>[</w:t>
            </w:r>
            <w:r>
              <w:rPr>
                <w:rFonts w:eastAsia="MS Mincho"/>
                <w:sz w:val="22"/>
              </w:rPr>
              <w:t>7]</w:t>
            </w:r>
          </w:p>
        </w:tc>
        <w:tc>
          <w:tcPr>
            <w:tcW w:w="1831" w:type="dxa"/>
          </w:tcPr>
          <w:p w14:paraId="107C387F" w14:textId="77777777" w:rsidR="002F4D61" w:rsidRDefault="00B03222">
            <w:pPr>
              <w:spacing w:after="180"/>
              <w:jc w:val="both"/>
              <w:rPr>
                <w:rFonts w:eastAsia="MS Mincho"/>
                <w:sz w:val="22"/>
              </w:rPr>
            </w:pPr>
            <w:r>
              <w:rPr>
                <w:rFonts w:eastAsia="MS Mincho" w:hint="eastAsia"/>
                <w:sz w:val="22"/>
              </w:rPr>
              <w:t>E</w:t>
            </w:r>
            <w:r>
              <w:rPr>
                <w:rFonts w:eastAsia="MS Mincho"/>
                <w:sz w:val="22"/>
              </w:rPr>
              <w:t>ricsson</w:t>
            </w:r>
          </w:p>
        </w:tc>
        <w:tc>
          <w:tcPr>
            <w:tcW w:w="19931" w:type="dxa"/>
          </w:tcPr>
          <w:p w14:paraId="08902021" w14:textId="77777777" w:rsidR="002F4D61" w:rsidRDefault="00B03222">
            <w:pPr>
              <w:pStyle w:val="Observation"/>
              <w:widowControl/>
              <w:tabs>
                <w:tab w:val="clear" w:pos="1304"/>
              </w:tabs>
              <w:spacing w:line="240" w:lineRule="auto"/>
            </w:pPr>
            <w:bookmarkStart w:id="2" w:name="_Toc90045091"/>
            <w:r>
              <w:t>During RAN1# 107-e, it was discussed whether the “Type” of the Rel-17 features should be defined “Per UE” or “Per Band”.</w:t>
            </w:r>
            <w:bookmarkEnd w:id="2"/>
            <w:r>
              <w:t xml:space="preserve"> </w:t>
            </w:r>
          </w:p>
          <w:p w14:paraId="1C2D4A1D" w14:textId="77777777" w:rsidR="002F4D61" w:rsidRDefault="00B03222">
            <w:pPr>
              <w:pStyle w:val="Observation"/>
              <w:widowControl/>
              <w:tabs>
                <w:tab w:val="clear" w:pos="1304"/>
              </w:tabs>
              <w:spacing w:line="240" w:lineRule="auto"/>
            </w:pPr>
            <w:bookmarkStart w:id="3" w:name="_Toc90045092"/>
            <w:r>
              <w:t>In our view, as for legacy features, the Type of Rel-17 features built under a L1 Terrestrial context should in principle be defined “Per UE”.</w:t>
            </w:r>
            <w:bookmarkEnd w:id="3"/>
            <w:r>
              <w:t xml:space="preserve"> </w:t>
            </w:r>
          </w:p>
          <w:p w14:paraId="1080EFE3" w14:textId="77777777" w:rsidR="002F4D61" w:rsidRDefault="00B03222">
            <w:pPr>
              <w:pStyle w:val="Observation"/>
              <w:widowControl/>
              <w:tabs>
                <w:tab w:val="clear" w:pos="1304"/>
              </w:tabs>
              <w:spacing w:line="240" w:lineRule="auto"/>
            </w:pPr>
            <w:bookmarkStart w:id="4" w:name="_Toc90045093"/>
            <w:r>
              <w:t>The motivation for defining the “Type” as “Per Band” has been around “NTN” and an “RF impact (Tx and Rx EVM)”. However, such a motivation is outside the RAN1 expertise.</w:t>
            </w:r>
            <w:bookmarkEnd w:id="4"/>
            <w:r>
              <w:t xml:space="preserve"> </w:t>
            </w:r>
          </w:p>
          <w:p w14:paraId="3D7F9787" w14:textId="77777777" w:rsidR="002F4D61" w:rsidRDefault="00B03222">
            <w:pPr>
              <w:pStyle w:val="Observation"/>
              <w:widowControl/>
              <w:numPr>
                <w:ilvl w:val="0"/>
                <w:numId w:val="18"/>
              </w:numPr>
              <w:tabs>
                <w:tab w:val="clear" w:pos="1304"/>
              </w:tabs>
              <w:spacing w:line="240" w:lineRule="auto"/>
            </w:pPr>
            <w:bookmarkStart w:id="5" w:name="_Toc90045094"/>
            <w:r>
              <w:t xml:space="preserve">Moreover, not even “NTN IoT” has defined the “Type” as “Per Band”, since in </w:t>
            </w:r>
            <w:hyperlink r:id="rId15" w:history="1">
              <w:r>
                <w:rPr>
                  <w:rStyle w:val="Hyperlink"/>
                  <w:rFonts w:eastAsiaTheme="minorEastAsia"/>
                </w:rPr>
                <w:t>R1-2112900</w:t>
              </w:r>
            </w:hyperlink>
            <w:r>
              <w:t xml:space="preserve"> there seems to be an FFS on it: “</w:t>
            </w:r>
            <w:r>
              <w:rPr>
                <w:highlight w:val="yellow"/>
              </w:rPr>
              <w:t>[per UE/per band]</w:t>
            </w:r>
            <w:r>
              <w:t>”</w:t>
            </w:r>
            <w:bookmarkEnd w:id="5"/>
          </w:p>
          <w:p w14:paraId="62E4FB7E" w14:textId="77777777" w:rsidR="002F4D61" w:rsidRDefault="00B03222">
            <w:pPr>
              <w:pStyle w:val="Observation"/>
              <w:widowControl/>
              <w:tabs>
                <w:tab w:val="clear" w:pos="1304"/>
              </w:tabs>
              <w:spacing w:line="240" w:lineRule="auto"/>
            </w:pPr>
            <w:bookmarkStart w:id="6" w:name="_Toc90045095"/>
            <w:r>
              <w:t>RAN1 that designed the Rel-17 features under a “L1 Terrestrial” context does not have the expertise to acknowledge or reject motivations around “NTN” and “RF impacts”, thus we can follow the Moderator’s suggestion of defining the “Type of FGs 1-3 and 1-4 (i.e., LTE-MTC features) “per UE” and leaving the Type of FGs 1-1 and 1-2 (i.e., NB-IoT features) up to RAN2/RAN4”.</w:t>
            </w:r>
            <w:bookmarkEnd w:id="6"/>
          </w:p>
          <w:p w14:paraId="05910EBB" w14:textId="77777777" w:rsidR="002F4D61" w:rsidRDefault="00B03222">
            <w:pPr>
              <w:pStyle w:val="Proposal"/>
              <w:widowControl/>
              <w:tabs>
                <w:tab w:val="clear" w:pos="1304"/>
              </w:tabs>
              <w:spacing w:line="240" w:lineRule="auto"/>
              <w:ind w:left="1701" w:hanging="1701"/>
            </w:pPr>
            <w:bookmarkStart w:id="7" w:name="_Toc90045106"/>
            <w:r>
              <w:t>For 16-QAM for unicast in UL and DL (i.e., FGs 1-1 and 1-2 in the “UE Feature list” respectively), whether the “Type” is to be defined “Per UE” or “Per Band” is up to RAN2/RAN4.</w:t>
            </w:r>
            <w:bookmarkEnd w:id="7"/>
          </w:p>
          <w:p w14:paraId="28EEDC60" w14:textId="77777777" w:rsidR="002F4D61" w:rsidRDefault="00B03222">
            <w:pPr>
              <w:pStyle w:val="Observation"/>
              <w:widowControl/>
              <w:tabs>
                <w:tab w:val="clear" w:pos="1304"/>
              </w:tabs>
              <w:spacing w:line="240" w:lineRule="auto"/>
            </w:pPr>
            <w:bookmarkStart w:id="8" w:name="_Toc90045096"/>
            <w:r>
              <w:t xml:space="preserve">For the “Need of FDD/TDD differentiation,” the support of 16-QAM has been developed under the context of FDD. Supporting 16-QAM for TDD has been found to result in specification impacts (See </w:t>
            </w:r>
            <w:hyperlink r:id="rId16" w:history="1">
              <w:r>
                <w:rPr>
                  <w:rStyle w:val="Hyperlink"/>
                  <w:rFonts w:eastAsiaTheme="minorEastAsia"/>
                </w:rPr>
                <w:t>R1-2112363</w:t>
              </w:r>
            </w:hyperlink>
            <w:r>
              <w:t>), and therefore 16-QAM should only be supported for FDD operation.</w:t>
            </w:r>
            <w:bookmarkEnd w:id="8"/>
          </w:p>
          <w:p w14:paraId="6E890A71" w14:textId="77777777" w:rsidR="002F4D61" w:rsidRDefault="00B03222">
            <w:pPr>
              <w:pStyle w:val="Proposal"/>
              <w:widowControl/>
              <w:tabs>
                <w:tab w:val="clear" w:pos="1304"/>
              </w:tabs>
              <w:spacing w:line="240" w:lineRule="auto"/>
              <w:ind w:left="1701" w:hanging="1701"/>
            </w:pPr>
            <w:bookmarkStart w:id="9" w:name="_Toc90045107"/>
            <w:r>
              <w:t>For 16-QAM for unicast in UL and DL: The column “Need of FDD/TDD differentiation” is filled-in as “FDD only”, whereas the column “Capability interpretation for mixture of FDD/TDD” is filled-in as non-applicable, that is “N/A”.</w:t>
            </w:r>
            <w:bookmarkEnd w:id="9"/>
          </w:p>
        </w:tc>
      </w:tr>
    </w:tbl>
    <w:p w14:paraId="4EFE83E1" w14:textId="77777777" w:rsidR="002F4D61" w:rsidRDefault="002F4D61">
      <w:pPr>
        <w:spacing w:afterLines="50" w:after="120"/>
        <w:jc w:val="both"/>
        <w:rPr>
          <w:sz w:val="22"/>
        </w:rPr>
      </w:pPr>
    </w:p>
    <w:p w14:paraId="15162D00" w14:textId="77777777" w:rsidR="002F4D61" w:rsidRDefault="002F4D61">
      <w:pPr>
        <w:spacing w:afterLines="50" w:after="120"/>
        <w:jc w:val="both"/>
        <w:rPr>
          <w:sz w:val="22"/>
        </w:rPr>
      </w:pPr>
    </w:p>
    <w:p w14:paraId="0EC91FD0" w14:textId="77777777" w:rsidR="002F4D61" w:rsidRDefault="00B03222">
      <w:pPr>
        <w:pStyle w:val="Heading2"/>
        <w:rPr>
          <w:b/>
          <w:bCs/>
        </w:rPr>
      </w:pPr>
      <w:r>
        <w:rPr>
          <w:b/>
          <w:bCs/>
        </w:rPr>
        <w:t>Discussion</w:t>
      </w:r>
    </w:p>
    <w:p w14:paraId="54D614A0" w14:textId="77777777" w:rsidR="002F4D61" w:rsidRDefault="00B03222">
      <w:pPr>
        <w:spacing w:afterLines="50" w:after="120"/>
        <w:jc w:val="both"/>
        <w:rPr>
          <w:b/>
          <w:bCs/>
          <w:szCs w:val="21"/>
          <w:lang w:val="en-US"/>
        </w:rPr>
      </w:pPr>
      <w:r>
        <w:rPr>
          <w:b/>
          <w:bCs/>
          <w:szCs w:val="21"/>
          <w:lang w:val="en-US"/>
        </w:rPr>
        <w:t>[FL1] Proposal 2-1:</w:t>
      </w:r>
    </w:p>
    <w:p w14:paraId="33E22274" w14:textId="77777777" w:rsidR="002F4D61" w:rsidRDefault="00B03222">
      <w:pPr>
        <w:pStyle w:val="ListParagraph"/>
        <w:numPr>
          <w:ilvl w:val="0"/>
          <w:numId w:val="19"/>
        </w:numPr>
        <w:spacing w:afterLines="50" w:after="120"/>
        <w:ind w:leftChars="0"/>
        <w:jc w:val="both"/>
        <w:rPr>
          <w:b/>
          <w:bCs/>
          <w:szCs w:val="24"/>
          <w:lang w:val="en-US"/>
        </w:rPr>
      </w:pPr>
      <w:r>
        <w:rPr>
          <w:b/>
          <w:bCs/>
          <w:szCs w:val="21"/>
          <w:lang w:val="en-US"/>
        </w:rPr>
        <w:t>For FGs 1-1 and 1-2, select one of the following options:</w:t>
      </w:r>
    </w:p>
    <w:p w14:paraId="05509E4D" w14:textId="77777777" w:rsidR="002F4D61" w:rsidRDefault="00B03222">
      <w:pPr>
        <w:pStyle w:val="ListParagraph"/>
        <w:numPr>
          <w:ilvl w:val="1"/>
          <w:numId w:val="19"/>
        </w:numPr>
        <w:spacing w:afterLines="50" w:after="120"/>
        <w:ind w:leftChars="0"/>
        <w:jc w:val="both"/>
        <w:rPr>
          <w:b/>
          <w:bCs/>
          <w:szCs w:val="24"/>
          <w:lang w:val="en-US"/>
        </w:rPr>
      </w:pPr>
      <w:r>
        <w:rPr>
          <w:b/>
          <w:bCs/>
          <w:szCs w:val="21"/>
          <w:lang w:val="en-US"/>
        </w:rPr>
        <w:t>Option 1: type of FGs 1-1 and 1-2 are per UE</w:t>
      </w:r>
    </w:p>
    <w:p w14:paraId="00D5A181" w14:textId="77777777" w:rsidR="002F4D61" w:rsidRDefault="00B03222">
      <w:pPr>
        <w:pStyle w:val="ListParagraph"/>
        <w:numPr>
          <w:ilvl w:val="2"/>
          <w:numId w:val="19"/>
        </w:numPr>
        <w:spacing w:afterLines="50" w:after="120"/>
        <w:ind w:leftChars="0"/>
        <w:jc w:val="both"/>
        <w:rPr>
          <w:b/>
          <w:bCs/>
          <w:szCs w:val="24"/>
          <w:lang w:val="en-US"/>
        </w:rPr>
      </w:pPr>
      <w:r>
        <w:rPr>
          <w:rFonts w:hint="eastAsia"/>
          <w:b/>
          <w:bCs/>
          <w:szCs w:val="21"/>
          <w:lang w:val="en-US"/>
        </w:rPr>
        <w:t>O</w:t>
      </w:r>
      <w:r>
        <w:rPr>
          <w:b/>
          <w:bCs/>
          <w:szCs w:val="21"/>
          <w:lang w:val="en-US"/>
        </w:rPr>
        <w:t xml:space="preserve">ption 1-1: </w:t>
      </w:r>
      <w:r>
        <w:rPr>
          <w:b/>
          <w:lang w:eastAsia="zh-CN"/>
        </w:rPr>
        <w:t>FDD/TDD differentiation is not needed</w:t>
      </w:r>
    </w:p>
    <w:p w14:paraId="1EA187D0" w14:textId="77777777" w:rsidR="002F4D61" w:rsidRDefault="00B03222">
      <w:pPr>
        <w:pStyle w:val="ListParagraph"/>
        <w:numPr>
          <w:ilvl w:val="2"/>
          <w:numId w:val="19"/>
        </w:numPr>
        <w:spacing w:afterLines="50" w:after="120"/>
        <w:ind w:leftChars="0"/>
        <w:jc w:val="both"/>
        <w:rPr>
          <w:b/>
          <w:bCs/>
          <w:szCs w:val="24"/>
          <w:lang w:val="en-US"/>
        </w:rPr>
      </w:pPr>
      <w:r>
        <w:rPr>
          <w:rFonts w:hint="eastAsia"/>
          <w:b/>
          <w:bCs/>
          <w:szCs w:val="21"/>
          <w:lang w:val="en-US"/>
        </w:rPr>
        <w:t>O</w:t>
      </w:r>
      <w:r>
        <w:rPr>
          <w:b/>
          <w:bCs/>
          <w:szCs w:val="21"/>
          <w:lang w:val="en-US"/>
        </w:rPr>
        <w:t xml:space="preserve">ption 1-2: </w:t>
      </w:r>
      <w:r>
        <w:rPr>
          <w:b/>
          <w:lang w:eastAsia="zh-CN"/>
        </w:rPr>
        <w:t>FDD/TDD differentiation is needed</w:t>
      </w:r>
    </w:p>
    <w:p w14:paraId="35E40803" w14:textId="77777777" w:rsidR="002F4D61" w:rsidRDefault="00B03222">
      <w:pPr>
        <w:pStyle w:val="ListParagraph"/>
        <w:numPr>
          <w:ilvl w:val="2"/>
          <w:numId w:val="19"/>
        </w:numPr>
        <w:spacing w:afterLines="50" w:after="120"/>
        <w:ind w:leftChars="0"/>
        <w:jc w:val="both"/>
        <w:rPr>
          <w:b/>
          <w:bCs/>
          <w:szCs w:val="24"/>
          <w:lang w:val="en-US"/>
        </w:rPr>
      </w:pPr>
      <w:r>
        <w:rPr>
          <w:rFonts w:hint="eastAsia"/>
          <w:b/>
        </w:rPr>
        <w:t>O</w:t>
      </w:r>
      <w:r>
        <w:rPr>
          <w:b/>
        </w:rPr>
        <w:t xml:space="preserve">ption 1-3: </w:t>
      </w:r>
      <w:r>
        <w:rPr>
          <w:b/>
          <w:lang w:eastAsia="zh-CN"/>
        </w:rPr>
        <w:t>FDD/TDD differentiation needs to be further discussed</w:t>
      </w:r>
    </w:p>
    <w:p w14:paraId="08142B14" w14:textId="77777777" w:rsidR="002F4D61" w:rsidRDefault="00B03222">
      <w:pPr>
        <w:pStyle w:val="ListParagraph"/>
        <w:numPr>
          <w:ilvl w:val="2"/>
          <w:numId w:val="19"/>
        </w:numPr>
        <w:spacing w:afterLines="50" w:after="120"/>
        <w:ind w:leftChars="0"/>
        <w:jc w:val="both"/>
        <w:rPr>
          <w:b/>
          <w:bCs/>
          <w:szCs w:val="24"/>
          <w:lang w:val="en-US"/>
        </w:rPr>
      </w:pPr>
      <w:r>
        <w:rPr>
          <w:rFonts w:hint="eastAsia"/>
          <w:b/>
        </w:rPr>
        <w:t>O</w:t>
      </w:r>
      <w:r>
        <w:rPr>
          <w:b/>
        </w:rPr>
        <w:t xml:space="preserve">ption 1-4: </w:t>
      </w:r>
      <w:r>
        <w:rPr>
          <w:b/>
          <w:bCs/>
          <w:szCs w:val="21"/>
          <w:lang w:val="en-US"/>
        </w:rPr>
        <w:t>FGs 1-1 and 1-2 are supported for FDD only</w:t>
      </w:r>
    </w:p>
    <w:p w14:paraId="08C5611B" w14:textId="77777777" w:rsidR="002F4D61" w:rsidRDefault="00B03222">
      <w:pPr>
        <w:pStyle w:val="ListParagraph"/>
        <w:numPr>
          <w:ilvl w:val="1"/>
          <w:numId w:val="19"/>
        </w:numPr>
        <w:spacing w:afterLines="50" w:after="120"/>
        <w:ind w:leftChars="0"/>
        <w:jc w:val="both"/>
        <w:rPr>
          <w:b/>
          <w:bCs/>
          <w:szCs w:val="24"/>
          <w:lang w:val="en-US"/>
        </w:rPr>
      </w:pPr>
      <w:r>
        <w:rPr>
          <w:b/>
          <w:bCs/>
          <w:szCs w:val="21"/>
          <w:lang w:val="en-US"/>
        </w:rPr>
        <w:t>Option 2: type of FGs 1-1 and 1-2 are per band</w:t>
      </w:r>
    </w:p>
    <w:p w14:paraId="172AFD30" w14:textId="77777777" w:rsidR="002F4D61" w:rsidRDefault="00B03222">
      <w:pPr>
        <w:pStyle w:val="ListParagraph"/>
        <w:numPr>
          <w:ilvl w:val="1"/>
          <w:numId w:val="19"/>
        </w:numPr>
        <w:spacing w:afterLines="50" w:after="120"/>
        <w:ind w:leftChars="0"/>
        <w:jc w:val="both"/>
        <w:rPr>
          <w:b/>
          <w:bCs/>
          <w:szCs w:val="24"/>
          <w:lang w:val="en-US"/>
        </w:rPr>
      </w:pPr>
      <w:r>
        <w:rPr>
          <w:b/>
          <w:bCs/>
          <w:szCs w:val="21"/>
          <w:lang w:val="en-US"/>
        </w:rPr>
        <w:t>Option 3: Ask RAN2/RAN4 to decide the type of FGs 1-1 and 1-2</w:t>
      </w:r>
    </w:p>
    <w:tbl>
      <w:tblPr>
        <w:tblStyle w:val="TableGrid"/>
        <w:tblW w:w="5000" w:type="pct"/>
        <w:tblLook w:val="04A0" w:firstRow="1" w:lastRow="0" w:firstColumn="1" w:lastColumn="0" w:noHBand="0" w:noVBand="1"/>
      </w:tblPr>
      <w:tblGrid>
        <w:gridCol w:w="2265"/>
        <w:gridCol w:w="20118"/>
      </w:tblGrid>
      <w:tr w:rsidR="002F4D61" w14:paraId="62DBF375" w14:textId="77777777">
        <w:tc>
          <w:tcPr>
            <w:tcW w:w="506" w:type="pct"/>
            <w:shd w:val="clear" w:color="auto" w:fill="F2F2F2" w:themeFill="background1" w:themeFillShade="F2"/>
          </w:tcPr>
          <w:p w14:paraId="673FCCA3" w14:textId="77777777" w:rsidR="002F4D61" w:rsidRDefault="00B0322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9A7DE2" w14:textId="77777777" w:rsidR="002F4D61" w:rsidRDefault="00B03222">
            <w:pPr>
              <w:spacing w:afterLines="50" w:after="120"/>
              <w:jc w:val="both"/>
              <w:rPr>
                <w:szCs w:val="21"/>
                <w:lang w:val="en-US"/>
              </w:rPr>
            </w:pPr>
            <w:r>
              <w:rPr>
                <w:rFonts w:hint="eastAsia"/>
                <w:szCs w:val="21"/>
                <w:lang w:val="en-US"/>
              </w:rPr>
              <w:t>C</w:t>
            </w:r>
            <w:r>
              <w:rPr>
                <w:szCs w:val="21"/>
                <w:lang w:val="en-US"/>
              </w:rPr>
              <w:t>omment</w:t>
            </w:r>
          </w:p>
        </w:tc>
      </w:tr>
      <w:tr w:rsidR="002F4D61" w14:paraId="6E17E6A0" w14:textId="77777777">
        <w:tc>
          <w:tcPr>
            <w:tcW w:w="506" w:type="pct"/>
          </w:tcPr>
          <w:p w14:paraId="2B17BDBA" w14:textId="77777777" w:rsidR="002F4D61" w:rsidRDefault="00B03222">
            <w:pPr>
              <w:spacing w:after="180"/>
              <w:jc w:val="both"/>
              <w:rPr>
                <w:szCs w:val="21"/>
                <w:lang w:val="en-US"/>
              </w:rPr>
            </w:pPr>
            <w:r>
              <w:rPr>
                <w:rFonts w:hint="eastAsia"/>
                <w:szCs w:val="21"/>
                <w:lang w:val="en-US"/>
              </w:rPr>
              <w:t>M</w:t>
            </w:r>
            <w:r>
              <w:rPr>
                <w:szCs w:val="21"/>
                <w:lang w:val="en-US"/>
              </w:rPr>
              <w:t>oderator</w:t>
            </w:r>
          </w:p>
        </w:tc>
        <w:tc>
          <w:tcPr>
            <w:tcW w:w="4494" w:type="pct"/>
          </w:tcPr>
          <w:p w14:paraId="48D64377" w14:textId="77777777" w:rsidR="002F4D61" w:rsidRDefault="00B03222">
            <w:pPr>
              <w:spacing w:after="180"/>
              <w:rPr>
                <w:szCs w:val="21"/>
                <w:lang w:val="en-US"/>
              </w:rPr>
            </w:pPr>
            <w:r>
              <w:rPr>
                <w:rFonts w:hint="eastAsia"/>
                <w:szCs w:val="21"/>
                <w:lang w:val="en-US"/>
              </w:rPr>
              <w:t>S</w:t>
            </w:r>
            <w:r>
              <w:rPr>
                <w:szCs w:val="21"/>
                <w:lang w:val="en-US"/>
              </w:rPr>
              <w:t>ummary of companies view</w:t>
            </w:r>
          </w:p>
          <w:p w14:paraId="5EE6FD3A" w14:textId="77777777" w:rsidR="002F4D61" w:rsidRDefault="00B03222">
            <w:pPr>
              <w:pStyle w:val="ListParagraph"/>
              <w:numPr>
                <w:ilvl w:val="0"/>
                <w:numId w:val="20"/>
              </w:numPr>
              <w:spacing w:after="180"/>
              <w:ind w:leftChars="0"/>
              <w:rPr>
                <w:szCs w:val="21"/>
                <w:lang w:val="en-US"/>
              </w:rPr>
            </w:pPr>
            <w:r>
              <w:rPr>
                <w:rFonts w:hint="eastAsia"/>
                <w:szCs w:val="21"/>
                <w:lang w:val="en-US"/>
              </w:rPr>
              <w:t>O</w:t>
            </w:r>
            <w:r>
              <w:rPr>
                <w:szCs w:val="21"/>
                <w:lang w:val="en-US"/>
              </w:rPr>
              <w:t>ption 1: HW/</w:t>
            </w:r>
            <w:proofErr w:type="spellStart"/>
            <w:r>
              <w:rPr>
                <w:szCs w:val="21"/>
                <w:lang w:val="en-US"/>
              </w:rPr>
              <w:t>HiSi</w:t>
            </w:r>
            <w:proofErr w:type="spellEnd"/>
            <w:r>
              <w:rPr>
                <w:szCs w:val="21"/>
                <w:lang w:val="en-US"/>
              </w:rPr>
              <w:t>, ZTE, Nokia/NSB, DOCOMO</w:t>
            </w:r>
          </w:p>
          <w:p w14:paraId="5E8D8178" w14:textId="77777777" w:rsidR="002F4D61" w:rsidRDefault="00B03222">
            <w:pPr>
              <w:pStyle w:val="ListParagraph"/>
              <w:numPr>
                <w:ilvl w:val="1"/>
                <w:numId w:val="20"/>
              </w:numPr>
              <w:spacing w:after="180"/>
              <w:ind w:leftChars="0"/>
              <w:rPr>
                <w:szCs w:val="21"/>
                <w:lang w:val="en-US"/>
              </w:rPr>
            </w:pPr>
            <w:r>
              <w:rPr>
                <w:rFonts w:hint="eastAsia"/>
                <w:szCs w:val="21"/>
                <w:lang w:val="en-US"/>
              </w:rPr>
              <w:t>O</w:t>
            </w:r>
            <w:r>
              <w:rPr>
                <w:szCs w:val="21"/>
                <w:lang w:val="en-US"/>
              </w:rPr>
              <w:t>ption 1-1: HW/</w:t>
            </w:r>
            <w:proofErr w:type="spellStart"/>
            <w:r>
              <w:rPr>
                <w:szCs w:val="21"/>
                <w:lang w:val="en-US"/>
              </w:rPr>
              <w:t>HiSi</w:t>
            </w:r>
            <w:proofErr w:type="spellEnd"/>
          </w:p>
          <w:p w14:paraId="75ACCBE8" w14:textId="77777777" w:rsidR="002F4D61" w:rsidRDefault="00B03222">
            <w:pPr>
              <w:pStyle w:val="ListParagraph"/>
              <w:numPr>
                <w:ilvl w:val="1"/>
                <w:numId w:val="20"/>
              </w:numPr>
              <w:spacing w:after="180"/>
              <w:ind w:leftChars="0"/>
              <w:rPr>
                <w:szCs w:val="21"/>
                <w:lang w:val="en-US"/>
              </w:rPr>
            </w:pPr>
            <w:r>
              <w:rPr>
                <w:rFonts w:hint="eastAsia"/>
                <w:szCs w:val="21"/>
                <w:lang w:val="en-US"/>
              </w:rPr>
              <w:t>O</w:t>
            </w:r>
            <w:r>
              <w:rPr>
                <w:szCs w:val="21"/>
                <w:lang w:val="en-US"/>
              </w:rPr>
              <w:t>ption 1-2: DOCOMO</w:t>
            </w:r>
          </w:p>
          <w:p w14:paraId="01177208" w14:textId="77777777" w:rsidR="002F4D61" w:rsidRDefault="00B03222">
            <w:pPr>
              <w:pStyle w:val="ListParagraph"/>
              <w:numPr>
                <w:ilvl w:val="1"/>
                <w:numId w:val="20"/>
              </w:numPr>
              <w:spacing w:after="180"/>
              <w:ind w:leftChars="0"/>
              <w:rPr>
                <w:szCs w:val="21"/>
                <w:lang w:val="en-US"/>
              </w:rPr>
            </w:pPr>
            <w:r>
              <w:rPr>
                <w:rFonts w:hint="eastAsia"/>
                <w:szCs w:val="21"/>
                <w:lang w:val="en-US"/>
              </w:rPr>
              <w:t>O</w:t>
            </w:r>
            <w:r>
              <w:rPr>
                <w:szCs w:val="21"/>
                <w:lang w:val="en-US"/>
              </w:rPr>
              <w:t>ption 1-3: ZTE</w:t>
            </w:r>
          </w:p>
          <w:p w14:paraId="7B7E3C00" w14:textId="77777777" w:rsidR="002F4D61" w:rsidRDefault="00B03222">
            <w:pPr>
              <w:pStyle w:val="ListParagraph"/>
              <w:numPr>
                <w:ilvl w:val="1"/>
                <w:numId w:val="20"/>
              </w:numPr>
              <w:spacing w:after="180"/>
              <w:ind w:leftChars="0"/>
              <w:rPr>
                <w:szCs w:val="21"/>
                <w:lang w:val="en-US"/>
              </w:rPr>
            </w:pPr>
            <w:r>
              <w:rPr>
                <w:rFonts w:hint="eastAsia"/>
                <w:szCs w:val="21"/>
                <w:lang w:val="en-US"/>
              </w:rPr>
              <w:t>O</w:t>
            </w:r>
            <w:r>
              <w:rPr>
                <w:szCs w:val="21"/>
                <w:lang w:val="en-US"/>
              </w:rPr>
              <w:t>ption 1-4: E///</w:t>
            </w:r>
          </w:p>
          <w:p w14:paraId="34D0B474" w14:textId="77777777" w:rsidR="002F4D61" w:rsidRDefault="00B03222">
            <w:pPr>
              <w:pStyle w:val="ListParagraph"/>
              <w:numPr>
                <w:ilvl w:val="0"/>
                <w:numId w:val="20"/>
              </w:numPr>
              <w:spacing w:after="180"/>
              <w:ind w:leftChars="0"/>
              <w:rPr>
                <w:szCs w:val="21"/>
                <w:lang w:val="en-US"/>
              </w:rPr>
            </w:pPr>
            <w:r>
              <w:rPr>
                <w:rFonts w:hint="eastAsia"/>
                <w:szCs w:val="21"/>
                <w:lang w:val="en-US"/>
              </w:rPr>
              <w:t>O</w:t>
            </w:r>
            <w:r>
              <w:rPr>
                <w:szCs w:val="21"/>
                <w:lang w:val="en-US"/>
              </w:rPr>
              <w:t>ption 2: QC</w:t>
            </w:r>
          </w:p>
          <w:p w14:paraId="45A78D19" w14:textId="77777777" w:rsidR="002F4D61" w:rsidRDefault="00B03222">
            <w:pPr>
              <w:pStyle w:val="ListParagraph"/>
              <w:numPr>
                <w:ilvl w:val="0"/>
                <w:numId w:val="20"/>
              </w:numPr>
              <w:spacing w:after="180"/>
              <w:ind w:leftChars="0"/>
              <w:rPr>
                <w:szCs w:val="21"/>
                <w:lang w:val="en-US"/>
              </w:rPr>
            </w:pPr>
            <w:r>
              <w:rPr>
                <w:rFonts w:hint="eastAsia"/>
                <w:szCs w:val="21"/>
                <w:lang w:val="en-US"/>
              </w:rPr>
              <w:lastRenderedPageBreak/>
              <w:t>O</w:t>
            </w:r>
            <w:r>
              <w:rPr>
                <w:szCs w:val="21"/>
                <w:lang w:val="en-US"/>
              </w:rPr>
              <w:t>ption 3: DOCOMO, E///</w:t>
            </w:r>
          </w:p>
          <w:p w14:paraId="47DCD272" w14:textId="77777777" w:rsidR="002F4D61" w:rsidRDefault="002F4D61">
            <w:pPr>
              <w:spacing w:after="180"/>
              <w:rPr>
                <w:szCs w:val="21"/>
                <w:lang w:val="en-US"/>
              </w:rPr>
            </w:pPr>
          </w:p>
          <w:p w14:paraId="7D823B7F" w14:textId="77777777" w:rsidR="002F4D61" w:rsidRDefault="00B03222">
            <w:pPr>
              <w:spacing w:after="180"/>
              <w:rPr>
                <w:szCs w:val="21"/>
                <w:lang w:val="en-US"/>
              </w:rPr>
            </w:pPr>
            <w:r>
              <w:rPr>
                <w:rFonts w:hint="eastAsia"/>
                <w:szCs w:val="21"/>
                <w:lang w:val="en-US"/>
              </w:rPr>
              <w:t>At</w:t>
            </w:r>
            <w:r>
              <w:rPr>
                <w:szCs w:val="21"/>
                <w:lang w:val="en-US"/>
              </w:rPr>
              <w:t xml:space="preserve"> RAN1#107-e, this issue was discussed together with other FGs 1-3 and </w:t>
            </w:r>
            <w:proofErr w:type="gramStart"/>
            <w:r>
              <w:rPr>
                <w:szCs w:val="21"/>
                <w:lang w:val="en-US"/>
              </w:rPr>
              <w:t>1-4</w:t>
            </w:r>
            <w:proofErr w:type="gramEnd"/>
            <w:r>
              <w:rPr>
                <w:szCs w:val="21"/>
                <w:lang w:val="en-US"/>
              </w:rPr>
              <w:t xml:space="preserve"> but no consensus was achieved. During the discussion, most companies showed their flexibility to accept Option 3 for FGs 1-1 and 1-2, and it seemed stable that type of FGs 1-3 and 1-4 are per UE. Companies are invited to provide view whether you can live with Option 3 for FGs 1-1 and 1-2.</w:t>
            </w:r>
          </w:p>
          <w:p w14:paraId="08318069" w14:textId="77777777" w:rsidR="002F4D61" w:rsidRDefault="00B03222">
            <w:pPr>
              <w:spacing w:after="180"/>
              <w:rPr>
                <w:szCs w:val="21"/>
                <w:lang w:val="en-US"/>
              </w:rPr>
            </w:pPr>
            <w:r>
              <w:rPr>
                <w:szCs w:val="21"/>
                <w:lang w:val="en-US"/>
              </w:rPr>
              <w:t>Also, Companies are invited to provide view whether to support FGs 1-1 and 1-2 for TDD bands.</w:t>
            </w:r>
          </w:p>
        </w:tc>
      </w:tr>
      <w:tr w:rsidR="002F4D61" w14:paraId="6BFD3AF9" w14:textId="77777777">
        <w:tc>
          <w:tcPr>
            <w:tcW w:w="506" w:type="pct"/>
          </w:tcPr>
          <w:p w14:paraId="25F787F4" w14:textId="77777777" w:rsidR="002F4D61" w:rsidRDefault="00B03222">
            <w:pPr>
              <w:spacing w:after="180"/>
              <w:jc w:val="both"/>
              <w:rPr>
                <w:szCs w:val="21"/>
                <w:lang w:val="en-US"/>
              </w:rPr>
            </w:pPr>
            <w:r>
              <w:rPr>
                <w:szCs w:val="21"/>
                <w:lang w:val="en-US"/>
              </w:rPr>
              <w:lastRenderedPageBreak/>
              <w:t>Ericsson</w:t>
            </w:r>
          </w:p>
        </w:tc>
        <w:tc>
          <w:tcPr>
            <w:tcW w:w="4494" w:type="pct"/>
          </w:tcPr>
          <w:p w14:paraId="242770FC" w14:textId="77777777" w:rsidR="002F4D61" w:rsidRDefault="00B03222">
            <w:pPr>
              <w:spacing w:after="180"/>
              <w:rPr>
                <w:szCs w:val="21"/>
                <w:lang w:val="en-US"/>
              </w:rPr>
            </w:pPr>
            <w:r>
              <w:rPr>
                <w:szCs w:val="21"/>
                <w:lang w:val="en-US"/>
              </w:rPr>
              <w:t>We think it would be better to decouple the open issue on the “Type” from the open issue on the “TDD support”. The reason is that even if the type were per band, for supporting TDD operation there are other technical aspects (rate matching design, UE demodulation requirements, BS conformance test) that would need to be addressed for supporting FGs 1-1 and 1-2 in TDD operation.</w:t>
            </w:r>
          </w:p>
          <w:p w14:paraId="1826491E" w14:textId="77777777" w:rsidR="002F4D61" w:rsidRDefault="00B03222">
            <w:pPr>
              <w:spacing w:after="180"/>
              <w:rPr>
                <w:szCs w:val="21"/>
                <w:lang w:val="en-US"/>
              </w:rPr>
            </w:pPr>
            <w:r>
              <w:rPr>
                <w:szCs w:val="21"/>
                <w:lang w:val="en-US"/>
              </w:rPr>
              <w:t>Having said that:</w:t>
            </w:r>
          </w:p>
          <w:p w14:paraId="0FCFC803" w14:textId="77777777" w:rsidR="002F4D61" w:rsidRDefault="00B03222">
            <w:pPr>
              <w:spacing w:after="180"/>
              <w:rPr>
                <w:szCs w:val="21"/>
                <w:lang w:val="en-US"/>
              </w:rPr>
            </w:pPr>
            <w:r>
              <w:rPr>
                <w:szCs w:val="21"/>
                <w:lang w:val="en-US"/>
              </w:rPr>
              <w:t>On the “TDD support”, our first preference is “</w:t>
            </w:r>
            <w:r>
              <w:rPr>
                <w:rFonts w:hint="eastAsia"/>
                <w:b/>
              </w:rPr>
              <w:t>O</w:t>
            </w:r>
            <w:r>
              <w:rPr>
                <w:b/>
              </w:rPr>
              <w:t xml:space="preserve">ption 1-4: </w:t>
            </w:r>
            <w:r>
              <w:rPr>
                <w:b/>
                <w:bCs/>
                <w:szCs w:val="21"/>
                <w:lang w:val="en-US"/>
              </w:rPr>
              <w:t>FGs 1-1 and 1-2 are supported for FDD only</w:t>
            </w:r>
            <w:r>
              <w:rPr>
                <w:szCs w:val="21"/>
                <w:lang w:val="en-US"/>
              </w:rPr>
              <w:t>”</w:t>
            </w:r>
          </w:p>
          <w:p w14:paraId="3138D2D6" w14:textId="77777777" w:rsidR="002F4D61" w:rsidRDefault="00B03222">
            <w:pPr>
              <w:spacing w:after="180"/>
              <w:rPr>
                <w:szCs w:val="21"/>
                <w:lang w:val="en-US"/>
              </w:rPr>
            </w:pPr>
            <w:r>
              <w:rPr>
                <w:szCs w:val="21"/>
                <w:lang w:val="en-US"/>
              </w:rPr>
              <w:t xml:space="preserve">On the “Type” our first preference is to define the “Type: Per UE,” and </w:t>
            </w:r>
            <w:proofErr w:type="spellStart"/>
            <w:r>
              <w:rPr>
                <w:i/>
                <w:iCs/>
                <w:szCs w:val="21"/>
                <w:lang w:val="en-US"/>
              </w:rPr>
              <w:t>iff</w:t>
            </w:r>
            <w:proofErr w:type="spellEnd"/>
            <w:r>
              <w:rPr>
                <w:szCs w:val="21"/>
                <w:lang w:val="en-US"/>
              </w:rPr>
              <w:t xml:space="preserve"> there were reasons outside the terrestrial L1 expertise to do it otherwise we would be open to let working groups with the right expertise to decide (as per option 3).</w:t>
            </w:r>
          </w:p>
        </w:tc>
      </w:tr>
      <w:tr w:rsidR="002F4D61" w14:paraId="5C0AB760" w14:textId="77777777">
        <w:tc>
          <w:tcPr>
            <w:tcW w:w="506" w:type="pct"/>
          </w:tcPr>
          <w:p w14:paraId="6CCC5D7D" w14:textId="77777777" w:rsidR="002F4D61" w:rsidRDefault="00B03222">
            <w:pPr>
              <w:spacing w:after="18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772B6823" w14:textId="77777777" w:rsidR="002F4D61" w:rsidRDefault="00B03222">
            <w:pPr>
              <w:spacing w:after="180"/>
              <w:rPr>
                <w:rFonts w:eastAsia="SimSun"/>
                <w:szCs w:val="21"/>
                <w:lang w:val="en-US" w:eastAsia="zh-CN"/>
              </w:rPr>
            </w:pPr>
            <w:r>
              <w:rPr>
                <w:rFonts w:eastAsia="SimSun" w:hint="eastAsia"/>
                <w:szCs w:val="21"/>
                <w:lang w:val="en-US" w:eastAsia="zh-CN"/>
              </w:rPr>
              <w:t xml:space="preserve">We agree with the suggestion from Ericsson that </w:t>
            </w:r>
            <w:r>
              <w:rPr>
                <w:szCs w:val="21"/>
                <w:lang w:val="en-US"/>
              </w:rPr>
              <w:t xml:space="preserve">the issue on the “Type” </w:t>
            </w:r>
            <w:r>
              <w:rPr>
                <w:rFonts w:eastAsia="SimSun" w:hint="eastAsia"/>
                <w:szCs w:val="21"/>
                <w:lang w:val="en-US" w:eastAsia="zh-CN"/>
              </w:rPr>
              <w:t>and</w:t>
            </w:r>
            <w:r>
              <w:rPr>
                <w:szCs w:val="21"/>
                <w:lang w:val="en-US"/>
              </w:rPr>
              <w:t xml:space="preserve"> </w:t>
            </w:r>
            <w:r>
              <w:rPr>
                <w:rFonts w:eastAsia="SimSun" w:hint="eastAsia"/>
                <w:szCs w:val="21"/>
                <w:lang w:val="en-US" w:eastAsia="zh-CN"/>
              </w:rPr>
              <w:t xml:space="preserve">issue </w:t>
            </w:r>
            <w:r>
              <w:rPr>
                <w:szCs w:val="21"/>
                <w:lang w:val="en-US"/>
              </w:rPr>
              <w:t>on the “TDD support”</w:t>
            </w:r>
            <w:r>
              <w:rPr>
                <w:rFonts w:eastAsia="SimSun" w:hint="eastAsia"/>
                <w:szCs w:val="21"/>
                <w:lang w:val="en-US" w:eastAsia="zh-CN"/>
              </w:rPr>
              <w:t xml:space="preserve"> can be </w:t>
            </w:r>
            <w:r>
              <w:rPr>
                <w:szCs w:val="21"/>
                <w:lang w:val="en-US"/>
              </w:rPr>
              <w:t>decouple</w:t>
            </w:r>
            <w:r>
              <w:rPr>
                <w:rFonts w:eastAsia="SimSun" w:hint="eastAsia"/>
                <w:szCs w:val="21"/>
                <w:lang w:val="en-US" w:eastAsia="zh-CN"/>
              </w:rPr>
              <w:t>d.</w:t>
            </w:r>
          </w:p>
          <w:p w14:paraId="5746FDED" w14:textId="77777777" w:rsidR="002F4D61" w:rsidRDefault="00B03222">
            <w:pPr>
              <w:spacing w:after="180"/>
              <w:rPr>
                <w:rFonts w:eastAsia="SimSun"/>
                <w:szCs w:val="21"/>
                <w:lang w:val="en-US" w:eastAsia="zh-CN"/>
              </w:rPr>
            </w:pPr>
            <w:r>
              <w:rPr>
                <w:rFonts w:eastAsia="SimSun" w:hint="eastAsia"/>
                <w:szCs w:val="21"/>
                <w:lang w:val="en-US" w:eastAsia="zh-CN"/>
              </w:rPr>
              <w:t>For type of FGs 1-1 and 1-2, we support Per UE.</w:t>
            </w:r>
          </w:p>
          <w:p w14:paraId="598846A3" w14:textId="77777777" w:rsidR="002F4D61" w:rsidRDefault="00B03222">
            <w:pPr>
              <w:spacing w:after="180"/>
              <w:rPr>
                <w:rFonts w:eastAsia="SimSun"/>
                <w:szCs w:val="21"/>
                <w:lang w:val="en-US" w:eastAsia="zh-CN"/>
              </w:rPr>
            </w:pPr>
            <w:r>
              <w:rPr>
                <w:rFonts w:eastAsia="SimSun" w:hint="eastAsia"/>
                <w:szCs w:val="21"/>
                <w:lang w:val="en-US" w:eastAsia="zh-CN"/>
              </w:rPr>
              <w:t>For TDD support issue</w:t>
            </w:r>
            <w:proofErr w:type="gramStart"/>
            <w:r>
              <w:rPr>
                <w:rFonts w:eastAsia="SimSun" w:hint="eastAsia"/>
                <w:szCs w:val="21"/>
                <w:lang w:val="en-US" w:eastAsia="zh-CN"/>
              </w:rPr>
              <w:t>, actually, if</w:t>
            </w:r>
            <w:proofErr w:type="gramEnd"/>
            <w:r>
              <w:rPr>
                <w:rFonts w:eastAsia="SimSun" w:hint="eastAsia"/>
                <w:szCs w:val="21"/>
                <w:lang w:val="en-US" w:eastAsia="zh-CN"/>
              </w:rPr>
              <w:t xml:space="preserve"> TDD is supported, we are failed to find the Rel-17 16-QAM specific RAN1 aspects.</w:t>
            </w:r>
          </w:p>
        </w:tc>
      </w:tr>
      <w:tr w:rsidR="00A21D76" w14:paraId="221C26DD" w14:textId="77777777">
        <w:tc>
          <w:tcPr>
            <w:tcW w:w="506" w:type="pct"/>
          </w:tcPr>
          <w:p w14:paraId="691C0DAB" w14:textId="4CC01B8B" w:rsidR="00A21D76" w:rsidRDefault="00A21D76">
            <w:pPr>
              <w:spacing w:after="180"/>
              <w:jc w:val="both"/>
              <w:rPr>
                <w:rFonts w:eastAsia="SimSun"/>
                <w:szCs w:val="21"/>
                <w:lang w:val="en-US" w:eastAsia="zh-CN"/>
              </w:rPr>
            </w:pPr>
            <w:r>
              <w:rPr>
                <w:rFonts w:eastAsia="SimSun"/>
                <w:szCs w:val="21"/>
                <w:lang w:val="en-US" w:eastAsia="zh-CN"/>
              </w:rPr>
              <w:t>Ericsson v004</w:t>
            </w:r>
          </w:p>
        </w:tc>
        <w:tc>
          <w:tcPr>
            <w:tcW w:w="4494" w:type="pct"/>
          </w:tcPr>
          <w:p w14:paraId="74682DF0" w14:textId="58E62834" w:rsidR="00A21D76" w:rsidRPr="009938AE" w:rsidRDefault="00A21D76" w:rsidP="00A21D76">
            <w:pPr>
              <w:spacing w:after="180"/>
              <w:rPr>
                <w:rFonts w:eastAsia="SimSun"/>
                <w:szCs w:val="21"/>
                <w:lang w:val="en-US" w:eastAsia="zh-CN"/>
              </w:rPr>
            </w:pPr>
            <w:r>
              <w:rPr>
                <w:rFonts w:eastAsia="SimSun"/>
                <w:szCs w:val="21"/>
                <w:lang w:val="en-US" w:eastAsia="zh-CN"/>
              </w:rPr>
              <w:t>To ZTE: On the comment “</w:t>
            </w:r>
            <w:r w:rsidRPr="009938AE">
              <w:rPr>
                <w:rFonts w:eastAsia="SimSun" w:hint="eastAsia"/>
                <w:i/>
                <w:iCs/>
                <w:szCs w:val="21"/>
                <w:lang w:val="en-US" w:eastAsia="zh-CN"/>
              </w:rPr>
              <w:t>actually, if TDD is supported, we are failed to find the Rel-17 16-QAM specific RAN1 aspects</w:t>
            </w:r>
            <w:r>
              <w:rPr>
                <w:rFonts w:eastAsia="SimSun"/>
                <w:szCs w:val="21"/>
                <w:lang w:val="en-US" w:eastAsia="zh-CN"/>
              </w:rPr>
              <w:t>”. T</w:t>
            </w:r>
            <w:r w:rsidR="00D46AC6">
              <w:rPr>
                <w:rFonts w:eastAsia="SimSun"/>
                <w:szCs w:val="21"/>
                <w:lang w:val="en-US" w:eastAsia="zh-CN"/>
              </w:rPr>
              <w:t>o make it clear, t</w:t>
            </w:r>
            <w:r>
              <w:rPr>
                <w:rFonts w:eastAsia="SimSun"/>
                <w:szCs w:val="21"/>
                <w:lang w:val="en-US" w:eastAsia="zh-CN"/>
              </w:rPr>
              <w:t xml:space="preserve">he </w:t>
            </w:r>
            <w:r w:rsidRPr="009938AE">
              <w:rPr>
                <w:rFonts w:eastAsia="SimSun"/>
                <w:szCs w:val="21"/>
                <w:lang w:val="en-US" w:eastAsia="zh-CN"/>
              </w:rPr>
              <w:t xml:space="preserve">RAN1 impact from supporting 16-QAM for TDD NB-IoT </w:t>
            </w:r>
            <w:r>
              <w:rPr>
                <w:rFonts w:eastAsia="SimSun"/>
                <w:szCs w:val="21"/>
                <w:lang w:val="en-US" w:eastAsia="zh-CN"/>
              </w:rPr>
              <w:t>is</w:t>
            </w:r>
            <w:r w:rsidRPr="009938AE">
              <w:rPr>
                <w:rFonts w:eastAsia="SimSun"/>
                <w:szCs w:val="21"/>
                <w:lang w:val="en-US" w:eastAsia="zh-CN"/>
              </w:rPr>
              <w:t>:</w:t>
            </w:r>
          </w:p>
          <w:p w14:paraId="5BB741B4" w14:textId="2B0DC3A3" w:rsidR="00A21D76" w:rsidRPr="006B0280" w:rsidRDefault="00A21D76" w:rsidP="006B0280">
            <w:pPr>
              <w:pStyle w:val="ListParagraph"/>
              <w:numPr>
                <w:ilvl w:val="0"/>
                <w:numId w:val="23"/>
              </w:numPr>
              <w:spacing w:after="180"/>
              <w:ind w:leftChars="0"/>
              <w:rPr>
                <w:rFonts w:eastAsia="SimSun"/>
                <w:szCs w:val="21"/>
                <w:lang w:val="en-US" w:eastAsia="zh-CN"/>
              </w:rPr>
            </w:pPr>
            <w:r w:rsidRPr="006B0280">
              <w:rPr>
                <w:rFonts w:eastAsia="SimSun"/>
                <w:szCs w:val="21"/>
                <w:lang w:val="en-US" w:eastAsia="zh-CN"/>
              </w:rPr>
              <w:t xml:space="preserve">In legacy TDD NB-IoT, NPDSCH can be transmitted on </w:t>
            </w:r>
            <w:proofErr w:type="spellStart"/>
            <w:r w:rsidRPr="006B0280">
              <w:rPr>
                <w:rFonts w:eastAsia="SimSun"/>
                <w:szCs w:val="21"/>
                <w:lang w:val="en-US" w:eastAsia="zh-CN"/>
              </w:rPr>
              <w:t>DwPTS</w:t>
            </w:r>
            <w:proofErr w:type="spellEnd"/>
            <w:r w:rsidRPr="006B0280">
              <w:rPr>
                <w:rFonts w:eastAsia="SimSun"/>
                <w:szCs w:val="21"/>
                <w:lang w:val="en-US" w:eastAsia="zh-CN"/>
              </w:rPr>
              <w:t>.</w:t>
            </w:r>
          </w:p>
          <w:p w14:paraId="2060776D" w14:textId="6F96228C" w:rsidR="00A21D76" w:rsidRPr="006B0280" w:rsidRDefault="00A21D76" w:rsidP="006B0280">
            <w:pPr>
              <w:pStyle w:val="ListParagraph"/>
              <w:numPr>
                <w:ilvl w:val="0"/>
                <w:numId w:val="23"/>
              </w:numPr>
              <w:spacing w:after="180"/>
              <w:ind w:leftChars="0"/>
              <w:rPr>
                <w:rFonts w:eastAsia="SimSun"/>
                <w:szCs w:val="21"/>
                <w:lang w:val="en-US" w:eastAsia="zh-CN"/>
              </w:rPr>
            </w:pPr>
            <w:r w:rsidRPr="006B0280">
              <w:rPr>
                <w:rFonts w:eastAsia="SimSun"/>
                <w:szCs w:val="21"/>
                <w:lang w:val="en-US" w:eastAsia="zh-CN"/>
              </w:rPr>
              <w:t>For NPDSCH without repetition, rate matching is used for the Resource Element (RE) mapping into the special subframe.</w:t>
            </w:r>
          </w:p>
          <w:p w14:paraId="2FD24CB1" w14:textId="4FE123CF" w:rsidR="00A21D76" w:rsidRPr="006B0280" w:rsidRDefault="00A21D76" w:rsidP="006B0280">
            <w:pPr>
              <w:pStyle w:val="ListParagraph"/>
              <w:numPr>
                <w:ilvl w:val="0"/>
                <w:numId w:val="23"/>
              </w:numPr>
              <w:spacing w:after="180"/>
              <w:ind w:leftChars="0"/>
              <w:rPr>
                <w:rFonts w:eastAsia="SimSun"/>
                <w:szCs w:val="21"/>
                <w:lang w:val="en-US" w:eastAsia="zh-CN"/>
              </w:rPr>
            </w:pPr>
            <w:r w:rsidRPr="006B0280">
              <w:rPr>
                <w:rFonts w:eastAsia="SimSun"/>
                <w:szCs w:val="21"/>
                <w:lang w:val="en-US" w:eastAsia="zh-CN"/>
              </w:rPr>
              <w:t>The RE mapping on special subframes including rate matching aspects would have to be discussed for supporting 16-QAM in TDD NB-IoT.</w:t>
            </w:r>
          </w:p>
          <w:p w14:paraId="74455008" w14:textId="31D4EFB4" w:rsidR="00A21D76" w:rsidRDefault="00A21D76" w:rsidP="00A21D76">
            <w:pPr>
              <w:spacing w:after="180"/>
              <w:rPr>
                <w:rFonts w:eastAsia="SimSun"/>
                <w:szCs w:val="21"/>
                <w:lang w:val="en-US" w:eastAsia="zh-CN"/>
              </w:rPr>
            </w:pPr>
            <w:r>
              <w:rPr>
                <w:rFonts w:eastAsia="SimSun"/>
                <w:szCs w:val="21"/>
                <w:lang w:val="en-US" w:eastAsia="zh-CN"/>
              </w:rPr>
              <w:t>On top of that, we have pointed out the impacts in RAN4 (</w:t>
            </w:r>
            <w:r>
              <w:rPr>
                <w:szCs w:val="21"/>
                <w:lang w:val="en-US"/>
              </w:rPr>
              <w:t>UE demodulation requirements and BS conformance test</w:t>
            </w:r>
            <w:r>
              <w:rPr>
                <w:rFonts w:eastAsia="SimSun"/>
                <w:szCs w:val="21"/>
                <w:lang w:val="en-US" w:eastAsia="zh-CN"/>
              </w:rPr>
              <w:t>).</w:t>
            </w:r>
          </w:p>
        </w:tc>
      </w:tr>
      <w:tr w:rsidR="00C959EB" w14:paraId="67E2916B" w14:textId="77777777">
        <w:tc>
          <w:tcPr>
            <w:tcW w:w="506" w:type="pct"/>
          </w:tcPr>
          <w:p w14:paraId="5697BE23" w14:textId="6B647157" w:rsidR="00C959EB" w:rsidRPr="00C959EB" w:rsidRDefault="00C959EB">
            <w:pPr>
              <w:spacing w:after="18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024071E" w14:textId="77777777" w:rsidR="00C959EB" w:rsidRDefault="00C959EB" w:rsidP="00A21D76">
            <w:pPr>
              <w:spacing w:after="180"/>
              <w:rPr>
                <w:rFonts w:eastAsiaTheme="minorEastAsia"/>
                <w:szCs w:val="21"/>
                <w:lang w:val="en-US"/>
              </w:rPr>
            </w:pPr>
            <w:r>
              <w:rPr>
                <w:rFonts w:eastAsiaTheme="minorEastAsia" w:hint="eastAsia"/>
                <w:szCs w:val="21"/>
                <w:lang w:val="en-US"/>
              </w:rPr>
              <w:t>W</w:t>
            </w:r>
            <w:r>
              <w:rPr>
                <w:rFonts w:eastAsiaTheme="minorEastAsia"/>
                <w:szCs w:val="21"/>
                <w:lang w:val="en-US"/>
              </w:rPr>
              <w:t>e are also fine to decouple the issue on the type and the issue on the TDD support.</w:t>
            </w:r>
          </w:p>
          <w:p w14:paraId="166AC3B8" w14:textId="77777777" w:rsidR="00C959EB" w:rsidRDefault="00C959EB" w:rsidP="00A21D76">
            <w:pPr>
              <w:spacing w:after="180"/>
              <w:rPr>
                <w:rFonts w:eastAsiaTheme="minorEastAsia"/>
                <w:szCs w:val="21"/>
                <w:lang w:val="en-US"/>
              </w:rPr>
            </w:pPr>
            <w:r>
              <w:rPr>
                <w:rFonts w:eastAsiaTheme="minorEastAsia" w:hint="eastAsia"/>
                <w:szCs w:val="21"/>
                <w:lang w:val="en-US"/>
              </w:rPr>
              <w:t>R</w:t>
            </w:r>
            <w:r>
              <w:rPr>
                <w:rFonts w:eastAsiaTheme="minorEastAsia"/>
                <w:szCs w:val="21"/>
                <w:lang w:val="en-US"/>
              </w:rPr>
              <w:t xml:space="preserve">egarding the type, our first preference is Option 1 i.e., per-UE, but given some concern from RF impact perspective, we are also fine with Option 3 i.e., </w:t>
            </w:r>
            <w:r w:rsidRPr="00C959EB">
              <w:rPr>
                <w:rFonts w:eastAsiaTheme="minorEastAsia"/>
                <w:szCs w:val="21"/>
                <w:lang w:val="en-US"/>
              </w:rPr>
              <w:t>Ask RAN2/RAN4 to decide the type of FGs 1-1 and 1-2</w:t>
            </w:r>
            <w:r>
              <w:rPr>
                <w:rFonts w:eastAsiaTheme="minorEastAsia"/>
                <w:szCs w:val="21"/>
                <w:lang w:val="en-US"/>
              </w:rPr>
              <w:t>.</w:t>
            </w:r>
          </w:p>
          <w:p w14:paraId="16662693" w14:textId="30E5D708" w:rsidR="00C959EB" w:rsidRPr="00C959EB" w:rsidRDefault="00C959EB" w:rsidP="00A21D76">
            <w:pPr>
              <w:spacing w:after="180"/>
              <w:rPr>
                <w:rFonts w:eastAsiaTheme="minorEastAsia"/>
                <w:szCs w:val="21"/>
                <w:lang w:val="en-US"/>
              </w:rPr>
            </w:pPr>
            <w:r>
              <w:rPr>
                <w:rFonts w:eastAsiaTheme="minorEastAsia" w:hint="eastAsia"/>
                <w:szCs w:val="21"/>
                <w:lang w:val="en-US"/>
              </w:rPr>
              <w:t>R</w:t>
            </w:r>
            <w:r>
              <w:rPr>
                <w:rFonts w:eastAsiaTheme="minorEastAsia"/>
                <w:szCs w:val="21"/>
                <w:lang w:val="en-US"/>
              </w:rPr>
              <w:t>egarding the TDD support, based on comments/contributions from Ericsson and ZTE, we understand the issue to support this feature for TDD and hence we would be fine to support this feature for FDD only (Option 1-4), but it would be appropriate that such decision is made in the maintenance agenda.</w:t>
            </w:r>
          </w:p>
        </w:tc>
      </w:tr>
      <w:tr w:rsidR="004B2843" w14:paraId="708BAB8E" w14:textId="77777777">
        <w:tc>
          <w:tcPr>
            <w:tcW w:w="506" w:type="pct"/>
          </w:tcPr>
          <w:p w14:paraId="0A00EB0B" w14:textId="06A715D1" w:rsidR="004B2843" w:rsidRDefault="004B2843">
            <w:pPr>
              <w:spacing w:after="180"/>
              <w:jc w:val="both"/>
              <w:rPr>
                <w:rFonts w:eastAsiaTheme="minorEastAsia"/>
                <w:szCs w:val="21"/>
                <w:lang w:val="en-US"/>
              </w:rPr>
            </w:pPr>
            <w:r>
              <w:rPr>
                <w:rFonts w:eastAsiaTheme="minorEastAsia"/>
                <w:szCs w:val="21"/>
                <w:lang w:val="en-US"/>
              </w:rPr>
              <w:t>Qualcomm</w:t>
            </w:r>
          </w:p>
        </w:tc>
        <w:tc>
          <w:tcPr>
            <w:tcW w:w="4494" w:type="pct"/>
          </w:tcPr>
          <w:p w14:paraId="6045CB0D" w14:textId="77B773C7" w:rsidR="004B2843" w:rsidRDefault="004B2843" w:rsidP="00A21D76">
            <w:pPr>
              <w:spacing w:after="180"/>
              <w:rPr>
                <w:rFonts w:eastAsiaTheme="minorEastAsia"/>
                <w:szCs w:val="21"/>
                <w:lang w:val="en-US"/>
              </w:rPr>
            </w:pPr>
            <w:r>
              <w:rPr>
                <w:rFonts w:eastAsiaTheme="minorEastAsia"/>
                <w:szCs w:val="21"/>
                <w:lang w:val="en-US"/>
              </w:rPr>
              <w:t>Our first preference is per-band. We would also be OK with not supporting the feature for TDD (but still the feature would be per band).</w:t>
            </w:r>
          </w:p>
        </w:tc>
      </w:tr>
      <w:tr w:rsidR="002F2EAC" w14:paraId="2CE5584E" w14:textId="77777777">
        <w:tc>
          <w:tcPr>
            <w:tcW w:w="506" w:type="pct"/>
          </w:tcPr>
          <w:p w14:paraId="1D5E442B" w14:textId="75797B21" w:rsidR="002F2EAC" w:rsidRDefault="002F2EAC">
            <w:pPr>
              <w:spacing w:after="180"/>
              <w:jc w:val="both"/>
              <w:rPr>
                <w:rFonts w:eastAsiaTheme="minorEastAsia"/>
                <w:szCs w:val="21"/>
                <w:lang w:val="en-US"/>
              </w:rPr>
            </w:pPr>
            <w:r>
              <w:rPr>
                <w:rFonts w:eastAsiaTheme="minorEastAsia" w:hint="eastAsia"/>
                <w:szCs w:val="21"/>
                <w:lang w:val="en-US"/>
              </w:rPr>
              <w:t xml:space="preserve">Huawei, </w:t>
            </w:r>
            <w:proofErr w:type="spellStart"/>
            <w:r>
              <w:rPr>
                <w:rFonts w:eastAsiaTheme="minorEastAsia" w:hint="eastAsia"/>
                <w:szCs w:val="21"/>
                <w:lang w:val="en-US"/>
              </w:rPr>
              <w:t>HiSilicon</w:t>
            </w:r>
            <w:proofErr w:type="spellEnd"/>
          </w:p>
        </w:tc>
        <w:tc>
          <w:tcPr>
            <w:tcW w:w="4494" w:type="pct"/>
          </w:tcPr>
          <w:p w14:paraId="4469E0E4" w14:textId="4BA3E481" w:rsidR="002F2EAC" w:rsidRDefault="002F2EAC" w:rsidP="002F2EAC">
            <w:pPr>
              <w:spacing w:after="180"/>
              <w:rPr>
                <w:rFonts w:eastAsiaTheme="minorEastAsia"/>
                <w:szCs w:val="21"/>
                <w:lang w:val="en-US"/>
              </w:rPr>
            </w:pPr>
            <w:r>
              <w:rPr>
                <w:rFonts w:eastAsiaTheme="minorEastAsia"/>
                <w:szCs w:val="21"/>
                <w:lang w:val="en-US"/>
              </w:rPr>
              <w:t>By decoupling the questions, for reporting type, we prefer per-UE. For TDD/FDD differentiation, we didn’t see any problem to support TDD with those listed by Ericsson. The three aspects are identical for NPUSCH with or without 16-QAM. On the RAN4 impact, anyway Ran4 would need to specify the performance test, we don’t see any problem to support both TDD and FDD.</w:t>
            </w:r>
          </w:p>
        </w:tc>
      </w:tr>
      <w:tr w:rsidR="00CA0BF9" w14:paraId="6DF38986" w14:textId="77777777">
        <w:tc>
          <w:tcPr>
            <w:tcW w:w="506" w:type="pct"/>
          </w:tcPr>
          <w:p w14:paraId="7D787DEE" w14:textId="0A231F60" w:rsidR="00CA0BF9" w:rsidRDefault="00CA0BF9">
            <w:pPr>
              <w:spacing w:after="180"/>
              <w:jc w:val="both"/>
              <w:rPr>
                <w:rFonts w:eastAsiaTheme="minorEastAsia" w:hint="eastAsia"/>
                <w:szCs w:val="21"/>
                <w:lang w:val="en-US"/>
              </w:rPr>
            </w:pPr>
            <w:r>
              <w:rPr>
                <w:rFonts w:eastAsiaTheme="minorEastAsia"/>
                <w:szCs w:val="21"/>
                <w:lang w:val="en-US"/>
              </w:rPr>
              <w:t>Ericsson v008</w:t>
            </w:r>
          </w:p>
        </w:tc>
        <w:tc>
          <w:tcPr>
            <w:tcW w:w="4494" w:type="pct"/>
          </w:tcPr>
          <w:p w14:paraId="746ED269" w14:textId="77777777" w:rsidR="00373526" w:rsidRDefault="00CA0BF9" w:rsidP="002F2EAC">
            <w:pPr>
              <w:spacing w:after="180"/>
              <w:rPr>
                <w:rFonts w:eastAsiaTheme="minorEastAsia"/>
                <w:szCs w:val="21"/>
                <w:lang w:val="en-US"/>
              </w:rPr>
            </w:pPr>
            <w:r>
              <w:rPr>
                <w:rFonts w:eastAsiaTheme="minorEastAsia"/>
                <w:szCs w:val="21"/>
                <w:lang w:val="en-US"/>
              </w:rPr>
              <w:t xml:space="preserve">To Huawei: </w:t>
            </w:r>
          </w:p>
          <w:p w14:paraId="12840654" w14:textId="48AAAF75" w:rsidR="006F545D" w:rsidRDefault="00CA0BF9" w:rsidP="002F2EAC">
            <w:pPr>
              <w:spacing w:after="180"/>
              <w:rPr>
                <w:rFonts w:eastAsiaTheme="minorEastAsia"/>
                <w:szCs w:val="21"/>
                <w:lang w:val="en-US"/>
              </w:rPr>
            </w:pPr>
            <w:r>
              <w:rPr>
                <w:rFonts w:eastAsiaTheme="minorEastAsia"/>
                <w:szCs w:val="21"/>
                <w:lang w:val="en-US"/>
              </w:rPr>
              <w:t>In relation with the TDD operatio</w:t>
            </w:r>
            <w:r w:rsidR="004A19E8">
              <w:rPr>
                <w:rFonts w:eastAsiaTheme="minorEastAsia"/>
                <w:szCs w:val="21"/>
                <w:lang w:val="en-US"/>
              </w:rPr>
              <w:t>n and the identified RAN1 impact</w:t>
            </w:r>
            <w:r>
              <w:rPr>
                <w:rFonts w:eastAsiaTheme="minorEastAsia"/>
                <w:szCs w:val="21"/>
                <w:lang w:val="en-US"/>
              </w:rPr>
              <w:t xml:space="preserve"> you commented “</w:t>
            </w:r>
            <w:r w:rsidRPr="00CA0BF9">
              <w:rPr>
                <w:rFonts w:eastAsiaTheme="minorEastAsia"/>
                <w:i/>
                <w:iCs/>
                <w:szCs w:val="21"/>
                <w:lang w:val="en-US"/>
              </w:rPr>
              <w:t>The three aspects are identical for NPUSCH with or without 16-QAM</w:t>
            </w:r>
            <w:r>
              <w:rPr>
                <w:rFonts w:eastAsiaTheme="minorEastAsia"/>
                <w:szCs w:val="21"/>
                <w:lang w:val="en-US"/>
              </w:rPr>
              <w:t xml:space="preserve">”. </w:t>
            </w:r>
            <w:r w:rsidR="006F545D">
              <w:rPr>
                <w:rFonts w:eastAsiaTheme="minorEastAsia"/>
                <w:szCs w:val="21"/>
                <w:lang w:val="en-US"/>
              </w:rPr>
              <w:t xml:space="preserve">On that matter, </w:t>
            </w:r>
            <w:r>
              <w:rPr>
                <w:rFonts w:eastAsiaTheme="minorEastAsia"/>
                <w:szCs w:val="21"/>
                <w:lang w:val="en-US"/>
              </w:rPr>
              <w:t>what is no</w:t>
            </w:r>
            <w:r w:rsidR="006F545D">
              <w:rPr>
                <w:rFonts w:eastAsiaTheme="minorEastAsia"/>
                <w:szCs w:val="21"/>
                <w:lang w:val="en-US"/>
              </w:rPr>
              <w:t>t</w:t>
            </w:r>
            <w:r>
              <w:rPr>
                <w:rFonts w:eastAsiaTheme="minorEastAsia"/>
                <w:szCs w:val="21"/>
                <w:lang w:val="en-US"/>
              </w:rPr>
              <w:t xml:space="preserve"> identical </w:t>
            </w:r>
            <w:r w:rsidR="006F545D">
              <w:rPr>
                <w:rFonts w:eastAsiaTheme="minorEastAsia"/>
                <w:szCs w:val="21"/>
                <w:lang w:val="en-US"/>
              </w:rPr>
              <w:t>are</w:t>
            </w:r>
            <w:r>
              <w:rPr>
                <w:rFonts w:eastAsiaTheme="minorEastAsia"/>
                <w:szCs w:val="21"/>
                <w:lang w:val="en-US"/>
              </w:rPr>
              <w:t xml:space="preserve"> the TBS/MCS table</w:t>
            </w:r>
            <w:r w:rsidR="006F545D">
              <w:rPr>
                <w:rFonts w:eastAsiaTheme="minorEastAsia"/>
                <w:szCs w:val="21"/>
                <w:lang w:val="en-US"/>
              </w:rPr>
              <w:t>s</w:t>
            </w:r>
            <w:r>
              <w:rPr>
                <w:rFonts w:eastAsiaTheme="minorEastAsia"/>
                <w:szCs w:val="21"/>
                <w:lang w:val="en-US"/>
              </w:rPr>
              <w:t xml:space="preserve"> for 16-QAM, therefore we need to make t</w:t>
            </w:r>
            <w:r w:rsidR="006F545D">
              <w:rPr>
                <w:rFonts w:eastAsiaTheme="minorEastAsia"/>
                <w:szCs w:val="21"/>
                <w:lang w:val="en-US"/>
              </w:rPr>
              <w:t xml:space="preserve">he rate-matching analysis/design on </w:t>
            </w:r>
            <w:r w:rsidR="00331621">
              <w:rPr>
                <w:rFonts w:eastAsiaTheme="minorEastAsia"/>
                <w:szCs w:val="21"/>
                <w:lang w:val="en-US"/>
              </w:rPr>
              <w:t>each of the applicable</w:t>
            </w:r>
            <w:r w:rsidR="006F545D">
              <w:rPr>
                <w:rFonts w:eastAsiaTheme="minorEastAsia"/>
                <w:szCs w:val="21"/>
                <w:lang w:val="en-US"/>
              </w:rPr>
              <w:t xml:space="preserve"> special subframe configuration</w:t>
            </w:r>
            <w:r w:rsidR="00331621">
              <w:rPr>
                <w:rFonts w:eastAsiaTheme="minorEastAsia"/>
                <w:szCs w:val="21"/>
                <w:lang w:val="en-US"/>
              </w:rPr>
              <w:t>s</w:t>
            </w:r>
            <w:r w:rsidR="006F545D">
              <w:rPr>
                <w:rFonts w:eastAsiaTheme="minorEastAsia"/>
                <w:szCs w:val="21"/>
                <w:lang w:val="en-US"/>
              </w:rPr>
              <w:t xml:space="preserve"> in Table </w:t>
            </w:r>
            <w:r w:rsidR="006F545D" w:rsidRPr="006F545D">
              <w:rPr>
                <w:rFonts w:eastAsiaTheme="minorEastAsia"/>
                <w:szCs w:val="21"/>
                <w:lang w:val="en-US"/>
              </w:rPr>
              <w:t>4.2-1</w:t>
            </w:r>
            <w:r w:rsidR="006F545D">
              <w:rPr>
                <w:rFonts w:eastAsiaTheme="minorEastAsia"/>
                <w:szCs w:val="21"/>
                <w:lang w:val="en-US"/>
              </w:rPr>
              <w:t xml:space="preserve"> of TS 36.211</w:t>
            </w:r>
            <w:r w:rsidR="00331621">
              <w:rPr>
                <w:rFonts w:eastAsiaTheme="minorEastAsia"/>
                <w:szCs w:val="21"/>
                <w:lang w:val="en-US"/>
              </w:rPr>
              <w:t xml:space="preserve"> for all I</w:t>
            </w:r>
            <w:r w:rsidR="00331621" w:rsidRPr="00331621">
              <w:rPr>
                <w:rFonts w:eastAsiaTheme="minorEastAsia"/>
                <w:szCs w:val="21"/>
                <w:vertAlign w:val="subscript"/>
                <w:lang w:val="en-US"/>
              </w:rPr>
              <w:t>TBS</w:t>
            </w:r>
            <w:r w:rsidR="00331621">
              <w:rPr>
                <w:rFonts w:eastAsiaTheme="minorEastAsia"/>
                <w:szCs w:val="21"/>
                <w:lang w:val="en-US"/>
              </w:rPr>
              <w:t>, I</w:t>
            </w:r>
            <w:r w:rsidR="00331621" w:rsidRPr="00331621">
              <w:rPr>
                <w:rFonts w:eastAsiaTheme="minorEastAsia"/>
                <w:szCs w:val="21"/>
                <w:vertAlign w:val="subscript"/>
                <w:lang w:val="en-US"/>
              </w:rPr>
              <w:t>SF</w:t>
            </w:r>
            <w:r w:rsidR="00331621">
              <w:rPr>
                <w:rFonts w:eastAsiaTheme="minorEastAsia"/>
                <w:szCs w:val="21"/>
                <w:lang w:val="en-US"/>
              </w:rPr>
              <w:t xml:space="preserve"> indices, and for the different deployment modes</w:t>
            </w:r>
            <w:r w:rsidR="006F545D">
              <w:rPr>
                <w:rFonts w:eastAsiaTheme="minorEastAsia"/>
                <w:szCs w:val="21"/>
                <w:lang w:val="en-US"/>
              </w:rPr>
              <w:t xml:space="preserve">. </w:t>
            </w:r>
            <w:r w:rsidR="00331621">
              <w:rPr>
                <w:rFonts w:eastAsiaTheme="minorEastAsia"/>
                <w:szCs w:val="21"/>
                <w:lang w:val="en-US"/>
              </w:rPr>
              <w:t>This</w:t>
            </w:r>
            <w:r w:rsidR="006F545D">
              <w:rPr>
                <w:rFonts w:eastAsiaTheme="minorEastAsia"/>
                <w:szCs w:val="21"/>
                <w:lang w:val="en-US"/>
              </w:rPr>
              <w:t xml:space="preserve"> will allow us to identify which transport block sizes are suitable to be transmitted on </w:t>
            </w:r>
            <w:proofErr w:type="spellStart"/>
            <w:r w:rsidR="006F545D">
              <w:rPr>
                <w:rFonts w:eastAsiaTheme="minorEastAsia"/>
                <w:szCs w:val="21"/>
                <w:lang w:val="en-US"/>
              </w:rPr>
              <w:t>DwPTS</w:t>
            </w:r>
            <w:proofErr w:type="spellEnd"/>
            <w:r w:rsidR="006F545D">
              <w:rPr>
                <w:rFonts w:eastAsiaTheme="minorEastAsia"/>
                <w:szCs w:val="21"/>
                <w:lang w:val="en-US"/>
              </w:rPr>
              <w:t xml:space="preserve"> as </w:t>
            </w:r>
            <w:r w:rsidR="006F545D">
              <w:rPr>
                <w:rFonts w:eastAsiaTheme="minorEastAsia"/>
                <w:szCs w:val="21"/>
                <w:lang w:val="en-US"/>
              </w:rPr>
              <w:t>a function of the achievable code rates</w:t>
            </w:r>
            <w:r w:rsidR="00331621">
              <w:rPr>
                <w:rFonts w:eastAsiaTheme="minorEastAsia"/>
                <w:szCs w:val="21"/>
                <w:lang w:val="en-US"/>
              </w:rPr>
              <w:t xml:space="preserve"> obtained in each </w:t>
            </w:r>
            <w:r w:rsidR="004A19E8">
              <w:rPr>
                <w:rFonts w:eastAsiaTheme="minorEastAsia"/>
                <w:szCs w:val="21"/>
                <w:lang w:val="en-US"/>
              </w:rPr>
              <w:t>case</w:t>
            </w:r>
            <w:r w:rsidR="006F545D">
              <w:rPr>
                <w:rFonts w:eastAsiaTheme="minorEastAsia"/>
                <w:szCs w:val="21"/>
                <w:lang w:val="en-US"/>
              </w:rPr>
              <w:t>.</w:t>
            </w:r>
          </w:p>
        </w:tc>
      </w:tr>
    </w:tbl>
    <w:p w14:paraId="2229C7C0" w14:textId="77777777" w:rsidR="002F4D61" w:rsidRDefault="002F4D61">
      <w:pPr>
        <w:spacing w:afterLines="50" w:after="120"/>
        <w:jc w:val="both"/>
        <w:rPr>
          <w:sz w:val="22"/>
        </w:rPr>
      </w:pPr>
    </w:p>
    <w:p w14:paraId="37E0DD7A" w14:textId="77777777" w:rsidR="002F4D61" w:rsidRDefault="002F4D61">
      <w:pPr>
        <w:spacing w:afterLines="50" w:after="120"/>
        <w:jc w:val="both"/>
        <w:rPr>
          <w:sz w:val="22"/>
          <w:lang w:val="en-US"/>
        </w:rPr>
      </w:pPr>
    </w:p>
    <w:p w14:paraId="489D6B29" w14:textId="77777777" w:rsidR="002F4D61" w:rsidRDefault="002F4D61">
      <w:pPr>
        <w:spacing w:afterLines="50" w:after="120"/>
        <w:jc w:val="both"/>
        <w:rPr>
          <w:sz w:val="22"/>
        </w:rPr>
      </w:pPr>
    </w:p>
    <w:p w14:paraId="5A24D591" w14:textId="77777777" w:rsidR="002F4D61" w:rsidRDefault="00B03222">
      <w:pPr>
        <w:pStyle w:val="Heading1"/>
        <w:numPr>
          <w:ilvl w:val="0"/>
          <w:numId w:val="10"/>
        </w:numPr>
        <w:spacing w:before="180" w:after="120"/>
        <w:rPr>
          <w:rFonts w:eastAsia="MS Mincho"/>
          <w:b/>
          <w:bCs/>
          <w:szCs w:val="24"/>
          <w:lang w:val="en-US"/>
        </w:rPr>
      </w:pPr>
      <w:r>
        <w:rPr>
          <w:rFonts w:eastAsia="MS Mincho"/>
          <w:b/>
          <w:bCs/>
          <w:szCs w:val="24"/>
          <w:lang w:val="en-US"/>
        </w:rPr>
        <w:t>1-3: 14 HARQ processes for PDSCH for HD-FDD Cat. M1 UEs</w:t>
      </w:r>
    </w:p>
    <w:p w14:paraId="5221F510" w14:textId="77777777" w:rsidR="002F4D61" w:rsidRDefault="00B03222">
      <w:pPr>
        <w:spacing w:afterLines="50" w:after="120"/>
        <w:jc w:val="both"/>
        <w:rPr>
          <w:sz w:val="22"/>
          <w:lang w:val="en-US"/>
        </w:rPr>
      </w:pPr>
      <w:r>
        <w:rPr>
          <w:rFonts w:hint="eastAsia"/>
          <w:sz w:val="22"/>
          <w:lang w:val="en-US"/>
        </w:rPr>
        <w:t>I</w:t>
      </w:r>
      <w:r>
        <w:rPr>
          <w:sz w:val="22"/>
          <w:lang w:val="en-US"/>
        </w:rPr>
        <w:t>n [1], FG 1-3 is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2F4D61" w14:paraId="3B30CDF9" w14:textId="77777777">
        <w:tc>
          <w:tcPr>
            <w:tcW w:w="2423" w:type="dxa"/>
            <w:tcBorders>
              <w:top w:val="single" w:sz="4" w:space="0" w:color="auto"/>
              <w:left w:val="single" w:sz="4" w:space="0" w:color="auto"/>
              <w:bottom w:val="single" w:sz="4" w:space="0" w:color="auto"/>
              <w:right w:val="single" w:sz="4" w:space="0" w:color="auto"/>
            </w:tcBorders>
          </w:tcPr>
          <w:p w14:paraId="7BC35B66" w14:textId="77777777" w:rsidR="002F4D61" w:rsidRDefault="00B03222">
            <w:pPr>
              <w:pStyle w:val="TAH"/>
            </w:pPr>
            <w:r>
              <w:t>Features</w:t>
            </w:r>
          </w:p>
        </w:tc>
        <w:tc>
          <w:tcPr>
            <w:tcW w:w="701" w:type="dxa"/>
            <w:tcBorders>
              <w:top w:val="single" w:sz="4" w:space="0" w:color="auto"/>
              <w:left w:val="single" w:sz="4" w:space="0" w:color="auto"/>
              <w:bottom w:val="single" w:sz="4" w:space="0" w:color="auto"/>
              <w:right w:val="single" w:sz="4" w:space="0" w:color="auto"/>
            </w:tcBorders>
          </w:tcPr>
          <w:p w14:paraId="10964A2C" w14:textId="77777777" w:rsidR="002F4D61" w:rsidRDefault="00B03222">
            <w:pPr>
              <w:pStyle w:val="TAH"/>
            </w:pPr>
            <w:r>
              <w:t>Index</w:t>
            </w:r>
          </w:p>
        </w:tc>
        <w:tc>
          <w:tcPr>
            <w:tcW w:w="1189" w:type="dxa"/>
            <w:tcBorders>
              <w:top w:val="single" w:sz="4" w:space="0" w:color="auto"/>
              <w:left w:val="single" w:sz="4" w:space="0" w:color="auto"/>
              <w:bottom w:val="single" w:sz="4" w:space="0" w:color="auto"/>
              <w:right w:val="single" w:sz="4" w:space="0" w:color="auto"/>
            </w:tcBorders>
          </w:tcPr>
          <w:p w14:paraId="70A84609" w14:textId="77777777" w:rsidR="002F4D61" w:rsidRDefault="00B03222">
            <w:pPr>
              <w:pStyle w:val="TAH"/>
            </w:pPr>
            <w:r>
              <w:t>Feature group</w:t>
            </w:r>
          </w:p>
        </w:tc>
        <w:tc>
          <w:tcPr>
            <w:tcW w:w="1847" w:type="dxa"/>
            <w:tcBorders>
              <w:top w:val="single" w:sz="4" w:space="0" w:color="auto"/>
              <w:left w:val="single" w:sz="4" w:space="0" w:color="auto"/>
              <w:bottom w:val="single" w:sz="4" w:space="0" w:color="auto"/>
              <w:right w:val="single" w:sz="4" w:space="0" w:color="auto"/>
            </w:tcBorders>
          </w:tcPr>
          <w:p w14:paraId="0293AF20" w14:textId="77777777" w:rsidR="002F4D61" w:rsidRDefault="00B03222">
            <w:pPr>
              <w:pStyle w:val="TAH"/>
            </w:pPr>
            <w:r>
              <w:t>Components</w:t>
            </w:r>
          </w:p>
        </w:tc>
        <w:tc>
          <w:tcPr>
            <w:tcW w:w="1484" w:type="dxa"/>
            <w:tcBorders>
              <w:top w:val="single" w:sz="4" w:space="0" w:color="auto"/>
              <w:left w:val="single" w:sz="4" w:space="0" w:color="auto"/>
              <w:bottom w:val="single" w:sz="4" w:space="0" w:color="auto"/>
              <w:right w:val="single" w:sz="4" w:space="0" w:color="auto"/>
            </w:tcBorders>
          </w:tcPr>
          <w:p w14:paraId="76B208CE" w14:textId="77777777" w:rsidR="002F4D61" w:rsidRDefault="00B03222">
            <w:pPr>
              <w:pStyle w:val="TAH"/>
            </w:pPr>
            <w:r>
              <w:t>Prerequisite feature groups</w:t>
            </w:r>
          </w:p>
        </w:tc>
        <w:tc>
          <w:tcPr>
            <w:tcW w:w="1148" w:type="dxa"/>
            <w:tcBorders>
              <w:top w:val="single" w:sz="4" w:space="0" w:color="auto"/>
              <w:left w:val="single" w:sz="4" w:space="0" w:color="auto"/>
              <w:bottom w:val="single" w:sz="4" w:space="0" w:color="auto"/>
              <w:right w:val="single" w:sz="4" w:space="0" w:color="auto"/>
            </w:tcBorders>
          </w:tcPr>
          <w:p w14:paraId="2708D128" w14:textId="77777777" w:rsidR="002F4D61" w:rsidRDefault="00B03222">
            <w:pPr>
              <w:pStyle w:val="TAH"/>
            </w:pPr>
            <w:r>
              <w:t xml:space="preserve">Need for the </w:t>
            </w:r>
            <w:proofErr w:type="spellStart"/>
            <w:r>
              <w:t>eNB</w:t>
            </w:r>
            <w:proofErr w:type="spellEnd"/>
            <w:r>
              <w:t xml:space="preserve"> to know if the feature is supported</w:t>
            </w:r>
          </w:p>
        </w:tc>
        <w:tc>
          <w:tcPr>
            <w:tcW w:w="1172" w:type="dxa"/>
            <w:tcBorders>
              <w:top w:val="single" w:sz="4" w:space="0" w:color="auto"/>
              <w:left w:val="single" w:sz="4" w:space="0" w:color="auto"/>
              <w:bottom w:val="single" w:sz="4" w:space="0" w:color="auto"/>
              <w:right w:val="single" w:sz="4" w:space="0" w:color="auto"/>
            </w:tcBorders>
          </w:tcPr>
          <w:p w14:paraId="184CC1ED" w14:textId="77777777" w:rsidR="002F4D61" w:rsidRDefault="00B03222">
            <w:pPr>
              <w:pStyle w:val="TAH"/>
            </w:pPr>
            <w:r>
              <w:t xml:space="preserve">[Need for the UE to know if the feature is supported (only for V2X WI, where the PC5-RRC capability signalling is delivered between the </w:t>
            </w:r>
            <w:proofErr w:type="spellStart"/>
            <w:r>
              <w:t>Ues</w:t>
            </w:r>
            <w:proofErr w:type="spellEnd"/>
            <w:r>
              <w:t>)]</w:t>
            </w:r>
          </w:p>
        </w:tc>
        <w:tc>
          <w:tcPr>
            <w:tcW w:w="1516" w:type="dxa"/>
            <w:tcBorders>
              <w:top w:val="single" w:sz="4" w:space="0" w:color="auto"/>
              <w:left w:val="single" w:sz="4" w:space="0" w:color="auto"/>
              <w:bottom w:val="single" w:sz="4" w:space="0" w:color="auto"/>
              <w:right w:val="single" w:sz="4" w:space="0" w:color="auto"/>
            </w:tcBorders>
          </w:tcPr>
          <w:p w14:paraId="53B86522" w14:textId="77777777" w:rsidR="002F4D61" w:rsidRDefault="00B03222">
            <w:pPr>
              <w:pStyle w:val="TAN"/>
              <w:ind w:left="0" w:firstLine="0"/>
              <w:rPr>
                <w:b/>
                <w:lang w:eastAsia="ja-JP"/>
              </w:rPr>
            </w:pPr>
            <w:r>
              <w:rPr>
                <w:b/>
                <w:lang w:eastAsia="ja-JP"/>
              </w:rPr>
              <w:t>Consequence if the feature is not supported by the UE</w:t>
            </w:r>
          </w:p>
        </w:tc>
        <w:tc>
          <w:tcPr>
            <w:tcW w:w="1435" w:type="dxa"/>
            <w:tcBorders>
              <w:top w:val="single" w:sz="4" w:space="0" w:color="auto"/>
              <w:left w:val="single" w:sz="4" w:space="0" w:color="auto"/>
              <w:bottom w:val="single" w:sz="4" w:space="0" w:color="auto"/>
              <w:right w:val="single" w:sz="4" w:space="0" w:color="auto"/>
            </w:tcBorders>
          </w:tcPr>
          <w:p w14:paraId="640CA07E" w14:textId="77777777" w:rsidR="002F4D61" w:rsidRDefault="00B03222">
            <w:pPr>
              <w:pStyle w:val="TAN"/>
              <w:ind w:left="0" w:firstLine="0"/>
              <w:rPr>
                <w:b/>
                <w:lang w:eastAsia="ja-JP"/>
              </w:rPr>
            </w:pPr>
            <w:r>
              <w:rPr>
                <w:b/>
                <w:lang w:eastAsia="ja-JP"/>
              </w:rPr>
              <w:t>Type</w:t>
            </w:r>
          </w:p>
          <w:p w14:paraId="5375E521" w14:textId="77777777" w:rsidR="002F4D61" w:rsidRDefault="00B03222">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6CE3F748" w14:textId="77777777" w:rsidR="002F4D61" w:rsidRDefault="00B03222">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tcPr>
          <w:p w14:paraId="00926C43" w14:textId="77777777" w:rsidR="002F4D61" w:rsidRDefault="00B03222">
            <w:pPr>
              <w:pStyle w:val="TAH"/>
            </w:pPr>
            <w:r>
              <w:t>Capability interpretation for mixture of FDD/TDD</w:t>
            </w:r>
          </w:p>
        </w:tc>
        <w:tc>
          <w:tcPr>
            <w:tcW w:w="4753" w:type="dxa"/>
            <w:tcBorders>
              <w:top w:val="single" w:sz="4" w:space="0" w:color="auto"/>
              <w:left w:val="single" w:sz="4" w:space="0" w:color="auto"/>
              <w:bottom w:val="single" w:sz="4" w:space="0" w:color="auto"/>
              <w:right w:val="single" w:sz="4" w:space="0" w:color="auto"/>
            </w:tcBorders>
          </w:tcPr>
          <w:p w14:paraId="0C4FF76C" w14:textId="77777777" w:rsidR="002F4D61" w:rsidRDefault="00B03222">
            <w:pPr>
              <w:pStyle w:val="TAH"/>
            </w:pPr>
            <w:r>
              <w:t>Note</w:t>
            </w:r>
          </w:p>
        </w:tc>
        <w:tc>
          <w:tcPr>
            <w:tcW w:w="1907" w:type="dxa"/>
            <w:tcBorders>
              <w:top w:val="single" w:sz="4" w:space="0" w:color="auto"/>
              <w:left w:val="single" w:sz="4" w:space="0" w:color="auto"/>
              <w:bottom w:val="single" w:sz="4" w:space="0" w:color="auto"/>
              <w:right w:val="single" w:sz="4" w:space="0" w:color="auto"/>
            </w:tcBorders>
          </w:tcPr>
          <w:p w14:paraId="72D39CBC" w14:textId="77777777" w:rsidR="002F4D61" w:rsidRDefault="00B03222">
            <w:pPr>
              <w:pStyle w:val="TAH"/>
            </w:pPr>
            <w:r>
              <w:t>Mandatory/Optional</w:t>
            </w:r>
          </w:p>
        </w:tc>
      </w:tr>
      <w:tr w:rsidR="002F4D61" w14:paraId="1AC8FB27" w14:textId="77777777">
        <w:tc>
          <w:tcPr>
            <w:tcW w:w="2423" w:type="dxa"/>
            <w:tcBorders>
              <w:top w:val="single" w:sz="4" w:space="0" w:color="auto"/>
              <w:left w:val="single" w:sz="4" w:space="0" w:color="auto"/>
              <w:bottom w:val="single" w:sz="4" w:space="0" w:color="auto"/>
              <w:right w:val="single" w:sz="4" w:space="0" w:color="auto"/>
            </w:tcBorders>
          </w:tcPr>
          <w:p w14:paraId="5A5A9A74" w14:textId="77777777" w:rsidR="002F4D61" w:rsidRDefault="00B03222">
            <w:pPr>
              <w:pStyle w:val="TAL"/>
              <w:spacing w:after="0"/>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1" w:type="dxa"/>
            <w:tcBorders>
              <w:top w:val="single" w:sz="4" w:space="0" w:color="auto"/>
              <w:left w:val="single" w:sz="4" w:space="0" w:color="auto"/>
              <w:bottom w:val="single" w:sz="4" w:space="0" w:color="auto"/>
              <w:right w:val="single" w:sz="4" w:space="0" w:color="auto"/>
            </w:tcBorders>
          </w:tcPr>
          <w:p w14:paraId="60E43B8A" w14:textId="77777777" w:rsidR="002F4D61" w:rsidRDefault="00B03222">
            <w:pPr>
              <w:pStyle w:val="TAL"/>
              <w:spacing w:after="0"/>
              <w:rPr>
                <w:lang w:eastAsia="ja-JP"/>
              </w:rPr>
            </w:pPr>
            <w:r>
              <w:rPr>
                <w:lang w:eastAsia="ja-JP"/>
              </w:rPr>
              <w:t>1-3</w:t>
            </w:r>
          </w:p>
        </w:tc>
        <w:tc>
          <w:tcPr>
            <w:tcW w:w="1189" w:type="dxa"/>
            <w:tcBorders>
              <w:top w:val="single" w:sz="4" w:space="0" w:color="auto"/>
              <w:left w:val="single" w:sz="4" w:space="0" w:color="auto"/>
              <w:bottom w:val="single" w:sz="4" w:space="0" w:color="auto"/>
              <w:right w:val="single" w:sz="4" w:space="0" w:color="auto"/>
            </w:tcBorders>
          </w:tcPr>
          <w:p w14:paraId="2ECD1073" w14:textId="2335147D" w:rsidR="002F4D61" w:rsidRDefault="00B03222">
            <w:pPr>
              <w:pStyle w:val="TAL"/>
              <w:spacing w:after="0"/>
            </w:pPr>
            <w:r>
              <w:t xml:space="preserve">14 HARQ processes for PDSCH for HD-FDD Cat. M1 </w:t>
            </w:r>
            <w:proofErr w:type="spellStart"/>
            <w:r>
              <w:t>U</w:t>
            </w:r>
            <w:r w:rsidR="00C959EB">
              <w:t>e</w:t>
            </w:r>
            <w:r>
              <w:t>s</w:t>
            </w:r>
            <w:proofErr w:type="spellEnd"/>
          </w:p>
        </w:tc>
        <w:tc>
          <w:tcPr>
            <w:tcW w:w="1847" w:type="dxa"/>
            <w:tcBorders>
              <w:top w:val="single" w:sz="4" w:space="0" w:color="auto"/>
              <w:left w:val="single" w:sz="4" w:space="0" w:color="auto"/>
              <w:bottom w:val="single" w:sz="4" w:space="0" w:color="auto"/>
              <w:right w:val="single" w:sz="4" w:space="0" w:color="auto"/>
            </w:tcBorders>
          </w:tcPr>
          <w:p w14:paraId="0BFCD429" w14:textId="77777777" w:rsidR="002F4D61" w:rsidRDefault="00B03222">
            <w:pPr>
              <w:pStyle w:val="TAL"/>
              <w:spacing w:after="0"/>
            </w:pPr>
            <w:r>
              <w:rPr>
                <w:rFonts w:eastAsia="MS Mincho"/>
                <w:lang w:eastAsia="ja-JP"/>
              </w:rPr>
              <w:t>1. Support of 14 DL HARQ processes for unicast in HD-FDD in CE mode A in RRC_CONNECTED</w:t>
            </w:r>
          </w:p>
          <w:p w14:paraId="7D63EE33" w14:textId="77777777" w:rsidR="002F4D61" w:rsidRDefault="00B03222">
            <w:pPr>
              <w:pStyle w:val="TAL"/>
              <w:spacing w:after="0"/>
            </w:pPr>
            <w:r>
              <w:t>2. PDSCH scheduling delay</w:t>
            </w:r>
          </w:p>
          <w:p w14:paraId="7DB61B67" w14:textId="77777777" w:rsidR="002F4D61" w:rsidRDefault="00B03222">
            <w:pPr>
              <w:pStyle w:val="TAL"/>
              <w:spacing w:after="0"/>
            </w:pPr>
            <w:r>
              <w:t>3. HARQ-ACK delay solution with Alt-1 and Alt-2e</w:t>
            </w:r>
          </w:p>
          <w:p w14:paraId="4E462871" w14:textId="77777777" w:rsidR="002F4D61" w:rsidRDefault="002F4D61">
            <w:pPr>
              <w:pStyle w:val="TAL"/>
              <w:spacing w:after="0"/>
            </w:pPr>
          </w:p>
        </w:tc>
        <w:tc>
          <w:tcPr>
            <w:tcW w:w="1484" w:type="dxa"/>
            <w:tcBorders>
              <w:top w:val="single" w:sz="4" w:space="0" w:color="auto"/>
              <w:left w:val="single" w:sz="4" w:space="0" w:color="auto"/>
              <w:bottom w:val="single" w:sz="4" w:space="0" w:color="auto"/>
              <w:right w:val="single" w:sz="4" w:space="0" w:color="auto"/>
            </w:tcBorders>
          </w:tcPr>
          <w:p w14:paraId="748A51C9" w14:textId="77777777" w:rsidR="002F4D61" w:rsidRDefault="00B03222">
            <w:pPr>
              <w:pStyle w:val="TAL"/>
              <w:spacing w:after="0"/>
            </w:pPr>
            <w:r>
              <w:t>1. Category M1</w:t>
            </w:r>
          </w:p>
          <w:p w14:paraId="79708AF2" w14:textId="77777777" w:rsidR="002F4D61" w:rsidRDefault="00B03222">
            <w:pPr>
              <w:pStyle w:val="TAL"/>
              <w:spacing w:after="0"/>
            </w:pPr>
            <w:r>
              <w:t>2. HD-FDD</w:t>
            </w:r>
          </w:p>
          <w:p w14:paraId="6D8F5ABA" w14:textId="77777777" w:rsidR="002F4D61" w:rsidRDefault="002F4D61">
            <w:pPr>
              <w:pStyle w:val="TAL"/>
              <w:spacing w:after="0"/>
            </w:pPr>
          </w:p>
        </w:tc>
        <w:tc>
          <w:tcPr>
            <w:tcW w:w="1148" w:type="dxa"/>
            <w:tcBorders>
              <w:top w:val="single" w:sz="4" w:space="0" w:color="auto"/>
              <w:left w:val="single" w:sz="4" w:space="0" w:color="auto"/>
              <w:bottom w:val="single" w:sz="4" w:space="0" w:color="auto"/>
              <w:right w:val="single" w:sz="4" w:space="0" w:color="auto"/>
            </w:tcBorders>
          </w:tcPr>
          <w:p w14:paraId="2F98724E" w14:textId="77777777" w:rsidR="002F4D61" w:rsidRDefault="00B03222">
            <w:pPr>
              <w:pStyle w:val="TAL"/>
              <w:spacing w:after="0"/>
              <w:rPr>
                <w:rFonts w:eastAsia="MS Mincho"/>
                <w:lang w:eastAsia="ja-JP"/>
              </w:rPr>
            </w:pPr>
            <w:r>
              <w:rPr>
                <w:rFonts w:eastAsia="MS Mincho"/>
                <w:lang w:eastAsia="ja-JP"/>
              </w:rPr>
              <w:t>Yes</w:t>
            </w:r>
          </w:p>
        </w:tc>
        <w:tc>
          <w:tcPr>
            <w:tcW w:w="1172" w:type="dxa"/>
            <w:tcBorders>
              <w:top w:val="single" w:sz="4" w:space="0" w:color="auto"/>
              <w:left w:val="single" w:sz="4" w:space="0" w:color="auto"/>
              <w:bottom w:val="single" w:sz="4" w:space="0" w:color="auto"/>
              <w:right w:val="single" w:sz="4" w:space="0" w:color="auto"/>
            </w:tcBorders>
          </w:tcPr>
          <w:p w14:paraId="0665E0FF" w14:textId="77777777" w:rsidR="002F4D61" w:rsidRDefault="00B03222">
            <w:pPr>
              <w:pStyle w:val="TAL"/>
              <w:spacing w:after="0"/>
              <w:rPr>
                <w:rFonts w:eastAsia="MS Mincho"/>
                <w:lang w:eastAsia="ja-JP"/>
              </w:rPr>
            </w:pPr>
            <w:r>
              <w:rPr>
                <w:rFonts w:eastAsia="MS Mincho"/>
                <w:lang w:eastAsia="ja-JP"/>
              </w:rPr>
              <w:t>N/A</w:t>
            </w:r>
          </w:p>
        </w:tc>
        <w:tc>
          <w:tcPr>
            <w:tcW w:w="1516" w:type="dxa"/>
            <w:tcBorders>
              <w:top w:val="single" w:sz="4" w:space="0" w:color="auto"/>
              <w:left w:val="single" w:sz="4" w:space="0" w:color="auto"/>
              <w:bottom w:val="single" w:sz="4" w:space="0" w:color="auto"/>
              <w:right w:val="single" w:sz="4" w:space="0" w:color="auto"/>
            </w:tcBorders>
          </w:tcPr>
          <w:p w14:paraId="0D755521" w14:textId="77777777" w:rsidR="002F4D61" w:rsidRDefault="00B03222">
            <w:pPr>
              <w:pStyle w:val="TAL"/>
              <w:spacing w:after="0"/>
              <w:rPr>
                <w:rFonts w:eastAsia="MS Mincho"/>
                <w:lang w:eastAsia="ja-JP"/>
              </w:rPr>
            </w:pPr>
            <w:r>
              <w:rPr>
                <w:rFonts w:eastAsia="MS Mincho"/>
                <w:lang w:eastAsia="ja-JP"/>
              </w:rPr>
              <w:t>The network cannot enable 14 HARQ processes for the UE</w:t>
            </w:r>
          </w:p>
        </w:tc>
        <w:tc>
          <w:tcPr>
            <w:tcW w:w="1435" w:type="dxa"/>
            <w:tcBorders>
              <w:top w:val="single" w:sz="4" w:space="0" w:color="auto"/>
              <w:left w:val="single" w:sz="4" w:space="0" w:color="auto"/>
              <w:bottom w:val="single" w:sz="4" w:space="0" w:color="auto"/>
              <w:right w:val="single" w:sz="4" w:space="0" w:color="auto"/>
            </w:tcBorders>
            <w:shd w:val="clear" w:color="auto" w:fill="FFFF00"/>
          </w:tcPr>
          <w:p w14:paraId="694F9932" w14:textId="77777777" w:rsidR="002F4D61" w:rsidRDefault="00B03222">
            <w:pPr>
              <w:pStyle w:val="TAL"/>
              <w:spacing w:after="0"/>
              <w:rPr>
                <w:lang w:eastAsia="ja-JP"/>
              </w:rPr>
            </w:pPr>
            <w:r>
              <w:rPr>
                <w:lang w:eastAsia="ja-JP"/>
              </w:rPr>
              <w:t>Per UE</w:t>
            </w:r>
          </w:p>
        </w:tc>
        <w:tc>
          <w:tcPr>
            <w:tcW w:w="1416" w:type="dxa"/>
            <w:tcBorders>
              <w:top w:val="single" w:sz="4" w:space="0" w:color="auto"/>
              <w:left w:val="single" w:sz="4" w:space="0" w:color="auto"/>
              <w:bottom w:val="single" w:sz="4" w:space="0" w:color="auto"/>
              <w:right w:val="single" w:sz="4" w:space="0" w:color="auto"/>
            </w:tcBorders>
          </w:tcPr>
          <w:p w14:paraId="2DB4F493" w14:textId="77777777" w:rsidR="002F4D61" w:rsidRDefault="00B03222">
            <w:pPr>
              <w:pStyle w:val="TAL"/>
              <w:spacing w:after="0"/>
              <w:rPr>
                <w:rFonts w:eastAsia="MS Mincho"/>
                <w:lang w:eastAsia="ja-JP"/>
              </w:rPr>
            </w:pPr>
            <w:r>
              <w:rPr>
                <w:rFonts w:eastAsia="MS Mincho"/>
                <w:lang w:eastAsia="ja-JP"/>
              </w:rPr>
              <w:t>FDD only</w:t>
            </w:r>
          </w:p>
        </w:tc>
        <w:tc>
          <w:tcPr>
            <w:tcW w:w="1389" w:type="dxa"/>
            <w:tcBorders>
              <w:top w:val="single" w:sz="4" w:space="0" w:color="auto"/>
              <w:left w:val="single" w:sz="4" w:space="0" w:color="auto"/>
              <w:bottom w:val="single" w:sz="4" w:space="0" w:color="auto"/>
              <w:right w:val="single" w:sz="4" w:space="0" w:color="auto"/>
            </w:tcBorders>
          </w:tcPr>
          <w:p w14:paraId="121763FA" w14:textId="77777777" w:rsidR="002F4D61" w:rsidRDefault="00B03222">
            <w:pPr>
              <w:pStyle w:val="TAL"/>
              <w:spacing w:after="0"/>
              <w:rPr>
                <w:rFonts w:eastAsia="MS Mincho"/>
                <w:lang w:eastAsia="ja-JP"/>
              </w:rPr>
            </w:pPr>
            <w:r>
              <w:rPr>
                <w:rFonts w:eastAsia="MS Mincho"/>
                <w:lang w:eastAsia="ja-JP"/>
              </w:rPr>
              <w:t>N/A</w:t>
            </w:r>
          </w:p>
        </w:tc>
        <w:tc>
          <w:tcPr>
            <w:tcW w:w="4753" w:type="dxa"/>
            <w:tcBorders>
              <w:top w:val="single" w:sz="4" w:space="0" w:color="auto"/>
              <w:left w:val="single" w:sz="4" w:space="0" w:color="auto"/>
              <w:bottom w:val="single" w:sz="4" w:space="0" w:color="auto"/>
              <w:right w:val="single" w:sz="4" w:space="0" w:color="auto"/>
            </w:tcBorders>
            <w:shd w:val="clear" w:color="auto" w:fill="auto"/>
          </w:tcPr>
          <w:p w14:paraId="2663269E" w14:textId="77777777" w:rsidR="002F4D61" w:rsidRDefault="00B03222">
            <w:pPr>
              <w:pStyle w:val="TAL"/>
              <w:keepLines w:val="0"/>
              <w:numPr>
                <w:ilvl w:val="0"/>
                <w:numId w:val="21"/>
              </w:numPr>
              <w:spacing w:after="0" w:line="240" w:lineRule="auto"/>
              <w:rPr>
                <w:rFonts w:eastAsia="Times New Roman"/>
                <w:sz w:val="20"/>
                <w:lang w:val="en-US"/>
              </w:rPr>
            </w:pPr>
            <w:r>
              <w:t>PDSCH scheduling delay:</w:t>
            </w:r>
          </w:p>
          <w:p w14:paraId="44CD4919" w14:textId="77777777" w:rsidR="002F4D61" w:rsidRDefault="00B03222">
            <w:pPr>
              <w:pStyle w:val="TAL"/>
              <w:keepLines w:val="0"/>
              <w:numPr>
                <w:ilvl w:val="1"/>
                <w:numId w:val="21"/>
              </w:numPr>
              <w:spacing w:after="0" w:line="240" w:lineRule="auto"/>
            </w:pPr>
            <w:r>
              <w:t>2 BL/CE DL subframes.</w:t>
            </w:r>
          </w:p>
          <w:p w14:paraId="127A2BC9" w14:textId="77777777" w:rsidR="002F4D61" w:rsidRDefault="00B03222">
            <w:pPr>
              <w:pStyle w:val="TAL"/>
              <w:keepLines w:val="0"/>
              <w:numPr>
                <w:ilvl w:val="1"/>
                <w:numId w:val="21"/>
              </w:numPr>
              <w:spacing w:after="0" w:line="240" w:lineRule="auto"/>
            </w:pPr>
            <w:r>
              <w:t>1 BL/CE DL subframe + 1 subframe + 3 BL/CE UL subframes + 1 subframe + 1 BL/CE DL subframe.</w:t>
            </w:r>
          </w:p>
          <w:p w14:paraId="73EE807A" w14:textId="77777777" w:rsidR="002F4D61" w:rsidRDefault="00B03222">
            <w:pPr>
              <w:pStyle w:val="TAL"/>
              <w:keepLines w:val="0"/>
              <w:numPr>
                <w:ilvl w:val="1"/>
                <w:numId w:val="21"/>
              </w:numPr>
              <w:spacing w:after="0" w:line="240" w:lineRule="auto"/>
            </w:pPr>
            <w:r>
              <w:t>1 subframe + 3 BL/CE UL subframes + 1 subframe + 2 BL/CE DL subframes.</w:t>
            </w:r>
          </w:p>
          <w:p w14:paraId="1FC3CCF2" w14:textId="77777777" w:rsidR="002F4D61" w:rsidRDefault="00B03222">
            <w:pPr>
              <w:pStyle w:val="TAL"/>
              <w:keepLines w:val="0"/>
              <w:numPr>
                <w:ilvl w:val="0"/>
                <w:numId w:val="21"/>
              </w:numPr>
              <w:spacing w:after="0" w:line="240" w:lineRule="auto"/>
            </w:pPr>
            <w:r>
              <w:t>HARQ-ACK delay:</w:t>
            </w:r>
          </w:p>
          <w:p w14:paraId="359A26DF" w14:textId="77777777" w:rsidR="002F4D61" w:rsidRDefault="00B03222">
            <w:pPr>
              <w:pStyle w:val="TAL"/>
              <w:keepLines w:val="0"/>
              <w:numPr>
                <w:ilvl w:val="1"/>
                <w:numId w:val="21"/>
              </w:numPr>
              <w:spacing w:after="0" w:line="240" w:lineRule="auto"/>
            </w:pPr>
            <w:r>
              <w:t>Alt-1: The HARQ-ACK delay is determined through an expression consisting of different subframe types (Using a similar principle as the PDSCH scheduling delay).</w:t>
            </w:r>
          </w:p>
          <w:p w14:paraId="75D2135F" w14:textId="77777777" w:rsidR="002F4D61" w:rsidRDefault="00B03222">
            <w:pPr>
              <w:pStyle w:val="TAL"/>
              <w:keepLines w:val="0"/>
              <w:numPr>
                <w:ilvl w:val="1"/>
                <w:numId w:val="21"/>
              </w:numPr>
              <w:spacing w:after="0" w:line="240" w:lineRule="auto"/>
            </w:pPr>
            <w:r>
              <w:t>Alt-2e: The HARQ-ACK delay is determined following the legacy approach. That is, the “HARQ-ACK delay” is kept expressed in terms of “absolute subframes”.</w:t>
            </w:r>
          </w:p>
          <w:p w14:paraId="173E25F7" w14:textId="77777777" w:rsidR="002F4D61" w:rsidRDefault="00B03222">
            <w:pPr>
              <w:pStyle w:val="TAL"/>
              <w:keepLines w:val="0"/>
              <w:numPr>
                <w:ilvl w:val="1"/>
                <w:numId w:val="21"/>
              </w:numPr>
              <w:spacing w:after="0"/>
            </w:pPr>
            <w:r>
              <w:t>For component 3, UE reports one of {Alt-1, Alt-1 and Alt-2e}</w:t>
            </w:r>
          </w:p>
        </w:tc>
        <w:tc>
          <w:tcPr>
            <w:tcW w:w="1907" w:type="dxa"/>
            <w:tcBorders>
              <w:top w:val="single" w:sz="4" w:space="0" w:color="auto"/>
              <w:left w:val="single" w:sz="4" w:space="0" w:color="auto"/>
              <w:bottom w:val="single" w:sz="4" w:space="0" w:color="auto"/>
              <w:right w:val="single" w:sz="4" w:space="0" w:color="auto"/>
            </w:tcBorders>
          </w:tcPr>
          <w:p w14:paraId="46433159" w14:textId="77777777" w:rsidR="002F4D61" w:rsidRDefault="00B03222">
            <w:pPr>
              <w:pStyle w:val="TAL"/>
              <w:spacing w:after="0"/>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bl>
    <w:p w14:paraId="2B57B626" w14:textId="77777777" w:rsidR="002F4D61" w:rsidRDefault="002F4D61">
      <w:pPr>
        <w:spacing w:afterLines="50" w:after="120"/>
        <w:jc w:val="both"/>
        <w:rPr>
          <w:sz w:val="22"/>
          <w:lang w:val="en-US"/>
        </w:rPr>
      </w:pPr>
    </w:p>
    <w:p w14:paraId="5EF3A55F" w14:textId="77777777" w:rsidR="002F4D61" w:rsidRDefault="00B0322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21"/>
        <w:gridCol w:w="1831"/>
        <w:gridCol w:w="19931"/>
      </w:tblGrid>
      <w:tr w:rsidR="002F4D61" w14:paraId="49E64917" w14:textId="77777777">
        <w:tc>
          <w:tcPr>
            <w:tcW w:w="621" w:type="dxa"/>
          </w:tcPr>
          <w:p w14:paraId="441C17FC" w14:textId="77777777" w:rsidR="002F4D61" w:rsidRDefault="00B03222">
            <w:pPr>
              <w:spacing w:after="180"/>
              <w:jc w:val="both"/>
              <w:rPr>
                <w:rFonts w:eastAsia="MS Mincho"/>
                <w:sz w:val="22"/>
              </w:rPr>
            </w:pPr>
            <w:r>
              <w:rPr>
                <w:rFonts w:eastAsia="MS Mincho" w:hint="eastAsia"/>
                <w:sz w:val="22"/>
              </w:rPr>
              <w:t>[</w:t>
            </w:r>
            <w:r>
              <w:rPr>
                <w:rFonts w:eastAsia="MS Mincho"/>
                <w:sz w:val="22"/>
              </w:rPr>
              <w:t>2]</w:t>
            </w:r>
          </w:p>
        </w:tc>
        <w:tc>
          <w:tcPr>
            <w:tcW w:w="1831" w:type="dxa"/>
          </w:tcPr>
          <w:p w14:paraId="04D0FCA9" w14:textId="77777777" w:rsidR="002F4D61" w:rsidRDefault="00B03222">
            <w:pPr>
              <w:spacing w:after="18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19931" w:type="dxa"/>
          </w:tcPr>
          <w:p w14:paraId="60799843" w14:textId="73BA54FE" w:rsidR="002F4D61" w:rsidRDefault="00B03222">
            <w:pPr>
              <w:rPr>
                <w:lang w:eastAsia="zh-CN"/>
              </w:rPr>
            </w:pPr>
            <w:r>
              <w:rPr>
                <w:lang w:eastAsia="zh-CN"/>
              </w:rPr>
              <w:t xml:space="preserve">One remaining issue is whether reporting types of FGs 1-1, 1-2, 1-3 and 1-4 are per UE or per band. As from RAN1 point of view, there’s no problem in supporting the reporting types as per UE. In addition, regarding the large </w:t>
            </w:r>
            <w:r w:rsidR="008D43FB">
              <w:rPr>
                <w:lang w:eastAsia="zh-CN"/>
              </w:rPr>
              <w:pgNum/>
            </w:r>
            <w:proofErr w:type="spellStart"/>
            <w:r w:rsidR="008D43FB">
              <w:rPr>
                <w:lang w:eastAsia="zh-CN"/>
              </w:rPr>
              <w:t>ignalling</w:t>
            </w:r>
            <w:proofErr w:type="spellEnd"/>
            <w:r>
              <w:rPr>
                <w:lang w:eastAsia="zh-CN"/>
              </w:rPr>
              <w:t xml:space="preserve"> overhead, reporting type of per UE is preferred.</w:t>
            </w:r>
          </w:p>
          <w:p w14:paraId="33D33D60" w14:textId="77777777" w:rsidR="002F4D61" w:rsidRDefault="00B03222">
            <w:pPr>
              <w:spacing w:after="180"/>
              <w:rPr>
                <w:lang w:eastAsia="zh-CN"/>
              </w:rPr>
            </w:pPr>
            <w:r>
              <w:rPr>
                <w:b/>
                <w:lang w:eastAsia="zh-CN"/>
              </w:rPr>
              <w:t>Proposal 2: The reporting type of FGs 1-1, 1-2, 1-3 and 1-4 is per UE.</w:t>
            </w:r>
          </w:p>
        </w:tc>
      </w:tr>
      <w:tr w:rsidR="002F4D61" w14:paraId="563C13A5" w14:textId="77777777">
        <w:tc>
          <w:tcPr>
            <w:tcW w:w="621" w:type="dxa"/>
          </w:tcPr>
          <w:p w14:paraId="228EE08F" w14:textId="77777777" w:rsidR="002F4D61" w:rsidRDefault="00B03222">
            <w:pPr>
              <w:spacing w:after="180"/>
              <w:jc w:val="both"/>
              <w:rPr>
                <w:rFonts w:eastAsia="MS Mincho"/>
                <w:sz w:val="22"/>
              </w:rPr>
            </w:pPr>
            <w:r>
              <w:rPr>
                <w:rFonts w:eastAsia="MS Mincho" w:hint="eastAsia"/>
                <w:sz w:val="22"/>
              </w:rPr>
              <w:t>[</w:t>
            </w:r>
            <w:r>
              <w:rPr>
                <w:rFonts w:eastAsia="MS Mincho"/>
                <w:sz w:val="22"/>
              </w:rPr>
              <w:t>3]</w:t>
            </w:r>
          </w:p>
        </w:tc>
        <w:tc>
          <w:tcPr>
            <w:tcW w:w="1831" w:type="dxa"/>
          </w:tcPr>
          <w:p w14:paraId="5E498253" w14:textId="77777777" w:rsidR="002F4D61" w:rsidRDefault="00B03222">
            <w:pPr>
              <w:spacing w:after="18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19931" w:type="dxa"/>
          </w:tcPr>
          <w:p w14:paraId="451982B8" w14:textId="77777777" w:rsidR="002F4D61" w:rsidRDefault="00B03222">
            <w:pPr>
              <w:spacing w:before="120"/>
              <w:rPr>
                <w:rFonts w:eastAsia="SimSun"/>
                <w:b/>
                <w:u w:val="single"/>
                <w:lang w:eastAsia="zh-CN"/>
              </w:rPr>
            </w:pPr>
            <w:r>
              <w:rPr>
                <w:rFonts w:eastAsia="SimSun" w:hint="eastAsia"/>
                <w:b/>
                <w:u w:val="single"/>
                <w:lang w:eastAsia="zh-CN"/>
              </w:rPr>
              <w:t>Per UE or P</w:t>
            </w:r>
            <w:r>
              <w:rPr>
                <w:rFonts w:eastAsia="SimSun"/>
                <w:b/>
                <w:u w:val="single"/>
                <w:lang w:eastAsia="zh-CN"/>
              </w:rPr>
              <w:t>er band</w:t>
            </w:r>
          </w:p>
          <w:p w14:paraId="7EB89B24" w14:textId="77777777" w:rsidR="002F4D61" w:rsidRDefault="00B03222">
            <w:pPr>
              <w:spacing w:before="120"/>
            </w:pPr>
            <w:r>
              <w:rPr>
                <w:rFonts w:eastAsia="SimSun"/>
                <w:lang w:eastAsia="zh-CN"/>
              </w:rPr>
              <w:t>For type of FGs 1-1, 1-2, 1-3 and 1-4, whether they are per UE reported or per band reported has been initially discussed in last meeting. For 16-QAM (FGs 1-1 and 1-2), some contributions mentioned</w:t>
            </w:r>
            <w:r>
              <w:t xml:space="preserve"> 1-1 and 1-2 have RF impact (Tx and Rx EVM), so it makes sense to have these per band. However, in practice, </w:t>
            </w:r>
          </w:p>
          <w:p w14:paraId="0B24AD2A" w14:textId="77777777" w:rsidR="002F4D61" w:rsidRDefault="00B03222">
            <w:pPr>
              <w:spacing w:before="120"/>
              <w:rPr>
                <w:rFonts w:eastAsia="SimSun"/>
                <w:lang w:eastAsia="zh-CN"/>
              </w:rPr>
            </w:pPr>
            <w:r>
              <w:rPr>
                <w:rFonts w:eastAsia="SimSun"/>
                <w:lang w:eastAsia="zh-CN"/>
              </w:rPr>
              <w:t>1) MTC 64QAM is per UE. Similarly, we do not see any issue to adopt the similar method.</w:t>
            </w:r>
          </w:p>
          <w:p w14:paraId="1913EC1E" w14:textId="77777777" w:rsidR="002F4D61" w:rsidRDefault="00B03222">
            <w:pPr>
              <w:spacing w:before="120"/>
              <w:rPr>
                <w:rFonts w:eastAsia="SimSun"/>
                <w:lang w:eastAsia="zh-CN"/>
              </w:rPr>
            </w:pPr>
            <w:r>
              <w:rPr>
                <w:rFonts w:eastAsia="SimSun"/>
                <w:lang w:eastAsia="zh-CN"/>
              </w:rPr>
              <w:t xml:space="preserve">2) The EVM in LTE or NR is the same across all bands </w:t>
            </w:r>
            <w:r>
              <w:rPr>
                <w:rFonts w:eastAsia="SimSun"/>
                <w:vertAlign w:val="superscript"/>
                <w:lang w:eastAsia="zh-CN"/>
              </w:rPr>
              <w:t>[2]</w:t>
            </w:r>
            <w:r>
              <w:rPr>
                <w:rFonts w:eastAsia="SimSun"/>
                <w:lang w:eastAsia="zh-CN"/>
              </w:rPr>
              <w:t xml:space="preserve">. We do not see the necessity to </w:t>
            </w:r>
            <w:r>
              <w:rPr>
                <w:rFonts w:eastAsia="SimSun" w:hint="eastAsia"/>
                <w:lang w:eastAsia="zh-CN"/>
              </w:rPr>
              <w:t>set</w:t>
            </w:r>
            <w:r>
              <w:rPr>
                <w:rFonts w:eastAsia="SimSun"/>
                <w:lang w:eastAsia="zh-CN"/>
              </w:rPr>
              <w:t>16-QAM as per band.</w:t>
            </w:r>
          </w:p>
          <w:p w14:paraId="2C55F5CB" w14:textId="77777777" w:rsidR="002F4D61" w:rsidRDefault="00B03222">
            <w:pPr>
              <w:spacing w:before="120"/>
              <w:rPr>
                <w:rFonts w:eastAsia="SimSun"/>
                <w:lang w:eastAsia="zh-CN"/>
              </w:rPr>
            </w:pPr>
            <w:r>
              <w:rPr>
                <w:rFonts w:eastAsia="SimSun" w:hint="eastAsia"/>
                <w:lang w:eastAsia="zh-CN"/>
              </w:rPr>
              <w:t xml:space="preserve">Therefore, </w:t>
            </w:r>
            <w:r>
              <w:rPr>
                <w:rFonts w:eastAsia="SimSun"/>
                <w:lang w:eastAsia="zh-CN"/>
              </w:rPr>
              <w:t xml:space="preserve">at least for 16-QAM, it should not be per band. Regarding 14-HARQ processes </w:t>
            </w:r>
            <w:r>
              <w:rPr>
                <w:rFonts w:eastAsia="SimSun" w:hint="eastAsia"/>
                <w:lang w:eastAsia="zh-CN"/>
              </w:rPr>
              <w:t>(</w:t>
            </w:r>
            <w:r>
              <w:rPr>
                <w:rFonts w:eastAsia="SimSun"/>
                <w:lang w:eastAsia="zh-CN"/>
              </w:rPr>
              <w:t>FG 1-3</w:t>
            </w:r>
            <w:r>
              <w:rPr>
                <w:rFonts w:eastAsia="SimSun" w:hint="eastAsia"/>
                <w:lang w:eastAsia="zh-CN"/>
              </w:rPr>
              <w:t>)</w:t>
            </w:r>
            <w:r>
              <w:rPr>
                <w:rFonts w:eastAsia="SimSun"/>
                <w:lang w:eastAsia="zh-CN"/>
              </w:rPr>
              <w:t xml:space="preserve"> and 1736bits (FG 1-4), these two features would not have impact on the RF </w:t>
            </w:r>
            <w:proofErr w:type="gramStart"/>
            <w:r>
              <w:rPr>
                <w:rFonts w:eastAsia="SimSun"/>
                <w:lang w:eastAsia="zh-CN"/>
              </w:rPr>
              <w:t>and also</w:t>
            </w:r>
            <w:proofErr w:type="gramEnd"/>
            <w:r>
              <w:rPr>
                <w:rFonts w:eastAsia="SimSun"/>
                <w:lang w:eastAsia="zh-CN"/>
              </w:rPr>
              <w:t xml:space="preserve"> there would not exist the IODT issues. Therefore, we do not see any reason to set it as per band.</w:t>
            </w:r>
            <w:r>
              <w:rPr>
                <w:rFonts w:eastAsia="SimSun" w:hint="eastAsia"/>
                <w:lang w:eastAsia="zh-CN"/>
              </w:rPr>
              <w:t xml:space="preserve">  </w:t>
            </w:r>
          </w:p>
          <w:p w14:paraId="78C33DBE" w14:textId="77777777" w:rsidR="002F4D61" w:rsidRDefault="00B03222">
            <w:pPr>
              <w:spacing w:before="120" w:after="240"/>
              <w:rPr>
                <w:rFonts w:eastAsia="SimSun"/>
                <w:b/>
                <w:i/>
                <w:lang w:eastAsia="zh-CN"/>
              </w:rPr>
            </w:pPr>
            <w:r>
              <w:rPr>
                <w:rFonts w:eastAsia="SimSun"/>
                <w:b/>
                <w:i/>
                <w:lang w:eastAsia="zh-CN"/>
              </w:rPr>
              <w:lastRenderedPageBreak/>
              <w:t>Proposal 1: The type of FGs 1-1, 1-2, 1-3 and 1-4 should be Per UE.</w:t>
            </w:r>
          </w:p>
          <w:p w14:paraId="7524896C" w14:textId="77777777" w:rsidR="002F4D61" w:rsidRDefault="00B03222">
            <w:pPr>
              <w:pStyle w:val="10"/>
              <w:spacing w:before="120" w:afterLines="50" w:after="120" w:line="276" w:lineRule="auto"/>
              <w:rPr>
                <w:b/>
                <w:u w:val="single"/>
              </w:rPr>
            </w:pPr>
            <w:r>
              <w:rPr>
                <w:b/>
                <w:u w:val="single"/>
              </w:rPr>
              <w:t>Need of FDD/TDD differentiation</w:t>
            </w:r>
          </w:p>
          <w:p w14:paraId="15B8E78D" w14:textId="77777777" w:rsidR="002F4D61" w:rsidRDefault="00B03222">
            <w:pPr>
              <w:spacing w:before="120"/>
              <w:rPr>
                <w:rFonts w:eastAsia="SimSun"/>
                <w:lang w:eastAsia="zh-CN"/>
              </w:rPr>
            </w:pPr>
            <w:r>
              <w:rPr>
                <w:rFonts w:eastAsia="SimSun"/>
                <w:lang w:eastAsia="zh-CN"/>
              </w:rPr>
              <w:t>For 14-HARQ processes, it is only for FDD which has been agreed. As for 1736bits, it is only used for HD-FDD according to the WID. Therefore, these two features need FDD/TDD differentiation.</w:t>
            </w:r>
          </w:p>
          <w:p w14:paraId="7197D4AD" w14:textId="77777777" w:rsidR="002F4D61" w:rsidRDefault="00B03222">
            <w:pPr>
              <w:spacing w:before="120" w:after="240"/>
              <w:rPr>
                <w:rFonts w:eastAsia="SimSun"/>
                <w:b/>
                <w:i/>
                <w:lang w:eastAsia="zh-CN"/>
              </w:rPr>
            </w:pPr>
            <w:r>
              <w:rPr>
                <w:rFonts w:eastAsia="SimSun"/>
                <w:b/>
                <w:i/>
                <w:lang w:eastAsia="zh-CN"/>
              </w:rPr>
              <w:t xml:space="preserve">Proposal 3: For FG 1-3 and FG 1-4, FDD/TDD differentiation is needed and </w:t>
            </w:r>
            <w:proofErr w:type="gramStart"/>
            <w:r>
              <w:rPr>
                <w:rFonts w:eastAsia="SimSun"/>
                <w:b/>
                <w:i/>
                <w:lang w:eastAsia="zh-CN"/>
              </w:rPr>
              <w:t>both of them</w:t>
            </w:r>
            <w:proofErr w:type="gramEnd"/>
            <w:r>
              <w:rPr>
                <w:rFonts w:eastAsia="SimSun"/>
                <w:b/>
                <w:i/>
                <w:lang w:eastAsia="zh-CN"/>
              </w:rPr>
              <w:t xml:space="preserve"> are used for FDD only.</w:t>
            </w:r>
          </w:p>
          <w:p w14:paraId="68C6E37C" w14:textId="77777777" w:rsidR="002F4D61" w:rsidRDefault="00B03222">
            <w:pPr>
              <w:spacing w:before="120"/>
              <w:rPr>
                <w:rFonts w:eastAsia="SimSun"/>
                <w:b/>
                <w:u w:val="single"/>
                <w:lang w:eastAsia="zh-CN"/>
              </w:rPr>
            </w:pPr>
            <w:r>
              <w:rPr>
                <w:rFonts w:eastAsia="SimSun" w:hint="eastAsia"/>
                <w:b/>
                <w:u w:val="single"/>
                <w:lang w:eastAsia="zh-CN"/>
              </w:rPr>
              <w:t>14</w:t>
            </w:r>
            <w:r>
              <w:rPr>
                <w:rFonts w:eastAsia="SimSun"/>
                <w:b/>
                <w:u w:val="single"/>
                <w:lang w:eastAsia="zh-CN"/>
              </w:rPr>
              <w:t>-HARQ processes compatible with legacy feature</w:t>
            </w:r>
          </w:p>
          <w:p w14:paraId="311208F4" w14:textId="77777777" w:rsidR="002F4D61" w:rsidRDefault="00B03222">
            <w:pPr>
              <w:spacing w:before="120" w:after="0"/>
              <w:rPr>
                <w:rFonts w:ascii="Times" w:eastAsia="SimSun" w:hAnsi="Times" w:cs="Arial"/>
                <w:lang w:eastAsia="zh-CN"/>
              </w:rPr>
            </w:pPr>
            <w:r>
              <w:rPr>
                <w:rFonts w:ascii="Times" w:eastAsia="SimSun" w:hAnsi="Times" w:hint="eastAsia"/>
              </w:rPr>
              <w:t xml:space="preserve">For </w:t>
            </w:r>
            <w:r>
              <w:rPr>
                <w:rFonts w:ascii="Times" w:eastAsia="Batang" w:hAnsi="Times" w:cs="Arial"/>
              </w:rPr>
              <w:t>dynamic HARQ-ACK delay</w:t>
            </w:r>
            <w:r>
              <w:rPr>
                <w:rFonts w:ascii="Times" w:eastAsia="SimSun" w:hAnsi="Times" w:cs="Arial" w:hint="eastAsia"/>
              </w:rPr>
              <w:t xml:space="preserve">, it is overlapped with the current design </w:t>
            </w:r>
            <w:r>
              <w:rPr>
                <w:rFonts w:ascii="Times" w:eastAsia="SimSun" w:hAnsi="Times" w:cs="Arial"/>
              </w:rPr>
              <w:t>of 14-HARQ feature</w:t>
            </w:r>
            <w:r>
              <w:rPr>
                <w:rFonts w:ascii="Times" w:eastAsia="SimSun" w:hAnsi="Times" w:cs="Arial" w:hint="eastAsia"/>
              </w:rPr>
              <w:t xml:space="preserve">. </w:t>
            </w:r>
            <w:r>
              <w:rPr>
                <w:rFonts w:ascii="Times" w:eastAsia="SimSun" w:hAnsi="Times" w:cs="Arial"/>
              </w:rPr>
              <w:t>Even though the HARQ delay value may be compatible, the DCI fields for UE reading HARQ delay are quite different. When both of features are enabled, it is confused whether the HARQ delay is determined by HARQ-ACK delay field or PDSCH scheduling delay and HARQ-ACK delay for 14 HARQ processes field. Therefore, it doesn’t need to support any of them at the same time.</w:t>
            </w:r>
          </w:p>
          <w:p w14:paraId="1BEE4A9D" w14:textId="77777777" w:rsidR="002F4D61" w:rsidRDefault="00B03222">
            <w:pPr>
              <w:spacing w:before="120" w:after="0"/>
              <w:rPr>
                <w:rFonts w:ascii="Times" w:eastAsia="SimSun" w:hAnsi="Times" w:cs="Arial"/>
              </w:rPr>
            </w:pPr>
            <w:r>
              <w:rPr>
                <w:rFonts w:ascii="Times" w:eastAsia="SimSun" w:hAnsi="Times" w:cs="Arial" w:hint="eastAsia"/>
              </w:rPr>
              <w:t xml:space="preserve">For </w:t>
            </w:r>
            <w:r>
              <w:rPr>
                <w:rFonts w:ascii="Times" w:eastAsia="Batang" w:hAnsi="Times" w:cs="Arial"/>
              </w:rPr>
              <w:t>uplink HARQ-ACK feedback</w:t>
            </w:r>
            <w:r>
              <w:rPr>
                <w:rFonts w:ascii="Times" w:eastAsia="SimSun" w:hAnsi="Times" w:cs="Arial" w:hint="eastAsia"/>
              </w:rPr>
              <w:t>, we think it is beneficial to support it for the large repetition case. However, for 14-HARQ process feature, it is mainly used for small repetition, e.g.,</w:t>
            </w:r>
            <w:r>
              <w:rPr>
                <w:rFonts w:ascii="Times" w:eastAsia="SimSun" w:hAnsi="Times" w:cs="Arial"/>
              </w:rPr>
              <w:t xml:space="preserve"> </w:t>
            </w:r>
            <w:r>
              <w:rPr>
                <w:rFonts w:ascii="Times" w:eastAsia="SimSun" w:hAnsi="Times" w:cs="Arial" w:hint="eastAsia"/>
              </w:rPr>
              <w:t>one repetition.</w:t>
            </w:r>
            <w:r>
              <w:rPr>
                <w:rFonts w:ascii="Times" w:eastAsia="SimSun" w:hAnsi="Times" w:cs="Arial"/>
              </w:rPr>
              <w:t xml:space="preserve"> However, according to the latest agreement, repetition may be not precluded for DL 14-HARQ processes. Therefore, in some case, </w:t>
            </w:r>
            <w:r>
              <w:rPr>
                <w:rFonts w:ascii="Times" w:eastAsia="Batang" w:hAnsi="Times" w:cs="Arial"/>
              </w:rPr>
              <w:t>uplink HARQ-ACK feedback</w:t>
            </w:r>
            <w:r>
              <w:rPr>
                <w:rFonts w:ascii="Times" w:eastAsia="SimSun" w:hAnsi="Times" w:cs="Arial" w:hint="eastAsia"/>
              </w:rPr>
              <w:t xml:space="preserve"> can</w:t>
            </w:r>
            <w:r>
              <w:rPr>
                <w:rFonts w:ascii="Times" w:eastAsia="SimSun" w:hAnsi="Times" w:cs="Arial"/>
              </w:rPr>
              <w:t xml:space="preserve"> also</w:t>
            </w:r>
            <w:r>
              <w:rPr>
                <w:rFonts w:ascii="Times" w:eastAsia="SimSun" w:hAnsi="Times" w:cs="Arial" w:hint="eastAsia"/>
              </w:rPr>
              <w:t xml:space="preserve"> be </w:t>
            </w:r>
            <w:r>
              <w:rPr>
                <w:rFonts w:ascii="Times" w:eastAsia="SimSun" w:hAnsi="Times" w:cs="Arial"/>
              </w:rPr>
              <w:t>used for uplink transmission</w:t>
            </w:r>
            <w:r>
              <w:rPr>
                <w:rFonts w:ascii="Times" w:eastAsia="SimSun" w:hAnsi="Times" w:cs="Arial" w:hint="eastAsia"/>
              </w:rPr>
              <w:t>.</w:t>
            </w:r>
          </w:p>
          <w:p w14:paraId="1FB137F0" w14:textId="77777777" w:rsidR="002F4D61" w:rsidRDefault="00B03222">
            <w:pPr>
              <w:spacing w:before="120"/>
              <w:rPr>
                <w:rFonts w:ascii="Times" w:eastAsia="SimSun" w:hAnsi="Times" w:cs="Arial"/>
                <w:lang w:eastAsia="zh-CN"/>
              </w:rPr>
            </w:pPr>
            <w:r>
              <w:rPr>
                <w:rFonts w:ascii="Times" w:eastAsia="SimSun" w:hAnsi="Times" w:cs="Arial" w:hint="eastAsia"/>
              </w:rPr>
              <w:t>For PUR, it is for idle mode, it is nature to assume to not support it for 14-HARQ processes</w:t>
            </w:r>
            <w:r>
              <w:rPr>
                <w:rFonts w:ascii="Times" w:eastAsia="SimSun" w:hAnsi="Times" w:cs="Arial"/>
              </w:rPr>
              <w:t>, since such large data rate requirement is not needed for PUR</w:t>
            </w:r>
            <w:r>
              <w:rPr>
                <w:rFonts w:ascii="Times" w:eastAsia="SimSun" w:hAnsi="Times" w:cs="Arial" w:hint="eastAsia"/>
              </w:rPr>
              <w:t>.</w:t>
            </w:r>
            <w:r>
              <w:rPr>
                <w:rFonts w:ascii="Times" w:eastAsia="SimSun" w:hAnsi="Times" w:cs="Arial"/>
              </w:rPr>
              <w:t xml:space="preserve"> </w:t>
            </w:r>
            <w:r>
              <w:rPr>
                <w:rFonts w:ascii="Times" w:eastAsia="SimSun" w:hAnsi="Times" w:cs="Arial"/>
                <w:lang w:eastAsia="zh-CN"/>
              </w:rPr>
              <w:t>Moreover</w:t>
            </w:r>
            <w:r>
              <w:rPr>
                <w:rFonts w:ascii="Times" w:eastAsia="SimSun" w:hAnsi="Times" w:cs="Arial" w:hint="eastAsia"/>
                <w:lang w:eastAsia="zh-CN"/>
              </w:rPr>
              <w:t xml:space="preserve">, </w:t>
            </w:r>
            <w:r>
              <w:rPr>
                <w:rFonts w:ascii="Times" w:eastAsia="SimSun" w:hAnsi="Times" w:cs="Arial"/>
                <w:lang w:eastAsia="zh-CN"/>
              </w:rPr>
              <w:t xml:space="preserve">PUR is mainly used for uplink transmission, while 14-HARQ feature is used for downlink. </w:t>
            </w:r>
            <w:r>
              <w:rPr>
                <w:rFonts w:ascii="Times" w:eastAsia="SimSun" w:hAnsi="Times" w:cs="Arial"/>
              </w:rPr>
              <w:t>Therefore, there is no need to support 14-HARQ processes in PUR.</w:t>
            </w:r>
          </w:p>
          <w:p w14:paraId="6CBBAFED" w14:textId="77777777" w:rsidR="002F4D61" w:rsidRDefault="00B03222">
            <w:pPr>
              <w:spacing w:before="120"/>
            </w:pPr>
            <w:r>
              <w:rPr>
                <w:rFonts w:ascii="Times" w:eastAsia="SimSun" w:hAnsi="Times" w:cs="Arial"/>
              </w:rPr>
              <w:t>Additionally, MTB for 14-HARQ process is not supported according to the conclusion.</w:t>
            </w:r>
          </w:p>
          <w:p w14:paraId="77590AB5" w14:textId="77777777" w:rsidR="002F4D61" w:rsidRDefault="00B03222">
            <w:pPr>
              <w:spacing w:before="120" w:afterLines="100" w:after="240"/>
              <w:rPr>
                <w:b/>
                <w:bCs/>
                <w:i/>
              </w:rPr>
            </w:pPr>
            <w:r>
              <w:rPr>
                <w:rFonts w:eastAsia="SimSun"/>
                <w:b/>
                <w:i/>
                <w:lang w:eastAsia="zh-CN"/>
              </w:rPr>
              <w:t>P</w:t>
            </w:r>
            <w:r>
              <w:rPr>
                <w:rFonts w:eastAsia="SimSun" w:hint="eastAsia"/>
                <w:b/>
                <w:i/>
                <w:lang w:eastAsia="zh-CN"/>
              </w:rPr>
              <w:t>roposal</w:t>
            </w:r>
            <w:r>
              <w:rPr>
                <w:rFonts w:eastAsia="SimSun"/>
                <w:b/>
                <w:i/>
                <w:lang w:eastAsia="zh-CN"/>
              </w:rPr>
              <w:t xml:space="preserve"> 4</w:t>
            </w:r>
            <w:r>
              <w:rPr>
                <w:rFonts w:eastAsia="SimSun" w:hint="eastAsia"/>
                <w:b/>
                <w:i/>
                <w:lang w:eastAsia="zh-CN"/>
              </w:rPr>
              <w:t>:</w:t>
            </w:r>
            <w:r>
              <w:rPr>
                <w:rFonts w:eastAsia="SimSun"/>
                <w:b/>
                <w:i/>
                <w:lang w:eastAsia="zh-CN"/>
              </w:rPr>
              <w:t xml:space="preserve"> </w:t>
            </w:r>
            <w:r>
              <w:rPr>
                <w:b/>
                <w:bCs/>
                <w:i/>
              </w:rPr>
              <w:t xml:space="preserve">It is RAN1 assumption that except for </w:t>
            </w:r>
            <w:r>
              <w:rPr>
                <w:rFonts w:eastAsia="SimSun" w:hint="eastAsia"/>
                <w:b/>
                <w:bCs/>
                <w:i/>
              </w:rPr>
              <w:t xml:space="preserve">Rel-16 </w:t>
            </w:r>
            <w:proofErr w:type="gramStart"/>
            <w:r>
              <w:rPr>
                <w:b/>
                <w:bCs/>
                <w:i/>
              </w:rPr>
              <w:t>Multi-TB</w:t>
            </w:r>
            <w:proofErr w:type="gramEnd"/>
            <w:r>
              <w:rPr>
                <w:b/>
                <w:bCs/>
                <w:i/>
              </w:rPr>
              <w:t xml:space="preserve"> scheduling and </w:t>
            </w:r>
            <w:r>
              <w:rPr>
                <w:rFonts w:eastAsia="SimSun" w:hint="eastAsia"/>
                <w:b/>
                <w:bCs/>
                <w:i/>
              </w:rPr>
              <w:t xml:space="preserve">Rel-14 </w:t>
            </w:r>
            <w:r>
              <w:rPr>
                <w:b/>
                <w:bCs/>
                <w:i/>
              </w:rPr>
              <w:t xml:space="preserve">dynamic HARQ-ACK delay, the 14 HARQ processes feature is compatible with all other </w:t>
            </w:r>
            <w:proofErr w:type="spellStart"/>
            <w:r>
              <w:rPr>
                <w:b/>
                <w:bCs/>
                <w:i/>
              </w:rPr>
              <w:t>eMTC</w:t>
            </w:r>
            <w:proofErr w:type="spellEnd"/>
            <w:r>
              <w:rPr>
                <w:b/>
                <w:bCs/>
                <w:i/>
              </w:rPr>
              <w:t xml:space="preserve"> features in connected-mode applicable for HD-FDD Cat. </w:t>
            </w:r>
          </w:p>
          <w:p w14:paraId="2DFCCC73" w14:textId="77777777" w:rsidR="002F4D61" w:rsidRDefault="00B03222">
            <w:pPr>
              <w:spacing w:before="120" w:afterLines="100" w:after="240"/>
              <w:rPr>
                <w:b/>
                <w:bCs/>
                <w:i/>
              </w:rPr>
            </w:pPr>
            <w:r>
              <w:rPr>
                <w:rFonts w:eastAsia="SimSun"/>
                <w:b/>
                <w:bCs/>
                <w:i/>
              </w:rPr>
              <w:t xml:space="preserve">Proposal 5: </w:t>
            </w:r>
            <w:r>
              <w:rPr>
                <w:rFonts w:eastAsia="SimSun" w:hint="eastAsia"/>
                <w:b/>
                <w:bCs/>
                <w:i/>
              </w:rPr>
              <w:t>14-HARQ processes</w:t>
            </w:r>
            <w:r>
              <w:rPr>
                <w:rFonts w:eastAsia="SimSun"/>
                <w:b/>
                <w:bCs/>
                <w:i/>
              </w:rPr>
              <w:t xml:space="preserve"> is not supported for PUR.</w:t>
            </w:r>
          </w:p>
        </w:tc>
      </w:tr>
      <w:tr w:rsidR="002F4D61" w14:paraId="36DEDF18" w14:textId="77777777">
        <w:tc>
          <w:tcPr>
            <w:tcW w:w="621" w:type="dxa"/>
          </w:tcPr>
          <w:p w14:paraId="59CA7FCD" w14:textId="77777777" w:rsidR="002F4D61" w:rsidRDefault="00B03222">
            <w:pPr>
              <w:spacing w:after="18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895B3AA" w14:textId="77777777" w:rsidR="002F4D61" w:rsidRDefault="00B03222">
            <w:pPr>
              <w:spacing w:after="180"/>
              <w:jc w:val="both"/>
              <w:rPr>
                <w:rFonts w:eastAsia="MS Mincho"/>
                <w:sz w:val="22"/>
              </w:rPr>
            </w:pPr>
            <w:r>
              <w:rPr>
                <w:rFonts w:eastAsia="MS Mincho" w:hint="eastAsia"/>
                <w:sz w:val="22"/>
              </w:rPr>
              <w:t>N</w:t>
            </w:r>
            <w:r>
              <w:rPr>
                <w:rFonts w:eastAsia="MS Mincho"/>
                <w:sz w:val="22"/>
              </w:rPr>
              <w:t>okia, NSB</w:t>
            </w:r>
          </w:p>
        </w:tc>
        <w:tc>
          <w:tcPr>
            <w:tcW w:w="19931" w:type="dxa"/>
          </w:tcPr>
          <w:p w14:paraId="321A5295" w14:textId="77777777" w:rsidR="002F4D61" w:rsidRDefault="00B03222">
            <w:pPr>
              <w:spacing w:after="180"/>
              <w:rPr>
                <w:lang w:eastAsia="zh-CN"/>
              </w:rPr>
            </w:pPr>
            <w:r>
              <w:rPr>
                <w:b/>
                <w:bCs/>
                <w:sz w:val="20"/>
              </w:rPr>
              <w:t>FGs 1-1, 1-2, 1-3, 1-4</w:t>
            </w:r>
            <w:r>
              <w:rPr>
                <w:sz w:val="20"/>
              </w:rPr>
              <w:t>: per UE</w:t>
            </w:r>
          </w:p>
        </w:tc>
      </w:tr>
      <w:tr w:rsidR="002F4D61" w14:paraId="046BCA49" w14:textId="77777777">
        <w:tc>
          <w:tcPr>
            <w:tcW w:w="621" w:type="dxa"/>
          </w:tcPr>
          <w:p w14:paraId="1F2161B4" w14:textId="77777777" w:rsidR="002F4D61" w:rsidRDefault="00B03222">
            <w:pPr>
              <w:spacing w:after="180"/>
              <w:jc w:val="both"/>
              <w:rPr>
                <w:rFonts w:eastAsia="MS Mincho"/>
                <w:sz w:val="22"/>
              </w:rPr>
            </w:pPr>
            <w:r>
              <w:rPr>
                <w:rFonts w:eastAsia="MS Mincho" w:hint="eastAsia"/>
                <w:sz w:val="22"/>
              </w:rPr>
              <w:t>[</w:t>
            </w:r>
            <w:r>
              <w:rPr>
                <w:rFonts w:eastAsia="MS Mincho"/>
                <w:sz w:val="22"/>
              </w:rPr>
              <w:t>5]</w:t>
            </w:r>
          </w:p>
        </w:tc>
        <w:tc>
          <w:tcPr>
            <w:tcW w:w="1831" w:type="dxa"/>
          </w:tcPr>
          <w:p w14:paraId="5EAE02E4" w14:textId="77777777" w:rsidR="002F4D61" w:rsidRDefault="00B03222">
            <w:pPr>
              <w:spacing w:after="180"/>
              <w:jc w:val="both"/>
              <w:rPr>
                <w:rFonts w:eastAsia="MS Mincho"/>
                <w:sz w:val="22"/>
              </w:rPr>
            </w:pPr>
            <w:r>
              <w:rPr>
                <w:rFonts w:eastAsia="MS Mincho" w:hint="eastAsia"/>
                <w:sz w:val="22"/>
              </w:rPr>
              <w:t>D</w:t>
            </w:r>
            <w:r>
              <w:rPr>
                <w:rFonts w:eastAsia="MS Mincho"/>
                <w:sz w:val="22"/>
              </w:rPr>
              <w:t>OCOMO</w:t>
            </w:r>
          </w:p>
        </w:tc>
        <w:tc>
          <w:tcPr>
            <w:tcW w:w="19931" w:type="dxa"/>
          </w:tcPr>
          <w:p w14:paraId="54B1D020" w14:textId="65D0A169" w:rsidR="002F4D61" w:rsidRDefault="00B03222">
            <w:pPr>
              <w:pStyle w:val="ListParagraph"/>
              <w:numPr>
                <w:ilvl w:val="0"/>
                <w:numId w:val="17"/>
              </w:numPr>
              <w:spacing w:afterLines="50" w:after="120" w:line="240" w:lineRule="auto"/>
              <w:ind w:leftChars="0"/>
              <w:jc w:val="both"/>
              <w:rPr>
                <w:rFonts w:eastAsiaTheme="minorEastAsia"/>
                <w:sz w:val="22"/>
                <w:szCs w:val="22"/>
              </w:rPr>
            </w:pPr>
            <w:r>
              <w:rPr>
                <w:rFonts w:eastAsiaTheme="minorEastAsia" w:hint="eastAsia"/>
                <w:sz w:val="22"/>
                <w:szCs w:val="22"/>
              </w:rPr>
              <w:t>1</w:t>
            </w:r>
            <w:r>
              <w:rPr>
                <w:rFonts w:eastAsiaTheme="minorEastAsia"/>
                <w:sz w:val="22"/>
                <w:szCs w:val="22"/>
              </w:rPr>
              <w:t xml:space="preserve">-3: 14 HARQ processes for PDSCH for HD-FDD Cat. M1 </w:t>
            </w:r>
            <w:proofErr w:type="spellStart"/>
            <w:r>
              <w:rPr>
                <w:rFonts w:eastAsiaTheme="minorEastAsia"/>
                <w:sz w:val="22"/>
                <w:szCs w:val="22"/>
              </w:rPr>
              <w:t>U</w:t>
            </w:r>
            <w:r w:rsidR="00C959EB">
              <w:rPr>
                <w:rFonts w:eastAsiaTheme="minorEastAsia"/>
                <w:sz w:val="22"/>
                <w:szCs w:val="22"/>
              </w:rPr>
              <w:t>e</w:t>
            </w:r>
            <w:r>
              <w:rPr>
                <w:rFonts w:eastAsiaTheme="minorEastAsia"/>
                <w:sz w:val="22"/>
                <w:szCs w:val="22"/>
              </w:rPr>
              <w:t>s</w:t>
            </w:r>
            <w:proofErr w:type="spellEnd"/>
          </w:p>
          <w:p w14:paraId="448A39A9" w14:textId="77777777" w:rsidR="002F4D61" w:rsidRDefault="00B03222">
            <w:pPr>
              <w:pStyle w:val="ListParagraph"/>
              <w:numPr>
                <w:ilvl w:val="1"/>
                <w:numId w:val="17"/>
              </w:numPr>
              <w:spacing w:afterLines="50" w:after="120" w:line="240" w:lineRule="auto"/>
              <w:ind w:leftChars="0"/>
              <w:jc w:val="both"/>
              <w:rPr>
                <w:rFonts w:eastAsiaTheme="minorEastAsia"/>
                <w:sz w:val="22"/>
                <w:szCs w:val="22"/>
              </w:rPr>
            </w:pPr>
            <w:r>
              <w:rPr>
                <w:rFonts w:eastAsiaTheme="minorEastAsia"/>
                <w:sz w:val="22"/>
                <w:szCs w:val="22"/>
              </w:rPr>
              <w:t xml:space="preserve">We think the type of FGs 1-3 should be per UE and FDD-only, same as Rel-16 </w:t>
            </w:r>
            <w:proofErr w:type="spellStart"/>
            <w:r>
              <w:rPr>
                <w:rFonts w:eastAsiaTheme="minorEastAsia"/>
                <w:sz w:val="22"/>
                <w:szCs w:val="22"/>
              </w:rPr>
              <w:t>eMTC</w:t>
            </w:r>
            <w:proofErr w:type="spellEnd"/>
            <w:r>
              <w:rPr>
                <w:rFonts w:eastAsiaTheme="minorEastAsia"/>
                <w:sz w:val="22"/>
                <w:szCs w:val="22"/>
              </w:rPr>
              <w:t>/NB-IoT FGs.</w:t>
            </w:r>
          </w:p>
          <w:p w14:paraId="05D2E0AA" w14:textId="4E7A0460" w:rsidR="002F4D61" w:rsidRDefault="00B03222">
            <w:pPr>
              <w:pStyle w:val="ListParagraph"/>
              <w:numPr>
                <w:ilvl w:val="1"/>
                <w:numId w:val="17"/>
              </w:numPr>
              <w:spacing w:afterLines="50" w:after="120" w:line="240" w:lineRule="auto"/>
              <w:ind w:leftChars="0"/>
              <w:jc w:val="both"/>
              <w:rPr>
                <w:rFonts w:eastAsiaTheme="minorEastAsia"/>
                <w:sz w:val="22"/>
                <w:szCs w:val="22"/>
              </w:rPr>
            </w:pPr>
            <w:r>
              <w:rPr>
                <w:rFonts w:eastAsiaTheme="minorEastAsia" w:hint="eastAsia"/>
                <w:sz w:val="22"/>
                <w:szCs w:val="22"/>
              </w:rPr>
              <w:t>A</w:t>
            </w:r>
            <w:r>
              <w:rPr>
                <w:rFonts w:eastAsiaTheme="minorEastAsia"/>
                <w:sz w:val="22"/>
                <w:szCs w:val="22"/>
              </w:rPr>
              <w:t>t the RAN1#107-e meeting, it was proposed to add a note “</w:t>
            </w:r>
            <w:r>
              <w:rPr>
                <w:rFonts w:eastAsiaTheme="minorEastAsia"/>
                <w:i/>
                <w:iCs/>
                <w:sz w:val="22"/>
                <w:szCs w:val="22"/>
              </w:rPr>
              <w:t xml:space="preserve">It is RAN1 assumption the 14 HARQ processes feature is compatible with all other </w:t>
            </w:r>
            <w:proofErr w:type="spellStart"/>
            <w:r>
              <w:rPr>
                <w:rFonts w:eastAsiaTheme="minorEastAsia"/>
                <w:i/>
                <w:iCs/>
                <w:sz w:val="22"/>
                <w:szCs w:val="22"/>
              </w:rPr>
              <w:t>eMTC</w:t>
            </w:r>
            <w:proofErr w:type="spellEnd"/>
            <w:r>
              <w:rPr>
                <w:rFonts w:eastAsiaTheme="minorEastAsia"/>
                <w:i/>
                <w:iCs/>
                <w:sz w:val="22"/>
                <w:szCs w:val="22"/>
              </w:rPr>
              <w:t xml:space="preserve"> features in connected-mode applicable for HD-FDD Cat. M1 </w:t>
            </w:r>
            <w:proofErr w:type="spellStart"/>
            <w:r>
              <w:rPr>
                <w:rFonts w:eastAsiaTheme="minorEastAsia"/>
                <w:i/>
                <w:iCs/>
                <w:sz w:val="22"/>
                <w:szCs w:val="22"/>
              </w:rPr>
              <w:t>U</w:t>
            </w:r>
            <w:r w:rsidR="00C959EB">
              <w:rPr>
                <w:rFonts w:eastAsiaTheme="minorEastAsia"/>
                <w:i/>
                <w:iCs/>
                <w:sz w:val="22"/>
                <w:szCs w:val="22"/>
              </w:rPr>
              <w:t>e</w:t>
            </w:r>
            <w:r>
              <w:rPr>
                <w:rFonts w:eastAsiaTheme="minorEastAsia"/>
                <w:i/>
                <w:iCs/>
                <w:sz w:val="22"/>
                <w:szCs w:val="22"/>
              </w:rPr>
              <w:t>s</w:t>
            </w:r>
            <w:proofErr w:type="spellEnd"/>
            <w:r>
              <w:rPr>
                <w:rFonts w:eastAsiaTheme="minorEastAsia"/>
                <w:i/>
                <w:iCs/>
                <w:sz w:val="22"/>
                <w:szCs w:val="22"/>
              </w:rPr>
              <w:t xml:space="preserve"> in CE mode A, except for the simultaneous configuration with Rel-16 </w:t>
            </w:r>
            <w:proofErr w:type="gramStart"/>
            <w:r>
              <w:rPr>
                <w:rFonts w:eastAsiaTheme="minorEastAsia"/>
                <w:i/>
                <w:iCs/>
                <w:sz w:val="22"/>
                <w:szCs w:val="22"/>
              </w:rPr>
              <w:t>Multi-TB</w:t>
            </w:r>
            <w:proofErr w:type="gramEnd"/>
            <w:r>
              <w:rPr>
                <w:rFonts w:eastAsiaTheme="minorEastAsia"/>
                <w:i/>
                <w:iCs/>
                <w:sz w:val="22"/>
                <w:szCs w:val="22"/>
              </w:rPr>
              <w:t xml:space="preserve"> scheduling</w:t>
            </w:r>
            <w:r>
              <w:rPr>
                <w:rFonts w:eastAsiaTheme="minorEastAsia"/>
                <w:sz w:val="22"/>
                <w:szCs w:val="22"/>
              </w:rPr>
              <w:t>” for FG1-3, but it was not agreed [2]. Some companies commented that Rel-14 dynamic HARQ-ACK delay should also be excluded.</w:t>
            </w:r>
          </w:p>
          <w:p w14:paraId="06018C30" w14:textId="77777777" w:rsidR="002F4D61" w:rsidRDefault="00B03222">
            <w:pPr>
              <w:pStyle w:val="ListParagraph"/>
              <w:numPr>
                <w:ilvl w:val="1"/>
                <w:numId w:val="17"/>
              </w:numPr>
              <w:spacing w:afterLines="50" w:after="120" w:line="240" w:lineRule="auto"/>
              <w:ind w:leftChars="0"/>
              <w:jc w:val="both"/>
              <w:rPr>
                <w:rFonts w:eastAsiaTheme="minorEastAsia"/>
                <w:sz w:val="22"/>
                <w:szCs w:val="22"/>
              </w:rPr>
            </w:pPr>
            <w:r>
              <w:rPr>
                <w:rFonts w:eastAsiaTheme="minorEastAsia" w:hint="eastAsia"/>
                <w:sz w:val="22"/>
                <w:szCs w:val="22"/>
              </w:rPr>
              <w:t>W</w:t>
            </w:r>
            <w:r>
              <w:rPr>
                <w:rFonts w:eastAsiaTheme="minorEastAsia"/>
                <w:sz w:val="22"/>
                <w:szCs w:val="22"/>
              </w:rPr>
              <w:t>e think that Rel-14 dynamic HARQ-ACK delay should not be mixed with FG 1-3 as new HARQ-ACK delay is designed for this FG 1-3, and it seems obvious. Therefore, we are fine with either having the note with also excluding Rel-14 dynamic HARQ-ACK delay or having no additional note/conclusion on this issue.</w:t>
            </w:r>
          </w:p>
        </w:tc>
      </w:tr>
      <w:tr w:rsidR="002F4D61" w14:paraId="6D507C21" w14:textId="77777777">
        <w:tc>
          <w:tcPr>
            <w:tcW w:w="621" w:type="dxa"/>
          </w:tcPr>
          <w:p w14:paraId="363BF284" w14:textId="77777777" w:rsidR="002F4D61" w:rsidRDefault="00B03222">
            <w:pPr>
              <w:spacing w:after="180"/>
              <w:jc w:val="both"/>
              <w:rPr>
                <w:rFonts w:eastAsia="MS Mincho"/>
                <w:sz w:val="22"/>
              </w:rPr>
            </w:pPr>
            <w:r>
              <w:rPr>
                <w:rFonts w:eastAsia="MS Mincho" w:hint="eastAsia"/>
                <w:sz w:val="22"/>
              </w:rPr>
              <w:t>[</w:t>
            </w:r>
            <w:r>
              <w:rPr>
                <w:rFonts w:eastAsia="MS Mincho"/>
                <w:sz w:val="22"/>
              </w:rPr>
              <w:t>6]</w:t>
            </w:r>
          </w:p>
        </w:tc>
        <w:tc>
          <w:tcPr>
            <w:tcW w:w="1831" w:type="dxa"/>
          </w:tcPr>
          <w:p w14:paraId="34D37AEF" w14:textId="77777777" w:rsidR="002F4D61" w:rsidRDefault="00B03222">
            <w:pPr>
              <w:spacing w:after="180"/>
              <w:jc w:val="both"/>
              <w:rPr>
                <w:rFonts w:eastAsia="MS Mincho"/>
                <w:sz w:val="22"/>
              </w:rPr>
            </w:pPr>
            <w:r>
              <w:rPr>
                <w:rFonts w:eastAsia="MS Mincho" w:hint="eastAsia"/>
                <w:sz w:val="22"/>
              </w:rPr>
              <w:t>Q</w:t>
            </w:r>
            <w:r>
              <w:rPr>
                <w:rFonts w:eastAsia="MS Mincho"/>
                <w:sz w:val="22"/>
              </w:rPr>
              <w:t>ualcomm</w:t>
            </w:r>
          </w:p>
        </w:tc>
        <w:tc>
          <w:tcPr>
            <w:tcW w:w="19931" w:type="dxa"/>
          </w:tcPr>
          <w:p w14:paraId="301FF984" w14:textId="77777777" w:rsidR="002F4D61" w:rsidRDefault="00B03222">
            <w:pPr>
              <w:rPr>
                <w:lang w:val="en-US"/>
              </w:rPr>
            </w:pPr>
            <w:r>
              <w:rPr>
                <w:lang w:val="en-US"/>
              </w:rPr>
              <w:t xml:space="preserve">One of the most contentious issues in the last meeting was whether the features for </w:t>
            </w:r>
            <w:proofErr w:type="spellStart"/>
            <w:r>
              <w:rPr>
                <w:lang w:val="en-US"/>
              </w:rPr>
              <w:t>eMTC</w:t>
            </w:r>
            <w:proofErr w:type="spellEnd"/>
            <w:r>
              <w:rPr>
                <w:lang w:val="en-US"/>
              </w:rPr>
              <w:t xml:space="preserve"> and NB-IoT were “per UE” or “per band”.</w:t>
            </w:r>
          </w:p>
          <w:p w14:paraId="55B41CDC" w14:textId="77777777" w:rsidR="002F4D61" w:rsidRDefault="00B03222">
            <w:pPr>
              <w:rPr>
                <w:lang w:val="en-US"/>
              </w:rPr>
            </w:pPr>
            <w:r>
              <w:rPr>
                <w:lang w:val="en-US"/>
              </w:rPr>
              <w:t>In our view, the newly introduced features should be “per band” for the following reason: with the introduction of NTN IOT, there should be a way to differentiate the capability of using 16-QAM or 14 HARQ processes for terrestrial and non-terrestrial cases. “Per band” capability indication allows for this indication.</w:t>
            </w:r>
          </w:p>
          <w:p w14:paraId="79C410F0" w14:textId="77777777" w:rsidR="002F4D61" w:rsidRDefault="00B03222">
            <w:pPr>
              <w:rPr>
                <w:b/>
                <w:bCs/>
                <w:lang w:val="en-US"/>
              </w:rPr>
            </w:pPr>
            <w:r>
              <w:rPr>
                <w:b/>
                <w:bCs/>
                <w:u w:val="single"/>
                <w:lang w:val="en-US"/>
              </w:rPr>
              <w:t>Observation 1:</w:t>
            </w:r>
            <w:r>
              <w:rPr>
                <w:b/>
                <w:bCs/>
                <w:lang w:val="en-US"/>
              </w:rPr>
              <w:t xml:space="preserve"> All the IOT features should be “per band” to allow differentiation of support of a feature in terrestrial and non-terrestrial networks.</w:t>
            </w:r>
          </w:p>
          <w:p w14:paraId="71CAD267" w14:textId="77777777" w:rsidR="002F4D61" w:rsidRDefault="00B03222">
            <w:pPr>
              <w:rPr>
                <w:lang w:val="en-US"/>
              </w:rPr>
            </w:pPr>
            <w:proofErr w:type="gramStart"/>
            <w:r>
              <w:rPr>
                <w:lang w:val="en-US"/>
              </w:rPr>
              <w:t>Similar to</w:t>
            </w:r>
            <w:proofErr w:type="gramEnd"/>
            <w:r>
              <w:rPr>
                <w:lang w:val="en-US"/>
              </w:rPr>
              <w:t xml:space="preserve"> the points above, the </w:t>
            </w:r>
            <w:proofErr w:type="spellStart"/>
            <w:r>
              <w:rPr>
                <w:lang w:val="en-US"/>
              </w:rPr>
              <w:t>eMTC</w:t>
            </w:r>
            <w:proofErr w:type="spellEnd"/>
            <w:r>
              <w:rPr>
                <w:lang w:val="en-US"/>
              </w:rPr>
              <w:t xml:space="preserve"> features 1-3 and 1-4 shall be indicated “per band” due to NTN/TN differentiation and robustness against lack of IODT opportunities.</w:t>
            </w:r>
          </w:p>
          <w:p w14:paraId="0CF6A624" w14:textId="77777777" w:rsidR="002F4D61" w:rsidRDefault="00B03222">
            <w:pPr>
              <w:rPr>
                <w:b/>
                <w:bCs/>
                <w:lang w:val="en-US"/>
              </w:rPr>
            </w:pPr>
            <w:r>
              <w:rPr>
                <w:b/>
                <w:bCs/>
                <w:u w:val="single"/>
                <w:lang w:val="en-US"/>
              </w:rPr>
              <w:t xml:space="preserve">Proposal 2: </w:t>
            </w:r>
            <w:r>
              <w:rPr>
                <w:b/>
                <w:bCs/>
                <w:lang w:val="en-US"/>
              </w:rPr>
              <w:t>FG 1-3 and 1-4 are “per band”.</w:t>
            </w:r>
          </w:p>
        </w:tc>
      </w:tr>
      <w:tr w:rsidR="002F4D61" w14:paraId="09E9335D" w14:textId="77777777">
        <w:tc>
          <w:tcPr>
            <w:tcW w:w="621" w:type="dxa"/>
          </w:tcPr>
          <w:p w14:paraId="43B70203" w14:textId="77777777" w:rsidR="002F4D61" w:rsidRDefault="00B03222">
            <w:pPr>
              <w:spacing w:after="180"/>
              <w:jc w:val="both"/>
              <w:rPr>
                <w:rFonts w:eastAsia="MS Mincho"/>
                <w:sz w:val="22"/>
              </w:rPr>
            </w:pPr>
            <w:r>
              <w:rPr>
                <w:rFonts w:eastAsia="MS Mincho" w:hint="eastAsia"/>
                <w:sz w:val="22"/>
              </w:rPr>
              <w:t>[</w:t>
            </w:r>
            <w:r>
              <w:rPr>
                <w:rFonts w:eastAsia="MS Mincho"/>
                <w:sz w:val="22"/>
              </w:rPr>
              <w:t>7]</w:t>
            </w:r>
          </w:p>
        </w:tc>
        <w:tc>
          <w:tcPr>
            <w:tcW w:w="1831" w:type="dxa"/>
          </w:tcPr>
          <w:p w14:paraId="5ED50906" w14:textId="77777777" w:rsidR="002F4D61" w:rsidRDefault="00B03222">
            <w:pPr>
              <w:spacing w:after="180"/>
              <w:jc w:val="both"/>
              <w:rPr>
                <w:rFonts w:eastAsia="MS Mincho"/>
                <w:sz w:val="22"/>
              </w:rPr>
            </w:pPr>
            <w:r>
              <w:rPr>
                <w:rFonts w:eastAsia="MS Mincho" w:hint="eastAsia"/>
                <w:sz w:val="22"/>
              </w:rPr>
              <w:t>E</w:t>
            </w:r>
            <w:r>
              <w:rPr>
                <w:rFonts w:eastAsia="MS Mincho"/>
                <w:sz w:val="22"/>
              </w:rPr>
              <w:t>ricsson</w:t>
            </w:r>
          </w:p>
        </w:tc>
        <w:tc>
          <w:tcPr>
            <w:tcW w:w="19931" w:type="dxa"/>
          </w:tcPr>
          <w:p w14:paraId="2DC82683" w14:textId="2E5A06C8" w:rsidR="002F4D61" w:rsidRDefault="00B03222">
            <w:pPr>
              <w:pStyle w:val="BodyText"/>
            </w:pPr>
            <w:r>
              <w:t xml:space="preserve">For the above UE feature list on the support of 14 HARQ processes in DL for HD-FDD </w:t>
            </w:r>
            <w:proofErr w:type="spellStart"/>
            <w:r>
              <w:t>U</w:t>
            </w:r>
            <w:r w:rsidR="00C959EB">
              <w:t>e</w:t>
            </w:r>
            <w:r>
              <w:t>s</w:t>
            </w:r>
            <w:proofErr w:type="spellEnd"/>
            <w:r>
              <w:t xml:space="preserve"> in CE Mode A, we have the following observation and proposals:</w:t>
            </w:r>
          </w:p>
          <w:p w14:paraId="727A48AD" w14:textId="77777777" w:rsidR="002F4D61" w:rsidRDefault="00B03222">
            <w:pPr>
              <w:pStyle w:val="Observation"/>
              <w:widowControl/>
              <w:tabs>
                <w:tab w:val="clear" w:pos="1304"/>
              </w:tabs>
              <w:spacing w:line="240" w:lineRule="auto"/>
            </w:pPr>
            <w:bookmarkStart w:id="10" w:name="_Toc90045097"/>
            <w:r>
              <w:t>To define the “Type” of the Rel-17 features built under a L1 Terrestrial context, we can follow the Moderator’s suggestion of defining the “Type of FGs 1-3 and 1-4 (i.e., LTE-MTC features) “per UE” and leaving the Type of FGs 1-1 and 1-2 (i.e., NB-IoT features) up to RAN2/RAN4”.</w:t>
            </w:r>
            <w:bookmarkEnd w:id="10"/>
          </w:p>
          <w:p w14:paraId="584313ED" w14:textId="293082BC" w:rsidR="002F4D61" w:rsidRDefault="00B03222">
            <w:pPr>
              <w:pStyle w:val="Proposal"/>
              <w:widowControl/>
              <w:tabs>
                <w:tab w:val="clear" w:pos="1304"/>
              </w:tabs>
              <w:spacing w:line="240" w:lineRule="auto"/>
              <w:ind w:left="1701" w:hanging="1701"/>
            </w:pPr>
            <w:bookmarkStart w:id="11" w:name="_Toc90045108"/>
            <w:r>
              <w:t xml:space="preserve">For 14 HARQ processes in DL for HD-FDD </w:t>
            </w:r>
            <w:proofErr w:type="spellStart"/>
            <w:r>
              <w:t>U</w:t>
            </w:r>
            <w:r w:rsidR="00C959EB">
              <w:t>e</w:t>
            </w:r>
            <w:r>
              <w:t>s</w:t>
            </w:r>
            <w:proofErr w:type="spellEnd"/>
            <w:r>
              <w:t xml:space="preserve"> (i.e., FG 1-3 in the “UE Feature list”), the column “Type” is defined “Per UE”.</w:t>
            </w:r>
            <w:bookmarkEnd w:id="11"/>
          </w:p>
          <w:p w14:paraId="20604756" w14:textId="77777777" w:rsidR="002F4D61" w:rsidRDefault="00B03222">
            <w:pPr>
              <w:pStyle w:val="BodyText"/>
            </w:pPr>
            <w:r>
              <w:t>On the other hand, during RAN1#107 the following conclusion remained stable for endorsement until a last-minute comment was received which made the Chairman to decide proceeding as follows: “</w:t>
            </w:r>
            <w:r>
              <w:rPr>
                <w:i/>
                <w:iCs/>
              </w:rPr>
              <w:t>Seems that we need to comeback to proposal 3-3 in Q1</w:t>
            </w:r>
            <w:r>
              <w:t>”.</w:t>
            </w:r>
          </w:p>
          <w:tbl>
            <w:tblPr>
              <w:tblStyle w:val="TableGrid"/>
              <w:tblW w:w="0" w:type="auto"/>
              <w:tblLook w:val="04A0" w:firstRow="1" w:lastRow="0" w:firstColumn="1" w:lastColumn="0" w:noHBand="0" w:noVBand="1"/>
            </w:tblPr>
            <w:tblGrid>
              <w:gridCol w:w="9629"/>
            </w:tblGrid>
            <w:tr w:rsidR="002F4D61" w14:paraId="29441AC7" w14:textId="77777777">
              <w:tc>
                <w:tcPr>
                  <w:tcW w:w="9629" w:type="dxa"/>
                </w:tcPr>
                <w:p w14:paraId="289D78B9" w14:textId="77777777" w:rsidR="002F4D61" w:rsidRDefault="00B03222">
                  <w:pPr>
                    <w:rPr>
                      <w:sz w:val="14"/>
                      <w:szCs w:val="14"/>
                      <w:lang w:val="en-US"/>
                    </w:rPr>
                  </w:pPr>
                  <w:r>
                    <w:rPr>
                      <w:b/>
                      <w:bCs/>
                      <w:sz w:val="20"/>
                      <w:lang w:val="en-US"/>
                    </w:rPr>
                    <w:lastRenderedPageBreak/>
                    <w:t>Proposed conclusion 3-3:</w:t>
                  </w:r>
                </w:p>
                <w:p w14:paraId="3C2D19D0" w14:textId="317AD817" w:rsidR="002F4D61" w:rsidRDefault="00B03222">
                  <w:pPr>
                    <w:numPr>
                      <w:ilvl w:val="0"/>
                      <w:numId w:val="22"/>
                    </w:numPr>
                    <w:overflowPunct/>
                    <w:autoSpaceDE/>
                    <w:autoSpaceDN/>
                    <w:adjustRightInd/>
                    <w:spacing w:after="0" w:line="240" w:lineRule="auto"/>
                    <w:jc w:val="both"/>
                    <w:textAlignment w:val="auto"/>
                    <w:rPr>
                      <w:rFonts w:ascii="Calibri" w:hAnsi="Calibri" w:cs="Gulim"/>
                      <w:sz w:val="14"/>
                      <w:szCs w:val="14"/>
                      <w:lang w:val="en-US"/>
                    </w:rPr>
                  </w:pPr>
                  <w:r>
                    <w:rPr>
                      <w:b/>
                      <w:bCs/>
                      <w:sz w:val="20"/>
                      <w:lang w:val="en-US"/>
                    </w:rPr>
                    <w:t xml:space="preserve">It is RAN1 assumption the 14 HARQ processes feature is compatible with all other </w:t>
                  </w:r>
                  <w:proofErr w:type="spellStart"/>
                  <w:r>
                    <w:rPr>
                      <w:b/>
                      <w:bCs/>
                      <w:sz w:val="20"/>
                      <w:lang w:val="en-US"/>
                    </w:rPr>
                    <w:t>eMTC</w:t>
                  </w:r>
                  <w:proofErr w:type="spellEnd"/>
                  <w:r>
                    <w:rPr>
                      <w:b/>
                      <w:bCs/>
                      <w:sz w:val="20"/>
                      <w:lang w:val="en-US"/>
                    </w:rPr>
                    <w:t xml:space="preserve"> features in connected-mode applicable for HD-FDD Cat. M1 </w:t>
                  </w:r>
                  <w:proofErr w:type="spellStart"/>
                  <w:r>
                    <w:rPr>
                      <w:b/>
                      <w:bCs/>
                      <w:sz w:val="20"/>
                      <w:lang w:val="en-US"/>
                    </w:rPr>
                    <w:t>U</w:t>
                  </w:r>
                  <w:r w:rsidR="00C959EB">
                    <w:rPr>
                      <w:b/>
                      <w:bCs/>
                      <w:sz w:val="20"/>
                      <w:lang w:val="en-US"/>
                    </w:rPr>
                    <w:t>e</w:t>
                  </w:r>
                  <w:r>
                    <w:rPr>
                      <w:b/>
                      <w:bCs/>
                      <w:sz w:val="20"/>
                      <w:lang w:val="en-US"/>
                    </w:rPr>
                    <w:t>s</w:t>
                  </w:r>
                  <w:proofErr w:type="spellEnd"/>
                  <w:r>
                    <w:rPr>
                      <w:b/>
                      <w:bCs/>
                      <w:sz w:val="20"/>
                      <w:lang w:val="en-US"/>
                    </w:rPr>
                    <w:t xml:space="preserve"> in CE mode A, except for the simultaneous configuration with </w:t>
                  </w:r>
                  <w:r>
                    <w:rPr>
                      <w:b/>
                      <w:bCs/>
                      <w:sz w:val="20"/>
                      <w:lang w:val="en-US" w:eastAsia="zh-CN"/>
                    </w:rPr>
                    <w:t xml:space="preserve">Rel-16 </w:t>
                  </w:r>
                  <w:proofErr w:type="gramStart"/>
                  <w:r>
                    <w:rPr>
                      <w:b/>
                      <w:bCs/>
                      <w:sz w:val="20"/>
                      <w:lang w:val="en-US"/>
                    </w:rPr>
                    <w:t>Multi-TB</w:t>
                  </w:r>
                  <w:proofErr w:type="gramEnd"/>
                  <w:r>
                    <w:rPr>
                      <w:b/>
                      <w:bCs/>
                      <w:sz w:val="20"/>
                      <w:lang w:val="en-US"/>
                    </w:rPr>
                    <w:t xml:space="preserve"> scheduling, to be captured in the note column in FG 1-3</w:t>
                  </w:r>
                </w:p>
              </w:tc>
            </w:tr>
          </w:tbl>
          <w:p w14:paraId="34C41272" w14:textId="77777777" w:rsidR="002F4D61" w:rsidRDefault="002F4D61">
            <w:pPr>
              <w:pStyle w:val="BodyText"/>
            </w:pPr>
          </w:p>
          <w:p w14:paraId="61046432" w14:textId="77777777" w:rsidR="002F4D61" w:rsidRDefault="00B03222">
            <w:pPr>
              <w:pStyle w:val="BodyText"/>
            </w:pPr>
            <w:r>
              <w:t xml:space="preserve">The last-minute comment was related with having deleted the following </w:t>
            </w:r>
            <w:r>
              <w:rPr>
                <w:color w:val="FF0000"/>
              </w:rPr>
              <w:t>text in red</w:t>
            </w:r>
            <w:r>
              <w:t xml:space="preserve">: “except for the simultaneous configuration with … </w:t>
            </w:r>
            <w:r>
              <w:rPr>
                <w:color w:val="FF0000"/>
              </w:rPr>
              <w:t>and Rel-14 dynamic HARQ-ACK delay</w:t>
            </w:r>
            <w:r>
              <w:t xml:space="preserve">”. On this matter, the main reason for having deleted “Rel-14 dynamic HARQ-ACK delay” had to do with the fact that it was unclear what is really meant by “dynamic HARQ-ACK delay”, since it may encompass for example the scheduling possibility to delay HARQ-ACK &gt; 4 which is obviously not incompatible, and other functionalities that are not incompatible either. The misunderstanding that led to the concern seems to </w:t>
            </w:r>
            <w:proofErr w:type="gramStart"/>
            <w:r>
              <w:t>be connected with</w:t>
            </w:r>
            <w:proofErr w:type="gramEnd"/>
            <w:r>
              <w:t xml:space="preserve"> having interpreted that “Rel-14 dynamic HARQ-ACK delay” equals to “HARQ-ACK delay field” but it is not the same, since as we expressed it before the wording “Rel-14 dynamic HARQ-ACK delay” can be seen as encompassing more than just what is provided by a DCI field. Moreover, it should be clear from the agreements on the “HARQ-ACK delay” (and from TS 36.212) that in Rel-17 for the 14 HARQ processes feature, the HARQ-ACK delays are only provided through the “</w:t>
            </w:r>
            <w:r>
              <w:rPr>
                <w:i/>
                <w:iCs/>
              </w:rPr>
              <w:t>PDSCH scheduling delay and HARQ-ACK delay for 14 HARQ</w:t>
            </w:r>
            <w:r>
              <w:t>” DCI field”.</w:t>
            </w:r>
          </w:p>
          <w:p w14:paraId="0084C8A1" w14:textId="77777777" w:rsidR="002F4D61" w:rsidRDefault="00B03222">
            <w:pPr>
              <w:pStyle w:val="Observation"/>
              <w:widowControl/>
              <w:tabs>
                <w:tab w:val="clear" w:pos="1304"/>
              </w:tabs>
              <w:spacing w:line="240" w:lineRule="auto"/>
            </w:pPr>
            <w:bookmarkStart w:id="12" w:name="_Toc90045098"/>
            <w:r>
              <w:t xml:space="preserve">The last-minute comment on “Proposed conclusion 3-3” had to do with having deleted the following </w:t>
            </w:r>
            <w:r>
              <w:rPr>
                <w:color w:val="FF0000"/>
              </w:rPr>
              <w:t>text in red</w:t>
            </w:r>
            <w:r>
              <w:t>: “</w:t>
            </w:r>
            <w:r>
              <w:rPr>
                <w:i/>
                <w:iCs/>
              </w:rPr>
              <w:t xml:space="preserve">except for the simultaneous configuration with … </w:t>
            </w:r>
            <w:r>
              <w:rPr>
                <w:i/>
                <w:iCs/>
                <w:color w:val="FF0000"/>
              </w:rPr>
              <w:t>and Rel-14 dynamic HARQ-ACK delay</w:t>
            </w:r>
            <w:r>
              <w:t>”.</w:t>
            </w:r>
            <w:bookmarkEnd w:id="12"/>
          </w:p>
          <w:p w14:paraId="011182A3" w14:textId="77777777" w:rsidR="002F4D61" w:rsidRDefault="00B03222">
            <w:pPr>
              <w:pStyle w:val="Observation"/>
              <w:widowControl/>
              <w:tabs>
                <w:tab w:val="clear" w:pos="1304"/>
              </w:tabs>
              <w:spacing w:line="240" w:lineRule="auto"/>
            </w:pPr>
            <w:bookmarkStart w:id="13" w:name="_Toc90045099"/>
            <w:r>
              <w:t>The reason for having deleted “</w:t>
            </w:r>
            <w:r>
              <w:rPr>
                <w:color w:val="FF0000"/>
              </w:rPr>
              <w:t>Rel-14 dynamic HARQ-ACK delay</w:t>
            </w:r>
            <w:r>
              <w:t xml:space="preserve">” is the broadness of the term </w:t>
            </w:r>
            <w:r>
              <w:rPr>
                <w:color w:val="FF0000"/>
              </w:rPr>
              <w:t>in red</w:t>
            </w:r>
            <w:r>
              <w:t xml:space="preserve"> which encompasses functionalities that are not incompatible with the 14 HARQ processes feature, for example the scheduling possibility to delay HARQ-ACK &gt; 4 which is obviously not incompatible.</w:t>
            </w:r>
            <w:bookmarkEnd w:id="13"/>
          </w:p>
          <w:p w14:paraId="17CD58E5" w14:textId="77777777" w:rsidR="002F4D61" w:rsidRDefault="00B03222">
            <w:pPr>
              <w:pStyle w:val="Observation"/>
              <w:widowControl/>
              <w:tabs>
                <w:tab w:val="clear" w:pos="1304"/>
              </w:tabs>
              <w:spacing w:line="240" w:lineRule="auto"/>
            </w:pPr>
            <w:bookmarkStart w:id="14" w:name="_Toc90045100"/>
            <w:r>
              <w:t>It seems that the last-minute concern had to do with having interpreted that “Rel-14 dynamic HARQ-ACK delay” equals to “HARQ-ACK delay field” but it is not the same, since the wording “Rel-14 dynamic HARQ-ACK delay” can be seen as encompassing more than just what is provided by a DCI field.</w:t>
            </w:r>
            <w:bookmarkEnd w:id="14"/>
            <w:r>
              <w:t xml:space="preserve"> </w:t>
            </w:r>
          </w:p>
          <w:p w14:paraId="3BD81893" w14:textId="77777777" w:rsidR="002F4D61" w:rsidRDefault="00B03222">
            <w:pPr>
              <w:pStyle w:val="Observation"/>
              <w:widowControl/>
              <w:tabs>
                <w:tab w:val="clear" w:pos="1304"/>
              </w:tabs>
              <w:spacing w:line="240" w:lineRule="auto"/>
            </w:pPr>
            <w:bookmarkStart w:id="15" w:name="_Toc90045101"/>
            <w:r>
              <w:t>By having deleted “</w:t>
            </w:r>
            <w:r>
              <w:rPr>
                <w:color w:val="FF0000"/>
              </w:rPr>
              <w:t>Rel-14 dynamic HARQ-ACK delay</w:t>
            </w:r>
            <w:r>
              <w:t>”, there is no intention of performing a dynamic switching between legacy “HARQ-ACK delays” and “Rel-17 HARQ-ACK delays”. Indeed, from TS 36.212, for the 14 HARQ processes feature the HARQ-ACK delays are only possible to be provided through the “PDSCH scheduling delay and HARQ-ACK delay for 14 HARQ” DCI field.</w:t>
            </w:r>
            <w:bookmarkEnd w:id="15"/>
          </w:p>
          <w:p w14:paraId="6C33A69D" w14:textId="77777777" w:rsidR="002F4D61" w:rsidRDefault="00B03222">
            <w:pPr>
              <w:pStyle w:val="Observation"/>
              <w:widowControl/>
              <w:tabs>
                <w:tab w:val="clear" w:pos="1304"/>
              </w:tabs>
              <w:spacing w:line="240" w:lineRule="auto"/>
            </w:pPr>
            <w:bookmarkStart w:id="16" w:name="_Toc90045102"/>
            <w:r>
              <w:t>Based on the clarification provided in the previous observations, it should be clear that we can proceed with “Proposed conclusion 3-3” from RAN1# 107-e.</w:t>
            </w:r>
            <w:bookmarkEnd w:id="16"/>
            <w:r>
              <w:t xml:space="preserve"> </w:t>
            </w:r>
          </w:p>
          <w:p w14:paraId="148BCA13" w14:textId="0E02A60A" w:rsidR="002F4D61" w:rsidRDefault="00B03222">
            <w:pPr>
              <w:pStyle w:val="Proposal"/>
              <w:widowControl/>
              <w:tabs>
                <w:tab w:val="clear" w:pos="1304"/>
              </w:tabs>
              <w:spacing w:line="240" w:lineRule="auto"/>
              <w:ind w:left="1701" w:hanging="1701"/>
            </w:pPr>
            <w:bookmarkStart w:id="17" w:name="_Toc90045109"/>
            <w:r>
              <w:t xml:space="preserve">Conclusion: It is RAN1 assumption the 14 HARQ processes feature is compatible with all other </w:t>
            </w:r>
            <w:proofErr w:type="spellStart"/>
            <w:r>
              <w:t>eMTC</w:t>
            </w:r>
            <w:proofErr w:type="spellEnd"/>
            <w:r>
              <w:t xml:space="preserve"> features in connected-mode applicable for HD-FDD Cat. M1 </w:t>
            </w:r>
            <w:proofErr w:type="spellStart"/>
            <w:r>
              <w:t>U</w:t>
            </w:r>
            <w:r w:rsidR="00C959EB">
              <w:t>e</w:t>
            </w:r>
            <w:r>
              <w:t>s</w:t>
            </w:r>
            <w:proofErr w:type="spellEnd"/>
            <w:r>
              <w:t xml:space="preserve"> in CE mode A, except for the simultaneous configuration with Rel-16 </w:t>
            </w:r>
            <w:proofErr w:type="gramStart"/>
            <w:r>
              <w:t>Multi-TB</w:t>
            </w:r>
            <w:proofErr w:type="gramEnd"/>
            <w:r>
              <w:t xml:space="preserve"> scheduling, to be captured in the note column in FG 1-3.</w:t>
            </w:r>
            <w:bookmarkEnd w:id="17"/>
            <w:r>
              <w:t xml:space="preserve"> </w:t>
            </w:r>
          </w:p>
          <w:p w14:paraId="51D40A40" w14:textId="77777777" w:rsidR="002F4D61" w:rsidRDefault="00B03222">
            <w:pPr>
              <w:pStyle w:val="Observation"/>
              <w:widowControl/>
              <w:tabs>
                <w:tab w:val="clear" w:pos="1304"/>
              </w:tabs>
              <w:spacing w:line="240" w:lineRule="auto"/>
            </w:pPr>
            <w:bookmarkStart w:id="18" w:name="_Toc90045103"/>
            <w:r>
              <w:t>If after the provided explanations there were a request to make explicit that there is no intention of performing a dynamic switching between legacy “HARQ-ACK delays” and “Rel-17 HARQ-ACK delays”, then we can write a second conclusion as below (although it seems unnecessary based on what is already captured in TS 36.212):</w:t>
            </w:r>
            <w:bookmarkEnd w:id="18"/>
          </w:p>
          <w:p w14:paraId="4E9A20CD" w14:textId="77777777" w:rsidR="002F4D61" w:rsidRDefault="00B03222">
            <w:pPr>
              <w:pStyle w:val="Observation"/>
              <w:widowControl/>
              <w:numPr>
                <w:ilvl w:val="2"/>
                <w:numId w:val="22"/>
              </w:numPr>
              <w:tabs>
                <w:tab w:val="clear" w:pos="1304"/>
              </w:tabs>
              <w:spacing w:line="240" w:lineRule="auto"/>
            </w:pPr>
            <w:bookmarkStart w:id="19" w:name="_Toc90045104"/>
            <w:r>
              <w:t>In Rel-17 for the 14 HARQ processes feature, the HARQ-ACK delays are only provided through the “PDSCH scheduling delay and HARQ-ACK delay for 14 HARQ” DCI field</w:t>
            </w:r>
            <w:bookmarkEnd w:id="19"/>
            <w:r>
              <w:t>.</w:t>
            </w:r>
          </w:p>
        </w:tc>
      </w:tr>
    </w:tbl>
    <w:p w14:paraId="526436EC" w14:textId="77777777" w:rsidR="002F4D61" w:rsidRDefault="002F4D61">
      <w:pPr>
        <w:spacing w:afterLines="50" w:after="120"/>
        <w:jc w:val="both"/>
        <w:rPr>
          <w:sz w:val="22"/>
        </w:rPr>
      </w:pPr>
    </w:p>
    <w:p w14:paraId="699BE827" w14:textId="77777777" w:rsidR="002F4D61" w:rsidRDefault="002F4D61">
      <w:pPr>
        <w:spacing w:afterLines="50" w:after="120"/>
        <w:jc w:val="both"/>
        <w:rPr>
          <w:sz w:val="22"/>
          <w:lang w:val="en-US"/>
        </w:rPr>
      </w:pPr>
    </w:p>
    <w:p w14:paraId="1D261A01" w14:textId="77777777" w:rsidR="002F4D61" w:rsidRDefault="00B03222">
      <w:pPr>
        <w:pStyle w:val="Heading2"/>
        <w:rPr>
          <w:b/>
          <w:bCs/>
        </w:rPr>
      </w:pPr>
      <w:r>
        <w:rPr>
          <w:b/>
          <w:bCs/>
        </w:rPr>
        <w:t>Discussion</w:t>
      </w:r>
    </w:p>
    <w:p w14:paraId="59C0592D" w14:textId="77777777" w:rsidR="002F4D61" w:rsidRDefault="00B03222">
      <w:pPr>
        <w:spacing w:afterLines="50" w:after="120"/>
        <w:jc w:val="both"/>
        <w:rPr>
          <w:b/>
          <w:bCs/>
          <w:szCs w:val="21"/>
          <w:lang w:val="en-US"/>
        </w:rPr>
      </w:pPr>
      <w:r>
        <w:rPr>
          <w:b/>
          <w:bCs/>
          <w:szCs w:val="21"/>
          <w:lang w:val="en-US"/>
        </w:rPr>
        <w:t>[FL1] Proposal 3-1:</w:t>
      </w:r>
    </w:p>
    <w:p w14:paraId="4329F1C2" w14:textId="77777777" w:rsidR="002F4D61" w:rsidRDefault="00B03222">
      <w:pPr>
        <w:pStyle w:val="ListParagraph"/>
        <w:numPr>
          <w:ilvl w:val="0"/>
          <w:numId w:val="19"/>
        </w:numPr>
        <w:spacing w:afterLines="50" w:after="120"/>
        <w:ind w:leftChars="0"/>
        <w:jc w:val="both"/>
        <w:rPr>
          <w:b/>
          <w:bCs/>
          <w:szCs w:val="24"/>
          <w:lang w:val="en-US"/>
        </w:rPr>
      </w:pPr>
      <w:r>
        <w:rPr>
          <w:b/>
          <w:bCs/>
          <w:szCs w:val="21"/>
          <w:lang w:val="en-US"/>
        </w:rPr>
        <w:t>For FG 1-3, select one of the following options:</w:t>
      </w:r>
    </w:p>
    <w:p w14:paraId="3B2C7439" w14:textId="77777777" w:rsidR="002F4D61" w:rsidRDefault="00B03222">
      <w:pPr>
        <w:pStyle w:val="ListParagraph"/>
        <w:numPr>
          <w:ilvl w:val="1"/>
          <w:numId w:val="19"/>
        </w:numPr>
        <w:spacing w:afterLines="50" w:after="120"/>
        <w:ind w:leftChars="0"/>
        <w:jc w:val="both"/>
        <w:rPr>
          <w:b/>
          <w:bCs/>
          <w:szCs w:val="24"/>
          <w:lang w:val="en-US"/>
        </w:rPr>
      </w:pPr>
      <w:r>
        <w:rPr>
          <w:b/>
          <w:bCs/>
          <w:szCs w:val="21"/>
          <w:lang w:val="en-US"/>
        </w:rPr>
        <w:t>Option 1: type of FG 1-3 is per UE</w:t>
      </w:r>
    </w:p>
    <w:p w14:paraId="337372E5" w14:textId="77777777" w:rsidR="002F4D61" w:rsidRDefault="00B03222">
      <w:pPr>
        <w:pStyle w:val="ListParagraph"/>
        <w:numPr>
          <w:ilvl w:val="1"/>
          <w:numId w:val="19"/>
        </w:numPr>
        <w:spacing w:afterLines="50" w:after="120"/>
        <w:ind w:leftChars="0"/>
        <w:jc w:val="both"/>
        <w:rPr>
          <w:b/>
          <w:bCs/>
          <w:szCs w:val="24"/>
          <w:lang w:val="en-US"/>
        </w:rPr>
      </w:pPr>
      <w:r>
        <w:rPr>
          <w:b/>
          <w:bCs/>
          <w:szCs w:val="21"/>
          <w:lang w:val="en-US"/>
        </w:rPr>
        <w:t>Option 2: type of FG 1-3 is per band</w:t>
      </w:r>
    </w:p>
    <w:tbl>
      <w:tblPr>
        <w:tblStyle w:val="TableGrid"/>
        <w:tblW w:w="5000" w:type="pct"/>
        <w:tblLook w:val="04A0" w:firstRow="1" w:lastRow="0" w:firstColumn="1" w:lastColumn="0" w:noHBand="0" w:noVBand="1"/>
      </w:tblPr>
      <w:tblGrid>
        <w:gridCol w:w="2265"/>
        <w:gridCol w:w="20118"/>
      </w:tblGrid>
      <w:tr w:rsidR="002F4D61" w14:paraId="7C59BBBB" w14:textId="77777777">
        <w:tc>
          <w:tcPr>
            <w:tcW w:w="506" w:type="pct"/>
            <w:shd w:val="clear" w:color="auto" w:fill="F2F2F2" w:themeFill="background1" w:themeFillShade="F2"/>
          </w:tcPr>
          <w:p w14:paraId="6F0B79E7" w14:textId="77777777" w:rsidR="002F4D61" w:rsidRDefault="00B0322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509465" w14:textId="77777777" w:rsidR="002F4D61" w:rsidRDefault="00B03222">
            <w:pPr>
              <w:spacing w:afterLines="50" w:after="120"/>
              <w:jc w:val="both"/>
              <w:rPr>
                <w:szCs w:val="21"/>
                <w:lang w:val="en-US"/>
              </w:rPr>
            </w:pPr>
            <w:r>
              <w:rPr>
                <w:rFonts w:hint="eastAsia"/>
                <w:szCs w:val="21"/>
                <w:lang w:val="en-US"/>
              </w:rPr>
              <w:t>C</w:t>
            </w:r>
            <w:r>
              <w:rPr>
                <w:szCs w:val="21"/>
                <w:lang w:val="en-US"/>
              </w:rPr>
              <w:t>omment</w:t>
            </w:r>
          </w:p>
        </w:tc>
      </w:tr>
      <w:tr w:rsidR="002F4D61" w14:paraId="1F30DBB4" w14:textId="77777777">
        <w:tc>
          <w:tcPr>
            <w:tcW w:w="506" w:type="pct"/>
          </w:tcPr>
          <w:p w14:paraId="1983FB5C" w14:textId="77777777" w:rsidR="002F4D61" w:rsidRDefault="00B03222">
            <w:pPr>
              <w:spacing w:after="180"/>
              <w:jc w:val="both"/>
              <w:rPr>
                <w:szCs w:val="21"/>
                <w:lang w:val="en-US"/>
              </w:rPr>
            </w:pPr>
            <w:r>
              <w:rPr>
                <w:rFonts w:hint="eastAsia"/>
                <w:szCs w:val="21"/>
                <w:lang w:val="en-US"/>
              </w:rPr>
              <w:t>M</w:t>
            </w:r>
            <w:r>
              <w:rPr>
                <w:szCs w:val="21"/>
                <w:lang w:val="en-US"/>
              </w:rPr>
              <w:t>oderator</w:t>
            </w:r>
          </w:p>
        </w:tc>
        <w:tc>
          <w:tcPr>
            <w:tcW w:w="4494" w:type="pct"/>
          </w:tcPr>
          <w:p w14:paraId="774EA6CD" w14:textId="77777777" w:rsidR="002F4D61" w:rsidRDefault="00B03222">
            <w:pPr>
              <w:spacing w:after="180"/>
              <w:rPr>
                <w:szCs w:val="21"/>
                <w:lang w:val="en-US"/>
              </w:rPr>
            </w:pPr>
            <w:r>
              <w:rPr>
                <w:rFonts w:hint="eastAsia"/>
                <w:szCs w:val="21"/>
                <w:lang w:val="en-US"/>
              </w:rPr>
              <w:t>S</w:t>
            </w:r>
            <w:r>
              <w:rPr>
                <w:szCs w:val="21"/>
                <w:lang w:val="en-US"/>
              </w:rPr>
              <w:t>ummary of companies view</w:t>
            </w:r>
          </w:p>
          <w:p w14:paraId="1F61F106" w14:textId="77777777" w:rsidR="002F4D61" w:rsidRDefault="00B03222">
            <w:pPr>
              <w:pStyle w:val="ListParagraph"/>
              <w:numPr>
                <w:ilvl w:val="0"/>
                <w:numId w:val="20"/>
              </w:numPr>
              <w:spacing w:after="180"/>
              <w:ind w:leftChars="0"/>
              <w:rPr>
                <w:szCs w:val="21"/>
                <w:lang w:val="es-MX"/>
              </w:rPr>
            </w:pPr>
            <w:proofErr w:type="spellStart"/>
            <w:r>
              <w:rPr>
                <w:rFonts w:hint="eastAsia"/>
                <w:szCs w:val="21"/>
                <w:lang w:val="es-MX"/>
              </w:rPr>
              <w:t>O</w:t>
            </w:r>
            <w:r>
              <w:rPr>
                <w:szCs w:val="21"/>
                <w:lang w:val="es-MX"/>
              </w:rPr>
              <w:t>ption</w:t>
            </w:r>
            <w:proofErr w:type="spellEnd"/>
            <w:r>
              <w:rPr>
                <w:szCs w:val="21"/>
                <w:lang w:val="es-MX"/>
              </w:rPr>
              <w:t xml:space="preserve"> 1: HW/</w:t>
            </w:r>
            <w:proofErr w:type="spellStart"/>
            <w:r>
              <w:rPr>
                <w:szCs w:val="21"/>
                <w:lang w:val="es-MX"/>
              </w:rPr>
              <w:t>HiSi</w:t>
            </w:r>
            <w:proofErr w:type="spellEnd"/>
            <w:r>
              <w:rPr>
                <w:szCs w:val="21"/>
                <w:lang w:val="es-MX"/>
              </w:rPr>
              <w:t>, ZTE, Nokia/NSB, DOCOMO, E///</w:t>
            </w:r>
          </w:p>
          <w:p w14:paraId="0B68320C" w14:textId="77777777" w:rsidR="002F4D61" w:rsidRDefault="00B03222">
            <w:pPr>
              <w:pStyle w:val="ListParagraph"/>
              <w:numPr>
                <w:ilvl w:val="0"/>
                <w:numId w:val="20"/>
              </w:numPr>
              <w:spacing w:after="180"/>
              <w:ind w:leftChars="0"/>
              <w:rPr>
                <w:szCs w:val="21"/>
                <w:lang w:val="en-US"/>
              </w:rPr>
            </w:pPr>
            <w:r>
              <w:rPr>
                <w:rFonts w:hint="eastAsia"/>
                <w:szCs w:val="21"/>
                <w:lang w:val="en-US"/>
              </w:rPr>
              <w:t>O</w:t>
            </w:r>
            <w:r>
              <w:rPr>
                <w:szCs w:val="21"/>
                <w:lang w:val="en-US"/>
              </w:rPr>
              <w:t>ption 2: QC</w:t>
            </w:r>
          </w:p>
          <w:p w14:paraId="3754B90C" w14:textId="77777777" w:rsidR="002F4D61" w:rsidRDefault="002F4D61">
            <w:pPr>
              <w:spacing w:after="180"/>
              <w:rPr>
                <w:szCs w:val="21"/>
                <w:lang w:val="en-US"/>
              </w:rPr>
            </w:pPr>
          </w:p>
          <w:p w14:paraId="484BCE29" w14:textId="77777777" w:rsidR="002F4D61" w:rsidRDefault="00B03222">
            <w:pPr>
              <w:spacing w:after="180"/>
              <w:rPr>
                <w:szCs w:val="21"/>
                <w:lang w:val="en-US"/>
              </w:rPr>
            </w:pPr>
            <w:r>
              <w:rPr>
                <w:rFonts w:hint="eastAsia"/>
                <w:szCs w:val="21"/>
                <w:lang w:val="en-US"/>
              </w:rPr>
              <w:t>At</w:t>
            </w:r>
            <w:r>
              <w:rPr>
                <w:szCs w:val="21"/>
                <w:lang w:val="en-US"/>
              </w:rPr>
              <w:t xml:space="preserve"> RAN1#107-e, this issue was discussed together with other </w:t>
            </w:r>
            <w:proofErr w:type="gramStart"/>
            <w:r>
              <w:rPr>
                <w:szCs w:val="21"/>
                <w:lang w:val="en-US"/>
              </w:rPr>
              <w:t>FGs</w:t>
            </w:r>
            <w:proofErr w:type="gramEnd"/>
            <w:r>
              <w:rPr>
                <w:szCs w:val="21"/>
                <w:lang w:val="en-US"/>
              </w:rPr>
              <w:t xml:space="preserve"> but no consensus was achieved. During the discussion, most companies showed their flexibility to accept Option 3 for FGs 1-1 and 1-2, and it seemed stable that type of FGs 1-3 and 1-4 are per UE. Companies are invited to provide view whether you can live with Option 1 for FG 1-3.</w:t>
            </w:r>
          </w:p>
        </w:tc>
      </w:tr>
      <w:tr w:rsidR="002F4D61" w14:paraId="72016620" w14:textId="77777777">
        <w:tc>
          <w:tcPr>
            <w:tcW w:w="506" w:type="pct"/>
          </w:tcPr>
          <w:p w14:paraId="306955F1" w14:textId="77777777" w:rsidR="002F4D61" w:rsidRDefault="00B03222">
            <w:pPr>
              <w:spacing w:after="180"/>
              <w:jc w:val="both"/>
              <w:rPr>
                <w:szCs w:val="21"/>
                <w:lang w:val="en-US"/>
              </w:rPr>
            </w:pPr>
            <w:r>
              <w:rPr>
                <w:szCs w:val="21"/>
                <w:lang w:val="en-US"/>
              </w:rPr>
              <w:lastRenderedPageBreak/>
              <w:t>Ericsson</w:t>
            </w:r>
          </w:p>
        </w:tc>
        <w:tc>
          <w:tcPr>
            <w:tcW w:w="4494" w:type="pct"/>
          </w:tcPr>
          <w:p w14:paraId="5412D850" w14:textId="77777777" w:rsidR="002F4D61" w:rsidRDefault="00B03222">
            <w:pPr>
              <w:spacing w:after="180"/>
              <w:rPr>
                <w:szCs w:val="21"/>
                <w:lang w:val="en-US"/>
              </w:rPr>
            </w:pPr>
            <w:r>
              <w:rPr>
                <w:szCs w:val="21"/>
                <w:lang w:val="en-US"/>
              </w:rPr>
              <w:t>Option 1</w:t>
            </w:r>
          </w:p>
        </w:tc>
      </w:tr>
      <w:tr w:rsidR="002F4D61" w14:paraId="70A65CF8" w14:textId="77777777">
        <w:tc>
          <w:tcPr>
            <w:tcW w:w="506" w:type="pct"/>
          </w:tcPr>
          <w:p w14:paraId="3AB7DD80" w14:textId="77777777" w:rsidR="002F4D61" w:rsidRDefault="00B03222">
            <w:pPr>
              <w:spacing w:after="18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3AB9455A" w14:textId="77777777" w:rsidR="002F4D61" w:rsidRDefault="00B03222">
            <w:pPr>
              <w:spacing w:after="180"/>
              <w:rPr>
                <w:rFonts w:eastAsia="SimSun"/>
                <w:szCs w:val="21"/>
                <w:lang w:val="en-US" w:eastAsia="zh-CN"/>
              </w:rPr>
            </w:pPr>
            <w:r>
              <w:rPr>
                <w:rFonts w:eastAsia="SimSun" w:hint="eastAsia"/>
                <w:szCs w:val="21"/>
                <w:lang w:val="en-US" w:eastAsia="zh-CN"/>
              </w:rPr>
              <w:t>Per UE.</w:t>
            </w:r>
          </w:p>
        </w:tc>
      </w:tr>
      <w:tr w:rsidR="00B03222" w14:paraId="2CD61B68" w14:textId="77777777">
        <w:tc>
          <w:tcPr>
            <w:tcW w:w="506" w:type="pct"/>
          </w:tcPr>
          <w:p w14:paraId="7D801D2F" w14:textId="6B0373D7" w:rsidR="00B03222" w:rsidRDefault="00B03222">
            <w:pPr>
              <w:spacing w:after="180"/>
              <w:jc w:val="both"/>
              <w:rPr>
                <w:rFonts w:eastAsia="SimSun"/>
                <w:szCs w:val="21"/>
                <w:lang w:val="en-US" w:eastAsia="zh-CN"/>
              </w:rPr>
            </w:pPr>
            <w:r>
              <w:rPr>
                <w:rFonts w:eastAsia="SimSun"/>
                <w:szCs w:val="21"/>
                <w:lang w:val="en-US" w:eastAsia="zh-CN"/>
              </w:rPr>
              <w:t>Nokia, NSB</w:t>
            </w:r>
          </w:p>
        </w:tc>
        <w:tc>
          <w:tcPr>
            <w:tcW w:w="4494" w:type="pct"/>
          </w:tcPr>
          <w:p w14:paraId="36EC9327" w14:textId="4D24B0B7" w:rsidR="00B03222" w:rsidRDefault="00B03222">
            <w:pPr>
              <w:spacing w:after="180"/>
              <w:rPr>
                <w:rFonts w:eastAsia="SimSun"/>
                <w:szCs w:val="21"/>
                <w:lang w:val="en-US" w:eastAsia="zh-CN"/>
              </w:rPr>
            </w:pPr>
            <w:r>
              <w:rPr>
                <w:rFonts w:eastAsia="SimSun"/>
                <w:szCs w:val="21"/>
                <w:lang w:val="en-US" w:eastAsia="zh-CN"/>
              </w:rPr>
              <w:t>Option 1 (Per UE)</w:t>
            </w:r>
          </w:p>
        </w:tc>
      </w:tr>
      <w:tr w:rsidR="00C959EB" w14:paraId="09BC282A" w14:textId="77777777">
        <w:tc>
          <w:tcPr>
            <w:tcW w:w="506" w:type="pct"/>
          </w:tcPr>
          <w:p w14:paraId="554FF849" w14:textId="212377E4" w:rsidR="00C959EB" w:rsidRPr="00C959EB" w:rsidRDefault="00C959EB">
            <w:pPr>
              <w:spacing w:after="18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7F4E9D9" w14:textId="4B2B399F" w:rsidR="00C959EB" w:rsidRPr="00C959EB" w:rsidRDefault="00C959EB">
            <w:pPr>
              <w:spacing w:after="180"/>
              <w:rPr>
                <w:rFonts w:eastAsiaTheme="minorEastAsia"/>
                <w:szCs w:val="21"/>
                <w:lang w:val="en-US"/>
              </w:rPr>
            </w:pPr>
            <w:r>
              <w:rPr>
                <w:rFonts w:eastAsiaTheme="minorEastAsia" w:hint="eastAsia"/>
                <w:szCs w:val="21"/>
                <w:lang w:val="en-US"/>
              </w:rPr>
              <w:t>W</w:t>
            </w:r>
            <w:r>
              <w:rPr>
                <w:rFonts w:eastAsiaTheme="minorEastAsia"/>
                <w:szCs w:val="21"/>
                <w:lang w:val="en-US"/>
              </w:rPr>
              <w:t>e support Option 1 i.e., per-UE.</w:t>
            </w:r>
          </w:p>
        </w:tc>
      </w:tr>
      <w:tr w:rsidR="004B2843" w14:paraId="77563CC3" w14:textId="77777777">
        <w:tc>
          <w:tcPr>
            <w:tcW w:w="506" w:type="pct"/>
          </w:tcPr>
          <w:p w14:paraId="7E709893" w14:textId="04C2F6F8" w:rsidR="004B2843" w:rsidRDefault="004B2843">
            <w:pPr>
              <w:spacing w:after="180"/>
              <w:jc w:val="both"/>
              <w:rPr>
                <w:rFonts w:eastAsiaTheme="minorEastAsia"/>
                <w:szCs w:val="21"/>
                <w:lang w:val="en-US"/>
              </w:rPr>
            </w:pPr>
            <w:r>
              <w:rPr>
                <w:rFonts w:eastAsiaTheme="minorEastAsia"/>
                <w:szCs w:val="21"/>
                <w:lang w:val="en-US"/>
              </w:rPr>
              <w:t>Qualcomm</w:t>
            </w:r>
          </w:p>
        </w:tc>
        <w:tc>
          <w:tcPr>
            <w:tcW w:w="4494" w:type="pct"/>
          </w:tcPr>
          <w:p w14:paraId="409A37AA" w14:textId="70593459" w:rsidR="004B2843" w:rsidRDefault="004B2843">
            <w:pPr>
              <w:spacing w:after="180"/>
              <w:rPr>
                <w:rFonts w:eastAsiaTheme="minorEastAsia"/>
                <w:szCs w:val="21"/>
                <w:lang w:val="en-US"/>
              </w:rPr>
            </w:pPr>
            <w:r>
              <w:rPr>
                <w:rFonts w:eastAsiaTheme="minorEastAsia"/>
                <w:szCs w:val="21"/>
                <w:lang w:val="en-US"/>
              </w:rPr>
              <w:t xml:space="preserve">One of the objectives of “per band” is to differentiate the feature when deployed in different scenarios, </w:t>
            </w:r>
            <w:proofErr w:type="gramStart"/>
            <w:r>
              <w:rPr>
                <w:rFonts w:eastAsiaTheme="minorEastAsia"/>
                <w:szCs w:val="21"/>
                <w:lang w:val="en-US"/>
              </w:rPr>
              <w:t>e.g.</w:t>
            </w:r>
            <w:proofErr w:type="gramEnd"/>
            <w:r>
              <w:rPr>
                <w:rFonts w:eastAsiaTheme="minorEastAsia"/>
                <w:szCs w:val="21"/>
                <w:lang w:val="en-US"/>
              </w:rPr>
              <w:t xml:space="preserve"> for NTN IOT.</w:t>
            </w:r>
          </w:p>
        </w:tc>
      </w:tr>
      <w:tr w:rsidR="008D43FB" w14:paraId="261EB3F3" w14:textId="77777777">
        <w:tc>
          <w:tcPr>
            <w:tcW w:w="506" w:type="pct"/>
          </w:tcPr>
          <w:p w14:paraId="31D4D86B" w14:textId="268A8A0A" w:rsidR="008D43FB" w:rsidRDefault="008D43FB">
            <w:pPr>
              <w:spacing w:after="180"/>
              <w:jc w:val="both"/>
              <w:rPr>
                <w:rFonts w:eastAsiaTheme="minorEastAsia"/>
                <w:szCs w:val="21"/>
                <w:lang w:val="en-US"/>
              </w:rPr>
            </w:pPr>
            <w:r>
              <w:rPr>
                <w:rFonts w:eastAsiaTheme="minorEastAsia" w:hint="eastAsia"/>
                <w:szCs w:val="21"/>
                <w:lang w:val="en-US"/>
              </w:rPr>
              <w:t>Huawei,</w:t>
            </w:r>
            <w:r>
              <w:rPr>
                <w:rFonts w:eastAsiaTheme="minorEastAsia"/>
                <w:szCs w:val="21"/>
                <w:lang w:val="en-US"/>
              </w:rPr>
              <w:t xml:space="preserve"> </w:t>
            </w:r>
            <w:proofErr w:type="spellStart"/>
            <w:r>
              <w:rPr>
                <w:rFonts w:eastAsiaTheme="minorEastAsia"/>
                <w:szCs w:val="21"/>
                <w:lang w:val="en-US"/>
              </w:rPr>
              <w:t>HiSilicon</w:t>
            </w:r>
            <w:proofErr w:type="spellEnd"/>
          </w:p>
        </w:tc>
        <w:tc>
          <w:tcPr>
            <w:tcW w:w="4494" w:type="pct"/>
          </w:tcPr>
          <w:p w14:paraId="4D7F4248" w14:textId="2BDE6FB6" w:rsidR="008D43FB" w:rsidRDefault="008D43FB">
            <w:pPr>
              <w:spacing w:after="180"/>
              <w:rPr>
                <w:rFonts w:eastAsiaTheme="minorEastAsia"/>
                <w:szCs w:val="21"/>
                <w:lang w:val="en-US"/>
              </w:rPr>
            </w:pPr>
            <w:r>
              <w:rPr>
                <w:rFonts w:eastAsiaTheme="minorEastAsia" w:hint="eastAsia"/>
                <w:szCs w:val="21"/>
                <w:lang w:val="en-US"/>
              </w:rPr>
              <w:t>Option 1.</w:t>
            </w:r>
          </w:p>
        </w:tc>
      </w:tr>
    </w:tbl>
    <w:p w14:paraId="394976AD" w14:textId="77777777" w:rsidR="002F4D61" w:rsidRDefault="002F4D61">
      <w:pPr>
        <w:spacing w:afterLines="50" w:after="120"/>
        <w:jc w:val="both"/>
        <w:rPr>
          <w:sz w:val="22"/>
        </w:rPr>
      </w:pPr>
    </w:p>
    <w:p w14:paraId="525AA9EE" w14:textId="77777777" w:rsidR="002F4D61" w:rsidRDefault="002F4D61">
      <w:pPr>
        <w:spacing w:afterLines="50" w:after="120"/>
        <w:jc w:val="both"/>
        <w:rPr>
          <w:sz w:val="22"/>
          <w:lang w:val="en-US"/>
        </w:rPr>
      </w:pPr>
    </w:p>
    <w:p w14:paraId="7B35FC8E" w14:textId="77777777" w:rsidR="002F4D61" w:rsidRDefault="00B03222">
      <w:pPr>
        <w:spacing w:afterLines="50" w:after="120"/>
        <w:jc w:val="both"/>
        <w:rPr>
          <w:b/>
          <w:bCs/>
          <w:szCs w:val="21"/>
          <w:lang w:val="en-US"/>
        </w:rPr>
      </w:pPr>
      <w:r>
        <w:rPr>
          <w:b/>
          <w:bCs/>
          <w:szCs w:val="21"/>
          <w:lang w:val="en-US"/>
        </w:rPr>
        <w:t>[FL1] Proposed conclusion 3-2:</w:t>
      </w:r>
    </w:p>
    <w:p w14:paraId="6126BF68" w14:textId="77777777" w:rsidR="002F4D61" w:rsidRDefault="00B03222">
      <w:pPr>
        <w:pStyle w:val="ListParagraph"/>
        <w:numPr>
          <w:ilvl w:val="0"/>
          <w:numId w:val="19"/>
        </w:numPr>
        <w:spacing w:afterLines="50" w:after="120"/>
        <w:ind w:leftChars="0"/>
        <w:jc w:val="both"/>
        <w:rPr>
          <w:b/>
          <w:bCs/>
          <w:szCs w:val="24"/>
          <w:lang w:val="en-US"/>
        </w:rPr>
      </w:pPr>
      <w:r>
        <w:rPr>
          <w:b/>
          <w:bCs/>
          <w:szCs w:val="24"/>
          <w:lang w:val="en-US"/>
        </w:rPr>
        <w:t xml:space="preserve">It is RAN1 assumption the 14 HARQ processes feature is compatible with all other </w:t>
      </w:r>
      <w:proofErr w:type="spellStart"/>
      <w:r>
        <w:rPr>
          <w:b/>
          <w:bCs/>
          <w:szCs w:val="24"/>
          <w:lang w:val="en-US"/>
        </w:rPr>
        <w:t>eMTC</w:t>
      </w:r>
      <w:proofErr w:type="spellEnd"/>
      <w:r>
        <w:rPr>
          <w:b/>
          <w:bCs/>
          <w:szCs w:val="24"/>
          <w:lang w:val="en-US"/>
        </w:rPr>
        <w:t xml:space="preserve"> features in connected-mode applicable for HD-FDD Cat. M1 UEs in CE mode A, except for the simultaneous configuration with Rel-16 </w:t>
      </w:r>
      <w:proofErr w:type="gramStart"/>
      <w:r>
        <w:rPr>
          <w:b/>
          <w:bCs/>
          <w:szCs w:val="24"/>
          <w:lang w:val="en-US"/>
        </w:rPr>
        <w:t>Multi-TB</w:t>
      </w:r>
      <w:proofErr w:type="gramEnd"/>
      <w:r>
        <w:rPr>
          <w:b/>
          <w:bCs/>
          <w:szCs w:val="24"/>
          <w:lang w:val="en-US"/>
        </w:rPr>
        <w:t xml:space="preserve"> scheduling,</w:t>
      </w:r>
      <w:r>
        <w:t xml:space="preserve"> </w:t>
      </w:r>
      <w:r>
        <w:rPr>
          <w:b/>
          <w:bCs/>
          <w:szCs w:val="24"/>
          <w:lang w:val="en-US"/>
        </w:rPr>
        <w:t>to be captured in the note column in FG 1-3</w:t>
      </w:r>
    </w:p>
    <w:tbl>
      <w:tblPr>
        <w:tblStyle w:val="TableGrid"/>
        <w:tblW w:w="4950" w:type="pct"/>
        <w:tblLook w:val="04A0" w:firstRow="1" w:lastRow="0" w:firstColumn="1" w:lastColumn="0" w:noHBand="0" w:noVBand="1"/>
      </w:tblPr>
      <w:tblGrid>
        <w:gridCol w:w="2238"/>
        <w:gridCol w:w="19921"/>
      </w:tblGrid>
      <w:tr w:rsidR="002F4D61" w14:paraId="0614614A" w14:textId="77777777">
        <w:tc>
          <w:tcPr>
            <w:tcW w:w="505" w:type="pct"/>
            <w:shd w:val="clear" w:color="auto" w:fill="F2F2F2" w:themeFill="background1" w:themeFillShade="F2"/>
          </w:tcPr>
          <w:p w14:paraId="2689E14F" w14:textId="77777777" w:rsidR="002F4D61" w:rsidRDefault="00B0322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2955617" w14:textId="77777777" w:rsidR="002F4D61" w:rsidRDefault="00B03222">
            <w:pPr>
              <w:spacing w:afterLines="50" w:after="120"/>
              <w:jc w:val="both"/>
              <w:rPr>
                <w:szCs w:val="21"/>
                <w:lang w:val="en-US"/>
              </w:rPr>
            </w:pPr>
            <w:r>
              <w:rPr>
                <w:rFonts w:hint="eastAsia"/>
                <w:szCs w:val="21"/>
                <w:lang w:val="en-US"/>
              </w:rPr>
              <w:t>C</w:t>
            </w:r>
            <w:r>
              <w:rPr>
                <w:szCs w:val="21"/>
                <w:lang w:val="en-US"/>
              </w:rPr>
              <w:t>omment</w:t>
            </w:r>
          </w:p>
        </w:tc>
      </w:tr>
      <w:tr w:rsidR="002F4D61" w14:paraId="0A6999FF" w14:textId="77777777">
        <w:tc>
          <w:tcPr>
            <w:tcW w:w="505" w:type="pct"/>
          </w:tcPr>
          <w:p w14:paraId="56E4F872" w14:textId="77777777" w:rsidR="002F4D61" w:rsidRDefault="00B03222">
            <w:pPr>
              <w:spacing w:after="0"/>
              <w:jc w:val="both"/>
              <w:rPr>
                <w:szCs w:val="21"/>
                <w:lang w:val="en-US"/>
              </w:rPr>
            </w:pPr>
            <w:r>
              <w:rPr>
                <w:rFonts w:hint="eastAsia"/>
                <w:szCs w:val="21"/>
                <w:lang w:val="en-US"/>
              </w:rPr>
              <w:t>M</w:t>
            </w:r>
            <w:r>
              <w:rPr>
                <w:szCs w:val="21"/>
                <w:lang w:val="en-US"/>
              </w:rPr>
              <w:t>oderator</w:t>
            </w:r>
          </w:p>
        </w:tc>
        <w:tc>
          <w:tcPr>
            <w:tcW w:w="4495" w:type="pct"/>
          </w:tcPr>
          <w:p w14:paraId="291C1FD5" w14:textId="77777777" w:rsidR="002F4D61" w:rsidRDefault="00B03222">
            <w:pPr>
              <w:spacing w:after="180"/>
              <w:rPr>
                <w:szCs w:val="21"/>
                <w:lang w:val="en-US"/>
              </w:rPr>
            </w:pPr>
            <w:r>
              <w:rPr>
                <w:rFonts w:hint="eastAsia"/>
                <w:szCs w:val="21"/>
                <w:lang w:val="en-US"/>
              </w:rPr>
              <w:t>S</w:t>
            </w:r>
            <w:r>
              <w:rPr>
                <w:szCs w:val="21"/>
                <w:lang w:val="en-US"/>
              </w:rPr>
              <w:t>ummary of companies view</w:t>
            </w:r>
          </w:p>
          <w:p w14:paraId="36FDEFDE" w14:textId="77777777" w:rsidR="002F4D61" w:rsidRDefault="00B03222">
            <w:pPr>
              <w:pStyle w:val="ListParagraph"/>
              <w:numPr>
                <w:ilvl w:val="0"/>
                <w:numId w:val="20"/>
              </w:numPr>
              <w:spacing w:after="180"/>
              <w:ind w:leftChars="0"/>
              <w:rPr>
                <w:szCs w:val="21"/>
                <w:lang w:val="en-US"/>
              </w:rPr>
            </w:pPr>
            <w:r>
              <w:rPr>
                <w:szCs w:val="21"/>
                <w:lang w:val="en-US"/>
              </w:rPr>
              <w:t>Support (Alt1): E///</w:t>
            </w:r>
          </w:p>
          <w:p w14:paraId="46E7E80C" w14:textId="77777777" w:rsidR="002F4D61" w:rsidRDefault="00B03222">
            <w:pPr>
              <w:pStyle w:val="ListParagraph"/>
              <w:numPr>
                <w:ilvl w:val="1"/>
                <w:numId w:val="20"/>
              </w:numPr>
              <w:spacing w:after="180"/>
              <w:ind w:leftChars="0"/>
              <w:rPr>
                <w:szCs w:val="21"/>
                <w:lang w:val="en-US"/>
              </w:rPr>
            </w:pPr>
            <w:r>
              <w:rPr>
                <w:szCs w:val="21"/>
                <w:lang w:val="en-US"/>
              </w:rPr>
              <w:t>Alt2: Alt1 + excluding Rel-14 HARQ delay:</w:t>
            </w:r>
          </w:p>
          <w:p w14:paraId="49BDEA60" w14:textId="77777777" w:rsidR="002F4D61" w:rsidRDefault="00B03222">
            <w:pPr>
              <w:pStyle w:val="ListParagraph"/>
              <w:numPr>
                <w:ilvl w:val="2"/>
                <w:numId w:val="20"/>
              </w:numPr>
              <w:spacing w:after="180"/>
              <w:ind w:leftChars="0"/>
              <w:rPr>
                <w:szCs w:val="21"/>
                <w:lang w:val="en-US"/>
              </w:rPr>
            </w:pPr>
            <w:r>
              <w:rPr>
                <w:szCs w:val="21"/>
                <w:lang w:val="en-US"/>
              </w:rPr>
              <w:t>ZTE, DOCOMO</w:t>
            </w:r>
          </w:p>
          <w:p w14:paraId="15D552CC" w14:textId="77777777" w:rsidR="002F4D61" w:rsidRDefault="00B03222">
            <w:pPr>
              <w:pStyle w:val="ListParagraph"/>
              <w:numPr>
                <w:ilvl w:val="0"/>
                <w:numId w:val="20"/>
              </w:numPr>
              <w:spacing w:after="180"/>
              <w:ind w:leftChars="0"/>
              <w:rPr>
                <w:szCs w:val="21"/>
                <w:lang w:val="en-US"/>
              </w:rPr>
            </w:pPr>
            <w:r>
              <w:rPr>
                <w:rFonts w:hint="eastAsia"/>
                <w:szCs w:val="21"/>
                <w:lang w:val="en-US"/>
              </w:rPr>
              <w:t>N</w:t>
            </w:r>
            <w:r>
              <w:rPr>
                <w:szCs w:val="21"/>
                <w:lang w:val="en-US"/>
              </w:rPr>
              <w:t>ot support (i.e., having no note/conclusion): DOCOMO</w:t>
            </w:r>
          </w:p>
          <w:p w14:paraId="33D6217E" w14:textId="77777777" w:rsidR="002F4D61" w:rsidRDefault="00B03222">
            <w:pPr>
              <w:pStyle w:val="ListParagraph"/>
              <w:numPr>
                <w:ilvl w:val="0"/>
                <w:numId w:val="20"/>
              </w:numPr>
              <w:spacing w:after="180"/>
              <w:ind w:leftChars="0"/>
              <w:rPr>
                <w:szCs w:val="21"/>
                <w:lang w:val="en-US"/>
              </w:rPr>
            </w:pPr>
            <w:r>
              <w:rPr>
                <w:rFonts w:hint="eastAsia"/>
                <w:szCs w:val="21"/>
                <w:lang w:val="en-US"/>
              </w:rPr>
              <w:t>O</w:t>
            </w:r>
            <w:r>
              <w:rPr>
                <w:szCs w:val="21"/>
                <w:lang w:val="en-US"/>
              </w:rPr>
              <w:t>thers</w:t>
            </w:r>
          </w:p>
          <w:p w14:paraId="38CFC042" w14:textId="77777777" w:rsidR="002F4D61" w:rsidRDefault="00B03222">
            <w:pPr>
              <w:pStyle w:val="ListParagraph"/>
              <w:numPr>
                <w:ilvl w:val="1"/>
                <w:numId w:val="20"/>
              </w:numPr>
              <w:spacing w:after="180"/>
              <w:ind w:leftChars="0"/>
              <w:rPr>
                <w:szCs w:val="21"/>
                <w:lang w:val="en-US"/>
              </w:rPr>
            </w:pPr>
            <w:r>
              <w:rPr>
                <w:rFonts w:hint="eastAsia"/>
                <w:szCs w:val="21"/>
                <w:lang w:val="en-US"/>
              </w:rPr>
              <w:t>A</w:t>
            </w:r>
            <w:r>
              <w:rPr>
                <w:szCs w:val="21"/>
                <w:lang w:val="en-US"/>
              </w:rPr>
              <w:t xml:space="preserve">lt3 (as a conclusion): </w:t>
            </w:r>
            <w:r>
              <w:t>In Rel-17 for the 14 HARQ processes feature, the HARQ-ACK delays are only provided through the “PDSCH scheduling delay and HARQ-ACK delay for 14 HARQ” DCI field.</w:t>
            </w:r>
          </w:p>
          <w:p w14:paraId="150F6385" w14:textId="77777777" w:rsidR="002F4D61" w:rsidRDefault="00B03222">
            <w:pPr>
              <w:pStyle w:val="ListParagraph"/>
              <w:numPr>
                <w:ilvl w:val="2"/>
                <w:numId w:val="20"/>
              </w:numPr>
              <w:spacing w:after="180"/>
              <w:ind w:leftChars="0"/>
              <w:rPr>
                <w:szCs w:val="21"/>
                <w:lang w:val="en-US"/>
              </w:rPr>
            </w:pPr>
            <w:r>
              <w:rPr>
                <w:rFonts w:hint="eastAsia"/>
              </w:rPr>
              <w:t>E</w:t>
            </w:r>
            <w:r>
              <w:t>///</w:t>
            </w:r>
          </w:p>
        </w:tc>
      </w:tr>
      <w:tr w:rsidR="002F4D61" w14:paraId="78B1AB70" w14:textId="77777777">
        <w:tc>
          <w:tcPr>
            <w:tcW w:w="505" w:type="pct"/>
          </w:tcPr>
          <w:p w14:paraId="1045735A" w14:textId="77777777" w:rsidR="002F4D61" w:rsidRDefault="00B03222">
            <w:pPr>
              <w:spacing w:after="0"/>
              <w:jc w:val="both"/>
              <w:rPr>
                <w:szCs w:val="21"/>
                <w:lang w:val="en-US"/>
              </w:rPr>
            </w:pPr>
            <w:r>
              <w:rPr>
                <w:szCs w:val="21"/>
                <w:lang w:val="en-US"/>
              </w:rPr>
              <w:t>Ericsson</w:t>
            </w:r>
          </w:p>
        </w:tc>
        <w:tc>
          <w:tcPr>
            <w:tcW w:w="4495" w:type="pct"/>
          </w:tcPr>
          <w:p w14:paraId="53670183" w14:textId="77777777" w:rsidR="002F4D61" w:rsidRDefault="00B03222">
            <w:pPr>
              <w:spacing w:after="180"/>
              <w:rPr>
                <w:szCs w:val="21"/>
                <w:lang w:val="en-US"/>
              </w:rPr>
            </w:pPr>
            <w:r>
              <w:rPr>
                <w:szCs w:val="21"/>
                <w:lang w:val="en-US"/>
              </w:rPr>
              <w:t>Ok with “Proposed conclusion 3-2”.</w:t>
            </w:r>
          </w:p>
          <w:p w14:paraId="31B1D2CF" w14:textId="77777777" w:rsidR="002F4D61" w:rsidRDefault="00B03222">
            <w:pPr>
              <w:spacing w:after="180"/>
              <w:ind w:left="720"/>
              <w:rPr>
                <w:szCs w:val="21"/>
                <w:lang w:val="en-US"/>
              </w:rPr>
            </w:pPr>
            <w:r>
              <w:rPr>
                <w:szCs w:val="21"/>
                <w:lang w:val="en-US"/>
              </w:rPr>
              <w:t xml:space="preserve">In our paper we have explained why the term “Rel-14 dynamic HARQ-ACK delay” </w:t>
            </w:r>
            <w:proofErr w:type="spellStart"/>
            <w:r>
              <w:rPr>
                <w:szCs w:val="21"/>
                <w:lang w:val="en-US"/>
              </w:rPr>
              <w:t>can not</w:t>
            </w:r>
            <w:proofErr w:type="spellEnd"/>
            <w:r>
              <w:rPr>
                <w:szCs w:val="21"/>
                <w:lang w:val="en-US"/>
              </w:rPr>
              <w:t xml:space="preserve"> be part of the conclusion, and that if (still) there were a request to make explicit that there is no intention of performing a dynamic switching between legacy “HARQ-ACK delays” and “Rel-17 HARQ-ACK delays”, then we can write a second conclusion as below (</w:t>
            </w:r>
            <w:r>
              <w:rPr>
                <w:szCs w:val="21"/>
                <w:u w:val="single"/>
                <w:lang w:val="en-US"/>
              </w:rPr>
              <w:t>although it seems unnecessary based on what is already captured in TS 36.212</w:t>
            </w:r>
            <w:r>
              <w:rPr>
                <w:szCs w:val="21"/>
                <w:lang w:val="en-US"/>
              </w:rPr>
              <w:t>):</w:t>
            </w:r>
          </w:p>
          <w:p w14:paraId="0DF12F56" w14:textId="77777777" w:rsidR="002F4D61" w:rsidRDefault="00B03222">
            <w:pPr>
              <w:spacing w:after="180"/>
              <w:ind w:left="720"/>
              <w:rPr>
                <w:szCs w:val="21"/>
                <w:lang w:val="en-US"/>
              </w:rPr>
            </w:pPr>
            <w:r>
              <w:rPr>
                <w:szCs w:val="21"/>
                <w:lang w:val="en-US"/>
              </w:rPr>
              <w:t>In Rel-17 for the 14 HARQ processes feature, the HARQ-ACK delays are only provided through the “PDSCH scheduling delay and HARQ-ACK delay for 14 HARQ” DCI field.</w:t>
            </w:r>
          </w:p>
        </w:tc>
      </w:tr>
      <w:tr w:rsidR="002F4D61" w14:paraId="4CC360BA" w14:textId="77777777">
        <w:tc>
          <w:tcPr>
            <w:tcW w:w="505" w:type="pct"/>
          </w:tcPr>
          <w:p w14:paraId="530AE68A" w14:textId="77777777" w:rsidR="002F4D61" w:rsidRDefault="00B03222">
            <w:pPr>
              <w:spacing w:after="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5" w:type="pct"/>
          </w:tcPr>
          <w:p w14:paraId="643B29E7" w14:textId="77777777" w:rsidR="002F4D61" w:rsidRDefault="00B03222">
            <w:pPr>
              <w:spacing w:after="180"/>
              <w:rPr>
                <w:rFonts w:eastAsia="SimSun"/>
                <w:szCs w:val="21"/>
                <w:lang w:val="en-US" w:eastAsia="zh-CN"/>
              </w:rPr>
            </w:pPr>
            <w:r>
              <w:rPr>
                <w:rFonts w:eastAsia="SimSun" w:hint="eastAsia"/>
                <w:szCs w:val="21"/>
                <w:lang w:val="en-US" w:eastAsia="zh-CN"/>
              </w:rPr>
              <w:t xml:space="preserve">Our concern would be the real HARQ ACK delay is determined by </w:t>
            </w:r>
            <w:r>
              <w:rPr>
                <w:lang w:eastAsia="zh-CN"/>
              </w:rPr>
              <w:t>HARQ-ACK delay</w:t>
            </w:r>
            <w:r>
              <w:rPr>
                <w:rFonts w:hint="eastAsia"/>
                <w:lang w:val="en-US" w:eastAsia="zh-CN"/>
              </w:rPr>
              <w:t xml:space="preserve"> field or </w:t>
            </w:r>
            <w:r>
              <w:t xml:space="preserve">PDSCH scheduling delay and </w:t>
            </w:r>
            <w:r>
              <w:rPr>
                <w:lang w:eastAsia="zh-CN"/>
              </w:rPr>
              <w:t>HARQ-ACK delay for 14 HARQ</w:t>
            </w:r>
            <w:r>
              <w:rPr>
                <w:rFonts w:hint="eastAsia"/>
                <w:lang w:val="en-US" w:eastAsia="zh-CN"/>
              </w:rPr>
              <w:t xml:space="preserve"> </w:t>
            </w:r>
            <w:proofErr w:type="gramStart"/>
            <w:r>
              <w:rPr>
                <w:rFonts w:hint="eastAsia"/>
                <w:lang w:val="en-US" w:eastAsia="zh-CN"/>
              </w:rPr>
              <w:t>field, if</w:t>
            </w:r>
            <w:proofErr w:type="gramEnd"/>
            <w:r>
              <w:rPr>
                <w:rFonts w:hint="eastAsia"/>
                <w:lang w:val="en-US" w:eastAsia="zh-CN"/>
              </w:rPr>
              <w:t xml:space="preserve"> both of these two features are enabled at the same time.</w:t>
            </w:r>
          </w:p>
        </w:tc>
      </w:tr>
      <w:tr w:rsidR="000965D3" w14:paraId="422EB0DE" w14:textId="77777777">
        <w:tc>
          <w:tcPr>
            <w:tcW w:w="505" w:type="pct"/>
          </w:tcPr>
          <w:p w14:paraId="68C0258E" w14:textId="54C22BEC" w:rsidR="000965D3" w:rsidRDefault="000965D3">
            <w:pPr>
              <w:spacing w:after="0"/>
              <w:jc w:val="both"/>
              <w:rPr>
                <w:rFonts w:eastAsia="SimSun"/>
                <w:szCs w:val="21"/>
                <w:lang w:val="en-US" w:eastAsia="zh-CN"/>
              </w:rPr>
            </w:pPr>
            <w:r>
              <w:rPr>
                <w:rFonts w:eastAsia="SimSun"/>
                <w:szCs w:val="21"/>
                <w:lang w:val="en-US" w:eastAsia="zh-CN"/>
              </w:rPr>
              <w:t>Ericsson v004</w:t>
            </w:r>
          </w:p>
        </w:tc>
        <w:tc>
          <w:tcPr>
            <w:tcW w:w="4495" w:type="pct"/>
          </w:tcPr>
          <w:p w14:paraId="2E6DB7BE" w14:textId="74CAA83C" w:rsidR="000965D3" w:rsidRDefault="000965D3">
            <w:pPr>
              <w:spacing w:after="180"/>
              <w:rPr>
                <w:rFonts w:eastAsia="SimSun"/>
                <w:szCs w:val="21"/>
                <w:lang w:val="en-US" w:eastAsia="zh-CN"/>
              </w:rPr>
            </w:pPr>
            <w:r>
              <w:rPr>
                <w:rFonts w:eastAsia="SimSun"/>
                <w:szCs w:val="21"/>
                <w:lang w:val="en-US" w:eastAsia="zh-CN"/>
              </w:rPr>
              <w:t>To ZTE: Your concern only touches upon DCI fields, while the term “Rel-14 dynamic HARQ-ACK delay” is broader than that. T</w:t>
            </w:r>
            <w:r w:rsidRPr="00BD613D">
              <w:rPr>
                <w:rFonts w:eastAsia="SimSun"/>
                <w:szCs w:val="21"/>
                <w:lang w:val="en-US" w:eastAsia="zh-CN"/>
              </w:rPr>
              <w:t>here is no intention of performing a dynamic switching between legacy “HARQ-ACK delays” and “Rel-17 HARQ-ACK delays”</w:t>
            </w:r>
            <w:r>
              <w:rPr>
                <w:rFonts w:eastAsia="SimSun"/>
                <w:szCs w:val="21"/>
                <w:lang w:val="en-US" w:eastAsia="zh-CN"/>
              </w:rPr>
              <w:t xml:space="preserve">. </w:t>
            </w:r>
            <w:r w:rsidRPr="00BD5A8F">
              <w:rPr>
                <w:rFonts w:eastAsia="SimSun"/>
                <w:szCs w:val="21"/>
                <w:lang w:val="en-US" w:eastAsia="zh-CN"/>
              </w:rPr>
              <w:t>Indeed, from TS 36.212, for the 14 HARQ processes feature the HARQ-ACK delays are only possible to be provided through the “PDSCH scheduling delay and HARQ-ACK delay for 14 HARQ” DCI field</w:t>
            </w:r>
            <w:r>
              <w:rPr>
                <w:rFonts w:eastAsia="SimSun"/>
                <w:szCs w:val="21"/>
                <w:lang w:val="en-US" w:eastAsia="zh-CN"/>
              </w:rPr>
              <w:t>. Thus, although it seems unnecessary, if there were still a concern, perhaps to move forward we could on top of the “Conclusion” add a “Note” explicitly stating e.g., “</w:t>
            </w:r>
            <w:r w:rsidRPr="00BD5A8F">
              <w:rPr>
                <w:rFonts w:eastAsia="SimSun"/>
                <w:szCs w:val="21"/>
                <w:lang w:val="en-US" w:eastAsia="zh-CN"/>
              </w:rPr>
              <w:t>In Rel-17 for the 14 HARQ processes feature, the HARQ-ACK delays are only provided through the “PDSCH scheduling delay and HARQ-ACK delay for 14 HARQ” DCI field.</w:t>
            </w:r>
            <w:r>
              <w:rPr>
                <w:rFonts w:eastAsia="SimSun"/>
                <w:szCs w:val="21"/>
                <w:lang w:val="en-US" w:eastAsia="zh-CN"/>
              </w:rPr>
              <w:t>”</w:t>
            </w:r>
          </w:p>
        </w:tc>
      </w:tr>
      <w:tr w:rsidR="00C959EB" w14:paraId="592DAFBB" w14:textId="77777777">
        <w:tc>
          <w:tcPr>
            <w:tcW w:w="505" w:type="pct"/>
          </w:tcPr>
          <w:p w14:paraId="05720168" w14:textId="3D5B77E9" w:rsidR="00C959EB" w:rsidRPr="00C959EB" w:rsidRDefault="00C959EB">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616CE42A" w14:textId="77777777" w:rsidR="00C959EB" w:rsidRDefault="0087188B">
            <w:pPr>
              <w:spacing w:after="180"/>
              <w:rPr>
                <w:rFonts w:eastAsiaTheme="minorEastAsia"/>
                <w:szCs w:val="21"/>
                <w:lang w:val="en-US"/>
              </w:rPr>
            </w:pPr>
            <w:r>
              <w:rPr>
                <w:rFonts w:eastAsiaTheme="minorEastAsia" w:hint="eastAsia"/>
                <w:szCs w:val="21"/>
                <w:lang w:val="en-US"/>
              </w:rPr>
              <w:t>B</w:t>
            </w:r>
            <w:r>
              <w:rPr>
                <w:rFonts w:eastAsiaTheme="minorEastAsia"/>
                <w:szCs w:val="21"/>
                <w:lang w:val="en-US"/>
              </w:rPr>
              <w:t>ased on the explanation provided by Ericsson, we are fine with suggested note as below.</w:t>
            </w:r>
          </w:p>
          <w:p w14:paraId="01ACB1CD" w14:textId="500F8CA2" w:rsidR="0087188B" w:rsidRPr="0087188B" w:rsidRDefault="0087188B" w:rsidP="0087188B">
            <w:pPr>
              <w:pStyle w:val="ListParagraph"/>
              <w:numPr>
                <w:ilvl w:val="0"/>
                <w:numId w:val="19"/>
              </w:numPr>
              <w:spacing w:afterLines="50" w:after="120"/>
              <w:ind w:leftChars="0"/>
              <w:jc w:val="both"/>
              <w:rPr>
                <w:b/>
                <w:bCs/>
                <w:szCs w:val="24"/>
                <w:lang w:val="en-US"/>
              </w:rPr>
            </w:pPr>
            <w:r>
              <w:rPr>
                <w:b/>
                <w:bCs/>
                <w:szCs w:val="24"/>
                <w:lang w:val="en-US"/>
              </w:rPr>
              <w:lastRenderedPageBreak/>
              <w:t xml:space="preserve">It is RAN1 assumption the 14 HARQ processes feature is compatible with all other </w:t>
            </w:r>
            <w:proofErr w:type="spellStart"/>
            <w:r>
              <w:rPr>
                <w:b/>
                <w:bCs/>
                <w:szCs w:val="24"/>
                <w:lang w:val="en-US"/>
              </w:rPr>
              <w:t>eMTC</w:t>
            </w:r>
            <w:proofErr w:type="spellEnd"/>
            <w:r>
              <w:rPr>
                <w:b/>
                <w:bCs/>
                <w:szCs w:val="24"/>
                <w:lang w:val="en-US"/>
              </w:rPr>
              <w:t xml:space="preserve"> features in connected-mode applicable for HD-FDD Cat. M1 </w:t>
            </w:r>
            <w:proofErr w:type="spellStart"/>
            <w:r>
              <w:rPr>
                <w:b/>
                <w:bCs/>
                <w:szCs w:val="24"/>
                <w:lang w:val="en-US"/>
              </w:rPr>
              <w:t>U</w:t>
            </w:r>
            <w:r w:rsidR="00673589">
              <w:rPr>
                <w:b/>
                <w:bCs/>
                <w:szCs w:val="24"/>
                <w:lang w:val="en-US"/>
              </w:rPr>
              <w:t>e</w:t>
            </w:r>
            <w:r>
              <w:rPr>
                <w:b/>
                <w:bCs/>
                <w:szCs w:val="24"/>
                <w:lang w:val="en-US"/>
              </w:rPr>
              <w:t>s</w:t>
            </w:r>
            <w:proofErr w:type="spellEnd"/>
            <w:r>
              <w:rPr>
                <w:b/>
                <w:bCs/>
                <w:szCs w:val="24"/>
                <w:lang w:val="en-US"/>
              </w:rPr>
              <w:t xml:space="preserve"> in CE mode A, except for the simultaneous configuration with Rel-16 </w:t>
            </w:r>
            <w:proofErr w:type="gramStart"/>
            <w:r>
              <w:rPr>
                <w:b/>
                <w:bCs/>
                <w:szCs w:val="24"/>
                <w:lang w:val="en-US"/>
              </w:rPr>
              <w:t>Multi-TB</w:t>
            </w:r>
            <w:proofErr w:type="gramEnd"/>
            <w:r>
              <w:rPr>
                <w:b/>
                <w:bCs/>
                <w:szCs w:val="24"/>
                <w:lang w:val="en-US"/>
              </w:rPr>
              <w:t xml:space="preserve"> scheduling,</w:t>
            </w:r>
            <w:r>
              <w:t xml:space="preserve"> </w:t>
            </w:r>
            <w:r>
              <w:rPr>
                <w:b/>
                <w:bCs/>
                <w:szCs w:val="24"/>
                <w:lang w:val="en-US"/>
              </w:rPr>
              <w:t xml:space="preserve">to be captured in the note column in FG 1-3. </w:t>
            </w:r>
            <w:r w:rsidRPr="0087188B">
              <w:rPr>
                <w:b/>
                <w:bCs/>
                <w:szCs w:val="24"/>
                <w:lang w:val="en-US"/>
              </w:rPr>
              <w:t>In Rel-17 for the 14 HARQ processes feature, the HARQ-ACK delays are only provided through the “PDSCH scheduling delay and HARQ-ACK delay for 14 HARQ” DCI field.</w:t>
            </w:r>
          </w:p>
        </w:tc>
      </w:tr>
    </w:tbl>
    <w:p w14:paraId="7E62A94A" w14:textId="77777777" w:rsidR="002F4D61" w:rsidRDefault="002F4D61">
      <w:pPr>
        <w:spacing w:afterLines="50" w:after="120"/>
        <w:jc w:val="both"/>
        <w:rPr>
          <w:sz w:val="22"/>
          <w:lang w:val="en-US"/>
        </w:rPr>
      </w:pPr>
    </w:p>
    <w:p w14:paraId="2A058767" w14:textId="77777777" w:rsidR="002F4D61" w:rsidRDefault="002F4D61">
      <w:pPr>
        <w:spacing w:afterLines="50" w:after="120"/>
        <w:jc w:val="both"/>
        <w:rPr>
          <w:sz w:val="22"/>
          <w:lang w:val="en-US"/>
        </w:rPr>
      </w:pPr>
    </w:p>
    <w:p w14:paraId="31283649" w14:textId="77777777" w:rsidR="002F4D61" w:rsidRDefault="002F4D61">
      <w:pPr>
        <w:spacing w:afterLines="50" w:after="120"/>
        <w:jc w:val="both"/>
        <w:rPr>
          <w:sz w:val="22"/>
          <w:lang w:val="en-US"/>
        </w:rPr>
      </w:pPr>
    </w:p>
    <w:p w14:paraId="6EB76D60" w14:textId="445F6AB3" w:rsidR="002F4D61" w:rsidRDefault="00B03222">
      <w:pPr>
        <w:pStyle w:val="Heading1"/>
        <w:numPr>
          <w:ilvl w:val="0"/>
          <w:numId w:val="10"/>
        </w:numPr>
        <w:spacing w:before="180" w:after="120"/>
        <w:rPr>
          <w:rFonts w:eastAsia="MS Mincho"/>
          <w:b/>
          <w:bCs/>
          <w:szCs w:val="24"/>
          <w:lang w:val="en-US"/>
        </w:rPr>
      </w:pPr>
      <w:r>
        <w:rPr>
          <w:rFonts w:eastAsia="MS Mincho"/>
          <w:b/>
          <w:bCs/>
          <w:szCs w:val="24"/>
          <w:lang w:val="en-US"/>
        </w:rPr>
        <w:t xml:space="preserve">1-4: A maximum DL TBS of 1736 bits for HD-FDD Cat. M1 </w:t>
      </w:r>
      <w:proofErr w:type="spellStart"/>
      <w:r>
        <w:rPr>
          <w:rFonts w:eastAsia="MS Mincho"/>
          <w:b/>
          <w:bCs/>
          <w:szCs w:val="24"/>
          <w:lang w:val="en-US"/>
        </w:rPr>
        <w:t>U</w:t>
      </w:r>
      <w:r w:rsidR="00673589">
        <w:rPr>
          <w:rFonts w:eastAsia="MS Mincho"/>
          <w:b/>
          <w:bCs/>
          <w:szCs w:val="24"/>
          <w:lang w:val="en-US"/>
        </w:rPr>
        <w:t>e</w:t>
      </w:r>
      <w:r>
        <w:rPr>
          <w:rFonts w:eastAsia="MS Mincho"/>
          <w:b/>
          <w:bCs/>
          <w:szCs w:val="24"/>
          <w:lang w:val="en-US"/>
        </w:rPr>
        <w:t>s</w:t>
      </w:r>
      <w:proofErr w:type="spellEnd"/>
      <w:r>
        <w:rPr>
          <w:rFonts w:eastAsia="MS Mincho"/>
          <w:b/>
          <w:bCs/>
          <w:szCs w:val="24"/>
          <w:lang w:val="en-US"/>
        </w:rPr>
        <w:t xml:space="preserve"> in CE mode A only</w:t>
      </w:r>
    </w:p>
    <w:p w14:paraId="0DEBFA6F" w14:textId="77777777" w:rsidR="002F4D61" w:rsidRDefault="00B03222">
      <w:pPr>
        <w:spacing w:afterLines="50" w:after="120"/>
        <w:jc w:val="both"/>
        <w:rPr>
          <w:sz w:val="22"/>
          <w:lang w:val="en-US"/>
        </w:rPr>
      </w:pPr>
      <w:r>
        <w:rPr>
          <w:rFonts w:hint="eastAsia"/>
          <w:sz w:val="22"/>
          <w:lang w:val="en-US"/>
        </w:rPr>
        <w:t>I</w:t>
      </w:r>
      <w:r>
        <w:rPr>
          <w:sz w:val="22"/>
          <w:lang w:val="en-US"/>
        </w:rPr>
        <w:t>n [1], FG 1-4 is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01"/>
        <w:gridCol w:w="1189"/>
        <w:gridCol w:w="1847"/>
        <w:gridCol w:w="1484"/>
        <w:gridCol w:w="1148"/>
        <w:gridCol w:w="1172"/>
        <w:gridCol w:w="1516"/>
        <w:gridCol w:w="1435"/>
        <w:gridCol w:w="1416"/>
        <w:gridCol w:w="1389"/>
        <w:gridCol w:w="4753"/>
        <w:gridCol w:w="1907"/>
      </w:tblGrid>
      <w:tr w:rsidR="002F4D61" w14:paraId="0972004B" w14:textId="77777777">
        <w:tc>
          <w:tcPr>
            <w:tcW w:w="2423" w:type="dxa"/>
            <w:tcBorders>
              <w:top w:val="single" w:sz="4" w:space="0" w:color="auto"/>
              <w:left w:val="single" w:sz="4" w:space="0" w:color="auto"/>
              <w:bottom w:val="single" w:sz="4" w:space="0" w:color="auto"/>
              <w:right w:val="single" w:sz="4" w:space="0" w:color="auto"/>
            </w:tcBorders>
          </w:tcPr>
          <w:p w14:paraId="30F31FDC" w14:textId="77777777" w:rsidR="002F4D61" w:rsidRDefault="00B03222">
            <w:pPr>
              <w:pStyle w:val="TAH"/>
            </w:pPr>
            <w:r>
              <w:t>Features</w:t>
            </w:r>
          </w:p>
        </w:tc>
        <w:tc>
          <w:tcPr>
            <w:tcW w:w="701" w:type="dxa"/>
            <w:tcBorders>
              <w:top w:val="single" w:sz="4" w:space="0" w:color="auto"/>
              <w:left w:val="single" w:sz="4" w:space="0" w:color="auto"/>
              <w:bottom w:val="single" w:sz="4" w:space="0" w:color="auto"/>
              <w:right w:val="single" w:sz="4" w:space="0" w:color="auto"/>
            </w:tcBorders>
          </w:tcPr>
          <w:p w14:paraId="7A1A02DA" w14:textId="77777777" w:rsidR="002F4D61" w:rsidRDefault="00B03222">
            <w:pPr>
              <w:pStyle w:val="TAH"/>
            </w:pPr>
            <w:r>
              <w:t>Index</w:t>
            </w:r>
          </w:p>
        </w:tc>
        <w:tc>
          <w:tcPr>
            <w:tcW w:w="1189" w:type="dxa"/>
            <w:tcBorders>
              <w:top w:val="single" w:sz="4" w:space="0" w:color="auto"/>
              <w:left w:val="single" w:sz="4" w:space="0" w:color="auto"/>
              <w:bottom w:val="single" w:sz="4" w:space="0" w:color="auto"/>
              <w:right w:val="single" w:sz="4" w:space="0" w:color="auto"/>
            </w:tcBorders>
          </w:tcPr>
          <w:p w14:paraId="52EC4D6B" w14:textId="77777777" w:rsidR="002F4D61" w:rsidRDefault="00B03222">
            <w:pPr>
              <w:pStyle w:val="TAH"/>
            </w:pPr>
            <w:r>
              <w:t>Feature group</w:t>
            </w:r>
          </w:p>
        </w:tc>
        <w:tc>
          <w:tcPr>
            <w:tcW w:w="1847" w:type="dxa"/>
            <w:tcBorders>
              <w:top w:val="single" w:sz="4" w:space="0" w:color="auto"/>
              <w:left w:val="single" w:sz="4" w:space="0" w:color="auto"/>
              <w:bottom w:val="single" w:sz="4" w:space="0" w:color="auto"/>
              <w:right w:val="single" w:sz="4" w:space="0" w:color="auto"/>
            </w:tcBorders>
          </w:tcPr>
          <w:p w14:paraId="4E62F52F" w14:textId="77777777" w:rsidR="002F4D61" w:rsidRDefault="00B03222">
            <w:pPr>
              <w:pStyle w:val="TAH"/>
            </w:pPr>
            <w:r>
              <w:t>Components</w:t>
            </w:r>
          </w:p>
        </w:tc>
        <w:tc>
          <w:tcPr>
            <w:tcW w:w="1484" w:type="dxa"/>
            <w:tcBorders>
              <w:top w:val="single" w:sz="4" w:space="0" w:color="auto"/>
              <w:left w:val="single" w:sz="4" w:space="0" w:color="auto"/>
              <w:bottom w:val="single" w:sz="4" w:space="0" w:color="auto"/>
              <w:right w:val="single" w:sz="4" w:space="0" w:color="auto"/>
            </w:tcBorders>
          </w:tcPr>
          <w:p w14:paraId="4564FAD1" w14:textId="77777777" w:rsidR="002F4D61" w:rsidRDefault="00B03222">
            <w:pPr>
              <w:pStyle w:val="TAH"/>
            </w:pPr>
            <w:r>
              <w:t>Prerequisite feature groups</w:t>
            </w:r>
          </w:p>
        </w:tc>
        <w:tc>
          <w:tcPr>
            <w:tcW w:w="1148" w:type="dxa"/>
            <w:tcBorders>
              <w:top w:val="single" w:sz="4" w:space="0" w:color="auto"/>
              <w:left w:val="single" w:sz="4" w:space="0" w:color="auto"/>
              <w:bottom w:val="single" w:sz="4" w:space="0" w:color="auto"/>
              <w:right w:val="single" w:sz="4" w:space="0" w:color="auto"/>
            </w:tcBorders>
          </w:tcPr>
          <w:p w14:paraId="4DF70F99" w14:textId="77777777" w:rsidR="002F4D61" w:rsidRDefault="00B03222">
            <w:pPr>
              <w:pStyle w:val="TAH"/>
            </w:pPr>
            <w:r>
              <w:t xml:space="preserve">Need for the </w:t>
            </w:r>
            <w:proofErr w:type="spellStart"/>
            <w:r>
              <w:t>eNB</w:t>
            </w:r>
            <w:proofErr w:type="spellEnd"/>
            <w:r>
              <w:t xml:space="preserve"> to know if the feature is supported</w:t>
            </w:r>
          </w:p>
        </w:tc>
        <w:tc>
          <w:tcPr>
            <w:tcW w:w="1172" w:type="dxa"/>
            <w:tcBorders>
              <w:top w:val="single" w:sz="4" w:space="0" w:color="auto"/>
              <w:left w:val="single" w:sz="4" w:space="0" w:color="auto"/>
              <w:bottom w:val="single" w:sz="4" w:space="0" w:color="auto"/>
              <w:right w:val="single" w:sz="4" w:space="0" w:color="auto"/>
            </w:tcBorders>
          </w:tcPr>
          <w:p w14:paraId="1A1E3B19" w14:textId="77777777" w:rsidR="002F4D61" w:rsidRDefault="00B03222">
            <w:pPr>
              <w:pStyle w:val="TAH"/>
            </w:pPr>
            <w:r>
              <w:t xml:space="preserve">[Need for the UE to know if the feature is supported (only for V2X WI, where the PC5-RRC capability signalling is delivered between the </w:t>
            </w:r>
            <w:proofErr w:type="spellStart"/>
            <w:r>
              <w:t>Ues</w:t>
            </w:r>
            <w:proofErr w:type="spellEnd"/>
            <w:r>
              <w:t>)]</w:t>
            </w:r>
          </w:p>
        </w:tc>
        <w:tc>
          <w:tcPr>
            <w:tcW w:w="1516" w:type="dxa"/>
            <w:tcBorders>
              <w:top w:val="single" w:sz="4" w:space="0" w:color="auto"/>
              <w:left w:val="single" w:sz="4" w:space="0" w:color="auto"/>
              <w:bottom w:val="single" w:sz="4" w:space="0" w:color="auto"/>
              <w:right w:val="single" w:sz="4" w:space="0" w:color="auto"/>
            </w:tcBorders>
          </w:tcPr>
          <w:p w14:paraId="14CDF1BF" w14:textId="77777777" w:rsidR="002F4D61" w:rsidRDefault="00B03222">
            <w:pPr>
              <w:pStyle w:val="TAN"/>
              <w:ind w:left="0" w:firstLine="0"/>
              <w:rPr>
                <w:b/>
                <w:lang w:eastAsia="ja-JP"/>
              </w:rPr>
            </w:pPr>
            <w:r>
              <w:rPr>
                <w:b/>
                <w:lang w:eastAsia="ja-JP"/>
              </w:rPr>
              <w:t>Consequence if the feature is not supported by the UE</w:t>
            </w:r>
          </w:p>
        </w:tc>
        <w:tc>
          <w:tcPr>
            <w:tcW w:w="1435" w:type="dxa"/>
            <w:tcBorders>
              <w:top w:val="single" w:sz="4" w:space="0" w:color="auto"/>
              <w:left w:val="single" w:sz="4" w:space="0" w:color="auto"/>
              <w:bottom w:val="single" w:sz="4" w:space="0" w:color="auto"/>
              <w:right w:val="single" w:sz="4" w:space="0" w:color="auto"/>
            </w:tcBorders>
          </w:tcPr>
          <w:p w14:paraId="3BBFE0B0" w14:textId="77777777" w:rsidR="002F4D61" w:rsidRDefault="00B03222">
            <w:pPr>
              <w:pStyle w:val="TAN"/>
              <w:ind w:left="0" w:firstLine="0"/>
              <w:rPr>
                <w:b/>
                <w:lang w:eastAsia="ja-JP"/>
              </w:rPr>
            </w:pPr>
            <w:r>
              <w:rPr>
                <w:b/>
                <w:lang w:eastAsia="ja-JP"/>
              </w:rPr>
              <w:t>Type</w:t>
            </w:r>
          </w:p>
          <w:p w14:paraId="4B1B9189" w14:textId="77777777" w:rsidR="002F4D61" w:rsidRDefault="00B03222">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7BAB0730" w14:textId="77777777" w:rsidR="002F4D61" w:rsidRDefault="00B03222">
            <w:pPr>
              <w:pStyle w:val="TAH"/>
            </w:pPr>
            <w:r>
              <w:t>Need of FDD/TDD differentiation</w:t>
            </w:r>
          </w:p>
        </w:tc>
        <w:tc>
          <w:tcPr>
            <w:tcW w:w="1389" w:type="dxa"/>
            <w:tcBorders>
              <w:top w:val="single" w:sz="4" w:space="0" w:color="auto"/>
              <w:left w:val="single" w:sz="4" w:space="0" w:color="auto"/>
              <w:bottom w:val="single" w:sz="4" w:space="0" w:color="auto"/>
              <w:right w:val="single" w:sz="4" w:space="0" w:color="auto"/>
            </w:tcBorders>
          </w:tcPr>
          <w:p w14:paraId="6B3FB525" w14:textId="77777777" w:rsidR="002F4D61" w:rsidRDefault="00B03222">
            <w:pPr>
              <w:pStyle w:val="TAH"/>
            </w:pPr>
            <w:r>
              <w:t>Capability interpretation for mixture of FDD/TDD</w:t>
            </w:r>
          </w:p>
        </w:tc>
        <w:tc>
          <w:tcPr>
            <w:tcW w:w="4753" w:type="dxa"/>
            <w:tcBorders>
              <w:top w:val="single" w:sz="4" w:space="0" w:color="auto"/>
              <w:left w:val="single" w:sz="4" w:space="0" w:color="auto"/>
              <w:bottom w:val="single" w:sz="4" w:space="0" w:color="auto"/>
              <w:right w:val="single" w:sz="4" w:space="0" w:color="auto"/>
            </w:tcBorders>
          </w:tcPr>
          <w:p w14:paraId="06153E43" w14:textId="77777777" w:rsidR="002F4D61" w:rsidRDefault="00B03222">
            <w:pPr>
              <w:pStyle w:val="TAH"/>
            </w:pPr>
            <w:r>
              <w:t>Note</w:t>
            </w:r>
          </w:p>
        </w:tc>
        <w:tc>
          <w:tcPr>
            <w:tcW w:w="1907" w:type="dxa"/>
            <w:tcBorders>
              <w:top w:val="single" w:sz="4" w:space="0" w:color="auto"/>
              <w:left w:val="single" w:sz="4" w:space="0" w:color="auto"/>
              <w:bottom w:val="single" w:sz="4" w:space="0" w:color="auto"/>
              <w:right w:val="single" w:sz="4" w:space="0" w:color="auto"/>
            </w:tcBorders>
          </w:tcPr>
          <w:p w14:paraId="78024084" w14:textId="77777777" w:rsidR="002F4D61" w:rsidRDefault="00B03222">
            <w:pPr>
              <w:pStyle w:val="TAH"/>
            </w:pPr>
            <w:r>
              <w:t>Mandatory/Optional</w:t>
            </w:r>
          </w:p>
        </w:tc>
      </w:tr>
      <w:tr w:rsidR="002F4D61" w14:paraId="1F413FBB" w14:textId="77777777">
        <w:tc>
          <w:tcPr>
            <w:tcW w:w="2423" w:type="dxa"/>
            <w:tcBorders>
              <w:top w:val="single" w:sz="4" w:space="0" w:color="auto"/>
              <w:left w:val="single" w:sz="4" w:space="0" w:color="auto"/>
              <w:bottom w:val="single" w:sz="4" w:space="0" w:color="auto"/>
              <w:right w:val="single" w:sz="4" w:space="0" w:color="auto"/>
            </w:tcBorders>
          </w:tcPr>
          <w:p w14:paraId="7581E5EE" w14:textId="77777777" w:rsidR="002F4D61" w:rsidRDefault="00B03222">
            <w:pPr>
              <w:pStyle w:val="TAL"/>
              <w:rPr>
                <w:rFonts w:asciiTheme="majorHAnsi" w:hAnsiTheme="majorHAnsi" w:cstheme="majorHAnsi"/>
                <w:szCs w:val="18"/>
                <w:lang w:eastAsia="ja-JP"/>
              </w:rPr>
            </w:pPr>
            <w:r>
              <w:rPr>
                <w:rFonts w:asciiTheme="majorHAnsi" w:hAnsiTheme="majorHAnsi" w:cstheme="majorHAnsi"/>
                <w:szCs w:val="18"/>
                <w:lang w:eastAsia="ja-JP"/>
              </w:rPr>
              <w:t xml:space="preserve">1. </w:t>
            </w:r>
            <w:r>
              <w:rPr>
                <w:rFonts w:asciiTheme="majorHAnsi" w:hAnsiTheme="majorHAnsi" w:cstheme="majorHAnsi"/>
                <w:szCs w:val="18"/>
              </w:rPr>
              <w:t>NB_IOTenh4_LTE_eMTC6</w:t>
            </w:r>
          </w:p>
        </w:tc>
        <w:tc>
          <w:tcPr>
            <w:tcW w:w="701" w:type="dxa"/>
            <w:tcBorders>
              <w:top w:val="single" w:sz="4" w:space="0" w:color="auto"/>
              <w:left w:val="single" w:sz="4" w:space="0" w:color="auto"/>
              <w:bottom w:val="single" w:sz="4" w:space="0" w:color="auto"/>
              <w:right w:val="single" w:sz="4" w:space="0" w:color="auto"/>
            </w:tcBorders>
          </w:tcPr>
          <w:p w14:paraId="135ECD81" w14:textId="77777777" w:rsidR="002F4D61" w:rsidRDefault="00B03222">
            <w:pPr>
              <w:pStyle w:val="TAL"/>
              <w:rPr>
                <w:lang w:eastAsia="ja-JP"/>
              </w:rPr>
            </w:pPr>
            <w:r>
              <w:rPr>
                <w:lang w:eastAsia="ja-JP"/>
              </w:rPr>
              <w:t>1-4</w:t>
            </w:r>
          </w:p>
        </w:tc>
        <w:tc>
          <w:tcPr>
            <w:tcW w:w="1189" w:type="dxa"/>
            <w:tcBorders>
              <w:top w:val="single" w:sz="4" w:space="0" w:color="auto"/>
              <w:left w:val="single" w:sz="4" w:space="0" w:color="auto"/>
              <w:bottom w:val="single" w:sz="4" w:space="0" w:color="auto"/>
              <w:right w:val="single" w:sz="4" w:space="0" w:color="auto"/>
            </w:tcBorders>
          </w:tcPr>
          <w:p w14:paraId="36FE9306" w14:textId="0FDEE842" w:rsidR="002F4D61" w:rsidRDefault="00B03222">
            <w:pPr>
              <w:pStyle w:val="TAL"/>
            </w:pPr>
            <w:r>
              <w:t xml:space="preserve">A maximum DL TBS of 1736 bits for HD-FDD Cat. M1 </w:t>
            </w:r>
            <w:proofErr w:type="spellStart"/>
            <w:r>
              <w:t>U</w:t>
            </w:r>
            <w:r w:rsidR="00673589">
              <w:t>e</w:t>
            </w:r>
            <w:r>
              <w:t>s</w:t>
            </w:r>
            <w:proofErr w:type="spellEnd"/>
            <w:r>
              <w:t xml:space="preserve"> in CE mode A only</w:t>
            </w:r>
          </w:p>
        </w:tc>
        <w:tc>
          <w:tcPr>
            <w:tcW w:w="1847" w:type="dxa"/>
            <w:tcBorders>
              <w:top w:val="single" w:sz="4" w:space="0" w:color="auto"/>
              <w:left w:val="single" w:sz="4" w:space="0" w:color="auto"/>
              <w:bottom w:val="single" w:sz="4" w:space="0" w:color="auto"/>
              <w:right w:val="single" w:sz="4" w:space="0" w:color="auto"/>
            </w:tcBorders>
          </w:tcPr>
          <w:p w14:paraId="5F5B19C1" w14:textId="77777777" w:rsidR="002F4D61" w:rsidRDefault="00B03222">
            <w:pPr>
              <w:pStyle w:val="TAL"/>
            </w:pPr>
            <w:r>
              <w:t xml:space="preserve">1. </w:t>
            </w:r>
            <w:r>
              <w:rPr>
                <w:rFonts w:eastAsia="MS Mincho"/>
                <w:lang w:eastAsia="ja-JP"/>
              </w:rPr>
              <w:t>Support of 1736 bits max DL TBS for unicast in HD-FDD in CE mode A in RRC_CONNECTED</w:t>
            </w:r>
          </w:p>
        </w:tc>
        <w:tc>
          <w:tcPr>
            <w:tcW w:w="1484" w:type="dxa"/>
            <w:tcBorders>
              <w:top w:val="single" w:sz="4" w:space="0" w:color="auto"/>
              <w:left w:val="single" w:sz="4" w:space="0" w:color="auto"/>
              <w:bottom w:val="single" w:sz="4" w:space="0" w:color="auto"/>
              <w:right w:val="single" w:sz="4" w:space="0" w:color="auto"/>
            </w:tcBorders>
          </w:tcPr>
          <w:p w14:paraId="44F7F361" w14:textId="77777777" w:rsidR="002F4D61" w:rsidRDefault="00B03222">
            <w:pPr>
              <w:pStyle w:val="TAL"/>
            </w:pPr>
            <w:r>
              <w:t>1. Category M1</w:t>
            </w:r>
          </w:p>
          <w:p w14:paraId="7740AA26" w14:textId="77777777" w:rsidR="002F4D61" w:rsidRDefault="00B03222">
            <w:pPr>
              <w:pStyle w:val="TAL"/>
            </w:pPr>
            <w:r>
              <w:t>2. HD-FDD</w:t>
            </w:r>
          </w:p>
        </w:tc>
        <w:tc>
          <w:tcPr>
            <w:tcW w:w="1148" w:type="dxa"/>
            <w:tcBorders>
              <w:top w:val="single" w:sz="4" w:space="0" w:color="auto"/>
              <w:left w:val="single" w:sz="4" w:space="0" w:color="auto"/>
              <w:bottom w:val="single" w:sz="4" w:space="0" w:color="auto"/>
              <w:right w:val="single" w:sz="4" w:space="0" w:color="auto"/>
            </w:tcBorders>
          </w:tcPr>
          <w:p w14:paraId="06CC72D0" w14:textId="77777777" w:rsidR="002F4D61" w:rsidRDefault="00B03222">
            <w:pPr>
              <w:pStyle w:val="TAL"/>
              <w:rPr>
                <w:rFonts w:eastAsia="MS Mincho"/>
                <w:lang w:eastAsia="ja-JP"/>
              </w:rPr>
            </w:pPr>
            <w:r>
              <w:rPr>
                <w:rFonts w:eastAsia="MS Mincho"/>
                <w:lang w:eastAsia="ja-JP"/>
              </w:rPr>
              <w:t>Yes</w:t>
            </w:r>
          </w:p>
        </w:tc>
        <w:tc>
          <w:tcPr>
            <w:tcW w:w="1172" w:type="dxa"/>
            <w:tcBorders>
              <w:top w:val="single" w:sz="4" w:space="0" w:color="auto"/>
              <w:left w:val="single" w:sz="4" w:space="0" w:color="auto"/>
              <w:bottom w:val="single" w:sz="4" w:space="0" w:color="auto"/>
              <w:right w:val="single" w:sz="4" w:space="0" w:color="auto"/>
            </w:tcBorders>
          </w:tcPr>
          <w:p w14:paraId="6C5D448A" w14:textId="77777777" w:rsidR="002F4D61" w:rsidRDefault="00B03222">
            <w:pPr>
              <w:pStyle w:val="TAL"/>
              <w:rPr>
                <w:rFonts w:eastAsia="MS Mincho"/>
                <w:lang w:eastAsia="ja-JP"/>
              </w:rPr>
            </w:pPr>
            <w:r>
              <w:rPr>
                <w:rFonts w:eastAsia="MS Mincho"/>
                <w:lang w:eastAsia="ja-JP"/>
              </w:rPr>
              <w:t>N/A</w:t>
            </w:r>
          </w:p>
        </w:tc>
        <w:tc>
          <w:tcPr>
            <w:tcW w:w="1516" w:type="dxa"/>
            <w:tcBorders>
              <w:top w:val="single" w:sz="4" w:space="0" w:color="auto"/>
              <w:left w:val="single" w:sz="4" w:space="0" w:color="auto"/>
              <w:bottom w:val="single" w:sz="4" w:space="0" w:color="auto"/>
              <w:right w:val="single" w:sz="4" w:space="0" w:color="auto"/>
            </w:tcBorders>
          </w:tcPr>
          <w:p w14:paraId="511B5E10" w14:textId="6D22EA23" w:rsidR="002F4D61" w:rsidRDefault="00B03222">
            <w:pPr>
              <w:pStyle w:val="TAL"/>
              <w:rPr>
                <w:rFonts w:eastAsia="MS Mincho"/>
                <w:lang w:eastAsia="ja-JP"/>
              </w:rPr>
            </w:pPr>
            <w:r>
              <w:rPr>
                <w:rFonts w:eastAsia="MS Mincho"/>
                <w:lang w:eastAsia="ja-JP"/>
              </w:rPr>
              <w:t xml:space="preserve">The network cannot schedule a PDSCH with TBS larger than 1000 bits for Cat. M1 </w:t>
            </w:r>
            <w:proofErr w:type="spellStart"/>
            <w:r>
              <w:rPr>
                <w:rFonts w:eastAsia="MS Mincho"/>
                <w:lang w:eastAsia="ja-JP"/>
              </w:rPr>
              <w:t>U</w:t>
            </w:r>
            <w:r w:rsidR="00673589">
              <w:rPr>
                <w:rFonts w:eastAsia="MS Mincho"/>
                <w:lang w:eastAsia="ja-JP"/>
              </w:rPr>
              <w:t>e</w:t>
            </w:r>
            <w:r>
              <w:rPr>
                <w:rFonts w:eastAsia="MS Mincho"/>
                <w:lang w:eastAsia="ja-JP"/>
              </w:rPr>
              <w:t>s</w:t>
            </w:r>
            <w:proofErr w:type="spellEnd"/>
          </w:p>
        </w:tc>
        <w:tc>
          <w:tcPr>
            <w:tcW w:w="1435" w:type="dxa"/>
            <w:tcBorders>
              <w:top w:val="single" w:sz="4" w:space="0" w:color="auto"/>
              <w:left w:val="single" w:sz="4" w:space="0" w:color="auto"/>
              <w:bottom w:val="single" w:sz="4" w:space="0" w:color="auto"/>
              <w:right w:val="single" w:sz="4" w:space="0" w:color="auto"/>
            </w:tcBorders>
            <w:shd w:val="clear" w:color="auto" w:fill="FFFF00"/>
          </w:tcPr>
          <w:p w14:paraId="21F47670" w14:textId="77777777" w:rsidR="002F4D61" w:rsidRDefault="00B03222">
            <w:pPr>
              <w:pStyle w:val="TAL"/>
              <w:rPr>
                <w:lang w:eastAsia="ja-JP"/>
              </w:rPr>
            </w:pPr>
            <w:r>
              <w:rPr>
                <w:lang w:eastAsia="ja-JP"/>
              </w:rPr>
              <w:t>Per UE</w:t>
            </w:r>
          </w:p>
        </w:tc>
        <w:tc>
          <w:tcPr>
            <w:tcW w:w="1416" w:type="dxa"/>
            <w:tcBorders>
              <w:top w:val="single" w:sz="4" w:space="0" w:color="auto"/>
              <w:left w:val="single" w:sz="4" w:space="0" w:color="auto"/>
              <w:bottom w:val="single" w:sz="4" w:space="0" w:color="auto"/>
              <w:right w:val="single" w:sz="4" w:space="0" w:color="auto"/>
            </w:tcBorders>
          </w:tcPr>
          <w:p w14:paraId="3A706C5F" w14:textId="77777777" w:rsidR="002F4D61" w:rsidRDefault="00B03222">
            <w:pPr>
              <w:pStyle w:val="TAL"/>
              <w:rPr>
                <w:lang w:eastAsia="ja-JP"/>
              </w:rPr>
            </w:pPr>
            <w:r>
              <w:rPr>
                <w:rFonts w:eastAsia="MS Mincho"/>
                <w:lang w:eastAsia="ja-JP"/>
              </w:rPr>
              <w:t>FDD only</w:t>
            </w:r>
          </w:p>
        </w:tc>
        <w:tc>
          <w:tcPr>
            <w:tcW w:w="1389" w:type="dxa"/>
            <w:tcBorders>
              <w:top w:val="single" w:sz="4" w:space="0" w:color="auto"/>
              <w:left w:val="single" w:sz="4" w:space="0" w:color="auto"/>
              <w:bottom w:val="single" w:sz="4" w:space="0" w:color="auto"/>
              <w:right w:val="single" w:sz="4" w:space="0" w:color="auto"/>
            </w:tcBorders>
          </w:tcPr>
          <w:p w14:paraId="05FA4F82" w14:textId="77777777" w:rsidR="002F4D61" w:rsidRDefault="00B03222">
            <w:pPr>
              <w:pStyle w:val="TAL"/>
              <w:rPr>
                <w:lang w:eastAsia="ja-JP"/>
              </w:rPr>
            </w:pPr>
            <w:r>
              <w:rPr>
                <w:rFonts w:eastAsia="MS Mincho"/>
                <w:lang w:eastAsia="ja-JP"/>
              </w:rPr>
              <w:t>N/A</w:t>
            </w:r>
          </w:p>
        </w:tc>
        <w:tc>
          <w:tcPr>
            <w:tcW w:w="4753" w:type="dxa"/>
            <w:tcBorders>
              <w:top w:val="single" w:sz="4" w:space="0" w:color="auto"/>
              <w:left w:val="single" w:sz="4" w:space="0" w:color="auto"/>
              <w:bottom w:val="single" w:sz="4" w:space="0" w:color="auto"/>
              <w:right w:val="single" w:sz="4" w:space="0" w:color="auto"/>
            </w:tcBorders>
          </w:tcPr>
          <w:p w14:paraId="6EC8DD47" w14:textId="77777777" w:rsidR="002F4D61" w:rsidRDefault="002F4D61">
            <w:pPr>
              <w:pStyle w:val="TAL"/>
            </w:pPr>
          </w:p>
        </w:tc>
        <w:tc>
          <w:tcPr>
            <w:tcW w:w="1907" w:type="dxa"/>
            <w:tcBorders>
              <w:top w:val="single" w:sz="4" w:space="0" w:color="auto"/>
              <w:left w:val="single" w:sz="4" w:space="0" w:color="auto"/>
              <w:bottom w:val="single" w:sz="4" w:space="0" w:color="auto"/>
              <w:right w:val="single" w:sz="4" w:space="0" w:color="auto"/>
            </w:tcBorders>
          </w:tcPr>
          <w:p w14:paraId="2ADDEFB2" w14:textId="77777777" w:rsidR="002F4D61" w:rsidRDefault="00B03222">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bl>
    <w:p w14:paraId="2536A806" w14:textId="77777777" w:rsidR="002F4D61" w:rsidRDefault="002F4D61">
      <w:pPr>
        <w:spacing w:afterLines="50" w:after="120"/>
        <w:jc w:val="both"/>
        <w:rPr>
          <w:sz w:val="22"/>
          <w:lang w:val="en-US"/>
        </w:rPr>
      </w:pPr>
    </w:p>
    <w:p w14:paraId="3CD8C5C5" w14:textId="77777777" w:rsidR="002F4D61" w:rsidRDefault="00B03222">
      <w:pPr>
        <w:spacing w:afterLines="50" w:after="120"/>
        <w:jc w:val="both"/>
        <w:rPr>
          <w:sz w:val="22"/>
          <w:lang w:val="en-US"/>
        </w:rPr>
      </w:pPr>
      <w:r>
        <w:rPr>
          <w:rFonts w:hint="eastAsia"/>
          <w:sz w:val="22"/>
          <w:lang w:val="en-US"/>
        </w:rPr>
        <w:t>F</w:t>
      </w:r>
      <w:r>
        <w:rPr>
          <w:sz w:val="22"/>
          <w:lang w:val="en-US"/>
        </w:rPr>
        <w:t>ollowing feedbacks are provided in contributions for the RAN1#108-e meeting.</w:t>
      </w:r>
    </w:p>
    <w:tbl>
      <w:tblPr>
        <w:tblStyle w:val="TableGrid"/>
        <w:tblW w:w="0" w:type="auto"/>
        <w:tblLook w:val="04A0" w:firstRow="1" w:lastRow="0" w:firstColumn="1" w:lastColumn="0" w:noHBand="0" w:noVBand="1"/>
      </w:tblPr>
      <w:tblGrid>
        <w:gridCol w:w="621"/>
        <w:gridCol w:w="1831"/>
        <w:gridCol w:w="19931"/>
      </w:tblGrid>
      <w:tr w:rsidR="002F4D61" w14:paraId="215AF671" w14:textId="77777777">
        <w:tc>
          <w:tcPr>
            <w:tcW w:w="621" w:type="dxa"/>
          </w:tcPr>
          <w:p w14:paraId="6327FD5E" w14:textId="77777777" w:rsidR="002F4D61" w:rsidRDefault="00B03222">
            <w:pPr>
              <w:spacing w:after="180"/>
              <w:jc w:val="both"/>
              <w:rPr>
                <w:rFonts w:eastAsia="MS Mincho"/>
                <w:sz w:val="22"/>
              </w:rPr>
            </w:pPr>
            <w:r>
              <w:rPr>
                <w:rFonts w:eastAsia="MS Mincho" w:hint="eastAsia"/>
                <w:sz w:val="22"/>
              </w:rPr>
              <w:t>[</w:t>
            </w:r>
            <w:r>
              <w:rPr>
                <w:rFonts w:eastAsia="MS Mincho"/>
                <w:sz w:val="22"/>
              </w:rPr>
              <w:t>2]</w:t>
            </w:r>
          </w:p>
        </w:tc>
        <w:tc>
          <w:tcPr>
            <w:tcW w:w="1831" w:type="dxa"/>
          </w:tcPr>
          <w:p w14:paraId="102FE115" w14:textId="77777777" w:rsidR="002F4D61" w:rsidRDefault="00B03222">
            <w:pPr>
              <w:spacing w:after="18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19931" w:type="dxa"/>
          </w:tcPr>
          <w:p w14:paraId="17DAA59E" w14:textId="3016ECD0" w:rsidR="002F4D61" w:rsidRDefault="00B03222">
            <w:pPr>
              <w:rPr>
                <w:lang w:eastAsia="zh-CN"/>
              </w:rPr>
            </w:pPr>
            <w:r>
              <w:rPr>
                <w:lang w:eastAsia="zh-CN"/>
              </w:rPr>
              <w:t xml:space="preserve">One remaining issue is whether reporting types of FGs 1-1, 1-2, 1-3 and 1-4 are per UE or per band. As from RAN1 point of view, there’s no problem in supporting the reporting types as per UE. In addition, regarding the large </w:t>
            </w:r>
            <w:r w:rsidR="00673589">
              <w:rPr>
                <w:lang w:eastAsia="zh-CN"/>
              </w:rPr>
              <w:pgNum/>
            </w:r>
            <w:proofErr w:type="spellStart"/>
            <w:r w:rsidR="00673589">
              <w:rPr>
                <w:lang w:eastAsia="zh-CN"/>
              </w:rPr>
              <w:t>ignalling</w:t>
            </w:r>
            <w:proofErr w:type="spellEnd"/>
            <w:r>
              <w:rPr>
                <w:lang w:eastAsia="zh-CN"/>
              </w:rPr>
              <w:t xml:space="preserve"> overhead, reporting type of per UE is preferred.</w:t>
            </w:r>
          </w:p>
          <w:p w14:paraId="3A1060B6" w14:textId="77777777" w:rsidR="002F4D61" w:rsidRDefault="00B03222">
            <w:pPr>
              <w:spacing w:after="180"/>
              <w:rPr>
                <w:lang w:eastAsia="zh-CN"/>
              </w:rPr>
            </w:pPr>
            <w:r>
              <w:rPr>
                <w:b/>
                <w:lang w:eastAsia="zh-CN"/>
              </w:rPr>
              <w:t>Proposal 2: The reporting type of FGs 1-1, 1-2, 1-3 and 1-4 is per UE.</w:t>
            </w:r>
          </w:p>
        </w:tc>
      </w:tr>
      <w:tr w:rsidR="002F4D61" w14:paraId="02DC609F" w14:textId="77777777">
        <w:tc>
          <w:tcPr>
            <w:tcW w:w="621" w:type="dxa"/>
          </w:tcPr>
          <w:p w14:paraId="39AD1C1A" w14:textId="77777777" w:rsidR="002F4D61" w:rsidRDefault="00B03222">
            <w:pPr>
              <w:spacing w:after="180"/>
              <w:jc w:val="both"/>
              <w:rPr>
                <w:rFonts w:eastAsia="MS Mincho"/>
                <w:sz w:val="22"/>
              </w:rPr>
            </w:pPr>
            <w:r>
              <w:rPr>
                <w:rFonts w:eastAsia="MS Mincho" w:hint="eastAsia"/>
                <w:sz w:val="22"/>
              </w:rPr>
              <w:t>[</w:t>
            </w:r>
            <w:r>
              <w:rPr>
                <w:rFonts w:eastAsia="MS Mincho"/>
                <w:sz w:val="22"/>
              </w:rPr>
              <w:t>3]</w:t>
            </w:r>
          </w:p>
        </w:tc>
        <w:tc>
          <w:tcPr>
            <w:tcW w:w="1831" w:type="dxa"/>
          </w:tcPr>
          <w:p w14:paraId="411BDD20" w14:textId="77777777" w:rsidR="002F4D61" w:rsidRDefault="00B03222">
            <w:pPr>
              <w:spacing w:after="18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19931" w:type="dxa"/>
          </w:tcPr>
          <w:p w14:paraId="64FED9A2" w14:textId="77777777" w:rsidR="002F4D61" w:rsidRDefault="00B03222">
            <w:pPr>
              <w:spacing w:before="120"/>
              <w:rPr>
                <w:rFonts w:eastAsia="SimSun"/>
                <w:b/>
                <w:u w:val="single"/>
                <w:lang w:eastAsia="zh-CN"/>
              </w:rPr>
            </w:pPr>
            <w:r>
              <w:rPr>
                <w:rFonts w:eastAsia="SimSun" w:hint="eastAsia"/>
                <w:b/>
                <w:u w:val="single"/>
                <w:lang w:eastAsia="zh-CN"/>
              </w:rPr>
              <w:t>Per UE or P</w:t>
            </w:r>
            <w:r>
              <w:rPr>
                <w:rFonts w:eastAsia="SimSun"/>
                <w:b/>
                <w:u w:val="single"/>
                <w:lang w:eastAsia="zh-CN"/>
              </w:rPr>
              <w:t>er band</w:t>
            </w:r>
          </w:p>
          <w:p w14:paraId="1FF000DB" w14:textId="77777777" w:rsidR="002F4D61" w:rsidRDefault="00B03222">
            <w:pPr>
              <w:spacing w:before="120"/>
            </w:pPr>
            <w:r>
              <w:rPr>
                <w:rFonts w:eastAsia="SimSun"/>
                <w:lang w:eastAsia="zh-CN"/>
              </w:rPr>
              <w:t>For type of FGs 1-1, 1-2, 1-3 and 1-4, whether they are per UE reported or per band reported has been initially discussed in last meeting. For 16-QAM (FGs 1-1 and 1-2), some contributions mentioned</w:t>
            </w:r>
            <w:r>
              <w:t xml:space="preserve"> 1-1 and 1-2 have RF impact (Tx and Rx EVM), so it makes sense to have these per band. However, in practice, </w:t>
            </w:r>
          </w:p>
          <w:p w14:paraId="555DA5B4" w14:textId="77777777" w:rsidR="002F4D61" w:rsidRDefault="00B03222">
            <w:pPr>
              <w:spacing w:before="120"/>
              <w:rPr>
                <w:rFonts w:eastAsia="SimSun"/>
                <w:lang w:eastAsia="zh-CN"/>
              </w:rPr>
            </w:pPr>
            <w:r>
              <w:rPr>
                <w:rFonts w:eastAsia="SimSun"/>
                <w:lang w:eastAsia="zh-CN"/>
              </w:rPr>
              <w:t>1) MTC 64QAM is per UE. Similarly, we do not see any issue to adopt the similar method.</w:t>
            </w:r>
          </w:p>
          <w:p w14:paraId="04AAC38F" w14:textId="77777777" w:rsidR="002F4D61" w:rsidRDefault="00B03222">
            <w:pPr>
              <w:spacing w:before="120"/>
              <w:rPr>
                <w:rFonts w:eastAsia="SimSun"/>
                <w:lang w:eastAsia="zh-CN"/>
              </w:rPr>
            </w:pPr>
            <w:r>
              <w:rPr>
                <w:rFonts w:eastAsia="SimSun"/>
                <w:lang w:eastAsia="zh-CN"/>
              </w:rPr>
              <w:t xml:space="preserve">2) The EVM in LTE or NR is the same across all bands </w:t>
            </w:r>
            <w:r>
              <w:rPr>
                <w:rFonts w:eastAsia="SimSun"/>
                <w:vertAlign w:val="superscript"/>
                <w:lang w:eastAsia="zh-CN"/>
              </w:rPr>
              <w:t>[2]</w:t>
            </w:r>
            <w:r>
              <w:rPr>
                <w:rFonts w:eastAsia="SimSun"/>
                <w:lang w:eastAsia="zh-CN"/>
              </w:rPr>
              <w:t xml:space="preserve">. We do not see the necessity to </w:t>
            </w:r>
            <w:r>
              <w:rPr>
                <w:rFonts w:eastAsia="SimSun" w:hint="eastAsia"/>
                <w:lang w:eastAsia="zh-CN"/>
              </w:rPr>
              <w:t>set</w:t>
            </w:r>
            <w:r>
              <w:rPr>
                <w:rFonts w:eastAsia="SimSun"/>
                <w:lang w:eastAsia="zh-CN"/>
              </w:rPr>
              <w:t>16-QAM as per band.</w:t>
            </w:r>
          </w:p>
          <w:p w14:paraId="261CFE45" w14:textId="77777777" w:rsidR="002F4D61" w:rsidRDefault="00B03222">
            <w:pPr>
              <w:spacing w:before="120"/>
              <w:rPr>
                <w:rFonts w:eastAsia="SimSun"/>
                <w:lang w:eastAsia="zh-CN"/>
              </w:rPr>
            </w:pPr>
            <w:r>
              <w:rPr>
                <w:rFonts w:eastAsia="SimSun" w:hint="eastAsia"/>
                <w:lang w:eastAsia="zh-CN"/>
              </w:rPr>
              <w:t xml:space="preserve">Therefore, </w:t>
            </w:r>
            <w:r>
              <w:rPr>
                <w:rFonts w:eastAsia="SimSun"/>
                <w:lang w:eastAsia="zh-CN"/>
              </w:rPr>
              <w:t xml:space="preserve">at least for 16-QAM, it should not be per band. Regarding 14-HARQ processes </w:t>
            </w:r>
            <w:r>
              <w:rPr>
                <w:rFonts w:eastAsia="SimSun" w:hint="eastAsia"/>
                <w:lang w:eastAsia="zh-CN"/>
              </w:rPr>
              <w:t>(</w:t>
            </w:r>
            <w:r>
              <w:rPr>
                <w:rFonts w:eastAsia="SimSun"/>
                <w:lang w:eastAsia="zh-CN"/>
              </w:rPr>
              <w:t>FG 1-3</w:t>
            </w:r>
            <w:r>
              <w:rPr>
                <w:rFonts w:eastAsia="SimSun" w:hint="eastAsia"/>
                <w:lang w:eastAsia="zh-CN"/>
              </w:rPr>
              <w:t>)</w:t>
            </w:r>
            <w:r>
              <w:rPr>
                <w:rFonts w:eastAsia="SimSun"/>
                <w:lang w:eastAsia="zh-CN"/>
              </w:rPr>
              <w:t xml:space="preserve"> and 1736bits (FG 1-4), these two features would not have impact on the RF </w:t>
            </w:r>
            <w:proofErr w:type="gramStart"/>
            <w:r>
              <w:rPr>
                <w:rFonts w:eastAsia="SimSun"/>
                <w:lang w:eastAsia="zh-CN"/>
              </w:rPr>
              <w:t>and also</w:t>
            </w:r>
            <w:proofErr w:type="gramEnd"/>
            <w:r>
              <w:rPr>
                <w:rFonts w:eastAsia="SimSun"/>
                <w:lang w:eastAsia="zh-CN"/>
              </w:rPr>
              <w:t xml:space="preserve"> there would not exist the IODT issues. Therefore, we do not see any reason to set it as per band.</w:t>
            </w:r>
            <w:r>
              <w:rPr>
                <w:rFonts w:eastAsia="SimSun" w:hint="eastAsia"/>
                <w:lang w:eastAsia="zh-CN"/>
              </w:rPr>
              <w:t xml:space="preserve">  </w:t>
            </w:r>
          </w:p>
          <w:p w14:paraId="4153752F" w14:textId="77777777" w:rsidR="002F4D61" w:rsidRDefault="00B03222">
            <w:pPr>
              <w:spacing w:before="120" w:after="240"/>
              <w:rPr>
                <w:rFonts w:eastAsia="SimSun"/>
                <w:b/>
                <w:i/>
                <w:lang w:eastAsia="zh-CN"/>
              </w:rPr>
            </w:pPr>
            <w:r>
              <w:rPr>
                <w:rFonts w:eastAsia="SimSun"/>
                <w:b/>
                <w:i/>
                <w:lang w:eastAsia="zh-CN"/>
              </w:rPr>
              <w:t>Proposal 1: The type of FGs 1-1, 1-2, 1-3 and 1-4 should be Per UE.</w:t>
            </w:r>
          </w:p>
          <w:p w14:paraId="39C356EE" w14:textId="77777777" w:rsidR="002F4D61" w:rsidRDefault="00B03222">
            <w:pPr>
              <w:pStyle w:val="10"/>
              <w:spacing w:before="120" w:afterLines="50" w:after="120" w:line="276" w:lineRule="auto"/>
              <w:rPr>
                <w:b/>
                <w:u w:val="single"/>
              </w:rPr>
            </w:pPr>
            <w:r>
              <w:rPr>
                <w:b/>
                <w:u w:val="single"/>
              </w:rPr>
              <w:lastRenderedPageBreak/>
              <w:t>Need of FDD/TDD differentiation</w:t>
            </w:r>
          </w:p>
          <w:p w14:paraId="15EAAD8C" w14:textId="77777777" w:rsidR="002F4D61" w:rsidRDefault="00B03222">
            <w:pPr>
              <w:spacing w:before="120"/>
              <w:rPr>
                <w:rFonts w:eastAsia="SimSun"/>
                <w:lang w:eastAsia="zh-CN"/>
              </w:rPr>
            </w:pPr>
            <w:r>
              <w:rPr>
                <w:rFonts w:eastAsia="SimSun"/>
                <w:lang w:eastAsia="zh-CN"/>
              </w:rPr>
              <w:t>For 14-HARQ processes, it is only for FDD which has been agreed. As for 1736bits, it is only used for HD-FDD according to the WID. Therefore, these two features need FDD/TDD differentiation.</w:t>
            </w:r>
          </w:p>
          <w:p w14:paraId="67109977" w14:textId="77777777" w:rsidR="002F4D61" w:rsidRDefault="00B03222">
            <w:pPr>
              <w:spacing w:before="120" w:after="240"/>
              <w:rPr>
                <w:rFonts w:eastAsia="SimSun"/>
                <w:b/>
                <w:i/>
                <w:lang w:eastAsia="zh-CN"/>
              </w:rPr>
            </w:pPr>
            <w:r>
              <w:rPr>
                <w:rFonts w:eastAsia="SimSun"/>
                <w:b/>
                <w:i/>
                <w:lang w:eastAsia="zh-CN"/>
              </w:rPr>
              <w:t xml:space="preserve">Proposal 3: For FG 1-3 and FG 1-4, FDD/TDD differentiation is needed and </w:t>
            </w:r>
            <w:proofErr w:type="gramStart"/>
            <w:r>
              <w:rPr>
                <w:rFonts w:eastAsia="SimSun"/>
                <w:b/>
                <w:i/>
                <w:lang w:eastAsia="zh-CN"/>
              </w:rPr>
              <w:t>both of them</w:t>
            </w:r>
            <w:proofErr w:type="gramEnd"/>
            <w:r>
              <w:rPr>
                <w:rFonts w:eastAsia="SimSun"/>
                <w:b/>
                <w:i/>
                <w:lang w:eastAsia="zh-CN"/>
              </w:rPr>
              <w:t xml:space="preserve"> are used for FDD only.</w:t>
            </w:r>
          </w:p>
        </w:tc>
      </w:tr>
      <w:tr w:rsidR="002F4D61" w14:paraId="319E1F47" w14:textId="77777777">
        <w:tc>
          <w:tcPr>
            <w:tcW w:w="621" w:type="dxa"/>
          </w:tcPr>
          <w:p w14:paraId="5B7366F0" w14:textId="77777777" w:rsidR="002F4D61" w:rsidRDefault="00B03222">
            <w:pPr>
              <w:spacing w:after="18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7540E159" w14:textId="77777777" w:rsidR="002F4D61" w:rsidRDefault="00B03222">
            <w:pPr>
              <w:spacing w:after="180"/>
              <w:jc w:val="both"/>
              <w:rPr>
                <w:rFonts w:eastAsia="MS Mincho"/>
                <w:sz w:val="22"/>
              </w:rPr>
            </w:pPr>
            <w:r>
              <w:rPr>
                <w:rFonts w:eastAsia="MS Mincho" w:hint="eastAsia"/>
                <w:sz w:val="22"/>
              </w:rPr>
              <w:t>N</w:t>
            </w:r>
            <w:r>
              <w:rPr>
                <w:rFonts w:eastAsia="MS Mincho"/>
                <w:sz w:val="22"/>
              </w:rPr>
              <w:t>okia, NSB</w:t>
            </w:r>
          </w:p>
        </w:tc>
        <w:tc>
          <w:tcPr>
            <w:tcW w:w="19931" w:type="dxa"/>
          </w:tcPr>
          <w:p w14:paraId="55121435" w14:textId="77777777" w:rsidR="002F4D61" w:rsidRDefault="00B03222">
            <w:pPr>
              <w:spacing w:after="180"/>
              <w:rPr>
                <w:lang w:eastAsia="zh-CN"/>
              </w:rPr>
            </w:pPr>
            <w:r>
              <w:rPr>
                <w:b/>
                <w:bCs/>
                <w:sz w:val="20"/>
              </w:rPr>
              <w:t>FGs 1-1, 1-2, 1-3, 1-4</w:t>
            </w:r>
            <w:r>
              <w:rPr>
                <w:sz w:val="20"/>
              </w:rPr>
              <w:t>: per UE</w:t>
            </w:r>
          </w:p>
        </w:tc>
      </w:tr>
      <w:tr w:rsidR="002F4D61" w14:paraId="505E0204" w14:textId="77777777">
        <w:tc>
          <w:tcPr>
            <w:tcW w:w="621" w:type="dxa"/>
          </w:tcPr>
          <w:p w14:paraId="1A22C175" w14:textId="77777777" w:rsidR="002F4D61" w:rsidRDefault="00B03222">
            <w:pPr>
              <w:spacing w:after="180"/>
              <w:jc w:val="both"/>
              <w:rPr>
                <w:rFonts w:eastAsia="MS Mincho"/>
                <w:sz w:val="22"/>
              </w:rPr>
            </w:pPr>
            <w:r>
              <w:rPr>
                <w:rFonts w:eastAsia="MS Mincho" w:hint="eastAsia"/>
                <w:sz w:val="22"/>
              </w:rPr>
              <w:t>[</w:t>
            </w:r>
            <w:r>
              <w:rPr>
                <w:rFonts w:eastAsia="MS Mincho"/>
                <w:sz w:val="22"/>
              </w:rPr>
              <w:t>5]</w:t>
            </w:r>
          </w:p>
        </w:tc>
        <w:tc>
          <w:tcPr>
            <w:tcW w:w="1831" w:type="dxa"/>
          </w:tcPr>
          <w:p w14:paraId="4264771A" w14:textId="77777777" w:rsidR="002F4D61" w:rsidRDefault="00B03222">
            <w:pPr>
              <w:spacing w:after="180"/>
              <w:jc w:val="both"/>
              <w:rPr>
                <w:rFonts w:eastAsia="MS Mincho"/>
                <w:sz w:val="22"/>
              </w:rPr>
            </w:pPr>
            <w:r>
              <w:rPr>
                <w:rFonts w:eastAsia="MS Mincho" w:hint="eastAsia"/>
                <w:sz w:val="22"/>
              </w:rPr>
              <w:t>D</w:t>
            </w:r>
            <w:r>
              <w:rPr>
                <w:rFonts w:eastAsia="MS Mincho"/>
                <w:sz w:val="22"/>
              </w:rPr>
              <w:t>OCOMO</w:t>
            </w:r>
          </w:p>
        </w:tc>
        <w:tc>
          <w:tcPr>
            <w:tcW w:w="19931" w:type="dxa"/>
          </w:tcPr>
          <w:p w14:paraId="2339F2DE" w14:textId="440AE9FD" w:rsidR="002F4D61" w:rsidRDefault="00B03222">
            <w:pPr>
              <w:pStyle w:val="ListParagraph"/>
              <w:numPr>
                <w:ilvl w:val="0"/>
                <w:numId w:val="17"/>
              </w:numPr>
              <w:spacing w:afterLines="50" w:after="120" w:line="240" w:lineRule="auto"/>
              <w:ind w:leftChars="0"/>
              <w:jc w:val="both"/>
              <w:rPr>
                <w:rFonts w:eastAsiaTheme="minorEastAsia"/>
                <w:sz w:val="22"/>
                <w:szCs w:val="22"/>
              </w:rPr>
            </w:pPr>
            <w:r>
              <w:rPr>
                <w:rFonts w:eastAsiaTheme="minorEastAsia"/>
                <w:sz w:val="22"/>
                <w:szCs w:val="22"/>
              </w:rPr>
              <w:t xml:space="preserve">1-4: A maximum DL TBS of 1736 bits for HD-FDD Cat. M1 </w:t>
            </w:r>
            <w:proofErr w:type="spellStart"/>
            <w:r>
              <w:rPr>
                <w:rFonts w:eastAsiaTheme="minorEastAsia"/>
                <w:sz w:val="22"/>
                <w:szCs w:val="22"/>
              </w:rPr>
              <w:t>U</w:t>
            </w:r>
            <w:r w:rsidR="00673589">
              <w:rPr>
                <w:rFonts w:eastAsiaTheme="minorEastAsia"/>
                <w:sz w:val="22"/>
                <w:szCs w:val="22"/>
              </w:rPr>
              <w:t>e</w:t>
            </w:r>
            <w:r>
              <w:rPr>
                <w:rFonts w:eastAsiaTheme="minorEastAsia"/>
                <w:sz w:val="22"/>
                <w:szCs w:val="22"/>
              </w:rPr>
              <w:t>s</w:t>
            </w:r>
            <w:proofErr w:type="spellEnd"/>
            <w:r>
              <w:rPr>
                <w:rFonts w:eastAsiaTheme="minorEastAsia"/>
                <w:sz w:val="22"/>
                <w:szCs w:val="22"/>
              </w:rPr>
              <w:t xml:space="preserve"> in CE mode A only</w:t>
            </w:r>
          </w:p>
          <w:p w14:paraId="01270100" w14:textId="77777777" w:rsidR="002F4D61" w:rsidRDefault="00B03222">
            <w:pPr>
              <w:pStyle w:val="ListParagraph"/>
              <w:numPr>
                <w:ilvl w:val="1"/>
                <w:numId w:val="17"/>
              </w:numPr>
              <w:spacing w:afterLines="50" w:after="120" w:line="240" w:lineRule="auto"/>
              <w:ind w:leftChars="0"/>
              <w:jc w:val="both"/>
              <w:rPr>
                <w:rFonts w:eastAsiaTheme="minorEastAsia"/>
                <w:sz w:val="22"/>
                <w:szCs w:val="22"/>
              </w:rPr>
            </w:pPr>
            <w:r>
              <w:rPr>
                <w:rFonts w:eastAsiaTheme="minorEastAsia"/>
                <w:sz w:val="22"/>
                <w:szCs w:val="22"/>
              </w:rPr>
              <w:t xml:space="preserve">We think the type of FGs 1-4 should be per UE and FDD-only, same as Rel-16 </w:t>
            </w:r>
            <w:proofErr w:type="spellStart"/>
            <w:r>
              <w:rPr>
                <w:rFonts w:eastAsiaTheme="minorEastAsia"/>
                <w:sz w:val="22"/>
                <w:szCs w:val="22"/>
              </w:rPr>
              <w:t>eMTC</w:t>
            </w:r>
            <w:proofErr w:type="spellEnd"/>
            <w:r>
              <w:rPr>
                <w:rFonts w:eastAsiaTheme="minorEastAsia"/>
                <w:sz w:val="22"/>
                <w:szCs w:val="22"/>
              </w:rPr>
              <w:t>/NB-IoT FGs.</w:t>
            </w:r>
          </w:p>
        </w:tc>
      </w:tr>
      <w:tr w:rsidR="002F4D61" w14:paraId="08E1A9CE" w14:textId="77777777">
        <w:tc>
          <w:tcPr>
            <w:tcW w:w="621" w:type="dxa"/>
          </w:tcPr>
          <w:p w14:paraId="418022F4" w14:textId="77777777" w:rsidR="002F4D61" w:rsidRDefault="00B03222">
            <w:pPr>
              <w:spacing w:after="180"/>
              <w:jc w:val="both"/>
              <w:rPr>
                <w:rFonts w:eastAsia="MS Mincho"/>
                <w:sz w:val="22"/>
              </w:rPr>
            </w:pPr>
            <w:r>
              <w:rPr>
                <w:rFonts w:eastAsia="MS Mincho" w:hint="eastAsia"/>
                <w:sz w:val="22"/>
              </w:rPr>
              <w:t>[</w:t>
            </w:r>
            <w:r>
              <w:rPr>
                <w:rFonts w:eastAsia="MS Mincho"/>
                <w:sz w:val="22"/>
              </w:rPr>
              <w:t>6]</w:t>
            </w:r>
          </w:p>
        </w:tc>
        <w:tc>
          <w:tcPr>
            <w:tcW w:w="1831" w:type="dxa"/>
          </w:tcPr>
          <w:p w14:paraId="6BC9C53A" w14:textId="77777777" w:rsidR="002F4D61" w:rsidRDefault="00B03222">
            <w:pPr>
              <w:spacing w:after="180"/>
              <w:jc w:val="both"/>
              <w:rPr>
                <w:rFonts w:eastAsia="MS Mincho"/>
                <w:sz w:val="22"/>
              </w:rPr>
            </w:pPr>
            <w:r>
              <w:rPr>
                <w:rFonts w:eastAsia="MS Mincho" w:hint="eastAsia"/>
                <w:sz w:val="22"/>
              </w:rPr>
              <w:t>Q</w:t>
            </w:r>
            <w:r>
              <w:rPr>
                <w:rFonts w:eastAsia="MS Mincho"/>
                <w:sz w:val="22"/>
              </w:rPr>
              <w:t>ualcomm</w:t>
            </w:r>
          </w:p>
        </w:tc>
        <w:tc>
          <w:tcPr>
            <w:tcW w:w="19931" w:type="dxa"/>
          </w:tcPr>
          <w:p w14:paraId="36A03310" w14:textId="77777777" w:rsidR="002F4D61" w:rsidRDefault="00B03222">
            <w:pPr>
              <w:rPr>
                <w:lang w:val="en-US"/>
              </w:rPr>
            </w:pPr>
            <w:r>
              <w:rPr>
                <w:lang w:val="en-US"/>
              </w:rPr>
              <w:t xml:space="preserve">One of the most contentious issues in the last meeting was whether the features for </w:t>
            </w:r>
            <w:proofErr w:type="spellStart"/>
            <w:r>
              <w:rPr>
                <w:lang w:val="en-US"/>
              </w:rPr>
              <w:t>eMTC</w:t>
            </w:r>
            <w:proofErr w:type="spellEnd"/>
            <w:r>
              <w:rPr>
                <w:lang w:val="en-US"/>
              </w:rPr>
              <w:t xml:space="preserve"> and NB-IoT were “per UE” or “per band”.</w:t>
            </w:r>
          </w:p>
          <w:p w14:paraId="3AD3C35B" w14:textId="77777777" w:rsidR="002F4D61" w:rsidRDefault="00B03222">
            <w:pPr>
              <w:rPr>
                <w:lang w:val="en-US"/>
              </w:rPr>
            </w:pPr>
            <w:r>
              <w:rPr>
                <w:lang w:val="en-US"/>
              </w:rPr>
              <w:t>In our view, the newly introduced features should be “per band” for the following reason: with the introduction of NTN IOT, there should be a way to differentiate the capability of using 16-QAM or 14 HARQ processes for terrestrial and non-terrestrial cases. “Per band” capability indication allows for this indication.</w:t>
            </w:r>
          </w:p>
          <w:p w14:paraId="68FA4C07" w14:textId="77777777" w:rsidR="002F4D61" w:rsidRDefault="00B03222">
            <w:pPr>
              <w:rPr>
                <w:b/>
                <w:bCs/>
                <w:lang w:val="en-US"/>
              </w:rPr>
            </w:pPr>
            <w:r>
              <w:rPr>
                <w:b/>
                <w:bCs/>
                <w:u w:val="single"/>
                <w:lang w:val="en-US"/>
              </w:rPr>
              <w:t>Observation 1:</w:t>
            </w:r>
            <w:r>
              <w:rPr>
                <w:b/>
                <w:bCs/>
                <w:lang w:val="en-US"/>
              </w:rPr>
              <w:t xml:space="preserve"> All the IOT features should be “per band” to allow differentiation of support of a feature in terrestrial and non-terrestrial networks.</w:t>
            </w:r>
          </w:p>
          <w:p w14:paraId="65439DCE" w14:textId="77777777" w:rsidR="002F4D61" w:rsidRDefault="00B03222">
            <w:pPr>
              <w:rPr>
                <w:lang w:val="en-US"/>
              </w:rPr>
            </w:pPr>
            <w:proofErr w:type="gramStart"/>
            <w:r>
              <w:rPr>
                <w:lang w:val="en-US"/>
              </w:rPr>
              <w:t>Similar to</w:t>
            </w:r>
            <w:proofErr w:type="gramEnd"/>
            <w:r>
              <w:rPr>
                <w:lang w:val="en-US"/>
              </w:rPr>
              <w:t xml:space="preserve"> the points above, the </w:t>
            </w:r>
            <w:proofErr w:type="spellStart"/>
            <w:r>
              <w:rPr>
                <w:lang w:val="en-US"/>
              </w:rPr>
              <w:t>eMTC</w:t>
            </w:r>
            <w:proofErr w:type="spellEnd"/>
            <w:r>
              <w:rPr>
                <w:lang w:val="en-US"/>
              </w:rPr>
              <w:t xml:space="preserve"> features 1-3 and 1-4 shall be indicated “per band” due to NTN/TN differentiation and robustness against lack of IODT opportunities.</w:t>
            </w:r>
          </w:p>
          <w:p w14:paraId="6E09CBF0" w14:textId="77777777" w:rsidR="002F4D61" w:rsidRDefault="00B03222">
            <w:pPr>
              <w:rPr>
                <w:b/>
                <w:bCs/>
                <w:lang w:val="en-US"/>
              </w:rPr>
            </w:pPr>
            <w:r>
              <w:rPr>
                <w:b/>
                <w:bCs/>
                <w:u w:val="single"/>
                <w:lang w:val="en-US"/>
              </w:rPr>
              <w:t xml:space="preserve">Proposal 2: </w:t>
            </w:r>
            <w:r>
              <w:rPr>
                <w:b/>
                <w:bCs/>
                <w:lang w:val="en-US"/>
              </w:rPr>
              <w:t>FG 1-3 and 1-4 are “per band”.</w:t>
            </w:r>
          </w:p>
        </w:tc>
      </w:tr>
      <w:tr w:rsidR="002F4D61" w14:paraId="62CB40F8" w14:textId="77777777">
        <w:tc>
          <w:tcPr>
            <w:tcW w:w="621" w:type="dxa"/>
          </w:tcPr>
          <w:p w14:paraId="543C01CD" w14:textId="77777777" w:rsidR="002F4D61" w:rsidRDefault="00B03222">
            <w:pPr>
              <w:spacing w:after="180"/>
              <w:jc w:val="both"/>
              <w:rPr>
                <w:rFonts w:eastAsia="MS Mincho"/>
                <w:sz w:val="22"/>
              </w:rPr>
            </w:pPr>
            <w:r>
              <w:rPr>
                <w:rFonts w:eastAsia="MS Mincho" w:hint="eastAsia"/>
                <w:sz w:val="22"/>
              </w:rPr>
              <w:t>[</w:t>
            </w:r>
            <w:r>
              <w:rPr>
                <w:rFonts w:eastAsia="MS Mincho"/>
                <w:sz w:val="22"/>
              </w:rPr>
              <w:t>7]</w:t>
            </w:r>
          </w:p>
        </w:tc>
        <w:tc>
          <w:tcPr>
            <w:tcW w:w="1831" w:type="dxa"/>
          </w:tcPr>
          <w:p w14:paraId="1D1DF7A2" w14:textId="77777777" w:rsidR="002F4D61" w:rsidRDefault="00B03222">
            <w:pPr>
              <w:spacing w:after="180"/>
              <w:jc w:val="both"/>
              <w:rPr>
                <w:rFonts w:eastAsia="MS Mincho"/>
                <w:sz w:val="22"/>
              </w:rPr>
            </w:pPr>
            <w:r>
              <w:rPr>
                <w:rFonts w:eastAsia="MS Mincho" w:hint="eastAsia"/>
                <w:sz w:val="22"/>
              </w:rPr>
              <w:t>E</w:t>
            </w:r>
            <w:r>
              <w:rPr>
                <w:rFonts w:eastAsia="MS Mincho"/>
                <w:sz w:val="22"/>
              </w:rPr>
              <w:t>ricsson</w:t>
            </w:r>
          </w:p>
        </w:tc>
        <w:tc>
          <w:tcPr>
            <w:tcW w:w="19931" w:type="dxa"/>
          </w:tcPr>
          <w:p w14:paraId="21B1B362" w14:textId="566A67B3" w:rsidR="002F4D61" w:rsidRDefault="00B03222">
            <w:pPr>
              <w:pStyle w:val="BodyText"/>
            </w:pPr>
            <w:r>
              <w:t xml:space="preserve">For the above UE feature list on the support of a maximum DL TBS of 1736 bits for HD-FDD </w:t>
            </w:r>
            <w:proofErr w:type="spellStart"/>
            <w:r>
              <w:t>U</w:t>
            </w:r>
            <w:r w:rsidR="00673589">
              <w:t>e</w:t>
            </w:r>
            <w:r>
              <w:t>s</w:t>
            </w:r>
            <w:proofErr w:type="spellEnd"/>
            <w:r>
              <w:t xml:space="preserve"> in CE Mode A, we have the following proposal:</w:t>
            </w:r>
          </w:p>
          <w:p w14:paraId="393B6C8D" w14:textId="77777777" w:rsidR="002F4D61" w:rsidRDefault="00B03222">
            <w:pPr>
              <w:pStyle w:val="Observation"/>
              <w:widowControl/>
              <w:tabs>
                <w:tab w:val="clear" w:pos="1304"/>
              </w:tabs>
              <w:spacing w:line="240" w:lineRule="auto"/>
            </w:pPr>
            <w:bookmarkStart w:id="20" w:name="_Toc90045105"/>
            <w:r>
              <w:t>To define the “Type” of the Rel-17 features built under a L1 Terrestrial context, we can follow the Moderator’s suggestion of defining the “Type of FGs 1-3 and 1-4 (i.e., LTE-MTC features) “per UE” and leaving the Type of FGs 1-1 and 1-2 (i.e., NB-IoT features) up to RAN2/RAN4”.</w:t>
            </w:r>
            <w:bookmarkEnd w:id="20"/>
          </w:p>
          <w:p w14:paraId="37C02EAC" w14:textId="1BF1FA1E" w:rsidR="002F4D61" w:rsidRDefault="00B03222">
            <w:pPr>
              <w:pStyle w:val="Proposal"/>
              <w:widowControl/>
              <w:tabs>
                <w:tab w:val="clear" w:pos="1304"/>
              </w:tabs>
              <w:spacing w:line="240" w:lineRule="auto"/>
              <w:ind w:left="1701" w:hanging="1701"/>
            </w:pPr>
            <w:bookmarkStart w:id="21" w:name="_Toc90045110"/>
            <w:r>
              <w:t xml:space="preserve">For the max DL TBS of 1736 bits for HD-FDD </w:t>
            </w:r>
            <w:proofErr w:type="spellStart"/>
            <w:r>
              <w:t>U</w:t>
            </w:r>
            <w:r w:rsidR="00673589">
              <w:t>e</w:t>
            </w:r>
            <w:r>
              <w:t>s</w:t>
            </w:r>
            <w:proofErr w:type="spellEnd"/>
            <w:r>
              <w:t xml:space="preserve"> (i.e., FG 1-4 in the “UE Feature list”), the column “Type” is defined “Per UE”.</w:t>
            </w:r>
            <w:bookmarkEnd w:id="21"/>
          </w:p>
        </w:tc>
      </w:tr>
    </w:tbl>
    <w:p w14:paraId="2A8844AF" w14:textId="77777777" w:rsidR="002F4D61" w:rsidRDefault="002F4D61">
      <w:pPr>
        <w:spacing w:afterLines="50" w:after="120"/>
        <w:jc w:val="both"/>
        <w:rPr>
          <w:sz w:val="22"/>
        </w:rPr>
      </w:pPr>
    </w:p>
    <w:p w14:paraId="48BFB834" w14:textId="77777777" w:rsidR="002F4D61" w:rsidRDefault="002F4D61">
      <w:pPr>
        <w:spacing w:afterLines="50" w:after="120"/>
        <w:jc w:val="both"/>
        <w:rPr>
          <w:sz w:val="22"/>
        </w:rPr>
      </w:pPr>
    </w:p>
    <w:p w14:paraId="7E0A796E" w14:textId="77777777" w:rsidR="002F4D61" w:rsidRDefault="00B03222">
      <w:pPr>
        <w:pStyle w:val="Heading2"/>
        <w:rPr>
          <w:b/>
          <w:bCs/>
        </w:rPr>
      </w:pPr>
      <w:r>
        <w:rPr>
          <w:b/>
          <w:bCs/>
        </w:rPr>
        <w:t>Discussion</w:t>
      </w:r>
    </w:p>
    <w:p w14:paraId="72E1694B" w14:textId="77777777" w:rsidR="002F4D61" w:rsidRDefault="00B03222">
      <w:pPr>
        <w:spacing w:afterLines="50" w:after="120"/>
        <w:jc w:val="both"/>
        <w:rPr>
          <w:b/>
          <w:bCs/>
          <w:szCs w:val="21"/>
          <w:lang w:val="en-US"/>
        </w:rPr>
      </w:pPr>
      <w:r>
        <w:rPr>
          <w:b/>
          <w:bCs/>
          <w:szCs w:val="21"/>
          <w:lang w:val="en-US"/>
        </w:rPr>
        <w:t>[FL1] Proposal 4-1:</w:t>
      </w:r>
    </w:p>
    <w:p w14:paraId="4C9157A9" w14:textId="77777777" w:rsidR="002F4D61" w:rsidRDefault="00B03222">
      <w:pPr>
        <w:pStyle w:val="ListParagraph"/>
        <w:numPr>
          <w:ilvl w:val="0"/>
          <w:numId w:val="19"/>
        </w:numPr>
        <w:spacing w:afterLines="50" w:after="120"/>
        <w:ind w:leftChars="0"/>
        <w:jc w:val="both"/>
        <w:rPr>
          <w:b/>
          <w:bCs/>
          <w:szCs w:val="24"/>
          <w:lang w:val="en-US"/>
        </w:rPr>
      </w:pPr>
      <w:r>
        <w:rPr>
          <w:b/>
          <w:bCs/>
          <w:szCs w:val="21"/>
          <w:lang w:val="en-US"/>
        </w:rPr>
        <w:t>For FG 1-4, select one of the following options:</w:t>
      </w:r>
    </w:p>
    <w:p w14:paraId="7EDCBA25" w14:textId="77777777" w:rsidR="002F4D61" w:rsidRDefault="00B03222">
      <w:pPr>
        <w:pStyle w:val="ListParagraph"/>
        <w:numPr>
          <w:ilvl w:val="1"/>
          <w:numId w:val="19"/>
        </w:numPr>
        <w:spacing w:afterLines="50" w:after="120"/>
        <w:ind w:leftChars="0"/>
        <w:jc w:val="both"/>
        <w:rPr>
          <w:b/>
          <w:bCs/>
          <w:szCs w:val="24"/>
          <w:lang w:val="en-US"/>
        </w:rPr>
      </w:pPr>
      <w:r>
        <w:rPr>
          <w:b/>
          <w:bCs/>
          <w:szCs w:val="21"/>
          <w:lang w:val="en-US"/>
        </w:rPr>
        <w:t>Option 1: type of FG 1-4 is per UE</w:t>
      </w:r>
    </w:p>
    <w:p w14:paraId="74DE0FC7" w14:textId="77777777" w:rsidR="002F4D61" w:rsidRDefault="00B03222">
      <w:pPr>
        <w:pStyle w:val="ListParagraph"/>
        <w:numPr>
          <w:ilvl w:val="1"/>
          <w:numId w:val="19"/>
        </w:numPr>
        <w:spacing w:afterLines="50" w:after="120"/>
        <w:ind w:leftChars="0"/>
        <w:jc w:val="both"/>
        <w:rPr>
          <w:b/>
          <w:bCs/>
          <w:szCs w:val="24"/>
          <w:lang w:val="en-US"/>
        </w:rPr>
      </w:pPr>
      <w:r>
        <w:rPr>
          <w:b/>
          <w:bCs/>
          <w:szCs w:val="21"/>
          <w:lang w:val="en-US"/>
        </w:rPr>
        <w:t>Option 2: type of FG 1-4 is per band</w:t>
      </w:r>
    </w:p>
    <w:tbl>
      <w:tblPr>
        <w:tblStyle w:val="TableGrid"/>
        <w:tblW w:w="5000" w:type="pct"/>
        <w:tblLook w:val="04A0" w:firstRow="1" w:lastRow="0" w:firstColumn="1" w:lastColumn="0" w:noHBand="0" w:noVBand="1"/>
      </w:tblPr>
      <w:tblGrid>
        <w:gridCol w:w="2265"/>
        <w:gridCol w:w="20118"/>
      </w:tblGrid>
      <w:tr w:rsidR="002F4D61" w14:paraId="4B1575F6" w14:textId="77777777">
        <w:tc>
          <w:tcPr>
            <w:tcW w:w="506" w:type="pct"/>
            <w:shd w:val="clear" w:color="auto" w:fill="F2F2F2" w:themeFill="background1" w:themeFillShade="F2"/>
          </w:tcPr>
          <w:p w14:paraId="06104CB1" w14:textId="77777777" w:rsidR="002F4D61" w:rsidRDefault="00B0322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A5ADE78" w14:textId="77777777" w:rsidR="002F4D61" w:rsidRDefault="00B03222">
            <w:pPr>
              <w:spacing w:afterLines="50" w:after="120"/>
              <w:jc w:val="both"/>
              <w:rPr>
                <w:szCs w:val="21"/>
                <w:lang w:val="en-US"/>
              </w:rPr>
            </w:pPr>
            <w:r>
              <w:rPr>
                <w:rFonts w:hint="eastAsia"/>
                <w:szCs w:val="21"/>
                <w:lang w:val="en-US"/>
              </w:rPr>
              <w:t>C</w:t>
            </w:r>
            <w:r>
              <w:rPr>
                <w:szCs w:val="21"/>
                <w:lang w:val="en-US"/>
              </w:rPr>
              <w:t>omment</w:t>
            </w:r>
          </w:p>
        </w:tc>
      </w:tr>
      <w:tr w:rsidR="002F4D61" w14:paraId="3E1E8F54" w14:textId="77777777">
        <w:tc>
          <w:tcPr>
            <w:tcW w:w="506" w:type="pct"/>
          </w:tcPr>
          <w:p w14:paraId="115B4C71" w14:textId="77777777" w:rsidR="002F4D61" w:rsidRDefault="00B03222">
            <w:pPr>
              <w:spacing w:after="180"/>
              <w:jc w:val="both"/>
              <w:rPr>
                <w:szCs w:val="21"/>
                <w:lang w:val="en-US"/>
              </w:rPr>
            </w:pPr>
            <w:r>
              <w:rPr>
                <w:rFonts w:hint="eastAsia"/>
                <w:szCs w:val="21"/>
                <w:lang w:val="en-US"/>
              </w:rPr>
              <w:t>M</w:t>
            </w:r>
            <w:r>
              <w:rPr>
                <w:szCs w:val="21"/>
                <w:lang w:val="en-US"/>
              </w:rPr>
              <w:t>oderator</w:t>
            </w:r>
          </w:p>
        </w:tc>
        <w:tc>
          <w:tcPr>
            <w:tcW w:w="4494" w:type="pct"/>
          </w:tcPr>
          <w:p w14:paraId="76903801" w14:textId="77777777" w:rsidR="002F4D61" w:rsidRDefault="00B03222">
            <w:pPr>
              <w:spacing w:after="180"/>
              <w:rPr>
                <w:szCs w:val="21"/>
                <w:lang w:val="en-US"/>
              </w:rPr>
            </w:pPr>
            <w:r>
              <w:rPr>
                <w:rFonts w:hint="eastAsia"/>
                <w:szCs w:val="21"/>
                <w:lang w:val="en-US"/>
              </w:rPr>
              <w:t>S</w:t>
            </w:r>
            <w:r>
              <w:rPr>
                <w:szCs w:val="21"/>
                <w:lang w:val="en-US"/>
              </w:rPr>
              <w:t>ummary of companies view</w:t>
            </w:r>
          </w:p>
          <w:p w14:paraId="15C17DF8" w14:textId="77777777" w:rsidR="002F4D61" w:rsidRDefault="00B03222">
            <w:pPr>
              <w:pStyle w:val="ListParagraph"/>
              <w:numPr>
                <w:ilvl w:val="0"/>
                <w:numId w:val="20"/>
              </w:numPr>
              <w:spacing w:after="180"/>
              <w:ind w:leftChars="0"/>
              <w:rPr>
                <w:szCs w:val="21"/>
                <w:lang w:val="es-MX"/>
              </w:rPr>
            </w:pPr>
            <w:proofErr w:type="spellStart"/>
            <w:r>
              <w:rPr>
                <w:rFonts w:hint="eastAsia"/>
                <w:szCs w:val="21"/>
                <w:lang w:val="es-MX"/>
              </w:rPr>
              <w:t>O</w:t>
            </w:r>
            <w:r>
              <w:rPr>
                <w:szCs w:val="21"/>
                <w:lang w:val="es-MX"/>
              </w:rPr>
              <w:t>ption</w:t>
            </w:r>
            <w:proofErr w:type="spellEnd"/>
            <w:r>
              <w:rPr>
                <w:szCs w:val="21"/>
                <w:lang w:val="es-MX"/>
              </w:rPr>
              <w:t xml:space="preserve"> 1: HW/</w:t>
            </w:r>
            <w:proofErr w:type="spellStart"/>
            <w:r>
              <w:rPr>
                <w:szCs w:val="21"/>
                <w:lang w:val="es-MX"/>
              </w:rPr>
              <w:t>HiSi</w:t>
            </w:r>
            <w:proofErr w:type="spellEnd"/>
            <w:r>
              <w:rPr>
                <w:szCs w:val="21"/>
                <w:lang w:val="es-MX"/>
              </w:rPr>
              <w:t>, ZTE, Nokia/NSB, DOCOMO, E///</w:t>
            </w:r>
          </w:p>
          <w:p w14:paraId="3B0A5375" w14:textId="77777777" w:rsidR="002F4D61" w:rsidRDefault="00B03222">
            <w:pPr>
              <w:pStyle w:val="ListParagraph"/>
              <w:numPr>
                <w:ilvl w:val="0"/>
                <w:numId w:val="20"/>
              </w:numPr>
              <w:spacing w:after="180"/>
              <w:ind w:leftChars="0"/>
              <w:rPr>
                <w:szCs w:val="21"/>
                <w:lang w:val="en-US"/>
              </w:rPr>
            </w:pPr>
            <w:r>
              <w:rPr>
                <w:rFonts w:hint="eastAsia"/>
                <w:szCs w:val="21"/>
                <w:lang w:val="en-US"/>
              </w:rPr>
              <w:t>O</w:t>
            </w:r>
            <w:r>
              <w:rPr>
                <w:szCs w:val="21"/>
                <w:lang w:val="en-US"/>
              </w:rPr>
              <w:t>ption 2: QC</w:t>
            </w:r>
          </w:p>
          <w:p w14:paraId="16308A78" w14:textId="77777777" w:rsidR="002F4D61" w:rsidRDefault="002F4D61">
            <w:pPr>
              <w:spacing w:after="180"/>
              <w:rPr>
                <w:szCs w:val="21"/>
                <w:lang w:val="en-US"/>
              </w:rPr>
            </w:pPr>
          </w:p>
          <w:p w14:paraId="5F3CE4B3" w14:textId="77777777" w:rsidR="002F4D61" w:rsidRDefault="00B03222">
            <w:pPr>
              <w:spacing w:after="180"/>
              <w:rPr>
                <w:szCs w:val="21"/>
                <w:lang w:val="en-US"/>
              </w:rPr>
            </w:pPr>
            <w:r>
              <w:rPr>
                <w:rFonts w:hint="eastAsia"/>
                <w:szCs w:val="21"/>
                <w:lang w:val="en-US"/>
              </w:rPr>
              <w:t>At</w:t>
            </w:r>
            <w:r>
              <w:rPr>
                <w:szCs w:val="21"/>
                <w:lang w:val="en-US"/>
              </w:rPr>
              <w:t xml:space="preserve"> RAN1#107-e, this issue was discussed together with other </w:t>
            </w:r>
            <w:proofErr w:type="gramStart"/>
            <w:r>
              <w:rPr>
                <w:szCs w:val="21"/>
                <w:lang w:val="en-US"/>
              </w:rPr>
              <w:t>FGs</w:t>
            </w:r>
            <w:proofErr w:type="gramEnd"/>
            <w:r>
              <w:rPr>
                <w:szCs w:val="21"/>
                <w:lang w:val="en-US"/>
              </w:rPr>
              <w:t xml:space="preserve"> but no consensus was achieved. During the discussion, most companies showed their flexibility to accept Option 3 for FGs 1-1 and 1-2, and it seemed stable that type of FGs 1-3 and 1-4 are per UE. Companies are invited to provide view whether you can live with Option 1 for FG 1-4.</w:t>
            </w:r>
          </w:p>
        </w:tc>
      </w:tr>
      <w:tr w:rsidR="002F4D61" w14:paraId="7CF5A711" w14:textId="77777777">
        <w:tc>
          <w:tcPr>
            <w:tcW w:w="506" w:type="pct"/>
          </w:tcPr>
          <w:p w14:paraId="356D5D5D" w14:textId="77777777" w:rsidR="002F4D61" w:rsidRDefault="00B03222">
            <w:pPr>
              <w:spacing w:after="180"/>
              <w:jc w:val="both"/>
              <w:rPr>
                <w:szCs w:val="21"/>
                <w:lang w:val="en-US"/>
              </w:rPr>
            </w:pPr>
            <w:r>
              <w:rPr>
                <w:szCs w:val="21"/>
                <w:lang w:val="en-US"/>
              </w:rPr>
              <w:t>Ericsson</w:t>
            </w:r>
          </w:p>
        </w:tc>
        <w:tc>
          <w:tcPr>
            <w:tcW w:w="4494" w:type="pct"/>
          </w:tcPr>
          <w:p w14:paraId="3FA37614" w14:textId="77777777" w:rsidR="002F4D61" w:rsidRDefault="00B03222">
            <w:pPr>
              <w:spacing w:after="180"/>
              <w:rPr>
                <w:szCs w:val="21"/>
                <w:lang w:val="en-US"/>
              </w:rPr>
            </w:pPr>
            <w:r>
              <w:rPr>
                <w:szCs w:val="21"/>
                <w:lang w:val="en-US"/>
              </w:rPr>
              <w:t>Option 1</w:t>
            </w:r>
          </w:p>
        </w:tc>
      </w:tr>
      <w:tr w:rsidR="002F4D61" w14:paraId="2B7CDBD0" w14:textId="77777777">
        <w:tc>
          <w:tcPr>
            <w:tcW w:w="506" w:type="pct"/>
          </w:tcPr>
          <w:p w14:paraId="77173427" w14:textId="77777777" w:rsidR="002F4D61" w:rsidRDefault="00B03222">
            <w:pPr>
              <w:spacing w:after="180"/>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038BB78" w14:textId="77777777" w:rsidR="002F4D61" w:rsidRDefault="00B03222">
            <w:pPr>
              <w:spacing w:after="180"/>
              <w:rPr>
                <w:rFonts w:eastAsia="SimSun"/>
                <w:szCs w:val="21"/>
                <w:lang w:val="en-US" w:eastAsia="zh-CN"/>
              </w:rPr>
            </w:pPr>
            <w:r>
              <w:rPr>
                <w:rFonts w:eastAsia="SimSun" w:hint="eastAsia"/>
                <w:szCs w:val="21"/>
                <w:lang w:val="en-US" w:eastAsia="zh-CN"/>
              </w:rPr>
              <w:t>Option 1</w:t>
            </w:r>
          </w:p>
        </w:tc>
      </w:tr>
      <w:tr w:rsidR="00B03222" w14:paraId="0E98CECD" w14:textId="77777777">
        <w:tc>
          <w:tcPr>
            <w:tcW w:w="506" w:type="pct"/>
          </w:tcPr>
          <w:p w14:paraId="32AAA152" w14:textId="492DAFF2" w:rsidR="00B03222" w:rsidRDefault="00B03222">
            <w:pPr>
              <w:spacing w:after="180"/>
              <w:jc w:val="both"/>
              <w:rPr>
                <w:rFonts w:eastAsia="SimSun"/>
                <w:szCs w:val="21"/>
                <w:lang w:val="en-US" w:eastAsia="zh-CN"/>
              </w:rPr>
            </w:pPr>
            <w:r>
              <w:rPr>
                <w:rFonts w:eastAsia="SimSun"/>
                <w:szCs w:val="21"/>
                <w:lang w:val="en-US" w:eastAsia="zh-CN"/>
              </w:rPr>
              <w:t>Nokia, NSB</w:t>
            </w:r>
          </w:p>
        </w:tc>
        <w:tc>
          <w:tcPr>
            <w:tcW w:w="4494" w:type="pct"/>
          </w:tcPr>
          <w:p w14:paraId="56FBA293" w14:textId="2051A309" w:rsidR="00B03222" w:rsidRDefault="00B03222">
            <w:pPr>
              <w:spacing w:after="180"/>
              <w:rPr>
                <w:rFonts w:eastAsia="SimSun"/>
                <w:szCs w:val="21"/>
                <w:lang w:val="en-US" w:eastAsia="zh-CN"/>
              </w:rPr>
            </w:pPr>
            <w:r>
              <w:rPr>
                <w:rFonts w:eastAsia="SimSun"/>
                <w:szCs w:val="21"/>
                <w:lang w:val="en-US" w:eastAsia="zh-CN"/>
              </w:rPr>
              <w:t>Option 1</w:t>
            </w:r>
          </w:p>
        </w:tc>
      </w:tr>
      <w:tr w:rsidR="00C959EB" w14:paraId="45A699FB" w14:textId="77777777">
        <w:tc>
          <w:tcPr>
            <w:tcW w:w="506" w:type="pct"/>
          </w:tcPr>
          <w:p w14:paraId="7B7F9F1B" w14:textId="2A57C9AC" w:rsidR="00C959EB" w:rsidRDefault="00C959EB" w:rsidP="00C959EB">
            <w:pPr>
              <w:spacing w:after="18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A07BB3A" w14:textId="04E0821C" w:rsidR="00C959EB" w:rsidRDefault="00C959EB" w:rsidP="00C959EB">
            <w:pPr>
              <w:spacing w:after="180"/>
              <w:rPr>
                <w:rFonts w:eastAsia="SimSun"/>
                <w:szCs w:val="21"/>
                <w:lang w:val="en-US" w:eastAsia="zh-CN"/>
              </w:rPr>
            </w:pPr>
            <w:r>
              <w:rPr>
                <w:rFonts w:eastAsiaTheme="minorEastAsia" w:hint="eastAsia"/>
                <w:szCs w:val="21"/>
                <w:lang w:val="en-US"/>
              </w:rPr>
              <w:t>W</w:t>
            </w:r>
            <w:r>
              <w:rPr>
                <w:rFonts w:eastAsiaTheme="minorEastAsia"/>
                <w:szCs w:val="21"/>
                <w:lang w:val="en-US"/>
              </w:rPr>
              <w:t>e support Option 1 i.e., per-UE.</w:t>
            </w:r>
          </w:p>
        </w:tc>
      </w:tr>
      <w:tr w:rsidR="004B2843" w14:paraId="6B1B3501" w14:textId="77777777">
        <w:tc>
          <w:tcPr>
            <w:tcW w:w="506" w:type="pct"/>
          </w:tcPr>
          <w:p w14:paraId="1392006D" w14:textId="4BA73F24" w:rsidR="004B2843" w:rsidRDefault="004B2843" w:rsidP="00C959EB">
            <w:pPr>
              <w:spacing w:after="180"/>
              <w:jc w:val="both"/>
              <w:rPr>
                <w:rFonts w:eastAsiaTheme="minorEastAsia"/>
                <w:szCs w:val="21"/>
                <w:lang w:val="en-US"/>
              </w:rPr>
            </w:pPr>
            <w:r>
              <w:rPr>
                <w:rFonts w:eastAsiaTheme="minorEastAsia"/>
                <w:szCs w:val="21"/>
                <w:lang w:val="en-US"/>
              </w:rPr>
              <w:t>Qualcomm</w:t>
            </w:r>
          </w:p>
        </w:tc>
        <w:tc>
          <w:tcPr>
            <w:tcW w:w="4494" w:type="pct"/>
          </w:tcPr>
          <w:p w14:paraId="632705ED" w14:textId="7731C6B3" w:rsidR="004B2843" w:rsidRDefault="004B2843" w:rsidP="00C959EB">
            <w:pPr>
              <w:spacing w:after="180"/>
              <w:rPr>
                <w:rFonts w:eastAsiaTheme="minorEastAsia"/>
                <w:szCs w:val="21"/>
                <w:lang w:val="en-US"/>
              </w:rPr>
            </w:pPr>
            <w:r>
              <w:rPr>
                <w:rFonts w:eastAsiaTheme="minorEastAsia"/>
                <w:szCs w:val="21"/>
                <w:lang w:val="en-US"/>
              </w:rPr>
              <w:t>If we make this feature “per UE”, we would like to have a differentiation between TN and NTN.</w:t>
            </w:r>
          </w:p>
        </w:tc>
      </w:tr>
      <w:tr w:rsidR="00673589" w14:paraId="39CE7BAE" w14:textId="77777777">
        <w:tc>
          <w:tcPr>
            <w:tcW w:w="506" w:type="pct"/>
          </w:tcPr>
          <w:p w14:paraId="084F65C4" w14:textId="4E32C159" w:rsidR="00673589" w:rsidRDefault="00673589" w:rsidP="00C959EB">
            <w:pPr>
              <w:spacing w:after="180"/>
              <w:jc w:val="both"/>
              <w:rPr>
                <w:rFonts w:eastAsiaTheme="minorEastAsia"/>
                <w:szCs w:val="21"/>
                <w:lang w:val="en-US"/>
              </w:rPr>
            </w:pPr>
            <w:r>
              <w:rPr>
                <w:rFonts w:eastAsiaTheme="minorEastAsia" w:hint="eastAsia"/>
                <w:szCs w:val="21"/>
                <w:lang w:val="en-US"/>
              </w:rPr>
              <w:t>Huawei,</w:t>
            </w:r>
            <w:r>
              <w:rPr>
                <w:rFonts w:eastAsiaTheme="minorEastAsia"/>
                <w:szCs w:val="21"/>
                <w:lang w:val="en-US"/>
              </w:rPr>
              <w:t xml:space="preserve"> </w:t>
            </w:r>
            <w:proofErr w:type="spellStart"/>
            <w:r>
              <w:rPr>
                <w:rFonts w:eastAsiaTheme="minorEastAsia"/>
                <w:szCs w:val="21"/>
                <w:lang w:val="en-US"/>
              </w:rPr>
              <w:t>HiSilicon</w:t>
            </w:r>
            <w:proofErr w:type="spellEnd"/>
          </w:p>
        </w:tc>
        <w:tc>
          <w:tcPr>
            <w:tcW w:w="4494" w:type="pct"/>
          </w:tcPr>
          <w:p w14:paraId="68FFD655" w14:textId="0C3048F1" w:rsidR="00673589" w:rsidRDefault="00673589" w:rsidP="00C959EB">
            <w:pPr>
              <w:spacing w:after="180"/>
              <w:rPr>
                <w:rFonts w:eastAsiaTheme="minorEastAsia"/>
                <w:szCs w:val="21"/>
                <w:lang w:val="en-US"/>
              </w:rPr>
            </w:pPr>
            <w:r>
              <w:rPr>
                <w:rFonts w:eastAsiaTheme="minorEastAsia" w:hint="eastAsia"/>
                <w:szCs w:val="21"/>
                <w:lang w:val="en-US"/>
              </w:rPr>
              <w:t>Option 1.</w:t>
            </w:r>
          </w:p>
        </w:tc>
      </w:tr>
    </w:tbl>
    <w:p w14:paraId="70097FA5" w14:textId="77777777" w:rsidR="002F4D61" w:rsidRDefault="002F4D61">
      <w:pPr>
        <w:spacing w:afterLines="50" w:after="120"/>
        <w:jc w:val="both"/>
        <w:rPr>
          <w:sz w:val="22"/>
        </w:rPr>
      </w:pPr>
    </w:p>
    <w:p w14:paraId="3772C8EA" w14:textId="77777777" w:rsidR="002F4D61" w:rsidRDefault="002F4D61">
      <w:pPr>
        <w:spacing w:afterLines="50" w:after="120"/>
        <w:jc w:val="both"/>
        <w:rPr>
          <w:sz w:val="22"/>
          <w:lang w:val="en-US"/>
        </w:rPr>
      </w:pPr>
    </w:p>
    <w:p w14:paraId="4992891B" w14:textId="77777777" w:rsidR="002F4D61" w:rsidRDefault="002F4D61">
      <w:pPr>
        <w:spacing w:afterLines="50" w:after="120"/>
        <w:jc w:val="both"/>
        <w:rPr>
          <w:sz w:val="22"/>
        </w:rPr>
      </w:pPr>
    </w:p>
    <w:p w14:paraId="15A2B152" w14:textId="77777777" w:rsidR="002F4D61" w:rsidRDefault="00B03222">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1D794878" w14:textId="77777777" w:rsidR="002F4D61" w:rsidRDefault="00B03222">
      <w:pPr>
        <w:spacing w:afterLines="50" w:after="120"/>
        <w:jc w:val="both"/>
        <w:rPr>
          <w:sz w:val="22"/>
        </w:rPr>
      </w:pPr>
      <w:r>
        <w:rPr>
          <w:sz w:val="22"/>
        </w:rPr>
        <w:t>TBD</w:t>
      </w:r>
    </w:p>
    <w:p w14:paraId="50DDE77A" w14:textId="77777777" w:rsidR="002F4D61" w:rsidRDefault="002F4D61">
      <w:pPr>
        <w:spacing w:afterLines="50" w:after="120"/>
        <w:jc w:val="both"/>
        <w:rPr>
          <w:sz w:val="22"/>
        </w:rPr>
      </w:pPr>
    </w:p>
    <w:p w14:paraId="6C0622E3" w14:textId="77777777" w:rsidR="002F4D61" w:rsidRDefault="002F4D61">
      <w:pPr>
        <w:spacing w:afterLines="50" w:after="120"/>
        <w:jc w:val="both"/>
        <w:rPr>
          <w:sz w:val="22"/>
        </w:rPr>
      </w:pPr>
    </w:p>
    <w:p w14:paraId="42754A10" w14:textId="77777777" w:rsidR="002F4D61" w:rsidRDefault="00B03222">
      <w:pPr>
        <w:pStyle w:val="Heading1"/>
        <w:spacing w:before="180" w:after="120"/>
        <w:rPr>
          <w:rFonts w:eastAsia="MS Mincho"/>
          <w:b/>
          <w:bCs/>
          <w:szCs w:val="24"/>
          <w:lang w:val="en-US"/>
        </w:rPr>
      </w:pPr>
      <w:r>
        <w:rPr>
          <w:rFonts w:eastAsia="MS Mincho"/>
          <w:b/>
          <w:bCs/>
          <w:szCs w:val="24"/>
          <w:lang w:val="en-US"/>
        </w:rPr>
        <w:t>References</w:t>
      </w:r>
    </w:p>
    <w:p w14:paraId="28A71B5C" w14:textId="77777777" w:rsidR="002F4D61" w:rsidRDefault="00B03222">
      <w:pPr>
        <w:spacing w:afterLines="50" w:after="120"/>
        <w:jc w:val="both"/>
        <w:rPr>
          <w:rFonts w:eastAsia="MS Mincho"/>
          <w:sz w:val="22"/>
        </w:rPr>
      </w:pPr>
      <w:r>
        <w:rPr>
          <w:rFonts w:eastAsia="MS Mincho" w:hint="eastAsia"/>
          <w:sz w:val="22"/>
        </w:rPr>
        <w:t>[1]</w:t>
      </w:r>
      <w:r>
        <w:rPr>
          <w:rFonts w:eastAsia="MS Mincho"/>
          <w:sz w:val="22"/>
        </w:rPr>
        <w:tab/>
        <w:t>R1-2112900</w:t>
      </w:r>
      <w:r>
        <w:rPr>
          <w:rFonts w:eastAsia="MS Mincho"/>
          <w:sz w:val="22"/>
        </w:rPr>
        <w:tab/>
        <w:t>Updated RAN1 UE features list for Rel-17 LTE after RAN1 #107-e</w:t>
      </w:r>
      <w:r>
        <w:rPr>
          <w:rFonts w:eastAsia="MS Mincho"/>
          <w:sz w:val="22"/>
        </w:rPr>
        <w:tab/>
        <w:t>Moderators (AT&amp;T, NTT DOCOMO, INC.)</w:t>
      </w:r>
    </w:p>
    <w:p w14:paraId="2DD16034" w14:textId="77777777" w:rsidR="002F4D61" w:rsidRDefault="00B03222">
      <w:pPr>
        <w:spacing w:afterLines="50" w:after="120"/>
        <w:jc w:val="both"/>
        <w:rPr>
          <w:rFonts w:eastAsia="MS Mincho"/>
          <w:sz w:val="22"/>
        </w:rPr>
      </w:pPr>
      <w:r>
        <w:rPr>
          <w:rFonts w:eastAsia="MS Mincho" w:hint="eastAsia"/>
          <w:sz w:val="22"/>
        </w:rPr>
        <w:t>[2]</w:t>
      </w:r>
      <w:r>
        <w:rPr>
          <w:rFonts w:eastAsia="MS Mincho"/>
          <w:sz w:val="22"/>
        </w:rPr>
        <w:tab/>
        <w:t>R1-2200978</w:t>
      </w:r>
      <w:r>
        <w:rPr>
          <w:rFonts w:eastAsia="MS Mincho"/>
          <w:sz w:val="22"/>
        </w:rPr>
        <w:tab/>
        <w:t>Rel-17 UE features for NB-IoT and LTE-MTC enhancements</w:t>
      </w:r>
      <w:r>
        <w:rPr>
          <w:rFonts w:eastAsia="MS Mincho"/>
          <w:sz w:val="22"/>
        </w:rPr>
        <w:tab/>
        <w:t xml:space="preserve">Huawei, </w:t>
      </w:r>
      <w:proofErr w:type="spellStart"/>
      <w:r>
        <w:rPr>
          <w:rFonts w:eastAsia="MS Mincho"/>
          <w:sz w:val="22"/>
        </w:rPr>
        <w:t>HiSilicon</w:t>
      </w:r>
      <w:proofErr w:type="spellEnd"/>
    </w:p>
    <w:p w14:paraId="5464852E" w14:textId="77777777" w:rsidR="002F4D61" w:rsidRDefault="00B03222">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R1-2201140</w:t>
      </w:r>
      <w:r>
        <w:rPr>
          <w:rFonts w:eastAsia="MS Mincho"/>
          <w:sz w:val="22"/>
        </w:rPr>
        <w:tab/>
        <w:t>Discussion on LTE-M and NB-IoT UE features</w:t>
      </w:r>
      <w:r>
        <w:rPr>
          <w:rFonts w:eastAsia="MS Mincho"/>
          <w:sz w:val="22"/>
        </w:rPr>
        <w:tab/>
        <w:t xml:space="preserve">ZTE, </w:t>
      </w:r>
      <w:proofErr w:type="spellStart"/>
      <w:r>
        <w:rPr>
          <w:rFonts w:eastAsia="MS Mincho"/>
          <w:sz w:val="22"/>
        </w:rPr>
        <w:t>Sanechips</w:t>
      </w:r>
      <w:proofErr w:type="spellEnd"/>
    </w:p>
    <w:p w14:paraId="2F560AD5" w14:textId="77777777" w:rsidR="002F4D61" w:rsidRDefault="00B03222">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R1-2201416</w:t>
      </w:r>
      <w:r>
        <w:rPr>
          <w:rFonts w:eastAsia="MS Mincho"/>
          <w:sz w:val="22"/>
        </w:rPr>
        <w:tab/>
        <w:t>On UE features for NB-IoT and LTE-MTC enhancements</w:t>
      </w:r>
      <w:r>
        <w:rPr>
          <w:rFonts w:eastAsia="MS Mincho"/>
          <w:sz w:val="22"/>
        </w:rPr>
        <w:tab/>
        <w:t>Nokia, Nokia Shanghai Bell</w:t>
      </w:r>
    </w:p>
    <w:p w14:paraId="12EA4E0C" w14:textId="77777777" w:rsidR="002F4D61" w:rsidRDefault="00B03222">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R1-2201509</w:t>
      </w:r>
      <w:r>
        <w:rPr>
          <w:rFonts w:eastAsia="MS Mincho"/>
          <w:sz w:val="22"/>
        </w:rPr>
        <w:tab/>
        <w:t>Discussion on UE features for NB-IoT and LTE-MTC enhancements</w:t>
      </w:r>
      <w:r>
        <w:rPr>
          <w:rFonts w:eastAsia="MS Mincho"/>
          <w:sz w:val="22"/>
        </w:rPr>
        <w:tab/>
        <w:t>NTT DOCOMO, INC.</w:t>
      </w:r>
    </w:p>
    <w:p w14:paraId="41C0CC78" w14:textId="77777777" w:rsidR="002F4D61" w:rsidRDefault="00B03222">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R1-2202173</w:t>
      </w:r>
      <w:r>
        <w:rPr>
          <w:rFonts w:eastAsia="MS Mincho"/>
          <w:sz w:val="22"/>
        </w:rPr>
        <w:tab/>
        <w:t>UE features for NB-IoT and LTE-MTC enhancements</w:t>
      </w:r>
      <w:r>
        <w:rPr>
          <w:rFonts w:eastAsia="MS Mincho"/>
          <w:sz w:val="22"/>
        </w:rPr>
        <w:tab/>
        <w:t>Qualcomm Incorporated</w:t>
      </w:r>
    </w:p>
    <w:p w14:paraId="1C70F495" w14:textId="77777777" w:rsidR="002F4D61" w:rsidRDefault="00B03222">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R1-2202279</w:t>
      </w:r>
      <w:r>
        <w:rPr>
          <w:rFonts w:eastAsia="MS Mincho"/>
          <w:sz w:val="22"/>
        </w:rPr>
        <w:tab/>
        <w:t>On UE features for NB-IoT and LTE-MTC enhancements</w:t>
      </w:r>
      <w:r>
        <w:rPr>
          <w:rFonts w:eastAsia="MS Mincho"/>
          <w:sz w:val="22"/>
        </w:rPr>
        <w:tab/>
        <w:t>Ericsson</w:t>
      </w:r>
    </w:p>
    <w:sectPr w:rsidR="002F4D6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C72A" w14:textId="77777777" w:rsidR="00860257" w:rsidRDefault="00860257">
      <w:pPr>
        <w:spacing w:line="240" w:lineRule="auto"/>
      </w:pPr>
      <w:r>
        <w:separator/>
      </w:r>
    </w:p>
  </w:endnote>
  <w:endnote w:type="continuationSeparator" w:id="0">
    <w:p w14:paraId="76F03965" w14:textId="77777777" w:rsidR="00860257" w:rsidRDefault="00860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31A8" w14:textId="77777777" w:rsidR="002F4D61" w:rsidRDefault="00B0322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73589">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73589">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A391" w14:textId="77777777" w:rsidR="00860257" w:rsidRDefault="00860257">
      <w:pPr>
        <w:spacing w:after="0"/>
      </w:pPr>
      <w:r>
        <w:separator/>
      </w:r>
    </w:p>
  </w:footnote>
  <w:footnote w:type="continuationSeparator" w:id="0">
    <w:p w14:paraId="3F1B6345" w14:textId="77777777" w:rsidR="00860257" w:rsidRDefault="008602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ECF"/>
    <w:multiLevelType w:val="multilevel"/>
    <w:tmpl w:val="08C51ECF"/>
    <w:lvl w:ilvl="0">
      <w:start w:val="1"/>
      <w:numFmt w:val="decimal"/>
      <w:lvlText w:val="Observation %1"/>
      <w:lvlJc w:val="left"/>
      <w:pPr>
        <w:ind w:left="1777" w:hanging="360"/>
      </w:pPr>
      <w:rPr>
        <w:rFonts w:ascii="Times New Roman" w:hAnsi="Times New Roman" w:cs="Times New Roman" w:hint="default"/>
      </w:rPr>
    </w:lvl>
    <w:lvl w:ilvl="1">
      <w:start w:val="1"/>
      <w:numFmt w:val="lowerLetter"/>
      <w:lvlText w:val="%2."/>
      <w:lvlJc w:val="left"/>
      <w:pPr>
        <w:ind w:left="2857" w:hanging="360"/>
      </w:pPr>
      <w:rPr>
        <w:rFonts w:ascii="Times New Roman" w:hAnsi="Times New Roman" w:cs="Times New Roman" w:hint="default"/>
      </w:rPr>
    </w:lvl>
    <w:lvl w:ilvl="2">
      <w:start w:val="1"/>
      <w:numFmt w:val="lowerRoman"/>
      <w:lvlText w:val="%3."/>
      <w:lvlJc w:val="right"/>
      <w:pPr>
        <w:ind w:left="3577" w:hanging="180"/>
      </w:pPr>
      <w:rPr>
        <w:rFonts w:ascii="Times New Roman" w:hAnsi="Times New Roman" w:cs="Times New Roman" w:hint="default"/>
      </w:rPr>
    </w:lvl>
    <w:lvl w:ilvl="3">
      <w:start w:val="1"/>
      <w:numFmt w:val="decimal"/>
      <w:lvlText w:val="%4."/>
      <w:lvlJc w:val="left"/>
      <w:pPr>
        <w:ind w:left="4297" w:hanging="360"/>
      </w:pPr>
      <w:rPr>
        <w:rFonts w:ascii="Times New Roman" w:hAnsi="Times New Roman" w:cs="Times New Roman" w:hint="default"/>
      </w:rPr>
    </w:lvl>
    <w:lvl w:ilvl="4">
      <w:start w:val="1"/>
      <w:numFmt w:val="lowerLetter"/>
      <w:lvlText w:val="%5."/>
      <w:lvlJc w:val="left"/>
      <w:pPr>
        <w:ind w:left="5017" w:hanging="360"/>
      </w:pPr>
      <w:rPr>
        <w:rFonts w:ascii="Times New Roman" w:hAnsi="Times New Roman" w:cs="Times New Roman" w:hint="default"/>
      </w:rPr>
    </w:lvl>
    <w:lvl w:ilvl="5">
      <w:start w:val="1"/>
      <w:numFmt w:val="lowerRoman"/>
      <w:lvlText w:val="%6."/>
      <w:lvlJc w:val="right"/>
      <w:pPr>
        <w:ind w:left="5737" w:hanging="180"/>
      </w:pPr>
      <w:rPr>
        <w:rFonts w:ascii="Times New Roman" w:hAnsi="Times New Roman" w:cs="Times New Roman" w:hint="default"/>
      </w:rPr>
    </w:lvl>
    <w:lvl w:ilvl="6">
      <w:start w:val="1"/>
      <w:numFmt w:val="decimal"/>
      <w:lvlText w:val="%7."/>
      <w:lvlJc w:val="left"/>
      <w:pPr>
        <w:ind w:left="6457" w:hanging="360"/>
      </w:pPr>
      <w:rPr>
        <w:rFonts w:ascii="Times New Roman" w:hAnsi="Times New Roman" w:cs="Times New Roman" w:hint="default"/>
      </w:rPr>
    </w:lvl>
    <w:lvl w:ilvl="7">
      <w:start w:val="1"/>
      <w:numFmt w:val="lowerLetter"/>
      <w:lvlText w:val="%8."/>
      <w:lvlJc w:val="left"/>
      <w:pPr>
        <w:ind w:left="7177" w:hanging="360"/>
      </w:pPr>
      <w:rPr>
        <w:rFonts w:ascii="Times New Roman" w:hAnsi="Times New Roman" w:cs="Times New Roman" w:hint="default"/>
      </w:rPr>
    </w:lvl>
    <w:lvl w:ilvl="8">
      <w:start w:val="1"/>
      <w:numFmt w:val="lowerRoman"/>
      <w:lvlText w:val="%9."/>
      <w:lvlJc w:val="right"/>
      <w:pPr>
        <w:ind w:left="7897" w:hanging="180"/>
      </w:pPr>
      <w:rPr>
        <w:rFonts w:ascii="Times New Roman" w:hAnsi="Times New Roman" w:cs="Times New Roman" w:hint="default"/>
      </w:rPr>
    </w:lvl>
  </w:abstractNum>
  <w:abstractNum w:abstractNumId="1" w15:restartNumberingAfterBreak="0">
    <w:nsid w:val="0B270891"/>
    <w:multiLevelType w:val="hybridMultilevel"/>
    <w:tmpl w:val="93AEEB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777605"/>
    <w:multiLevelType w:val="multilevel"/>
    <w:tmpl w:val="1A77760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9223F0"/>
    <w:multiLevelType w:val="multilevel"/>
    <w:tmpl w:val="4D9223F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4EB114A7"/>
    <w:multiLevelType w:val="multilevel"/>
    <w:tmpl w:val="4EB114A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6F56F8"/>
    <w:multiLevelType w:val="multilevel"/>
    <w:tmpl w:val="516F56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6CF7E23"/>
    <w:multiLevelType w:val="multilevel"/>
    <w:tmpl w:val="56CF7E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D83C5A"/>
    <w:multiLevelType w:val="multilevel"/>
    <w:tmpl w:val="57D83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E31174F"/>
    <w:multiLevelType w:val="multilevel"/>
    <w:tmpl w:val="6E311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4"/>
  </w:num>
  <w:num w:numId="6">
    <w:abstractNumId w:val="8"/>
  </w:num>
  <w:num w:numId="7">
    <w:abstractNumId w:val="14"/>
  </w:num>
  <w:num w:numId="8">
    <w:abstractNumId w:val="9"/>
  </w:num>
  <w:num w:numId="9">
    <w:abstractNumId w:val="6"/>
  </w:num>
  <w:num w:numId="10">
    <w:abstractNumId w:val="18"/>
  </w:num>
  <w:num w:numId="11">
    <w:abstractNumId w:val="10"/>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21"/>
  </w:num>
  <w:num w:numId="17">
    <w:abstractNumId w:val="15"/>
  </w:num>
  <w:num w:numId="18">
    <w:abstractNumId w:val="13"/>
  </w:num>
  <w:num w:numId="19">
    <w:abstractNumId w:val="20"/>
  </w:num>
  <w:num w:numId="20">
    <w:abstractNumId w:val="16"/>
  </w:num>
  <w:num w:numId="21">
    <w:abstractNumId w:val="5"/>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1F91"/>
    <w:rsid w:val="0000228E"/>
    <w:rsid w:val="000022CD"/>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822"/>
    <w:rsid w:val="00004C7C"/>
    <w:rsid w:val="00004DDA"/>
    <w:rsid w:val="0000530F"/>
    <w:rsid w:val="00005493"/>
    <w:rsid w:val="00005966"/>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443"/>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AED"/>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5E4"/>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8D"/>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54D"/>
    <w:rsid w:val="0005380A"/>
    <w:rsid w:val="00053994"/>
    <w:rsid w:val="00053E6A"/>
    <w:rsid w:val="00053EBD"/>
    <w:rsid w:val="00053F52"/>
    <w:rsid w:val="00054304"/>
    <w:rsid w:val="00054CED"/>
    <w:rsid w:val="00054DAD"/>
    <w:rsid w:val="00055087"/>
    <w:rsid w:val="000550B8"/>
    <w:rsid w:val="000553DE"/>
    <w:rsid w:val="00055785"/>
    <w:rsid w:val="0005593A"/>
    <w:rsid w:val="00055DA8"/>
    <w:rsid w:val="00055F29"/>
    <w:rsid w:val="000563A7"/>
    <w:rsid w:val="00056631"/>
    <w:rsid w:val="00056C2C"/>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4F8"/>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9D9"/>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6C44"/>
    <w:rsid w:val="000779A9"/>
    <w:rsid w:val="00077FFC"/>
    <w:rsid w:val="00080392"/>
    <w:rsid w:val="000808D4"/>
    <w:rsid w:val="00080B57"/>
    <w:rsid w:val="00080DDF"/>
    <w:rsid w:val="00080EC6"/>
    <w:rsid w:val="0008128A"/>
    <w:rsid w:val="00081532"/>
    <w:rsid w:val="00081667"/>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4C"/>
    <w:rsid w:val="00090984"/>
    <w:rsid w:val="0009102D"/>
    <w:rsid w:val="00091103"/>
    <w:rsid w:val="00091419"/>
    <w:rsid w:val="00091509"/>
    <w:rsid w:val="000918A3"/>
    <w:rsid w:val="00091A22"/>
    <w:rsid w:val="00091A61"/>
    <w:rsid w:val="00091C60"/>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5D3"/>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97A"/>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13"/>
    <w:rsid w:val="000C2B5C"/>
    <w:rsid w:val="000C2BF7"/>
    <w:rsid w:val="000C2E07"/>
    <w:rsid w:val="000C2FF7"/>
    <w:rsid w:val="000C3236"/>
    <w:rsid w:val="000C370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0E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20"/>
    <w:rsid w:val="000E0529"/>
    <w:rsid w:val="000E056E"/>
    <w:rsid w:val="000E070C"/>
    <w:rsid w:val="000E0751"/>
    <w:rsid w:val="000E0800"/>
    <w:rsid w:val="000E1120"/>
    <w:rsid w:val="000E115A"/>
    <w:rsid w:val="000E1353"/>
    <w:rsid w:val="000E1B84"/>
    <w:rsid w:val="000E1C9E"/>
    <w:rsid w:val="000E207F"/>
    <w:rsid w:val="000E2243"/>
    <w:rsid w:val="000E2496"/>
    <w:rsid w:val="000E263F"/>
    <w:rsid w:val="000E269D"/>
    <w:rsid w:val="000E2A62"/>
    <w:rsid w:val="000E2F84"/>
    <w:rsid w:val="000E31E6"/>
    <w:rsid w:val="000E36C4"/>
    <w:rsid w:val="000E3C68"/>
    <w:rsid w:val="000E3F97"/>
    <w:rsid w:val="000E416E"/>
    <w:rsid w:val="000E44C6"/>
    <w:rsid w:val="000E462D"/>
    <w:rsid w:val="000E4D0A"/>
    <w:rsid w:val="000E502E"/>
    <w:rsid w:val="000E50BF"/>
    <w:rsid w:val="000E50FE"/>
    <w:rsid w:val="000E58B4"/>
    <w:rsid w:val="000E598D"/>
    <w:rsid w:val="000E5A40"/>
    <w:rsid w:val="000E5AA1"/>
    <w:rsid w:val="000E5C1E"/>
    <w:rsid w:val="000E5C52"/>
    <w:rsid w:val="000E60F6"/>
    <w:rsid w:val="000E61DA"/>
    <w:rsid w:val="000E620A"/>
    <w:rsid w:val="000E6571"/>
    <w:rsid w:val="000E6653"/>
    <w:rsid w:val="000E67A9"/>
    <w:rsid w:val="000E7583"/>
    <w:rsid w:val="000E7763"/>
    <w:rsid w:val="000E7E72"/>
    <w:rsid w:val="000F0059"/>
    <w:rsid w:val="000F0114"/>
    <w:rsid w:val="000F01EC"/>
    <w:rsid w:val="000F026A"/>
    <w:rsid w:val="000F02BC"/>
    <w:rsid w:val="000F04D8"/>
    <w:rsid w:val="000F095C"/>
    <w:rsid w:val="000F0B03"/>
    <w:rsid w:val="000F182F"/>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782"/>
    <w:rsid w:val="000F4928"/>
    <w:rsid w:val="000F4A86"/>
    <w:rsid w:val="000F4D77"/>
    <w:rsid w:val="000F4EFA"/>
    <w:rsid w:val="000F4F79"/>
    <w:rsid w:val="000F59B6"/>
    <w:rsid w:val="000F5D45"/>
    <w:rsid w:val="000F61A9"/>
    <w:rsid w:val="000F63BD"/>
    <w:rsid w:val="000F649A"/>
    <w:rsid w:val="000F64C4"/>
    <w:rsid w:val="000F651C"/>
    <w:rsid w:val="000F6598"/>
    <w:rsid w:val="000F6A40"/>
    <w:rsid w:val="000F6EA6"/>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6F78"/>
    <w:rsid w:val="00107259"/>
    <w:rsid w:val="0010732C"/>
    <w:rsid w:val="00107357"/>
    <w:rsid w:val="001077F6"/>
    <w:rsid w:val="0010789B"/>
    <w:rsid w:val="001078B7"/>
    <w:rsid w:val="00107934"/>
    <w:rsid w:val="00107DBD"/>
    <w:rsid w:val="00110069"/>
    <w:rsid w:val="0011024A"/>
    <w:rsid w:val="00110808"/>
    <w:rsid w:val="00111359"/>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A6A"/>
    <w:rsid w:val="0011500C"/>
    <w:rsid w:val="001152D7"/>
    <w:rsid w:val="001153FA"/>
    <w:rsid w:val="00115471"/>
    <w:rsid w:val="00115854"/>
    <w:rsid w:val="001160A6"/>
    <w:rsid w:val="0011618B"/>
    <w:rsid w:val="0011674F"/>
    <w:rsid w:val="00116947"/>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AE9"/>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D64"/>
    <w:rsid w:val="001353C2"/>
    <w:rsid w:val="001355EB"/>
    <w:rsid w:val="001359E4"/>
    <w:rsid w:val="00135B02"/>
    <w:rsid w:val="00135E98"/>
    <w:rsid w:val="00135F39"/>
    <w:rsid w:val="00136322"/>
    <w:rsid w:val="00136378"/>
    <w:rsid w:val="00136640"/>
    <w:rsid w:val="00136824"/>
    <w:rsid w:val="00136A69"/>
    <w:rsid w:val="00136B32"/>
    <w:rsid w:val="00137628"/>
    <w:rsid w:val="001377F2"/>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B1B"/>
    <w:rsid w:val="00141FB9"/>
    <w:rsid w:val="0014200D"/>
    <w:rsid w:val="00142540"/>
    <w:rsid w:val="00142757"/>
    <w:rsid w:val="00142D2D"/>
    <w:rsid w:val="00142E78"/>
    <w:rsid w:val="00143140"/>
    <w:rsid w:val="001433A1"/>
    <w:rsid w:val="00143547"/>
    <w:rsid w:val="00143B01"/>
    <w:rsid w:val="00143DBE"/>
    <w:rsid w:val="0014415F"/>
    <w:rsid w:val="00144294"/>
    <w:rsid w:val="00144301"/>
    <w:rsid w:val="0014491B"/>
    <w:rsid w:val="00144EE2"/>
    <w:rsid w:val="0014501E"/>
    <w:rsid w:val="00145072"/>
    <w:rsid w:val="001450AD"/>
    <w:rsid w:val="001456A7"/>
    <w:rsid w:val="001457A0"/>
    <w:rsid w:val="00145F02"/>
    <w:rsid w:val="00146083"/>
    <w:rsid w:val="0014629B"/>
    <w:rsid w:val="001463A1"/>
    <w:rsid w:val="00146823"/>
    <w:rsid w:val="001468AA"/>
    <w:rsid w:val="00146D39"/>
    <w:rsid w:val="00146F5C"/>
    <w:rsid w:val="0014700A"/>
    <w:rsid w:val="00147200"/>
    <w:rsid w:val="00147542"/>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755"/>
    <w:rsid w:val="001549D4"/>
    <w:rsid w:val="001549E0"/>
    <w:rsid w:val="00154AD1"/>
    <w:rsid w:val="00154C6A"/>
    <w:rsid w:val="001551D0"/>
    <w:rsid w:val="00155242"/>
    <w:rsid w:val="00155544"/>
    <w:rsid w:val="00155549"/>
    <w:rsid w:val="00155694"/>
    <w:rsid w:val="0015580E"/>
    <w:rsid w:val="0015590E"/>
    <w:rsid w:val="00155A99"/>
    <w:rsid w:val="00155C25"/>
    <w:rsid w:val="00155D0F"/>
    <w:rsid w:val="00155F10"/>
    <w:rsid w:val="00155FBA"/>
    <w:rsid w:val="001560D8"/>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8A7"/>
    <w:rsid w:val="0017290D"/>
    <w:rsid w:val="00172BBC"/>
    <w:rsid w:val="00172CA9"/>
    <w:rsid w:val="00172DB4"/>
    <w:rsid w:val="00172FA2"/>
    <w:rsid w:val="001731B5"/>
    <w:rsid w:val="001736A5"/>
    <w:rsid w:val="00173AA0"/>
    <w:rsid w:val="00173CFF"/>
    <w:rsid w:val="00173ECD"/>
    <w:rsid w:val="00173F53"/>
    <w:rsid w:val="00174040"/>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41B"/>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278"/>
    <w:rsid w:val="00186403"/>
    <w:rsid w:val="00186583"/>
    <w:rsid w:val="001865A3"/>
    <w:rsid w:val="001866FE"/>
    <w:rsid w:val="001867ED"/>
    <w:rsid w:val="00186B71"/>
    <w:rsid w:val="00186C04"/>
    <w:rsid w:val="00186C10"/>
    <w:rsid w:val="00186F48"/>
    <w:rsid w:val="00187034"/>
    <w:rsid w:val="00187086"/>
    <w:rsid w:val="001871E5"/>
    <w:rsid w:val="001875AD"/>
    <w:rsid w:val="001875EA"/>
    <w:rsid w:val="001879CE"/>
    <w:rsid w:val="00187C19"/>
    <w:rsid w:val="00187C2A"/>
    <w:rsid w:val="00187ED4"/>
    <w:rsid w:val="00187F0F"/>
    <w:rsid w:val="0019016F"/>
    <w:rsid w:val="00190C8B"/>
    <w:rsid w:val="00190D83"/>
    <w:rsid w:val="00190F7C"/>
    <w:rsid w:val="00190F80"/>
    <w:rsid w:val="00191031"/>
    <w:rsid w:val="0019120C"/>
    <w:rsid w:val="001912DD"/>
    <w:rsid w:val="00191569"/>
    <w:rsid w:val="00191698"/>
    <w:rsid w:val="00191B34"/>
    <w:rsid w:val="00191E78"/>
    <w:rsid w:val="00191E94"/>
    <w:rsid w:val="00191EFF"/>
    <w:rsid w:val="0019222C"/>
    <w:rsid w:val="001923ED"/>
    <w:rsid w:val="001925DC"/>
    <w:rsid w:val="001925F1"/>
    <w:rsid w:val="001925F7"/>
    <w:rsid w:val="00192661"/>
    <w:rsid w:val="00192681"/>
    <w:rsid w:val="0019276B"/>
    <w:rsid w:val="0019277B"/>
    <w:rsid w:val="00192850"/>
    <w:rsid w:val="00192CDE"/>
    <w:rsid w:val="001935CB"/>
    <w:rsid w:val="00193690"/>
    <w:rsid w:val="00193A2B"/>
    <w:rsid w:val="00193B72"/>
    <w:rsid w:val="00193DA9"/>
    <w:rsid w:val="00193F6F"/>
    <w:rsid w:val="00194036"/>
    <w:rsid w:val="001942F8"/>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3CB"/>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26F"/>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86"/>
    <w:rsid w:val="001C2ADC"/>
    <w:rsid w:val="001C2D37"/>
    <w:rsid w:val="001C30BE"/>
    <w:rsid w:val="001C3870"/>
    <w:rsid w:val="001C3AAE"/>
    <w:rsid w:val="001C3CFB"/>
    <w:rsid w:val="001C4195"/>
    <w:rsid w:val="001C456E"/>
    <w:rsid w:val="001C4835"/>
    <w:rsid w:val="001C48FB"/>
    <w:rsid w:val="001C49CA"/>
    <w:rsid w:val="001C49E4"/>
    <w:rsid w:val="001C524F"/>
    <w:rsid w:val="001C5504"/>
    <w:rsid w:val="001C558B"/>
    <w:rsid w:val="001C55ED"/>
    <w:rsid w:val="001C5930"/>
    <w:rsid w:val="001C5AAF"/>
    <w:rsid w:val="001C5CB6"/>
    <w:rsid w:val="001C5CC8"/>
    <w:rsid w:val="001C5DD2"/>
    <w:rsid w:val="001C5F7B"/>
    <w:rsid w:val="001C5F83"/>
    <w:rsid w:val="001C6030"/>
    <w:rsid w:val="001C6139"/>
    <w:rsid w:val="001C63C7"/>
    <w:rsid w:val="001C640D"/>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2F5D"/>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5FAA"/>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1CCB"/>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86F"/>
    <w:rsid w:val="001F0B5E"/>
    <w:rsid w:val="001F104F"/>
    <w:rsid w:val="001F1154"/>
    <w:rsid w:val="001F14BB"/>
    <w:rsid w:val="001F14FC"/>
    <w:rsid w:val="001F15CA"/>
    <w:rsid w:val="001F1610"/>
    <w:rsid w:val="001F1A26"/>
    <w:rsid w:val="001F1D3C"/>
    <w:rsid w:val="001F1E46"/>
    <w:rsid w:val="001F23E5"/>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895"/>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4E4"/>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2E"/>
    <w:rsid w:val="00215643"/>
    <w:rsid w:val="0021564B"/>
    <w:rsid w:val="00215945"/>
    <w:rsid w:val="00215A03"/>
    <w:rsid w:val="0021624E"/>
    <w:rsid w:val="0021680A"/>
    <w:rsid w:val="0021681A"/>
    <w:rsid w:val="00216A57"/>
    <w:rsid w:val="00216BAE"/>
    <w:rsid w:val="002170E2"/>
    <w:rsid w:val="002175FE"/>
    <w:rsid w:val="00217B9A"/>
    <w:rsid w:val="00217D09"/>
    <w:rsid w:val="00217E0D"/>
    <w:rsid w:val="00217FC2"/>
    <w:rsid w:val="0022039F"/>
    <w:rsid w:val="002205AD"/>
    <w:rsid w:val="00221135"/>
    <w:rsid w:val="0022207C"/>
    <w:rsid w:val="00222A2D"/>
    <w:rsid w:val="002235E8"/>
    <w:rsid w:val="002239C1"/>
    <w:rsid w:val="00223F32"/>
    <w:rsid w:val="00224402"/>
    <w:rsid w:val="002247B1"/>
    <w:rsid w:val="00224907"/>
    <w:rsid w:val="00224F5E"/>
    <w:rsid w:val="002256B6"/>
    <w:rsid w:val="0022577B"/>
    <w:rsid w:val="00225F13"/>
    <w:rsid w:val="002266DA"/>
    <w:rsid w:val="002266E7"/>
    <w:rsid w:val="0022678C"/>
    <w:rsid w:val="00226B0D"/>
    <w:rsid w:val="00226BB1"/>
    <w:rsid w:val="00226BF4"/>
    <w:rsid w:val="00227096"/>
    <w:rsid w:val="002273D4"/>
    <w:rsid w:val="0022770D"/>
    <w:rsid w:val="00227736"/>
    <w:rsid w:val="002278C1"/>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04"/>
    <w:rsid w:val="00234D14"/>
    <w:rsid w:val="00235012"/>
    <w:rsid w:val="002351D3"/>
    <w:rsid w:val="002355BC"/>
    <w:rsid w:val="00235C3D"/>
    <w:rsid w:val="00235EA3"/>
    <w:rsid w:val="002362CC"/>
    <w:rsid w:val="00236316"/>
    <w:rsid w:val="00236608"/>
    <w:rsid w:val="00236C0F"/>
    <w:rsid w:val="0023703D"/>
    <w:rsid w:val="002372C1"/>
    <w:rsid w:val="00237821"/>
    <w:rsid w:val="00237E4C"/>
    <w:rsid w:val="00240318"/>
    <w:rsid w:val="00240345"/>
    <w:rsid w:val="002408C8"/>
    <w:rsid w:val="002409B6"/>
    <w:rsid w:val="00240AB3"/>
    <w:rsid w:val="00240E8C"/>
    <w:rsid w:val="00240E9D"/>
    <w:rsid w:val="00241005"/>
    <w:rsid w:val="00241208"/>
    <w:rsid w:val="002414B0"/>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810"/>
    <w:rsid w:val="00251940"/>
    <w:rsid w:val="00251B01"/>
    <w:rsid w:val="00251C00"/>
    <w:rsid w:val="00251FEE"/>
    <w:rsid w:val="002524E9"/>
    <w:rsid w:val="00252514"/>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DCC"/>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9B"/>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28B"/>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72"/>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53"/>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7F"/>
    <w:rsid w:val="002A55B9"/>
    <w:rsid w:val="002A5734"/>
    <w:rsid w:val="002A5937"/>
    <w:rsid w:val="002A5B3B"/>
    <w:rsid w:val="002A5B74"/>
    <w:rsid w:val="002A5BC9"/>
    <w:rsid w:val="002A5CA0"/>
    <w:rsid w:val="002A6291"/>
    <w:rsid w:val="002A62E3"/>
    <w:rsid w:val="002A6D28"/>
    <w:rsid w:val="002A6D5A"/>
    <w:rsid w:val="002A71AA"/>
    <w:rsid w:val="002A745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2F5C"/>
    <w:rsid w:val="002B31B0"/>
    <w:rsid w:val="002B3342"/>
    <w:rsid w:val="002B33D2"/>
    <w:rsid w:val="002B3502"/>
    <w:rsid w:val="002B375F"/>
    <w:rsid w:val="002B3B75"/>
    <w:rsid w:val="002B3C18"/>
    <w:rsid w:val="002B3DC1"/>
    <w:rsid w:val="002B3E74"/>
    <w:rsid w:val="002B4423"/>
    <w:rsid w:val="002B465B"/>
    <w:rsid w:val="002B465F"/>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173"/>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314"/>
    <w:rsid w:val="002D6725"/>
    <w:rsid w:val="002D6A2F"/>
    <w:rsid w:val="002D6AF3"/>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31"/>
    <w:rsid w:val="002E3480"/>
    <w:rsid w:val="002E3AF8"/>
    <w:rsid w:val="002E44C3"/>
    <w:rsid w:val="002E47FB"/>
    <w:rsid w:val="002E48B5"/>
    <w:rsid w:val="002E4957"/>
    <w:rsid w:val="002E4C5E"/>
    <w:rsid w:val="002E4F2C"/>
    <w:rsid w:val="002E508A"/>
    <w:rsid w:val="002E56E8"/>
    <w:rsid w:val="002E5758"/>
    <w:rsid w:val="002E59B9"/>
    <w:rsid w:val="002E5A14"/>
    <w:rsid w:val="002E5BF8"/>
    <w:rsid w:val="002E5F67"/>
    <w:rsid w:val="002E648C"/>
    <w:rsid w:val="002E64F4"/>
    <w:rsid w:val="002E66A6"/>
    <w:rsid w:val="002E67DC"/>
    <w:rsid w:val="002E67F3"/>
    <w:rsid w:val="002E68B9"/>
    <w:rsid w:val="002E6A65"/>
    <w:rsid w:val="002E6AA3"/>
    <w:rsid w:val="002E6E1D"/>
    <w:rsid w:val="002E6F91"/>
    <w:rsid w:val="002E70CE"/>
    <w:rsid w:val="002E76A0"/>
    <w:rsid w:val="002E7A2A"/>
    <w:rsid w:val="002F0081"/>
    <w:rsid w:val="002F0253"/>
    <w:rsid w:val="002F0AF6"/>
    <w:rsid w:val="002F0E5E"/>
    <w:rsid w:val="002F1069"/>
    <w:rsid w:val="002F113A"/>
    <w:rsid w:val="002F15B9"/>
    <w:rsid w:val="002F16DF"/>
    <w:rsid w:val="002F1796"/>
    <w:rsid w:val="002F1DEE"/>
    <w:rsid w:val="002F1E9F"/>
    <w:rsid w:val="002F1FB1"/>
    <w:rsid w:val="002F240B"/>
    <w:rsid w:val="002F27ED"/>
    <w:rsid w:val="002F2812"/>
    <w:rsid w:val="002F29D3"/>
    <w:rsid w:val="002F2E22"/>
    <w:rsid w:val="002F2EAC"/>
    <w:rsid w:val="002F330D"/>
    <w:rsid w:val="002F33D1"/>
    <w:rsid w:val="002F36E3"/>
    <w:rsid w:val="002F3A8A"/>
    <w:rsid w:val="002F3C5B"/>
    <w:rsid w:val="002F3C95"/>
    <w:rsid w:val="002F4471"/>
    <w:rsid w:val="002F44A6"/>
    <w:rsid w:val="002F4541"/>
    <w:rsid w:val="002F4AB3"/>
    <w:rsid w:val="002F4D61"/>
    <w:rsid w:val="002F4F8C"/>
    <w:rsid w:val="002F5252"/>
    <w:rsid w:val="002F591D"/>
    <w:rsid w:val="002F6001"/>
    <w:rsid w:val="002F63DA"/>
    <w:rsid w:val="002F65D7"/>
    <w:rsid w:val="002F6B38"/>
    <w:rsid w:val="002F6EE2"/>
    <w:rsid w:val="002F7493"/>
    <w:rsid w:val="002F77FB"/>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742"/>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457"/>
    <w:rsid w:val="0031674B"/>
    <w:rsid w:val="00317174"/>
    <w:rsid w:val="003172BB"/>
    <w:rsid w:val="003174D8"/>
    <w:rsid w:val="0031777C"/>
    <w:rsid w:val="00317865"/>
    <w:rsid w:val="003178CA"/>
    <w:rsid w:val="00317A1C"/>
    <w:rsid w:val="00317E12"/>
    <w:rsid w:val="00317E2E"/>
    <w:rsid w:val="00317FB1"/>
    <w:rsid w:val="00320925"/>
    <w:rsid w:val="00320A48"/>
    <w:rsid w:val="00320C55"/>
    <w:rsid w:val="00321046"/>
    <w:rsid w:val="003217BE"/>
    <w:rsid w:val="003218DA"/>
    <w:rsid w:val="00321949"/>
    <w:rsid w:val="00321A13"/>
    <w:rsid w:val="003220A7"/>
    <w:rsid w:val="00322939"/>
    <w:rsid w:val="003230EE"/>
    <w:rsid w:val="003231A8"/>
    <w:rsid w:val="003233A5"/>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5F4"/>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621"/>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664"/>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B6"/>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382"/>
    <w:rsid w:val="003454F0"/>
    <w:rsid w:val="003455EE"/>
    <w:rsid w:val="00345772"/>
    <w:rsid w:val="00345949"/>
    <w:rsid w:val="003459E9"/>
    <w:rsid w:val="0034628A"/>
    <w:rsid w:val="003468D0"/>
    <w:rsid w:val="00346A98"/>
    <w:rsid w:val="00346BDE"/>
    <w:rsid w:val="00346D9F"/>
    <w:rsid w:val="00346EE3"/>
    <w:rsid w:val="00346F18"/>
    <w:rsid w:val="00346FF3"/>
    <w:rsid w:val="003474C7"/>
    <w:rsid w:val="00347541"/>
    <w:rsid w:val="003475E1"/>
    <w:rsid w:val="00347853"/>
    <w:rsid w:val="00347A17"/>
    <w:rsid w:val="00347B13"/>
    <w:rsid w:val="00347B76"/>
    <w:rsid w:val="00347C19"/>
    <w:rsid w:val="003502A9"/>
    <w:rsid w:val="00350382"/>
    <w:rsid w:val="0035040B"/>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367"/>
    <w:rsid w:val="003557A2"/>
    <w:rsid w:val="00355982"/>
    <w:rsid w:val="00355A31"/>
    <w:rsid w:val="00355B95"/>
    <w:rsid w:val="00355C4E"/>
    <w:rsid w:val="00355D5F"/>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D26"/>
    <w:rsid w:val="00365F8A"/>
    <w:rsid w:val="0036636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BC9"/>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04A"/>
    <w:rsid w:val="00373170"/>
    <w:rsid w:val="0037322E"/>
    <w:rsid w:val="00373526"/>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1"/>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42E"/>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5DEE"/>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81C"/>
    <w:rsid w:val="00392FB5"/>
    <w:rsid w:val="003931AB"/>
    <w:rsid w:val="00393A2B"/>
    <w:rsid w:val="00393AB6"/>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CF7"/>
    <w:rsid w:val="00396FB0"/>
    <w:rsid w:val="003973CB"/>
    <w:rsid w:val="003975DE"/>
    <w:rsid w:val="00397633"/>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5DF"/>
    <w:rsid w:val="003A674A"/>
    <w:rsid w:val="003A68EC"/>
    <w:rsid w:val="003A6FDE"/>
    <w:rsid w:val="003A7FC8"/>
    <w:rsid w:val="003B013B"/>
    <w:rsid w:val="003B0244"/>
    <w:rsid w:val="003B024F"/>
    <w:rsid w:val="003B0BED"/>
    <w:rsid w:val="003B0EEE"/>
    <w:rsid w:val="003B1019"/>
    <w:rsid w:val="003B12DF"/>
    <w:rsid w:val="003B1373"/>
    <w:rsid w:val="003B13AB"/>
    <w:rsid w:val="003B1661"/>
    <w:rsid w:val="003B16AD"/>
    <w:rsid w:val="003B196B"/>
    <w:rsid w:val="003B19D7"/>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BF1"/>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90"/>
    <w:rsid w:val="003C0DBD"/>
    <w:rsid w:val="003C1058"/>
    <w:rsid w:val="003C1433"/>
    <w:rsid w:val="003C19B0"/>
    <w:rsid w:val="003C19CE"/>
    <w:rsid w:val="003C1C86"/>
    <w:rsid w:val="003C1F43"/>
    <w:rsid w:val="003C208F"/>
    <w:rsid w:val="003C2F85"/>
    <w:rsid w:val="003C301F"/>
    <w:rsid w:val="003C314B"/>
    <w:rsid w:val="003C3388"/>
    <w:rsid w:val="003C3463"/>
    <w:rsid w:val="003C3975"/>
    <w:rsid w:val="003C3FA9"/>
    <w:rsid w:val="003C42F9"/>
    <w:rsid w:val="003C43A9"/>
    <w:rsid w:val="003C446D"/>
    <w:rsid w:val="003C46E2"/>
    <w:rsid w:val="003C4A3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20"/>
    <w:rsid w:val="003D3A43"/>
    <w:rsid w:val="003D3AE8"/>
    <w:rsid w:val="003D3EF0"/>
    <w:rsid w:val="003D4265"/>
    <w:rsid w:val="003D436C"/>
    <w:rsid w:val="003D43CF"/>
    <w:rsid w:val="003D4486"/>
    <w:rsid w:val="003D4548"/>
    <w:rsid w:val="003D48CB"/>
    <w:rsid w:val="003D4FC1"/>
    <w:rsid w:val="003D513E"/>
    <w:rsid w:val="003D5486"/>
    <w:rsid w:val="003D5873"/>
    <w:rsid w:val="003D5FD6"/>
    <w:rsid w:val="003D63B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0E0D"/>
    <w:rsid w:val="003E1373"/>
    <w:rsid w:val="003E13DF"/>
    <w:rsid w:val="003E1688"/>
    <w:rsid w:val="003E172C"/>
    <w:rsid w:val="003E17F1"/>
    <w:rsid w:val="003E1887"/>
    <w:rsid w:val="003E2E8C"/>
    <w:rsid w:val="003E2EDA"/>
    <w:rsid w:val="003E334F"/>
    <w:rsid w:val="003E33FB"/>
    <w:rsid w:val="003E354D"/>
    <w:rsid w:val="003E36D7"/>
    <w:rsid w:val="003E37F5"/>
    <w:rsid w:val="003E380A"/>
    <w:rsid w:val="003E39FC"/>
    <w:rsid w:val="003E3A14"/>
    <w:rsid w:val="003E3D8F"/>
    <w:rsid w:val="003E4513"/>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2C7"/>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FF"/>
    <w:rsid w:val="003F71AB"/>
    <w:rsid w:val="003F72E0"/>
    <w:rsid w:val="003F7789"/>
    <w:rsid w:val="003F7995"/>
    <w:rsid w:val="003F7C29"/>
    <w:rsid w:val="003F7DDF"/>
    <w:rsid w:val="003F7FEE"/>
    <w:rsid w:val="00400603"/>
    <w:rsid w:val="00400EC3"/>
    <w:rsid w:val="00401185"/>
    <w:rsid w:val="0040168F"/>
    <w:rsid w:val="00401701"/>
    <w:rsid w:val="004017EE"/>
    <w:rsid w:val="004019AA"/>
    <w:rsid w:val="004020C5"/>
    <w:rsid w:val="0040244D"/>
    <w:rsid w:val="004028A9"/>
    <w:rsid w:val="004028CE"/>
    <w:rsid w:val="00402BEF"/>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41D"/>
    <w:rsid w:val="0041251F"/>
    <w:rsid w:val="004126E2"/>
    <w:rsid w:val="00412791"/>
    <w:rsid w:val="004127F3"/>
    <w:rsid w:val="00412853"/>
    <w:rsid w:val="00412ABB"/>
    <w:rsid w:val="00412B61"/>
    <w:rsid w:val="004130BB"/>
    <w:rsid w:val="004136DE"/>
    <w:rsid w:val="00413928"/>
    <w:rsid w:val="00413A45"/>
    <w:rsid w:val="00413B56"/>
    <w:rsid w:val="00413CDA"/>
    <w:rsid w:val="004141A4"/>
    <w:rsid w:val="00414351"/>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FA0"/>
    <w:rsid w:val="004200A4"/>
    <w:rsid w:val="0042022F"/>
    <w:rsid w:val="004205B3"/>
    <w:rsid w:val="0042083D"/>
    <w:rsid w:val="00420BA7"/>
    <w:rsid w:val="004210ED"/>
    <w:rsid w:val="004211F5"/>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4E86"/>
    <w:rsid w:val="00425000"/>
    <w:rsid w:val="00425044"/>
    <w:rsid w:val="0042546A"/>
    <w:rsid w:val="00425783"/>
    <w:rsid w:val="00425925"/>
    <w:rsid w:val="00425A5E"/>
    <w:rsid w:val="00426011"/>
    <w:rsid w:val="0042602F"/>
    <w:rsid w:val="004261C8"/>
    <w:rsid w:val="00426552"/>
    <w:rsid w:val="004265F1"/>
    <w:rsid w:val="0042669E"/>
    <w:rsid w:val="004266EE"/>
    <w:rsid w:val="004267A7"/>
    <w:rsid w:val="004269A5"/>
    <w:rsid w:val="0042710E"/>
    <w:rsid w:val="00427656"/>
    <w:rsid w:val="00427729"/>
    <w:rsid w:val="0042799D"/>
    <w:rsid w:val="00427A7A"/>
    <w:rsid w:val="0043089C"/>
    <w:rsid w:val="0043098D"/>
    <w:rsid w:val="00430A6C"/>
    <w:rsid w:val="00430BEF"/>
    <w:rsid w:val="00430CF7"/>
    <w:rsid w:val="00430D21"/>
    <w:rsid w:val="00430E64"/>
    <w:rsid w:val="00431129"/>
    <w:rsid w:val="0043153F"/>
    <w:rsid w:val="00431689"/>
    <w:rsid w:val="004316B7"/>
    <w:rsid w:val="00431798"/>
    <w:rsid w:val="0043183E"/>
    <w:rsid w:val="00431FC5"/>
    <w:rsid w:val="00432455"/>
    <w:rsid w:val="0043258D"/>
    <w:rsid w:val="004327A4"/>
    <w:rsid w:val="0043284D"/>
    <w:rsid w:val="00432971"/>
    <w:rsid w:val="00432AD7"/>
    <w:rsid w:val="00432B53"/>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3F37"/>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EA"/>
    <w:rsid w:val="004544FD"/>
    <w:rsid w:val="004548D6"/>
    <w:rsid w:val="00454A22"/>
    <w:rsid w:val="00454C71"/>
    <w:rsid w:val="00454D42"/>
    <w:rsid w:val="0045577B"/>
    <w:rsid w:val="004558F4"/>
    <w:rsid w:val="004559B7"/>
    <w:rsid w:val="00455D96"/>
    <w:rsid w:val="00455FC1"/>
    <w:rsid w:val="00455FF2"/>
    <w:rsid w:val="004565C9"/>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1A"/>
    <w:rsid w:val="00461634"/>
    <w:rsid w:val="00461643"/>
    <w:rsid w:val="0046178E"/>
    <w:rsid w:val="00461970"/>
    <w:rsid w:val="004619EC"/>
    <w:rsid w:val="00461C85"/>
    <w:rsid w:val="00461CF4"/>
    <w:rsid w:val="00461EA3"/>
    <w:rsid w:val="00461FD2"/>
    <w:rsid w:val="00462BDA"/>
    <w:rsid w:val="00463103"/>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E6"/>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6B0A"/>
    <w:rsid w:val="004776C5"/>
    <w:rsid w:val="004777BE"/>
    <w:rsid w:val="0047796E"/>
    <w:rsid w:val="00477FDC"/>
    <w:rsid w:val="00480506"/>
    <w:rsid w:val="00480606"/>
    <w:rsid w:val="00480650"/>
    <w:rsid w:val="00480726"/>
    <w:rsid w:val="00480795"/>
    <w:rsid w:val="00480953"/>
    <w:rsid w:val="00480A00"/>
    <w:rsid w:val="00480B23"/>
    <w:rsid w:val="00480F37"/>
    <w:rsid w:val="004813BD"/>
    <w:rsid w:val="00481562"/>
    <w:rsid w:val="00481A5E"/>
    <w:rsid w:val="00481D24"/>
    <w:rsid w:val="004826C7"/>
    <w:rsid w:val="004833B7"/>
    <w:rsid w:val="00483466"/>
    <w:rsid w:val="004834B6"/>
    <w:rsid w:val="00483533"/>
    <w:rsid w:val="00483C82"/>
    <w:rsid w:val="00483D8E"/>
    <w:rsid w:val="00484102"/>
    <w:rsid w:val="0048430D"/>
    <w:rsid w:val="0048448B"/>
    <w:rsid w:val="004847E6"/>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8B2"/>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500"/>
    <w:rsid w:val="004A0754"/>
    <w:rsid w:val="004A0774"/>
    <w:rsid w:val="004A091F"/>
    <w:rsid w:val="004A0CC0"/>
    <w:rsid w:val="004A0FAC"/>
    <w:rsid w:val="004A1201"/>
    <w:rsid w:val="004A146C"/>
    <w:rsid w:val="004A146F"/>
    <w:rsid w:val="004A16FC"/>
    <w:rsid w:val="004A19E8"/>
    <w:rsid w:val="004A1A26"/>
    <w:rsid w:val="004A1D0B"/>
    <w:rsid w:val="004A1FC5"/>
    <w:rsid w:val="004A21E9"/>
    <w:rsid w:val="004A2530"/>
    <w:rsid w:val="004A2AC1"/>
    <w:rsid w:val="004A2BB2"/>
    <w:rsid w:val="004A2D2F"/>
    <w:rsid w:val="004A30F0"/>
    <w:rsid w:val="004A311F"/>
    <w:rsid w:val="004A32AA"/>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6C73"/>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0B"/>
    <w:rsid w:val="004B1F99"/>
    <w:rsid w:val="004B2418"/>
    <w:rsid w:val="004B253C"/>
    <w:rsid w:val="004B26B2"/>
    <w:rsid w:val="004B2843"/>
    <w:rsid w:val="004B28FD"/>
    <w:rsid w:val="004B29BB"/>
    <w:rsid w:val="004B2D2E"/>
    <w:rsid w:val="004B2D5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9FA"/>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A7"/>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513"/>
    <w:rsid w:val="004D46F3"/>
    <w:rsid w:val="004D46F6"/>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289"/>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7F"/>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08"/>
    <w:rsid w:val="004F3056"/>
    <w:rsid w:val="004F306C"/>
    <w:rsid w:val="004F3087"/>
    <w:rsid w:val="004F30F9"/>
    <w:rsid w:val="004F32A1"/>
    <w:rsid w:val="004F34F3"/>
    <w:rsid w:val="004F3538"/>
    <w:rsid w:val="004F3561"/>
    <w:rsid w:val="004F3CFB"/>
    <w:rsid w:val="004F3EF9"/>
    <w:rsid w:val="004F4233"/>
    <w:rsid w:val="004F4A4B"/>
    <w:rsid w:val="004F4C01"/>
    <w:rsid w:val="004F4D44"/>
    <w:rsid w:val="004F4F49"/>
    <w:rsid w:val="004F50B5"/>
    <w:rsid w:val="004F5291"/>
    <w:rsid w:val="004F53CF"/>
    <w:rsid w:val="004F5484"/>
    <w:rsid w:val="004F5CEC"/>
    <w:rsid w:val="004F5EDE"/>
    <w:rsid w:val="004F6BCE"/>
    <w:rsid w:val="004F707C"/>
    <w:rsid w:val="004F7086"/>
    <w:rsid w:val="004F74D4"/>
    <w:rsid w:val="004F7810"/>
    <w:rsid w:val="004F7901"/>
    <w:rsid w:val="004F7C22"/>
    <w:rsid w:val="004F7C8D"/>
    <w:rsid w:val="004F7F65"/>
    <w:rsid w:val="00500961"/>
    <w:rsid w:val="00500C64"/>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9C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5F4"/>
    <w:rsid w:val="00512685"/>
    <w:rsid w:val="005127F2"/>
    <w:rsid w:val="00513356"/>
    <w:rsid w:val="005134C1"/>
    <w:rsid w:val="005139F5"/>
    <w:rsid w:val="00513A6C"/>
    <w:rsid w:val="00513BC6"/>
    <w:rsid w:val="00513DD3"/>
    <w:rsid w:val="00514561"/>
    <w:rsid w:val="005149E6"/>
    <w:rsid w:val="00514A62"/>
    <w:rsid w:val="00514AA9"/>
    <w:rsid w:val="00514C68"/>
    <w:rsid w:val="0051512F"/>
    <w:rsid w:val="005156C7"/>
    <w:rsid w:val="005157CC"/>
    <w:rsid w:val="005157F9"/>
    <w:rsid w:val="00516077"/>
    <w:rsid w:val="0051661A"/>
    <w:rsid w:val="00516663"/>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D92"/>
    <w:rsid w:val="00522E8A"/>
    <w:rsid w:val="005237CD"/>
    <w:rsid w:val="0052387E"/>
    <w:rsid w:val="00523DF7"/>
    <w:rsid w:val="00523E60"/>
    <w:rsid w:val="005240BC"/>
    <w:rsid w:val="005241DC"/>
    <w:rsid w:val="00524666"/>
    <w:rsid w:val="0052485C"/>
    <w:rsid w:val="00524CC4"/>
    <w:rsid w:val="00524D60"/>
    <w:rsid w:val="00524F06"/>
    <w:rsid w:val="005253B3"/>
    <w:rsid w:val="00525650"/>
    <w:rsid w:val="00525B52"/>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B25"/>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85D"/>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9C4"/>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18F"/>
    <w:rsid w:val="005512F0"/>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EA2"/>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94"/>
    <w:rsid w:val="0055768E"/>
    <w:rsid w:val="005576ED"/>
    <w:rsid w:val="00557C40"/>
    <w:rsid w:val="005601E9"/>
    <w:rsid w:val="005603AF"/>
    <w:rsid w:val="005603C3"/>
    <w:rsid w:val="005606C2"/>
    <w:rsid w:val="00560B37"/>
    <w:rsid w:val="00560C97"/>
    <w:rsid w:val="00560F05"/>
    <w:rsid w:val="005611F6"/>
    <w:rsid w:val="005614F9"/>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CFB"/>
    <w:rsid w:val="00563EE7"/>
    <w:rsid w:val="00563F3B"/>
    <w:rsid w:val="00564170"/>
    <w:rsid w:val="00564302"/>
    <w:rsid w:val="00564459"/>
    <w:rsid w:val="00564E3D"/>
    <w:rsid w:val="005651D8"/>
    <w:rsid w:val="00565703"/>
    <w:rsid w:val="0056594A"/>
    <w:rsid w:val="00565E39"/>
    <w:rsid w:val="00566319"/>
    <w:rsid w:val="00566BE3"/>
    <w:rsid w:val="00566CF4"/>
    <w:rsid w:val="00566D80"/>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928"/>
    <w:rsid w:val="005749FF"/>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9EA"/>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C5C"/>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919"/>
    <w:rsid w:val="005A0A90"/>
    <w:rsid w:val="005A0C92"/>
    <w:rsid w:val="005A0F01"/>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27E"/>
    <w:rsid w:val="005A542D"/>
    <w:rsid w:val="005A55C5"/>
    <w:rsid w:val="005A5671"/>
    <w:rsid w:val="005A568A"/>
    <w:rsid w:val="005A58E7"/>
    <w:rsid w:val="005A5A76"/>
    <w:rsid w:val="005A5B5E"/>
    <w:rsid w:val="005A5D06"/>
    <w:rsid w:val="005A6148"/>
    <w:rsid w:val="005A64C3"/>
    <w:rsid w:val="005A6566"/>
    <w:rsid w:val="005A69AB"/>
    <w:rsid w:val="005A6C17"/>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18D8"/>
    <w:rsid w:val="005B1ED5"/>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06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082"/>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BCE"/>
    <w:rsid w:val="005D2E14"/>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1D3"/>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56"/>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19"/>
    <w:rsid w:val="005E5ACE"/>
    <w:rsid w:val="005E5C36"/>
    <w:rsid w:val="005E5CB1"/>
    <w:rsid w:val="005E5EBB"/>
    <w:rsid w:val="005E5EEB"/>
    <w:rsid w:val="005E6317"/>
    <w:rsid w:val="005E67F6"/>
    <w:rsid w:val="005E6947"/>
    <w:rsid w:val="005E6B4F"/>
    <w:rsid w:val="005E6E83"/>
    <w:rsid w:val="005E6FB9"/>
    <w:rsid w:val="005E6FF7"/>
    <w:rsid w:val="005E73BF"/>
    <w:rsid w:val="005E749E"/>
    <w:rsid w:val="005E7655"/>
    <w:rsid w:val="005E7A52"/>
    <w:rsid w:val="005E7B0A"/>
    <w:rsid w:val="005E7C2C"/>
    <w:rsid w:val="005E7FDD"/>
    <w:rsid w:val="005F041D"/>
    <w:rsid w:val="005F07DA"/>
    <w:rsid w:val="005F08B9"/>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5E24"/>
    <w:rsid w:val="005F609B"/>
    <w:rsid w:val="005F61D8"/>
    <w:rsid w:val="005F6793"/>
    <w:rsid w:val="005F687D"/>
    <w:rsid w:val="005F6DC6"/>
    <w:rsid w:val="005F7532"/>
    <w:rsid w:val="005F77EC"/>
    <w:rsid w:val="005F790E"/>
    <w:rsid w:val="005F7BDA"/>
    <w:rsid w:val="005F7D32"/>
    <w:rsid w:val="005F7FC9"/>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9"/>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7B2"/>
    <w:rsid w:val="0062189F"/>
    <w:rsid w:val="00621945"/>
    <w:rsid w:val="00621B6F"/>
    <w:rsid w:val="00621BEE"/>
    <w:rsid w:val="00621C6F"/>
    <w:rsid w:val="00622244"/>
    <w:rsid w:val="00622391"/>
    <w:rsid w:val="006223A6"/>
    <w:rsid w:val="0062263C"/>
    <w:rsid w:val="00622823"/>
    <w:rsid w:val="0062302D"/>
    <w:rsid w:val="006230FA"/>
    <w:rsid w:val="00623186"/>
    <w:rsid w:val="0062318B"/>
    <w:rsid w:val="006231C0"/>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113"/>
    <w:rsid w:val="006443FF"/>
    <w:rsid w:val="00644602"/>
    <w:rsid w:val="006446FC"/>
    <w:rsid w:val="00644FFB"/>
    <w:rsid w:val="0064504C"/>
    <w:rsid w:val="00645305"/>
    <w:rsid w:val="00645609"/>
    <w:rsid w:val="00645B08"/>
    <w:rsid w:val="00645E72"/>
    <w:rsid w:val="006463FE"/>
    <w:rsid w:val="0064662C"/>
    <w:rsid w:val="006469F8"/>
    <w:rsid w:val="00646AAE"/>
    <w:rsid w:val="00646AC7"/>
    <w:rsid w:val="00646F0A"/>
    <w:rsid w:val="00647B56"/>
    <w:rsid w:val="00647B80"/>
    <w:rsid w:val="00647D2F"/>
    <w:rsid w:val="00647D5E"/>
    <w:rsid w:val="00647E15"/>
    <w:rsid w:val="00647F84"/>
    <w:rsid w:val="006501EA"/>
    <w:rsid w:val="00650221"/>
    <w:rsid w:val="006502F0"/>
    <w:rsid w:val="00650564"/>
    <w:rsid w:val="006516D9"/>
    <w:rsid w:val="00651827"/>
    <w:rsid w:val="0065191D"/>
    <w:rsid w:val="00651C3B"/>
    <w:rsid w:val="00651E7C"/>
    <w:rsid w:val="006525E6"/>
    <w:rsid w:val="00652613"/>
    <w:rsid w:val="00652671"/>
    <w:rsid w:val="00652705"/>
    <w:rsid w:val="006529BF"/>
    <w:rsid w:val="00652A5D"/>
    <w:rsid w:val="00652D50"/>
    <w:rsid w:val="00652F62"/>
    <w:rsid w:val="00652F90"/>
    <w:rsid w:val="006531CD"/>
    <w:rsid w:val="00653545"/>
    <w:rsid w:val="006537CB"/>
    <w:rsid w:val="00653AD8"/>
    <w:rsid w:val="00654121"/>
    <w:rsid w:val="00654154"/>
    <w:rsid w:val="00654588"/>
    <w:rsid w:val="006547CC"/>
    <w:rsid w:val="00654A5C"/>
    <w:rsid w:val="00654AAE"/>
    <w:rsid w:val="00654D8C"/>
    <w:rsid w:val="00654DB5"/>
    <w:rsid w:val="00654E59"/>
    <w:rsid w:val="00654E7E"/>
    <w:rsid w:val="00654FA9"/>
    <w:rsid w:val="006550E4"/>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832"/>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308"/>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75D"/>
    <w:rsid w:val="006719D5"/>
    <w:rsid w:val="00671F24"/>
    <w:rsid w:val="00671FA6"/>
    <w:rsid w:val="006720A0"/>
    <w:rsid w:val="0067262E"/>
    <w:rsid w:val="00672A38"/>
    <w:rsid w:val="00672D73"/>
    <w:rsid w:val="006733AE"/>
    <w:rsid w:val="0067342E"/>
    <w:rsid w:val="00673554"/>
    <w:rsid w:val="00673589"/>
    <w:rsid w:val="006735DE"/>
    <w:rsid w:val="00673CF5"/>
    <w:rsid w:val="006740A5"/>
    <w:rsid w:val="006740EF"/>
    <w:rsid w:val="00674686"/>
    <w:rsid w:val="00674BA8"/>
    <w:rsid w:val="00674F3B"/>
    <w:rsid w:val="00675064"/>
    <w:rsid w:val="0067525E"/>
    <w:rsid w:val="006753C3"/>
    <w:rsid w:val="006754F5"/>
    <w:rsid w:val="00675B09"/>
    <w:rsid w:val="00676034"/>
    <w:rsid w:val="006763AF"/>
    <w:rsid w:val="006763D0"/>
    <w:rsid w:val="006765D9"/>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6C67"/>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601"/>
    <w:rsid w:val="006A27DB"/>
    <w:rsid w:val="006A283C"/>
    <w:rsid w:val="006A3162"/>
    <w:rsid w:val="006A3733"/>
    <w:rsid w:val="006A3862"/>
    <w:rsid w:val="006A395D"/>
    <w:rsid w:val="006A3A5B"/>
    <w:rsid w:val="006A3A6A"/>
    <w:rsid w:val="006A3C12"/>
    <w:rsid w:val="006A3CF7"/>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149"/>
    <w:rsid w:val="006A7463"/>
    <w:rsid w:val="006A7508"/>
    <w:rsid w:val="006A7DCD"/>
    <w:rsid w:val="006B0280"/>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112"/>
    <w:rsid w:val="006B3460"/>
    <w:rsid w:val="006B3683"/>
    <w:rsid w:val="006B4128"/>
    <w:rsid w:val="006B414A"/>
    <w:rsid w:val="006B42FB"/>
    <w:rsid w:val="006B4B28"/>
    <w:rsid w:val="006B50A0"/>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C17"/>
    <w:rsid w:val="006D0C97"/>
    <w:rsid w:val="006D0D24"/>
    <w:rsid w:val="006D11C0"/>
    <w:rsid w:val="006D133D"/>
    <w:rsid w:val="006D1375"/>
    <w:rsid w:val="006D13E5"/>
    <w:rsid w:val="006D148D"/>
    <w:rsid w:val="006D161F"/>
    <w:rsid w:val="006D189D"/>
    <w:rsid w:val="006D1DA0"/>
    <w:rsid w:val="006D1E4E"/>
    <w:rsid w:val="006D213B"/>
    <w:rsid w:val="006D252B"/>
    <w:rsid w:val="006D25C0"/>
    <w:rsid w:val="006D2C19"/>
    <w:rsid w:val="006D3AD0"/>
    <w:rsid w:val="006D3C6D"/>
    <w:rsid w:val="006D3C9D"/>
    <w:rsid w:val="006D3F03"/>
    <w:rsid w:val="006D3FCB"/>
    <w:rsid w:val="006D4098"/>
    <w:rsid w:val="006D40C8"/>
    <w:rsid w:val="006D434B"/>
    <w:rsid w:val="006D461B"/>
    <w:rsid w:val="006D48B9"/>
    <w:rsid w:val="006D4CA5"/>
    <w:rsid w:val="006D4D18"/>
    <w:rsid w:val="006D523A"/>
    <w:rsid w:val="006D5547"/>
    <w:rsid w:val="006D55CC"/>
    <w:rsid w:val="006D61C5"/>
    <w:rsid w:val="006D62C3"/>
    <w:rsid w:val="006D62C5"/>
    <w:rsid w:val="006D6347"/>
    <w:rsid w:val="006D63A1"/>
    <w:rsid w:val="006D6863"/>
    <w:rsid w:val="006D6BFA"/>
    <w:rsid w:val="006D6D08"/>
    <w:rsid w:val="006D70A5"/>
    <w:rsid w:val="006D7655"/>
    <w:rsid w:val="006D7969"/>
    <w:rsid w:val="006D7C0B"/>
    <w:rsid w:val="006E0128"/>
    <w:rsid w:val="006E023F"/>
    <w:rsid w:val="006E0242"/>
    <w:rsid w:val="006E0411"/>
    <w:rsid w:val="006E0EDF"/>
    <w:rsid w:val="006E1226"/>
    <w:rsid w:val="006E1261"/>
    <w:rsid w:val="006E1450"/>
    <w:rsid w:val="006E1643"/>
    <w:rsid w:val="006E17D0"/>
    <w:rsid w:val="006E1C24"/>
    <w:rsid w:val="006E1E7D"/>
    <w:rsid w:val="006E20C1"/>
    <w:rsid w:val="006E22B4"/>
    <w:rsid w:val="006E275A"/>
    <w:rsid w:val="006E2BCA"/>
    <w:rsid w:val="006E2C0E"/>
    <w:rsid w:val="006E2CAA"/>
    <w:rsid w:val="006E2E7C"/>
    <w:rsid w:val="006E2EEC"/>
    <w:rsid w:val="006E2FC3"/>
    <w:rsid w:val="006E324D"/>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45D"/>
    <w:rsid w:val="006F57B4"/>
    <w:rsid w:val="006F5963"/>
    <w:rsid w:val="006F641B"/>
    <w:rsid w:val="006F669C"/>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29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78E"/>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2F"/>
    <w:rsid w:val="007169B9"/>
    <w:rsid w:val="007169C9"/>
    <w:rsid w:val="00716E35"/>
    <w:rsid w:val="007170A9"/>
    <w:rsid w:val="007171CF"/>
    <w:rsid w:val="0071775A"/>
    <w:rsid w:val="0071792B"/>
    <w:rsid w:val="00717A7F"/>
    <w:rsid w:val="00717E58"/>
    <w:rsid w:val="00717E63"/>
    <w:rsid w:val="007200EE"/>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47C"/>
    <w:rsid w:val="007235A7"/>
    <w:rsid w:val="00723799"/>
    <w:rsid w:val="00723EA4"/>
    <w:rsid w:val="0072458F"/>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0F52"/>
    <w:rsid w:val="0073110E"/>
    <w:rsid w:val="007316EB"/>
    <w:rsid w:val="00731AA5"/>
    <w:rsid w:val="00731B34"/>
    <w:rsid w:val="00731F4A"/>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042"/>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B6"/>
    <w:rsid w:val="00743FEB"/>
    <w:rsid w:val="00744027"/>
    <w:rsid w:val="007440C5"/>
    <w:rsid w:val="007440E8"/>
    <w:rsid w:val="0074471E"/>
    <w:rsid w:val="0074473B"/>
    <w:rsid w:val="00744B75"/>
    <w:rsid w:val="00744B9C"/>
    <w:rsid w:val="00744BA2"/>
    <w:rsid w:val="00744BA6"/>
    <w:rsid w:val="00744D6C"/>
    <w:rsid w:val="0074517A"/>
    <w:rsid w:val="00745314"/>
    <w:rsid w:val="00745452"/>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BA2"/>
    <w:rsid w:val="00747BA7"/>
    <w:rsid w:val="00747EE9"/>
    <w:rsid w:val="0075062F"/>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038"/>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CDC"/>
    <w:rsid w:val="00767D13"/>
    <w:rsid w:val="0077007E"/>
    <w:rsid w:val="00770125"/>
    <w:rsid w:val="0077037E"/>
    <w:rsid w:val="00770625"/>
    <w:rsid w:val="0077071D"/>
    <w:rsid w:val="00770C0F"/>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6DC"/>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96D"/>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3E"/>
    <w:rsid w:val="007952AB"/>
    <w:rsid w:val="0079535E"/>
    <w:rsid w:val="00795485"/>
    <w:rsid w:val="007955FA"/>
    <w:rsid w:val="0079580F"/>
    <w:rsid w:val="00795B8A"/>
    <w:rsid w:val="007964BC"/>
    <w:rsid w:val="007966BE"/>
    <w:rsid w:val="00796A0F"/>
    <w:rsid w:val="00796BB2"/>
    <w:rsid w:val="0079728E"/>
    <w:rsid w:val="0079771F"/>
    <w:rsid w:val="00797779"/>
    <w:rsid w:val="0079782C"/>
    <w:rsid w:val="00797BBC"/>
    <w:rsid w:val="00797BF6"/>
    <w:rsid w:val="007A0661"/>
    <w:rsid w:val="007A086D"/>
    <w:rsid w:val="007A0A39"/>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E3B"/>
    <w:rsid w:val="007A411E"/>
    <w:rsid w:val="007A4222"/>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71C"/>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DB0"/>
    <w:rsid w:val="007C7F08"/>
    <w:rsid w:val="007C7F2A"/>
    <w:rsid w:val="007C7F82"/>
    <w:rsid w:val="007D02E5"/>
    <w:rsid w:val="007D0B7C"/>
    <w:rsid w:val="007D0D87"/>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61"/>
    <w:rsid w:val="007D667A"/>
    <w:rsid w:val="007D6692"/>
    <w:rsid w:val="007D6BFF"/>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AF7"/>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1D28"/>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E4"/>
    <w:rsid w:val="007F5B5C"/>
    <w:rsid w:val="007F5DC6"/>
    <w:rsid w:val="007F6638"/>
    <w:rsid w:val="007F6763"/>
    <w:rsid w:val="007F695B"/>
    <w:rsid w:val="007F6CC3"/>
    <w:rsid w:val="007F73F2"/>
    <w:rsid w:val="007F747F"/>
    <w:rsid w:val="007F7735"/>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0C88"/>
    <w:rsid w:val="00810E31"/>
    <w:rsid w:val="00811196"/>
    <w:rsid w:val="00811268"/>
    <w:rsid w:val="00811550"/>
    <w:rsid w:val="00811B6D"/>
    <w:rsid w:val="008120B9"/>
    <w:rsid w:val="008120F6"/>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910"/>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5FB5"/>
    <w:rsid w:val="00826163"/>
    <w:rsid w:val="00826222"/>
    <w:rsid w:val="00826562"/>
    <w:rsid w:val="00826BAC"/>
    <w:rsid w:val="00826C74"/>
    <w:rsid w:val="008271D4"/>
    <w:rsid w:val="008272BE"/>
    <w:rsid w:val="00827493"/>
    <w:rsid w:val="008275B3"/>
    <w:rsid w:val="00827752"/>
    <w:rsid w:val="008278AC"/>
    <w:rsid w:val="00827A15"/>
    <w:rsid w:val="00827B4F"/>
    <w:rsid w:val="00827FE7"/>
    <w:rsid w:val="00830A77"/>
    <w:rsid w:val="00830A81"/>
    <w:rsid w:val="00830BD7"/>
    <w:rsid w:val="00830CEB"/>
    <w:rsid w:val="008314A1"/>
    <w:rsid w:val="00831674"/>
    <w:rsid w:val="00831FE4"/>
    <w:rsid w:val="00832197"/>
    <w:rsid w:val="008322AA"/>
    <w:rsid w:val="0083288C"/>
    <w:rsid w:val="00832BFD"/>
    <w:rsid w:val="00832FF4"/>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1E"/>
    <w:rsid w:val="008525B3"/>
    <w:rsid w:val="0085275D"/>
    <w:rsid w:val="008529C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51"/>
    <w:rsid w:val="00855BCF"/>
    <w:rsid w:val="008561B3"/>
    <w:rsid w:val="008569A6"/>
    <w:rsid w:val="00856AC0"/>
    <w:rsid w:val="00856F3D"/>
    <w:rsid w:val="00856FA9"/>
    <w:rsid w:val="0085718D"/>
    <w:rsid w:val="00857A47"/>
    <w:rsid w:val="00857AD7"/>
    <w:rsid w:val="00857B5A"/>
    <w:rsid w:val="00857F0B"/>
    <w:rsid w:val="008600D0"/>
    <w:rsid w:val="00860257"/>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36E"/>
    <w:rsid w:val="00866503"/>
    <w:rsid w:val="0086665A"/>
    <w:rsid w:val="008667F8"/>
    <w:rsid w:val="0086693C"/>
    <w:rsid w:val="008669D8"/>
    <w:rsid w:val="00866D1C"/>
    <w:rsid w:val="00866D5F"/>
    <w:rsid w:val="00866DBE"/>
    <w:rsid w:val="00866E26"/>
    <w:rsid w:val="0086780A"/>
    <w:rsid w:val="00867941"/>
    <w:rsid w:val="00867C95"/>
    <w:rsid w:val="00867E56"/>
    <w:rsid w:val="008701FD"/>
    <w:rsid w:val="00870280"/>
    <w:rsid w:val="008702F4"/>
    <w:rsid w:val="008703CF"/>
    <w:rsid w:val="00870612"/>
    <w:rsid w:val="00870666"/>
    <w:rsid w:val="00870820"/>
    <w:rsid w:val="00870A19"/>
    <w:rsid w:val="00870E64"/>
    <w:rsid w:val="00871157"/>
    <w:rsid w:val="008712F6"/>
    <w:rsid w:val="0087188B"/>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3F8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2E79"/>
    <w:rsid w:val="008832F4"/>
    <w:rsid w:val="00883643"/>
    <w:rsid w:val="00883AE7"/>
    <w:rsid w:val="00883D1D"/>
    <w:rsid w:val="00883E0C"/>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188"/>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CC1"/>
    <w:rsid w:val="00891E97"/>
    <w:rsid w:val="00892539"/>
    <w:rsid w:val="0089273A"/>
    <w:rsid w:val="00892782"/>
    <w:rsid w:val="00893007"/>
    <w:rsid w:val="0089420F"/>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47B"/>
    <w:rsid w:val="008A1692"/>
    <w:rsid w:val="008A1873"/>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0C8"/>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3E5C"/>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739"/>
    <w:rsid w:val="008D291A"/>
    <w:rsid w:val="008D2EF9"/>
    <w:rsid w:val="008D31AA"/>
    <w:rsid w:val="008D43FB"/>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C94"/>
    <w:rsid w:val="008E2D15"/>
    <w:rsid w:val="008E2E40"/>
    <w:rsid w:val="008E3023"/>
    <w:rsid w:val="008E35DC"/>
    <w:rsid w:val="008E396B"/>
    <w:rsid w:val="008E3A6B"/>
    <w:rsid w:val="008E3AB4"/>
    <w:rsid w:val="008E4060"/>
    <w:rsid w:val="008E4266"/>
    <w:rsid w:val="008E42E1"/>
    <w:rsid w:val="008E4366"/>
    <w:rsid w:val="008E4DA5"/>
    <w:rsid w:val="008E4E11"/>
    <w:rsid w:val="008E4EC3"/>
    <w:rsid w:val="008E508E"/>
    <w:rsid w:val="008E52D3"/>
    <w:rsid w:val="008E5306"/>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5F99"/>
    <w:rsid w:val="008F64FF"/>
    <w:rsid w:val="008F6592"/>
    <w:rsid w:val="008F69DD"/>
    <w:rsid w:val="008F6C8B"/>
    <w:rsid w:val="008F722F"/>
    <w:rsid w:val="008F764B"/>
    <w:rsid w:val="00900472"/>
    <w:rsid w:val="009008D0"/>
    <w:rsid w:val="0090091A"/>
    <w:rsid w:val="009009DE"/>
    <w:rsid w:val="00900C98"/>
    <w:rsid w:val="00900DAE"/>
    <w:rsid w:val="00900E28"/>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9C7"/>
    <w:rsid w:val="00904AFA"/>
    <w:rsid w:val="00904EBD"/>
    <w:rsid w:val="009052FC"/>
    <w:rsid w:val="009054A9"/>
    <w:rsid w:val="009056FB"/>
    <w:rsid w:val="009058D2"/>
    <w:rsid w:val="00905DAB"/>
    <w:rsid w:val="00906411"/>
    <w:rsid w:val="009065D5"/>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73A"/>
    <w:rsid w:val="00912880"/>
    <w:rsid w:val="00912E8D"/>
    <w:rsid w:val="0091306D"/>
    <w:rsid w:val="009135C6"/>
    <w:rsid w:val="00913759"/>
    <w:rsid w:val="00913B4C"/>
    <w:rsid w:val="00913D29"/>
    <w:rsid w:val="00913DF3"/>
    <w:rsid w:val="00914199"/>
    <w:rsid w:val="009142BA"/>
    <w:rsid w:val="0091452D"/>
    <w:rsid w:val="0091464F"/>
    <w:rsid w:val="00914B67"/>
    <w:rsid w:val="009150E6"/>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87"/>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879"/>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32"/>
    <w:rsid w:val="0094465B"/>
    <w:rsid w:val="0094495A"/>
    <w:rsid w:val="00944FC5"/>
    <w:rsid w:val="00945A71"/>
    <w:rsid w:val="00945D40"/>
    <w:rsid w:val="00945F1F"/>
    <w:rsid w:val="0094600B"/>
    <w:rsid w:val="0094636C"/>
    <w:rsid w:val="00946428"/>
    <w:rsid w:val="009465F2"/>
    <w:rsid w:val="00946824"/>
    <w:rsid w:val="00946B07"/>
    <w:rsid w:val="00947083"/>
    <w:rsid w:val="0094749B"/>
    <w:rsid w:val="00947679"/>
    <w:rsid w:val="00947878"/>
    <w:rsid w:val="00947C0A"/>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347"/>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7A2"/>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368"/>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7DF"/>
    <w:rsid w:val="009A01D5"/>
    <w:rsid w:val="009A07CA"/>
    <w:rsid w:val="009A0C18"/>
    <w:rsid w:val="009A138F"/>
    <w:rsid w:val="009A14EB"/>
    <w:rsid w:val="009A16BB"/>
    <w:rsid w:val="009A18AB"/>
    <w:rsid w:val="009A1981"/>
    <w:rsid w:val="009A1A62"/>
    <w:rsid w:val="009A1A74"/>
    <w:rsid w:val="009A1C65"/>
    <w:rsid w:val="009A1CB4"/>
    <w:rsid w:val="009A1ED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69CF"/>
    <w:rsid w:val="009B702A"/>
    <w:rsid w:val="009B708E"/>
    <w:rsid w:val="009B70D3"/>
    <w:rsid w:val="009B71CA"/>
    <w:rsid w:val="009B7494"/>
    <w:rsid w:val="009B76E0"/>
    <w:rsid w:val="009B7901"/>
    <w:rsid w:val="009B7947"/>
    <w:rsid w:val="009B7A8B"/>
    <w:rsid w:val="009B7E7B"/>
    <w:rsid w:val="009C0464"/>
    <w:rsid w:val="009C08A8"/>
    <w:rsid w:val="009C0975"/>
    <w:rsid w:val="009C09A4"/>
    <w:rsid w:val="009C0B7C"/>
    <w:rsid w:val="009C1085"/>
    <w:rsid w:val="009C10FD"/>
    <w:rsid w:val="009C160E"/>
    <w:rsid w:val="009C17F7"/>
    <w:rsid w:val="009C1B5B"/>
    <w:rsid w:val="009C1C71"/>
    <w:rsid w:val="009C1CDC"/>
    <w:rsid w:val="009C2006"/>
    <w:rsid w:val="009C2071"/>
    <w:rsid w:val="009C22D0"/>
    <w:rsid w:val="009C23A0"/>
    <w:rsid w:val="009C25F2"/>
    <w:rsid w:val="009C2775"/>
    <w:rsid w:val="009C2DB1"/>
    <w:rsid w:val="009C2E3E"/>
    <w:rsid w:val="009C2F7C"/>
    <w:rsid w:val="009C3174"/>
    <w:rsid w:val="009C31EC"/>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1A"/>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D8"/>
    <w:rsid w:val="009D7D67"/>
    <w:rsid w:val="009E015A"/>
    <w:rsid w:val="009E0232"/>
    <w:rsid w:val="009E09C9"/>
    <w:rsid w:val="009E0E4D"/>
    <w:rsid w:val="009E1528"/>
    <w:rsid w:val="009E1647"/>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30"/>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1"/>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2ED9"/>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9BD"/>
    <w:rsid w:val="00A07EA0"/>
    <w:rsid w:val="00A106B9"/>
    <w:rsid w:val="00A10A86"/>
    <w:rsid w:val="00A113BD"/>
    <w:rsid w:val="00A114DD"/>
    <w:rsid w:val="00A11A87"/>
    <w:rsid w:val="00A11BA0"/>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76"/>
    <w:rsid w:val="00A222AF"/>
    <w:rsid w:val="00A22448"/>
    <w:rsid w:val="00A2287F"/>
    <w:rsid w:val="00A23059"/>
    <w:rsid w:val="00A231E5"/>
    <w:rsid w:val="00A231F8"/>
    <w:rsid w:val="00A234B5"/>
    <w:rsid w:val="00A2399A"/>
    <w:rsid w:val="00A23FC9"/>
    <w:rsid w:val="00A24462"/>
    <w:rsid w:val="00A249EA"/>
    <w:rsid w:val="00A24A0A"/>
    <w:rsid w:val="00A24AAC"/>
    <w:rsid w:val="00A24BF9"/>
    <w:rsid w:val="00A24E5F"/>
    <w:rsid w:val="00A24FB1"/>
    <w:rsid w:val="00A25024"/>
    <w:rsid w:val="00A251D5"/>
    <w:rsid w:val="00A2533F"/>
    <w:rsid w:val="00A25C26"/>
    <w:rsid w:val="00A25E01"/>
    <w:rsid w:val="00A2601A"/>
    <w:rsid w:val="00A261CE"/>
    <w:rsid w:val="00A262F2"/>
    <w:rsid w:val="00A2648E"/>
    <w:rsid w:val="00A265E1"/>
    <w:rsid w:val="00A26718"/>
    <w:rsid w:val="00A26846"/>
    <w:rsid w:val="00A26892"/>
    <w:rsid w:val="00A268DA"/>
    <w:rsid w:val="00A26F1D"/>
    <w:rsid w:val="00A27668"/>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B7B"/>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5F5A"/>
    <w:rsid w:val="00A3607A"/>
    <w:rsid w:val="00A3625B"/>
    <w:rsid w:val="00A36F3B"/>
    <w:rsid w:val="00A378CB"/>
    <w:rsid w:val="00A37BE0"/>
    <w:rsid w:val="00A37C27"/>
    <w:rsid w:val="00A40022"/>
    <w:rsid w:val="00A400DB"/>
    <w:rsid w:val="00A40132"/>
    <w:rsid w:val="00A40166"/>
    <w:rsid w:val="00A40187"/>
    <w:rsid w:val="00A4023C"/>
    <w:rsid w:val="00A40371"/>
    <w:rsid w:val="00A404FF"/>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AFB"/>
    <w:rsid w:val="00A44BA6"/>
    <w:rsid w:val="00A44CEE"/>
    <w:rsid w:val="00A452E6"/>
    <w:rsid w:val="00A452ED"/>
    <w:rsid w:val="00A45496"/>
    <w:rsid w:val="00A4596F"/>
    <w:rsid w:val="00A45C0A"/>
    <w:rsid w:val="00A467D4"/>
    <w:rsid w:val="00A469CF"/>
    <w:rsid w:val="00A471AF"/>
    <w:rsid w:val="00A4725E"/>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0A40"/>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293"/>
    <w:rsid w:val="00A847EC"/>
    <w:rsid w:val="00A84BED"/>
    <w:rsid w:val="00A85131"/>
    <w:rsid w:val="00A854A3"/>
    <w:rsid w:val="00A85B1A"/>
    <w:rsid w:val="00A864FD"/>
    <w:rsid w:val="00A8651E"/>
    <w:rsid w:val="00A86AA2"/>
    <w:rsid w:val="00A86AF1"/>
    <w:rsid w:val="00A86E88"/>
    <w:rsid w:val="00A86F2F"/>
    <w:rsid w:val="00A870AA"/>
    <w:rsid w:val="00A870D8"/>
    <w:rsid w:val="00A871D7"/>
    <w:rsid w:val="00A8723B"/>
    <w:rsid w:val="00A87307"/>
    <w:rsid w:val="00A87C84"/>
    <w:rsid w:val="00A903BA"/>
    <w:rsid w:val="00A903CB"/>
    <w:rsid w:val="00A90432"/>
    <w:rsid w:val="00A90444"/>
    <w:rsid w:val="00A90BA5"/>
    <w:rsid w:val="00A919BF"/>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B1E"/>
    <w:rsid w:val="00AD0DDB"/>
    <w:rsid w:val="00AD0E48"/>
    <w:rsid w:val="00AD0E78"/>
    <w:rsid w:val="00AD107C"/>
    <w:rsid w:val="00AD128C"/>
    <w:rsid w:val="00AD174A"/>
    <w:rsid w:val="00AD184D"/>
    <w:rsid w:val="00AD186C"/>
    <w:rsid w:val="00AD2100"/>
    <w:rsid w:val="00AD2281"/>
    <w:rsid w:val="00AD265A"/>
    <w:rsid w:val="00AD2977"/>
    <w:rsid w:val="00AD3039"/>
    <w:rsid w:val="00AD3083"/>
    <w:rsid w:val="00AD30D3"/>
    <w:rsid w:val="00AD3706"/>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BE3"/>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6AA"/>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C00"/>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C8C"/>
    <w:rsid w:val="00B01DCB"/>
    <w:rsid w:val="00B01EAC"/>
    <w:rsid w:val="00B023A9"/>
    <w:rsid w:val="00B02655"/>
    <w:rsid w:val="00B0270D"/>
    <w:rsid w:val="00B02CF5"/>
    <w:rsid w:val="00B02DA1"/>
    <w:rsid w:val="00B03108"/>
    <w:rsid w:val="00B03222"/>
    <w:rsid w:val="00B03303"/>
    <w:rsid w:val="00B036F2"/>
    <w:rsid w:val="00B04047"/>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AB9"/>
    <w:rsid w:val="00B17EF8"/>
    <w:rsid w:val="00B20142"/>
    <w:rsid w:val="00B20475"/>
    <w:rsid w:val="00B20541"/>
    <w:rsid w:val="00B20575"/>
    <w:rsid w:val="00B20AD4"/>
    <w:rsid w:val="00B21200"/>
    <w:rsid w:val="00B2175B"/>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A31"/>
    <w:rsid w:val="00B24BE6"/>
    <w:rsid w:val="00B24D88"/>
    <w:rsid w:val="00B24DC1"/>
    <w:rsid w:val="00B25226"/>
    <w:rsid w:val="00B2569C"/>
    <w:rsid w:val="00B258F9"/>
    <w:rsid w:val="00B25AE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3B"/>
    <w:rsid w:val="00B33791"/>
    <w:rsid w:val="00B338FE"/>
    <w:rsid w:val="00B33BB6"/>
    <w:rsid w:val="00B33BCB"/>
    <w:rsid w:val="00B33C77"/>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B95"/>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521"/>
    <w:rsid w:val="00B41A0C"/>
    <w:rsid w:val="00B425FB"/>
    <w:rsid w:val="00B426FF"/>
    <w:rsid w:val="00B42C35"/>
    <w:rsid w:val="00B42E52"/>
    <w:rsid w:val="00B42E75"/>
    <w:rsid w:val="00B42E9B"/>
    <w:rsid w:val="00B43232"/>
    <w:rsid w:val="00B433F9"/>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38"/>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9B"/>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B7B"/>
    <w:rsid w:val="00B61BF4"/>
    <w:rsid w:val="00B61DD7"/>
    <w:rsid w:val="00B61DDC"/>
    <w:rsid w:val="00B62A2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915"/>
    <w:rsid w:val="00B74A5F"/>
    <w:rsid w:val="00B75806"/>
    <w:rsid w:val="00B76BF1"/>
    <w:rsid w:val="00B76DD1"/>
    <w:rsid w:val="00B76E3B"/>
    <w:rsid w:val="00B77725"/>
    <w:rsid w:val="00B77850"/>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B7"/>
    <w:rsid w:val="00B90A24"/>
    <w:rsid w:val="00B90B2E"/>
    <w:rsid w:val="00B90D65"/>
    <w:rsid w:val="00B91102"/>
    <w:rsid w:val="00B91375"/>
    <w:rsid w:val="00B91594"/>
    <w:rsid w:val="00B91DE8"/>
    <w:rsid w:val="00B9202C"/>
    <w:rsid w:val="00B92207"/>
    <w:rsid w:val="00B92322"/>
    <w:rsid w:val="00B92506"/>
    <w:rsid w:val="00B9263F"/>
    <w:rsid w:val="00B927E9"/>
    <w:rsid w:val="00B932B8"/>
    <w:rsid w:val="00B93661"/>
    <w:rsid w:val="00B93BFE"/>
    <w:rsid w:val="00B93C82"/>
    <w:rsid w:val="00B93E55"/>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768"/>
    <w:rsid w:val="00BA087B"/>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566"/>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7CB"/>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005"/>
    <w:rsid w:val="00BB32EC"/>
    <w:rsid w:val="00BB346B"/>
    <w:rsid w:val="00BB371C"/>
    <w:rsid w:val="00BB3CFB"/>
    <w:rsid w:val="00BB483B"/>
    <w:rsid w:val="00BB494D"/>
    <w:rsid w:val="00BB49B4"/>
    <w:rsid w:val="00BB4AFE"/>
    <w:rsid w:val="00BB4C77"/>
    <w:rsid w:val="00BB509B"/>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231"/>
    <w:rsid w:val="00BC121D"/>
    <w:rsid w:val="00BC1556"/>
    <w:rsid w:val="00BC1780"/>
    <w:rsid w:val="00BC194E"/>
    <w:rsid w:val="00BC20C3"/>
    <w:rsid w:val="00BC21DD"/>
    <w:rsid w:val="00BC27D3"/>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247"/>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58F"/>
    <w:rsid w:val="00BE06FF"/>
    <w:rsid w:val="00BE0C08"/>
    <w:rsid w:val="00BE0CC9"/>
    <w:rsid w:val="00BE124F"/>
    <w:rsid w:val="00BE1279"/>
    <w:rsid w:val="00BE12C5"/>
    <w:rsid w:val="00BE12E1"/>
    <w:rsid w:val="00BE135C"/>
    <w:rsid w:val="00BE1706"/>
    <w:rsid w:val="00BE1917"/>
    <w:rsid w:val="00BE192B"/>
    <w:rsid w:val="00BE1BC3"/>
    <w:rsid w:val="00BE208D"/>
    <w:rsid w:val="00BE210A"/>
    <w:rsid w:val="00BE22D8"/>
    <w:rsid w:val="00BE2579"/>
    <w:rsid w:val="00BE2A24"/>
    <w:rsid w:val="00BE2BE2"/>
    <w:rsid w:val="00BE2FEA"/>
    <w:rsid w:val="00BE34B8"/>
    <w:rsid w:val="00BE3BF1"/>
    <w:rsid w:val="00BE3C7F"/>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9B"/>
    <w:rsid w:val="00BE6DE8"/>
    <w:rsid w:val="00BE7073"/>
    <w:rsid w:val="00BE70CE"/>
    <w:rsid w:val="00BE7166"/>
    <w:rsid w:val="00BE756E"/>
    <w:rsid w:val="00BF037B"/>
    <w:rsid w:val="00BF0439"/>
    <w:rsid w:val="00BF0519"/>
    <w:rsid w:val="00BF085E"/>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4CA"/>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5CB"/>
    <w:rsid w:val="00C066E3"/>
    <w:rsid w:val="00C069C6"/>
    <w:rsid w:val="00C06C8B"/>
    <w:rsid w:val="00C06C9A"/>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2E3"/>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964"/>
    <w:rsid w:val="00C15B81"/>
    <w:rsid w:val="00C16553"/>
    <w:rsid w:val="00C16570"/>
    <w:rsid w:val="00C16623"/>
    <w:rsid w:val="00C1686F"/>
    <w:rsid w:val="00C16CB9"/>
    <w:rsid w:val="00C16DE1"/>
    <w:rsid w:val="00C170CC"/>
    <w:rsid w:val="00C1722D"/>
    <w:rsid w:val="00C17489"/>
    <w:rsid w:val="00C17754"/>
    <w:rsid w:val="00C17A1B"/>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6CC"/>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B93"/>
    <w:rsid w:val="00C31F8A"/>
    <w:rsid w:val="00C31FB1"/>
    <w:rsid w:val="00C32147"/>
    <w:rsid w:val="00C32348"/>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754"/>
    <w:rsid w:val="00C4173B"/>
    <w:rsid w:val="00C41902"/>
    <w:rsid w:val="00C41A8C"/>
    <w:rsid w:val="00C41AEF"/>
    <w:rsid w:val="00C41DFF"/>
    <w:rsid w:val="00C4242B"/>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77"/>
    <w:rsid w:val="00C54D47"/>
    <w:rsid w:val="00C54DE0"/>
    <w:rsid w:val="00C54F5F"/>
    <w:rsid w:val="00C5554C"/>
    <w:rsid w:val="00C55685"/>
    <w:rsid w:val="00C5568E"/>
    <w:rsid w:val="00C556A8"/>
    <w:rsid w:val="00C556C5"/>
    <w:rsid w:val="00C55AB9"/>
    <w:rsid w:val="00C55CBE"/>
    <w:rsid w:val="00C56282"/>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5F0"/>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954"/>
    <w:rsid w:val="00C71DE8"/>
    <w:rsid w:val="00C7223A"/>
    <w:rsid w:val="00C724F4"/>
    <w:rsid w:val="00C727DD"/>
    <w:rsid w:val="00C729FE"/>
    <w:rsid w:val="00C72B13"/>
    <w:rsid w:val="00C72B29"/>
    <w:rsid w:val="00C72C4A"/>
    <w:rsid w:val="00C72D36"/>
    <w:rsid w:val="00C72DFD"/>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0F"/>
    <w:rsid w:val="00C86DEB"/>
    <w:rsid w:val="00C87168"/>
    <w:rsid w:val="00C872B4"/>
    <w:rsid w:val="00C875B2"/>
    <w:rsid w:val="00C876A7"/>
    <w:rsid w:val="00C87857"/>
    <w:rsid w:val="00C87ADB"/>
    <w:rsid w:val="00C87B19"/>
    <w:rsid w:val="00C9072F"/>
    <w:rsid w:val="00C90A7C"/>
    <w:rsid w:val="00C90B09"/>
    <w:rsid w:val="00C90CB7"/>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9EB"/>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BF9"/>
    <w:rsid w:val="00CA0CCB"/>
    <w:rsid w:val="00CA0FFF"/>
    <w:rsid w:val="00CA103B"/>
    <w:rsid w:val="00CA12C1"/>
    <w:rsid w:val="00CA1569"/>
    <w:rsid w:val="00CA15EA"/>
    <w:rsid w:val="00CA1650"/>
    <w:rsid w:val="00CA16F6"/>
    <w:rsid w:val="00CA199B"/>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099"/>
    <w:rsid w:val="00CB5420"/>
    <w:rsid w:val="00CB5710"/>
    <w:rsid w:val="00CB5783"/>
    <w:rsid w:val="00CB5E7A"/>
    <w:rsid w:val="00CB604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56F"/>
    <w:rsid w:val="00CC2913"/>
    <w:rsid w:val="00CC2EEE"/>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3AB"/>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901"/>
    <w:rsid w:val="00CD4005"/>
    <w:rsid w:val="00CD4582"/>
    <w:rsid w:val="00CD4FD4"/>
    <w:rsid w:val="00CD5261"/>
    <w:rsid w:val="00CD53FE"/>
    <w:rsid w:val="00CD55D0"/>
    <w:rsid w:val="00CD591A"/>
    <w:rsid w:val="00CD5983"/>
    <w:rsid w:val="00CD59FE"/>
    <w:rsid w:val="00CD60A9"/>
    <w:rsid w:val="00CD63C9"/>
    <w:rsid w:val="00CD651A"/>
    <w:rsid w:val="00CD6C80"/>
    <w:rsid w:val="00CD6D1E"/>
    <w:rsid w:val="00CD6EAE"/>
    <w:rsid w:val="00CD70FA"/>
    <w:rsid w:val="00CD77F8"/>
    <w:rsid w:val="00CD781F"/>
    <w:rsid w:val="00CD7841"/>
    <w:rsid w:val="00CD7D84"/>
    <w:rsid w:val="00CD7D9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B6A"/>
    <w:rsid w:val="00CE3D14"/>
    <w:rsid w:val="00CE41C5"/>
    <w:rsid w:val="00CE4234"/>
    <w:rsid w:val="00CE448F"/>
    <w:rsid w:val="00CE48AB"/>
    <w:rsid w:val="00CE48CE"/>
    <w:rsid w:val="00CE49CC"/>
    <w:rsid w:val="00CE4D30"/>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462"/>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21F"/>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A67"/>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DC0"/>
    <w:rsid w:val="00D24E1B"/>
    <w:rsid w:val="00D24F65"/>
    <w:rsid w:val="00D25328"/>
    <w:rsid w:val="00D253AD"/>
    <w:rsid w:val="00D255BD"/>
    <w:rsid w:val="00D2563C"/>
    <w:rsid w:val="00D2573F"/>
    <w:rsid w:val="00D259F3"/>
    <w:rsid w:val="00D25EE8"/>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CF4"/>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E28"/>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C"/>
    <w:rsid w:val="00D417E6"/>
    <w:rsid w:val="00D418AC"/>
    <w:rsid w:val="00D41A6B"/>
    <w:rsid w:val="00D42319"/>
    <w:rsid w:val="00D424AB"/>
    <w:rsid w:val="00D42C08"/>
    <w:rsid w:val="00D42EF1"/>
    <w:rsid w:val="00D430FB"/>
    <w:rsid w:val="00D433F2"/>
    <w:rsid w:val="00D436CC"/>
    <w:rsid w:val="00D436E4"/>
    <w:rsid w:val="00D43726"/>
    <w:rsid w:val="00D43920"/>
    <w:rsid w:val="00D43933"/>
    <w:rsid w:val="00D43B2A"/>
    <w:rsid w:val="00D44367"/>
    <w:rsid w:val="00D443DF"/>
    <w:rsid w:val="00D446AF"/>
    <w:rsid w:val="00D44806"/>
    <w:rsid w:val="00D448BE"/>
    <w:rsid w:val="00D44A19"/>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C6"/>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CF3"/>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0E04"/>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3F63"/>
    <w:rsid w:val="00D7413C"/>
    <w:rsid w:val="00D74158"/>
    <w:rsid w:val="00D744AC"/>
    <w:rsid w:val="00D7455E"/>
    <w:rsid w:val="00D74588"/>
    <w:rsid w:val="00D74674"/>
    <w:rsid w:val="00D749BB"/>
    <w:rsid w:val="00D749E8"/>
    <w:rsid w:val="00D74B83"/>
    <w:rsid w:val="00D74E27"/>
    <w:rsid w:val="00D7500C"/>
    <w:rsid w:val="00D76278"/>
    <w:rsid w:val="00D7635B"/>
    <w:rsid w:val="00D76979"/>
    <w:rsid w:val="00D769D5"/>
    <w:rsid w:val="00D76A92"/>
    <w:rsid w:val="00D76F5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6A"/>
    <w:rsid w:val="00D86390"/>
    <w:rsid w:val="00D86911"/>
    <w:rsid w:val="00D86D10"/>
    <w:rsid w:val="00D86EB3"/>
    <w:rsid w:val="00D87161"/>
    <w:rsid w:val="00D87183"/>
    <w:rsid w:val="00D8726A"/>
    <w:rsid w:val="00D877E7"/>
    <w:rsid w:val="00D87ADD"/>
    <w:rsid w:val="00D87C96"/>
    <w:rsid w:val="00D9093F"/>
    <w:rsid w:val="00D90D87"/>
    <w:rsid w:val="00D90DCB"/>
    <w:rsid w:val="00D90E06"/>
    <w:rsid w:val="00D91097"/>
    <w:rsid w:val="00D918F2"/>
    <w:rsid w:val="00D91E46"/>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C9D"/>
    <w:rsid w:val="00D95F13"/>
    <w:rsid w:val="00D9629E"/>
    <w:rsid w:val="00D96655"/>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97F1C"/>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AA"/>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1BC"/>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2AB"/>
    <w:rsid w:val="00DD0664"/>
    <w:rsid w:val="00DD0888"/>
    <w:rsid w:val="00DD0BF7"/>
    <w:rsid w:val="00DD0FBC"/>
    <w:rsid w:val="00DD0FC3"/>
    <w:rsid w:val="00DD1AD9"/>
    <w:rsid w:val="00DD1BE6"/>
    <w:rsid w:val="00DD1D1B"/>
    <w:rsid w:val="00DD1F2B"/>
    <w:rsid w:val="00DD2102"/>
    <w:rsid w:val="00DD23AF"/>
    <w:rsid w:val="00DD26A4"/>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5EE"/>
    <w:rsid w:val="00DF07BA"/>
    <w:rsid w:val="00DF0DAD"/>
    <w:rsid w:val="00DF0ED6"/>
    <w:rsid w:val="00DF125B"/>
    <w:rsid w:val="00DF136C"/>
    <w:rsid w:val="00DF1490"/>
    <w:rsid w:val="00DF23A2"/>
    <w:rsid w:val="00DF26C2"/>
    <w:rsid w:val="00DF2A15"/>
    <w:rsid w:val="00DF3246"/>
    <w:rsid w:val="00DF3688"/>
    <w:rsid w:val="00DF3DC6"/>
    <w:rsid w:val="00DF3E78"/>
    <w:rsid w:val="00DF3EAF"/>
    <w:rsid w:val="00DF4024"/>
    <w:rsid w:val="00DF41AB"/>
    <w:rsid w:val="00DF46C3"/>
    <w:rsid w:val="00DF4866"/>
    <w:rsid w:val="00DF4A0D"/>
    <w:rsid w:val="00DF4C89"/>
    <w:rsid w:val="00DF4DCE"/>
    <w:rsid w:val="00DF4EF4"/>
    <w:rsid w:val="00DF5027"/>
    <w:rsid w:val="00DF52E5"/>
    <w:rsid w:val="00DF53D8"/>
    <w:rsid w:val="00DF5429"/>
    <w:rsid w:val="00DF57F0"/>
    <w:rsid w:val="00DF5BF9"/>
    <w:rsid w:val="00DF5C84"/>
    <w:rsid w:val="00DF634E"/>
    <w:rsid w:val="00DF6415"/>
    <w:rsid w:val="00DF651E"/>
    <w:rsid w:val="00DF66C5"/>
    <w:rsid w:val="00DF66EF"/>
    <w:rsid w:val="00DF684F"/>
    <w:rsid w:val="00DF6D5F"/>
    <w:rsid w:val="00DF768E"/>
    <w:rsid w:val="00DF794B"/>
    <w:rsid w:val="00DF7BE1"/>
    <w:rsid w:val="00DF7CA7"/>
    <w:rsid w:val="00DF7F6D"/>
    <w:rsid w:val="00DF7F7C"/>
    <w:rsid w:val="00DF7FCD"/>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5F"/>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6B"/>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4DC"/>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B83"/>
    <w:rsid w:val="00E20E6B"/>
    <w:rsid w:val="00E20EB7"/>
    <w:rsid w:val="00E2120B"/>
    <w:rsid w:val="00E219A3"/>
    <w:rsid w:val="00E21D73"/>
    <w:rsid w:val="00E21E6D"/>
    <w:rsid w:val="00E22B5C"/>
    <w:rsid w:val="00E22C1C"/>
    <w:rsid w:val="00E2369B"/>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662"/>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96"/>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2C01"/>
    <w:rsid w:val="00E42EF4"/>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BB1"/>
    <w:rsid w:val="00E56CC7"/>
    <w:rsid w:val="00E56F01"/>
    <w:rsid w:val="00E576A0"/>
    <w:rsid w:val="00E5776B"/>
    <w:rsid w:val="00E57EE5"/>
    <w:rsid w:val="00E603F7"/>
    <w:rsid w:val="00E60834"/>
    <w:rsid w:val="00E6097B"/>
    <w:rsid w:val="00E609E0"/>
    <w:rsid w:val="00E60C1A"/>
    <w:rsid w:val="00E60FDE"/>
    <w:rsid w:val="00E6190D"/>
    <w:rsid w:val="00E61EF5"/>
    <w:rsid w:val="00E61F27"/>
    <w:rsid w:val="00E61F7F"/>
    <w:rsid w:val="00E62497"/>
    <w:rsid w:val="00E62AA4"/>
    <w:rsid w:val="00E62C01"/>
    <w:rsid w:val="00E62DBD"/>
    <w:rsid w:val="00E62F6D"/>
    <w:rsid w:val="00E633F3"/>
    <w:rsid w:val="00E634F7"/>
    <w:rsid w:val="00E63526"/>
    <w:rsid w:val="00E63D4A"/>
    <w:rsid w:val="00E63E20"/>
    <w:rsid w:val="00E643B5"/>
    <w:rsid w:val="00E64652"/>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7E"/>
    <w:rsid w:val="00E661E4"/>
    <w:rsid w:val="00E662D7"/>
    <w:rsid w:val="00E66577"/>
    <w:rsid w:val="00E669F1"/>
    <w:rsid w:val="00E66A2A"/>
    <w:rsid w:val="00E66D8A"/>
    <w:rsid w:val="00E67123"/>
    <w:rsid w:val="00E67264"/>
    <w:rsid w:val="00E67522"/>
    <w:rsid w:val="00E6775F"/>
    <w:rsid w:val="00E67AB7"/>
    <w:rsid w:val="00E67C11"/>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5E0"/>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68E1"/>
    <w:rsid w:val="00E77010"/>
    <w:rsid w:val="00E770B2"/>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0D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8E3"/>
    <w:rsid w:val="00E95D12"/>
    <w:rsid w:val="00E95E8C"/>
    <w:rsid w:val="00E95EA8"/>
    <w:rsid w:val="00E963C2"/>
    <w:rsid w:val="00E9688B"/>
    <w:rsid w:val="00E96CCE"/>
    <w:rsid w:val="00E96E00"/>
    <w:rsid w:val="00E96E72"/>
    <w:rsid w:val="00E97178"/>
    <w:rsid w:val="00E978E8"/>
    <w:rsid w:val="00EA0051"/>
    <w:rsid w:val="00EA0619"/>
    <w:rsid w:val="00EA0923"/>
    <w:rsid w:val="00EA0950"/>
    <w:rsid w:val="00EA0A6D"/>
    <w:rsid w:val="00EA1006"/>
    <w:rsid w:val="00EA1612"/>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496"/>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1EC"/>
    <w:rsid w:val="00EB4586"/>
    <w:rsid w:val="00EB4BD3"/>
    <w:rsid w:val="00EB4C5B"/>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6E3"/>
    <w:rsid w:val="00EC28A0"/>
    <w:rsid w:val="00EC290D"/>
    <w:rsid w:val="00EC339C"/>
    <w:rsid w:val="00EC3413"/>
    <w:rsid w:val="00EC3517"/>
    <w:rsid w:val="00EC36B2"/>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0F31"/>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6848"/>
    <w:rsid w:val="00ED6AB9"/>
    <w:rsid w:val="00ED7013"/>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297"/>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401"/>
    <w:rsid w:val="00EE6825"/>
    <w:rsid w:val="00EE69C6"/>
    <w:rsid w:val="00EE6C21"/>
    <w:rsid w:val="00EE6DF6"/>
    <w:rsid w:val="00EE7117"/>
    <w:rsid w:val="00EE7282"/>
    <w:rsid w:val="00EE7386"/>
    <w:rsid w:val="00EE7408"/>
    <w:rsid w:val="00EE7A56"/>
    <w:rsid w:val="00EE7E0F"/>
    <w:rsid w:val="00EF013A"/>
    <w:rsid w:val="00EF0449"/>
    <w:rsid w:val="00EF072B"/>
    <w:rsid w:val="00EF0C6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496"/>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280"/>
    <w:rsid w:val="00F06301"/>
    <w:rsid w:val="00F063BC"/>
    <w:rsid w:val="00F06613"/>
    <w:rsid w:val="00F06832"/>
    <w:rsid w:val="00F06FEF"/>
    <w:rsid w:val="00F072D9"/>
    <w:rsid w:val="00F073E8"/>
    <w:rsid w:val="00F0751B"/>
    <w:rsid w:val="00F0762C"/>
    <w:rsid w:val="00F07A22"/>
    <w:rsid w:val="00F07A50"/>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39E"/>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905"/>
    <w:rsid w:val="00F16B38"/>
    <w:rsid w:val="00F17250"/>
    <w:rsid w:val="00F174E4"/>
    <w:rsid w:val="00F17696"/>
    <w:rsid w:val="00F178FD"/>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76F"/>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6AD"/>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0E0"/>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BD5"/>
    <w:rsid w:val="00F41E57"/>
    <w:rsid w:val="00F42079"/>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6F0"/>
    <w:rsid w:val="00F51744"/>
    <w:rsid w:val="00F5210E"/>
    <w:rsid w:val="00F521C5"/>
    <w:rsid w:val="00F5236C"/>
    <w:rsid w:val="00F526A4"/>
    <w:rsid w:val="00F52804"/>
    <w:rsid w:val="00F52AC9"/>
    <w:rsid w:val="00F52ADD"/>
    <w:rsid w:val="00F52C01"/>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94B"/>
    <w:rsid w:val="00F56FFE"/>
    <w:rsid w:val="00F57798"/>
    <w:rsid w:val="00F5787C"/>
    <w:rsid w:val="00F57A93"/>
    <w:rsid w:val="00F57DD6"/>
    <w:rsid w:val="00F60171"/>
    <w:rsid w:val="00F60698"/>
    <w:rsid w:val="00F606C7"/>
    <w:rsid w:val="00F6091E"/>
    <w:rsid w:val="00F609A5"/>
    <w:rsid w:val="00F60EF0"/>
    <w:rsid w:val="00F6193D"/>
    <w:rsid w:val="00F61A95"/>
    <w:rsid w:val="00F624AE"/>
    <w:rsid w:val="00F62558"/>
    <w:rsid w:val="00F62BF9"/>
    <w:rsid w:val="00F63015"/>
    <w:rsid w:val="00F634C2"/>
    <w:rsid w:val="00F635E0"/>
    <w:rsid w:val="00F64916"/>
    <w:rsid w:val="00F65086"/>
    <w:rsid w:val="00F657B2"/>
    <w:rsid w:val="00F65C72"/>
    <w:rsid w:val="00F66A13"/>
    <w:rsid w:val="00F66ABF"/>
    <w:rsid w:val="00F66CF1"/>
    <w:rsid w:val="00F671E7"/>
    <w:rsid w:val="00F673AA"/>
    <w:rsid w:val="00F677A7"/>
    <w:rsid w:val="00F67D83"/>
    <w:rsid w:val="00F67DA1"/>
    <w:rsid w:val="00F67E7D"/>
    <w:rsid w:val="00F67F4C"/>
    <w:rsid w:val="00F70057"/>
    <w:rsid w:val="00F700A4"/>
    <w:rsid w:val="00F70179"/>
    <w:rsid w:val="00F70210"/>
    <w:rsid w:val="00F70895"/>
    <w:rsid w:val="00F7095E"/>
    <w:rsid w:val="00F709DD"/>
    <w:rsid w:val="00F70B33"/>
    <w:rsid w:val="00F70C94"/>
    <w:rsid w:val="00F70E78"/>
    <w:rsid w:val="00F711B8"/>
    <w:rsid w:val="00F7122D"/>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053"/>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4F"/>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9E1"/>
    <w:rsid w:val="00F82B8E"/>
    <w:rsid w:val="00F82FBC"/>
    <w:rsid w:val="00F830AB"/>
    <w:rsid w:val="00F8330C"/>
    <w:rsid w:val="00F83310"/>
    <w:rsid w:val="00F83582"/>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2E6"/>
    <w:rsid w:val="00F92663"/>
    <w:rsid w:val="00F92727"/>
    <w:rsid w:val="00F92E81"/>
    <w:rsid w:val="00F92ED8"/>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4A0"/>
    <w:rsid w:val="00FA4978"/>
    <w:rsid w:val="00FA4C46"/>
    <w:rsid w:val="00FA521E"/>
    <w:rsid w:val="00FA521F"/>
    <w:rsid w:val="00FA5634"/>
    <w:rsid w:val="00FA566D"/>
    <w:rsid w:val="00FA574F"/>
    <w:rsid w:val="00FA5912"/>
    <w:rsid w:val="00FA5B0C"/>
    <w:rsid w:val="00FA5EA8"/>
    <w:rsid w:val="00FA5F0C"/>
    <w:rsid w:val="00FA5F5F"/>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339"/>
    <w:rsid w:val="00FC15DD"/>
    <w:rsid w:val="00FC16CE"/>
    <w:rsid w:val="00FC1769"/>
    <w:rsid w:val="00FC1803"/>
    <w:rsid w:val="00FC18A9"/>
    <w:rsid w:val="00FC18B1"/>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13"/>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8E5"/>
    <w:rsid w:val="00FE4908"/>
    <w:rsid w:val="00FE499C"/>
    <w:rsid w:val="00FE4AC6"/>
    <w:rsid w:val="00FE4DA3"/>
    <w:rsid w:val="00FE4DE0"/>
    <w:rsid w:val="00FE546A"/>
    <w:rsid w:val="00FE57F3"/>
    <w:rsid w:val="00FE5AB0"/>
    <w:rsid w:val="00FE5B9E"/>
    <w:rsid w:val="00FE5F6A"/>
    <w:rsid w:val="00FE64F0"/>
    <w:rsid w:val="00FE65BC"/>
    <w:rsid w:val="00FE6835"/>
    <w:rsid w:val="00FE6980"/>
    <w:rsid w:val="00FE69E5"/>
    <w:rsid w:val="00FE6C84"/>
    <w:rsid w:val="00FE709E"/>
    <w:rsid w:val="00FE7512"/>
    <w:rsid w:val="00FE79AE"/>
    <w:rsid w:val="00FE7AB0"/>
    <w:rsid w:val="00FE7AE6"/>
    <w:rsid w:val="00FE7B2D"/>
    <w:rsid w:val="00FE7BE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BB"/>
    <w:rsid w:val="00FF3CF7"/>
    <w:rsid w:val="00FF3D63"/>
    <w:rsid w:val="00FF3E2A"/>
    <w:rsid w:val="00FF4FFD"/>
    <w:rsid w:val="00FF540B"/>
    <w:rsid w:val="00FF5AD0"/>
    <w:rsid w:val="00FF63A5"/>
    <w:rsid w:val="00FF63F2"/>
    <w:rsid w:val="00FF6AEB"/>
    <w:rsid w:val="00FF6C28"/>
    <w:rsid w:val="00FF6D9B"/>
    <w:rsid w:val="00FF701D"/>
    <w:rsid w:val="00FF70EA"/>
    <w:rsid w:val="00FF7A52"/>
    <w:rsid w:val="00FF7B17"/>
    <w:rsid w:val="00FF7D3B"/>
    <w:rsid w:val="00FF7EBA"/>
    <w:rsid w:val="00FF7F31"/>
    <w:rsid w:val="00FF7FBD"/>
    <w:rsid w:val="02003AE5"/>
    <w:rsid w:val="0F284CBA"/>
    <w:rsid w:val="1AEC45B5"/>
    <w:rsid w:val="2382681E"/>
    <w:rsid w:val="363574A1"/>
    <w:rsid w:val="3B8C4379"/>
    <w:rsid w:val="40560F4C"/>
    <w:rsid w:val="4BE016C1"/>
    <w:rsid w:val="4C7E26AA"/>
    <w:rsid w:val="5EA4380C"/>
    <w:rsid w:val="6CE54830"/>
    <w:rsid w:val="7197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1ED95A"/>
  <w15:docId w15:val="{7904F701-FAFB-4C9C-B876-223CCDA4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MS Gothic" w:hAnsi="Times New Roman" w:cs="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cs="Times New Roman"/>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cs="Times New Roman"/>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ascii="Times New Roman" w:eastAsia="MS Gothic" w:hAnsi="Times New Roman" w:cs="Times New Roman"/>
      <w:sz w:val="24"/>
      <w:lang w:eastAsia="ja-JP"/>
    </w:rPr>
  </w:style>
  <w:style w:type="paragraph" w:customStyle="1" w:styleId="1">
    <w:name w:val="修订1"/>
    <w:hidden/>
    <w:uiPriority w:val="99"/>
    <w:semiHidden/>
    <w:qFormat/>
    <w:pPr>
      <w:spacing w:after="160" w:line="259" w:lineRule="auto"/>
    </w:pPr>
    <w:rPr>
      <w:rFonts w:ascii="Times New Roman" w:eastAsia="MS Gothic" w:hAnsi="Times New Roman" w:cs="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cs="Times New Roman"/>
      <w:sz w:val="32"/>
      <w:lang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cs="Times New Roman"/>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cs="Times New Roman"/>
      <w:lang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cs="Times New Roman"/>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cs="Times New Roman"/>
      <w:i/>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cs="Times New Roman"/>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cs="Times New Roman"/>
      <w:lang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cs="Times New Roman"/>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cs="Times New Roman"/>
      <w:lang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xmsonormal">
    <w:name w:val="x_msonormal"/>
    <w:basedOn w:val="Normal"/>
    <w:uiPriority w:val="99"/>
    <w:qFormat/>
    <w:pPr>
      <w:jc w:val="both"/>
    </w:pPr>
    <w:rPr>
      <w:rFonts w:ascii="Yu Gothic" w:eastAsia="Yu Gothic" w:hAnsi="Yu Gothic" w:cs="Calibri"/>
      <w:sz w:val="21"/>
      <w:szCs w:val="21"/>
      <w:lang w:val="sv-SE" w:eastAsia="sv-SE"/>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10">
    <w:name w:val="標準1"/>
    <w:qFormat/>
    <w:pPr>
      <w:jc w:val="both"/>
    </w:pPr>
    <w:rPr>
      <w:rFonts w:ascii="Times New Roman" w:eastAsia="SimSun" w:hAnsi="Times New Roman" w:cs="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23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2900.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7.xml><?xml version="1.0" encoding="utf-8"?>
<ds:datastoreItem xmlns:ds="http://schemas.openxmlformats.org/officeDocument/2006/customXml" ds:itemID="{31FE7CE7-B371-4B06-A6F8-F2FA6012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6025</Words>
  <Characters>28848</Characters>
  <Application>Microsoft Office Word</Application>
  <DocSecurity>0</DocSecurity>
  <Lines>240</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Gerardo Agni Medina Acosta</cp:lastModifiedBy>
  <cp:revision>2</cp:revision>
  <cp:lastPrinted>2017-08-09T04:40:00Z</cp:lastPrinted>
  <dcterms:created xsi:type="dcterms:W3CDTF">2022-02-22T13:08:00Z</dcterms:created>
  <dcterms:modified xsi:type="dcterms:W3CDTF">2022-02-22T13:08:00Z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2052-11.1.0.11365</vt:lpwstr>
  </property>
  <property fmtid="{D5CDD505-2E9C-101B-9397-08002B2CF9AE}" pid="8" name="ICV">
    <vt:lpwstr>12DA0FA5AEC9462BBE435991AEE3241A</vt:lpwstr>
  </property>
</Properties>
</file>