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sidR="00B775A5" w:rsidRPr="00FD012A">
        <w:rPr>
          <w:rFonts w:ascii="Arial" w:eastAsia="SimSun" w:hAnsi="Arial" w:cs="Times New Roman"/>
          <w:color w:val="000000"/>
          <w:sz w:val="24"/>
        </w:rPr>
        <w:t>Summary #</w:t>
      </w:r>
      <w:r w:rsidR="00B775A5">
        <w:rPr>
          <w:rFonts w:ascii="Arial" w:eastAsia="SimSun" w:hAnsi="Arial" w:cs="Times New Roman"/>
          <w:color w:val="000000"/>
          <w:sz w:val="24"/>
        </w:rPr>
        <w:t>2</w:t>
      </w:r>
      <w:r w:rsidR="00B775A5" w:rsidRPr="00FD012A">
        <w:rPr>
          <w:rFonts w:ascii="Arial" w:eastAsia="SimSun"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Summary of Issues</w:t>
      </w:r>
    </w:p>
    <w:tbl>
      <w:tblPr>
        <w:tblStyle w:val="a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바탕" w:hAnsi="Calibri" w:cs="Calibri"/>
          <w:b/>
          <w:bCs/>
          <w:sz w:val="28"/>
        </w:rPr>
      </w:pPr>
      <w:r>
        <w:rPr>
          <w:rFonts w:ascii="Calibri" w:eastAsia="바탕"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1"/>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1"/>
        <w:ind w:firstLineChars="0" w:firstLine="0"/>
        <w:jc w:val="center"/>
        <w:rPr>
          <w:rFonts w:eastAsia="DengXian"/>
          <w:kern w:val="32"/>
          <w:sz w:val="22"/>
          <w:szCs w:val="22"/>
          <w:lang w:val="en-GB" w:eastAsia="zh-CN"/>
        </w:rPr>
      </w:pPr>
      <w:r>
        <w:rPr>
          <w:noProof/>
          <w:lang w:val="en-US" w:eastAsia="ko-KR"/>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1"/>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1"/>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1"/>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1"/>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1"/>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1"/>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1"/>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af1"/>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af1"/>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of  Alt.2-1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 xml:space="preserve">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sidR="00BD1952">
              <w:rPr>
                <w:sz w:val="20"/>
                <w:szCs w:val="20"/>
                <w:lang w:eastAsia="zh-CN"/>
              </w:rPr>
              <w:lastRenderedPageBreak/>
              <w:t>candidates before determining the PUCCH resource even though DCI has been decoded in AL8 already.   So a slight alternative  of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sidRPr="00587DB0">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9D7CDB" w:rsidRDefault="00D97FD4" w:rsidP="009D7CDB">
            <w:pPr>
              <w:pStyle w:val="af1"/>
              <w:numPr>
                <w:ilvl w:val="0"/>
                <w:numId w:val="13"/>
              </w:numPr>
              <w:ind w:firstLineChars="0"/>
              <w:rPr>
                <w:rFonts w:eastAsia="SimSun"/>
                <w:sz w:val="20"/>
                <w:szCs w:val="20"/>
                <w:lang w:eastAsia="zh-CN"/>
              </w:rPr>
            </w:pPr>
            <w:r w:rsidRPr="009D7CDB">
              <w:rPr>
                <w:rFonts w:eastAsia="SimSun"/>
                <w:sz w:val="20"/>
                <w:szCs w:val="20"/>
                <w:lang w:eastAsia="zh-CN"/>
              </w:rPr>
              <w:t xml:space="preserve">Alt1: Apple, Lenovo/MotM, ZTE, QC, </w:t>
            </w:r>
            <w:r w:rsidRPr="009D7CDB">
              <w:rPr>
                <w:rFonts w:eastAsia="SimSun" w:hint="eastAsia"/>
                <w:sz w:val="20"/>
                <w:szCs w:val="20"/>
                <w:lang w:eastAsia="zh-CN"/>
              </w:rPr>
              <w:t>CATT</w:t>
            </w:r>
            <w:r w:rsidRPr="009D7CDB">
              <w:rPr>
                <w:rFonts w:eastAsia="SimSun"/>
                <w:sz w:val="20"/>
                <w:szCs w:val="20"/>
                <w:lang w:eastAsia="zh-CN"/>
              </w:rPr>
              <w:t xml:space="preserve">, </w:t>
            </w:r>
            <w:r w:rsidRPr="009D7CDB">
              <w:rPr>
                <w:rFonts w:eastAsia="SimSun" w:hint="eastAsia"/>
                <w:sz w:val="20"/>
                <w:szCs w:val="20"/>
                <w:lang w:eastAsia="zh-CN"/>
              </w:rPr>
              <w:t>Spreadtrum</w:t>
            </w:r>
            <w:r w:rsidRPr="009D7CDB">
              <w:rPr>
                <w:rFonts w:eastAsia="SimSun"/>
                <w:sz w:val="20"/>
                <w:szCs w:val="20"/>
                <w:lang w:eastAsia="zh-CN"/>
              </w:rPr>
              <w:t>, Futurewei, Fraunhofer IIS/HHI</w:t>
            </w:r>
          </w:p>
          <w:p w14:paraId="7E7A576C" w14:textId="15B533D0" w:rsidR="00D97FD4" w:rsidRPr="009D7CDB" w:rsidRDefault="00D97FD4" w:rsidP="009D7CDB">
            <w:pPr>
              <w:pStyle w:val="af1"/>
              <w:numPr>
                <w:ilvl w:val="0"/>
                <w:numId w:val="13"/>
              </w:numPr>
              <w:ind w:firstLineChars="0"/>
              <w:rPr>
                <w:rFonts w:eastAsia="SimSun"/>
                <w:sz w:val="20"/>
                <w:szCs w:val="20"/>
                <w:lang w:eastAsia="zh-CN"/>
              </w:rPr>
            </w:pPr>
            <w:r w:rsidRPr="009D7CDB">
              <w:rPr>
                <w:rFonts w:eastAsia="SimSun"/>
                <w:sz w:val="20"/>
                <w:szCs w:val="20"/>
                <w:lang w:eastAsia="zh-CN"/>
              </w:rPr>
              <w:t>Alt2-1: Samsung, NTT Docomo, LG, OPPO, Lenovo/MotM, Xiaomi, CMCC, Intel, Ericsson</w:t>
            </w:r>
          </w:p>
          <w:p w14:paraId="24A97635" w14:textId="1EB82078" w:rsidR="00D97FD4" w:rsidRPr="009D7CDB" w:rsidRDefault="00D97FD4" w:rsidP="009D7CDB">
            <w:pPr>
              <w:pStyle w:val="af1"/>
              <w:numPr>
                <w:ilvl w:val="0"/>
                <w:numId w:val="13"/>
              </w:numPr>
              <w:ind w:firstLineChars="0"/>
              <w:rPr>
                <w:rFonts w:eastAsia="SimSun"/>
                <w:sz w:val="20"/>
                <w:szCs w:val="20"/>
                <w:lang w:eastAsia="zh-CN"/>
              </w:rPr>
            </w:pPr>
            <w:r w:rsidRPr="009D7CDB">
              <w:rPr>
                <w:rFonts w:eastAsia="SimSun"/>
                <w:sz w:val="20"/>
                <w:szCs w:val="20"/>
                <w:lang w:eastAsia="zh-CN"/>
              </w:rPr>
              <w:t>Alt2-2: NTT Docomo, OPPO, QC, vivo, CMCC, Intel, Fraunhofer IIS/HHI, Ericsson</w:t>
            </w:r>
          </w:p>
          <w:p w14:paraId="4825E738" w14:textId="413DBF70" w:rsidR="00D97FD4" w:rsidRPr="009D7CDB" w:rsidRDefault="00D97FD4" w:rsidP="009D7CDB">
            <w:pPr>
              <w:pStyle w:val="af1"/>
              <w:numPr>
                <w:ilvl w:val="0"/>
                <w:numId w:val="13"/>
              </w:numPr>
              <w:ind w:firstLineChars="0"/>
              <w:rPr>
                <w:rFonts w:eastAsia="SimSun"/>
                <w:sz w:val="20"/>
                <w:szCs w:val="20"/>
                <w:lang w:eastAsia="zh-CN"/>
              </w:rPr>
            </w:pPr>
            <w:r w:rsidRPr="009D7CDB">
              <w:rPr>
                <w:rFonts w:eastAsia="SimSun"/>
                <w:sz w:val="20"/>
                <w:szCs w:val="20"/>
                <w:lang w:eastAsia="zh-CN"/>
              </w:rPr>
              <w:t xml:space="preserve">Alt2-3: NTT Docomo, QC, </w:t>
            </w:r>
            <w:r w:rsidRPr="009D7CDB">
              <w:rPr>
                <w:rFonts w:eastAsia="SimSun" w:hint="eastAsia"/>
                <w:sz w:val="20"/>
                <w:szCs w:val="20"/>
                <w:lang w:eastAsia="zh-CN"/>
              </w:rPr>
              <w:t>CATT</w:t>
            </w:r>
            <w:r w:rsidRPr="009D7CDB">
              <w:rPr>
                <w:rFonts w:eastAsia="SimSun"/>
                <w:sz w:val="20"/>
                <w:szCs w:val="20"/>
                <w:lang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9D7CDB" w:rsidRDefault="009D7CDB" w:rsidP="009D7CDB">
            <w:pPr>
              <w:pStyle w:val="af1"/>
              <w:numPr>
                <w:ilvl w:val="0"/>
                <w:numId w:val="14"/>
              </w:numPr>
              <w:ind w:firstLineChars="0"/>
              <w:rPr>
                <w:rFonts w:eastAsia="SimSun"/>
                <w:sz w:val="20"/>
                <w:szCs w:val="20"/>
                <w:lang w:eastAsia="zh-CN"/>
              </w:rPr>
            </w:pPr>
            <w:r>
              <w:rPr>
                <w:rFonts w:eastAsia="SimSun"/>
                <w:sz w:val="20"/>
                <w:szCs w:val="20"/>
                <w:lang w:val="en-US" w:eastAsia="zh-CN"/>
              </w:rPr>
              <w:t>Alt1 is not preferred by majority as it may not be possible to avoid the case as companies mentioned.</w:t>
            </w:r>
          </w:p>
          <w:p w14:paraId="1BA3D9E2" w14:textId="77777777" w:rsidR="009D7CDB" w:rsidRPr="009D7CDB" w:rsidRDefault="009D7CDB" w:rsidP="009D7CDB">
            <w:pPr>
              <w:pStyle w:val="af1"/>
              <w:numPr>
                <w:ilvl w:val="0"/>
                <w:numId w:val="14"/>
              </w:numPr>
              <w:ind w:firstLineChars="0"/>
              <w:rPr>
                <w:rFonts w:eastAsia="SimSun"/>
                <w:sz w:val="20"/>
                <w:szCs w:val="20"/>
                <w:lang w:eastAsia="zh-CN"/>
              </w:rPr>
            </w:pPr>
            <w:r>
              <w:rPr>
                <w:rFonts w:eastAsia="SimSun"/>
                <w:sz w:val="20"/>
                <w:szCs w:val="20"/>
                <w:lang w:val="en-US" w:eastAsia="zh-CN"/>
              </w:rPr>
              <w:t>Alt2-1 can work but requires an additional step for comparing start CCE of AL8 and AL16</w:t>
            </w:r>
          </w:p>
          <w:p w14:paraId="1637125B" w14:textId="77777777" w:rsidR="009D7CDB" w:rsidRPr="009D7CDB" w:rsidRDefault="009D7CDB" w:rsidP="009D7CDB">
            <w:pPr>
              <w:pStyle w:val="af1"/>
              <w:numPr>
                <w:ilvl w:val="0"/>
                <w:numId w:val="14"/>
              </w:numPr>
              <w:ind w:firstLineChars="0"/>
              <w:rPr>
                <w:rFonts w:eastAsia="SimSun"/>
                <w:sz w:val="20"/>
                <w:szCs w:val="20"/>
                <w:lang w:eastAsia="zh-CN"/>
              </w:rPr>
            </w:pPr>
            <w:r>
              <w:rPr>
                <w:rFonts w:eastAsia="SimSun"/>
                <w:sz w:val="20"/>
                <w:szCs w:val="20"/>
                <w:lang w:val="en-US" w:eastAsia="zh-CN"/>
              </w:rPr>
              <w:t>Alt2-2 can work and is also aligned with Rel-15 rule wrt rate matching</w:t>
            </w:r>
          </w:p>
          <w:p w14:paraId="1CEBE372" w14:textId="77777777" w:rsidR="009D7CDB" w:rsidRPr="009D7CDB" w:rsidRDefault="009D7CDB" w:rsidP="009D7CDB">
            <w:pPr>
              <w:pStyle w:val="af1"/>
              <w:numPr>
                <w:ilvl w:val="0"/>
                <w:numId w:val="14"/>
              </w:numPr>
              <w:ind w:firstLineChars="0"/>
              <w:rPr>
                <w:rFonts w:eastAsia="SimSun"/>
                <w:sz w:val="20"/>
                <w:szCs w:val="20"/>
                <w:lang w:eastAsia="zh-CN"/>
              </w:rPr>
            </w:pPr>
            <w:r>
              <w:rPr>
                <w:rFonts w:eastAsia="SimSun"/>
                <w:sz w:val="20"/>
                <w:szCs w:val="20"/>
                <w:lang w:val="en-US" w:eastAsia="zh-CN"/>
              </w:rPr>
              <w:t>Alt2-3 can work but it contradicts the previous agreement</w:t>
            </w:r>
          </w:p>
          <w:p w14:paraId="32FDA599" w14:textId="798980FD" w:rsidR="009D7CDB" w:rsidRPr="003F0A28" w:rsidRDefault="009D7CDB" w:rsidP="009D7CDB">
            <w:pPr>
              <w:pStyle w:val="af1"/>
              <w:numPr>
                <w:ilvl w:val="0"/>
                <w:numId w:val="14"/>
              </w:numPr>
              <w:ind w:firstLineChars="0"/>
              <w:rPr>
                <w:rFonts w:eastAsia="SimSun"/>
                <w:sz w:val="20"/>
                <w:szCs w:val="20"/>
                <w:lang w:eastAsia="zh-CN"/>
              </w:rPr>
            </w:pPr>
            <w:r>
              <w:rPr>
                <w:rFonts w:eastAsia="SimSun"/>
                <w:sz w:val="20"/>
                <w:szCs w:val="20"/>
                <w:lang w:val="en-US" w:eastAsia="zh-CN"/>
              </w:rPr>
              <w:t>Alt2-4 can work</w:t>
            </w:r>
            <w:r w:rsidR="003F0A28">
              <w:rPr>
                <w:rFonts w:eastAsia="SimSun"/>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DengXian" w:hAnsi="Times" w:cs="Times"/>
                <w:b/>
                <w:bCs/>
                <w:i/>
                <w:iCs/>
                <w:kern w:val="32"/>
                <w:sz w:val="24"/>
                <w:szCs w:val="24"/>
                <w:lang w:val="en-GB"/>
              </w:rPr>
            </w:pPr>
            <w:r w:rsidRPr="00FC4CEB">
              <w:rPr>
                <w:rFonts w:eastAsia="DengXian"/>
                <w:b/>
                <w:bCs/>
                <w:i/>
                <w:iCs/>
                <w:kern w:val="32"/>
                <w:sz w:val="24"/>
                <w:szCs w:val="24"/>
                <w:lang w:val="en-GB" w:eastAsia="zh-CN"/>
              </w:rPr>
              <w:t xml:space="preserve">Updated FL Proposal 1: </w:t>
            </w:r>
            <w:r w:rsidRPr="00FC4CEB">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hint="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hint="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wrt PUCCH resource determination</w:t>
            </w:r>
            <w:r w:rsidR="007C02BB">
              <w:rPr>
                <w:rFonts w:eastAsiaTheme="minorEastAsia"/>
                <w:sz w:val="20"/>
                <w:szCs w:val="20"/>
                <w:lang w:eastAsia="ko-KR"/>
              </w:rPr>
              <w:t>.</w:t>
            </w:r>
            <w:bookmarkStart w:id="2" w:name="_GoBack"/>
            <w:bookmarkEnd w:id="2"/>
          </w:p>
        </w:tc>
      </w:tr>
    </w:tbl>
    <w:p w14:paraId="74EA744B" w14:textId="3B62C036" w:rsidR="00313DF0" w:rsidRPr="002270B5" w:rsidRDefault="00B2305F">
      <w:pPr>
        <w:pStyle w:val="2"/>
        <w:spacing w:after="120"/>
        <w:jc w:val="both"/>
        <w:rPr>
          <w:rFonts w:ascii="Calibri" w:eastAsia="바탕" w:hAnsi="Calibri" w:cs="Calibri"/>
          <w:b/>
          <w:bCs/>
          <w:color w:val="AEAAAA" w:themeColor="background2" w:themeShade="BF"/>
          <w:sz w:val="28"/>
        </w:rPr>
      </w:pPr>
      <w:r w:rsidRPr="002270B5">
        <w:rPr>
          <w:rFonts w:ascii="Calibri" w:eastAsia="바탕" w:hAnsi="Calibri" w:cs="Calibri"/>
          <w:b/>
          <w:bCs/>
          <w:color w:val="AEAAAA" w:themeColor="background2" w:themeShade="BF"/>
          <w:sz w:val="28"/>
        </w:rPr>
        <w:t>Issue 2: Other Rel-17 SS sets</w:t>
      </w:r>
      <w:r w:rsidR="002270B5" w:rsidRPr="002270B5">
        <w:rPr>
          <w:rFonts w:ascii="Calibri" w:eastAsia="바탕"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바탕"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바탕" w:hAnsi="Times" w:cs="Times New Roman"/>
          <w:b/>
          <w:bCs/>
          <w:i/>
          <w:iCs/>
          <w:sz w:val="24"/>
          <w:szCs w:val="32"/>
          <w:lang w:val="en-GB"/>
        </w:rPr>
        <w:t>.</w:t>
      </w:r>
    </w:p>
    <w:p w14:paraId="58992CDA" w14:textId="77777777" w:rsidR="00313DF0" w:rsidRDefault="00313DF0">
      <w:pPr>
        <w:pStyle w:val="af1"/>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2"/>
        <w:spacing w:after="120"/>
        <w:jc w:val="both"/>
        <w:rPr>
          <w:rFonts w:ascii="Calibri" w:eastAsia="바탕" w:hAnsi="Calibri" w:cs="Calibri"/>
          <w:b/>
          <w:bCs/>
          <w:color w:val="AEAAAA" w:themeColor="background2" w:themeShade="BF"/>
          <w:sz w:val="28"/>
        </w:rPr>
      </w:pPr>
      <w:r w:rsidRPr="002270B5">
        <w:rPr>
          <w:rFonts w:ascii="Calibri" w:eastAsia="바탕" w:hAnsi="Calibri" w:cs="Calibri"/>
          <w:b/>
          <w:bCs/>
          <w:color w:val="AEAAAA" w:themeColor="background2" w:themeShade="BF"/>
          <w:sz w:val="28"/>
        </w:rPr>
        <w:t>Issue 3: Editorial TPs</w:t>
      </w:r>
      <w:r w:rsidR="002270B5" w:rsidRPr="002270B5">
        <w:rPr>
          <w:rFonts w:ascii="Calibri" w:eastAsia="바탕"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바탕" w:hAnsi="Times New Roman" w:cs="Times New Roman"/>
          <w:bCs/>
          <w:iCs/>
          <w:sz w:val="20"/>
          <w:szCs w:val="20"/>
          <w:lang w:eastAsia="zh-CN"/>
        </w:rPr>
        <w:t xml:space="preserve">both </w:t>
      </w:r>
      <w:r>
        <w:rPr>
          <w:rFonts w:ascii="Times New Roman" w:eastAsia="바탕" w:hAnsi="Times New Roman" w:cs="Times New Roman"/>
          <w:bCs/>
          <w:iCs/>
          <w:strike/>
          <w:color w:val="FF0000"/>
          <w:sz w:val="20"/>
          <w:szCs w:val="20"/>
          <w:lang w:eastAsia="zh-CN"/>
        </w:rPr>
        <w:t>linked</w:t>
      </w:r>
      <w:r>
        <w:rPr>
          <w:rFonts w:ascii="Times New Roman" w:eastAsia="바탕"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3"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3"/>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바탕"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바탕"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lastRenderedPageBreak/>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바탕"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바탕"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바탕"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t>
      </w:r>
      <w:r>
        <w:rPr>
          <w:rFonts w:ascii="Times New Roman" w:hAnsi="Times New Roman" w:cs="Times New Roman"/>
          <w:sz w:val="20"/>
          <w:szCs w:val="20"/>
        </w:rPr>
        <w:lastRenderedPageBreak/>
        <w:t xml:space="preserve">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2"/>
        <w:spacing w:after="120"/>
        <w:jc w:val="both"/>
        <w:rPr>
          <w:rFonts w:ascii="Calibri" w:eastAsia="바탕" w:hAnsi="Calibri" w:cs="Calibri"/>
          <w:b/>
          <w:bCs/>
          <w:sz w:val="28"/>
        </w:rPr>
      </w:pPr>
      <w:r>
        <w:rPr>
          <w:rFonts w:ascii="Calibri" w:eastAsia="바탕"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4C1AE4F8" w14:textId="03E50294" w:rsidR="005C153F" w:rsidRDefault="005C153F">
            <w:pPr>
              <w:spacing w:after="120" w:line="240" w:lineRule="auto"/>
              <w:rPr>
                <w:rFonts w:eastAsia="SimSun"/>
                <w:sz w:val="18"/>
                <w:szCs w:val="18"/>
                <w:lang w:val="en-GB" w:eastAsia="zh-CN"/>
              </w:rPr>
            </w:pPr>
            <w:r>
              <w:rPr>
                <w:rFonts w:eastAsia="SimSun"/>
                <w:sz w:val="18"/>
                <w:szCs w:val="18"/>
                <w:lang w:val="en-GB" w:eastAsia="zh-CN"/>
              </w:rPr>
              <w:t>Futurewei: Seems not absolutely necessary.</w:t>
            </w:r>
          </w:p>
          <w:p w14:paraId="418D80EC" w14:textId="66E0FC36" w:rsidR="00663604" w:rsidRDefault="00663604" w:rsidP="00663604">
            <w:pPr>
              <w:spacing w:after="120"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SimSun"/>
                <w:sz w:val="18"/>
                <w:szCs w:val="18"/>
                <w:lang w:val="en-GB" w:eastAsia="zh-CN"/>
              </w:rPr>
            </w:pPr>
            <w:r w:rsidRPr="00B62877">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SimSun"/>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Huawei, HiSilicon: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lastRenderedPageBreak/>
              <w:t xml:space="preserve">Nokia, NSB: RAN2 can discuss this without a LS. </w:t>
            </w:r>
          </w:p>
          <w:p w14:paraId="6AF2A5D8" w14:textId="3C82A244" w:rsidR="000E20C2" w:rsidRDefault="000E20C2">
            <w:pPr>
              <w:spacing w:after="120" w:line="240" w:lineRule="auto"/>
              <w:rPr>
                <w:rFonts w:eastAsia="SimSun"/>
                <w:sz w:val="18"/>
                <w:szCs w:val="18"/>
                <w:lang w:eastAsia="zh-CN"/>
              </w:rPr>
            </w:pPr>
            <w:r>
              <w:rPr>
                <w:rFonts w:eastAsia="SimSun"/>
                <w:sz w:val="18"/>
                <w:szCs w:val="18"/>
                <w:lang w:eastAsia="zh-CN"/>
              </w:rPr>
              <w:t>Futurewei: Agree with the majority.</w:t>
            </w:r>
          </w:p>
          <w:p w14:paraId="7A97E164" w14:textId="014C3F96" w:rsidR="000B5B29" w:rsidRDefault="000B5B29">
            <w:pPr>
              <w:spacing w:after="120" w:line="240" w:lineRule="auto"/>
              <w:rPr>
                <w:rFonts w:eastAsia="SimSun"/>
                <w:sz w:val="18"/>
                <w:szCs w:val="18"/>
                <w:lang w:eastAsia="zh-CN"/>
              </w:rPr>
            </w:pPr>
            <w:r>
              <w:rPr>
                <w:rFonts w:eastAsia="SimSun"/>
                <w:sz w:val="18"/>
                <w:szCs w:val="18"/>
                <w:lang w:eastAsia="zh-CN"/>
              </w:rPr>
              <w:t>Fraunhofer IIS/HHI: Agree with FL</w:t>
            </w:r>
          </w:p>
          <w:p w14:paraId="00864615" w14:textId="77777777" w:rsidR="00161F90" w:rsidRPr="006628C4" w:rsidRDefault="00161F90" w:rsidP="00161F90">
            <w:pPr>
              <w:spacing w:after="120" w:line="240" w:lineRule="auto"/>
              <w:rPr>
                <w:rFonts w:eastAsia="SimSun"/>
                <w:sz w:val="18"/>
                <w:szCs w:val="18"/>
                <w:lang w:eastAsia="zh-CN"/>
              </w:rPr>
            </w:pPr>
            <w:r>
              <w:rPr>
                <w:rFonts w:eastAsia="SimSun"/>
                <w:sz w:val="18"/>
                <w:szCs w:val="18"/>
                <w:lang w:eastAsia="zh-CN"/>
              </w:rPr>
              <w:t>Ericsson:  we are fine to leave it to RAN2</w:t>
            </w:r>
          </w:p>
          <w:p w14:paraId="65301443" w14:textId="1246ADA1" w:rsidR="00161F90" w:rsidRPr="006628C4" w:rsidRDefault="00B62877">
            <w:pPr>
              <w:spacing w:after="120" w:line="240" w:lineRule="auto"/>
              <w:rPr>
                <w:rFonts w:eastAsia="SimSun"/>
                <w:sz w:val="18"/>
                <w:szCs w:val="18"/>
                <w:lang w:eastAsia="zh-CN"/>
              </w:rPr>
            </w:pPr>
            <w:r w:rsidRPr="00B62877">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55AF4E86" w:rsidR="00775FBF" w:rsidRDefault="00775FBF">
            <w:pPr>
              <w:spacing w:after="120"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4164487D" w14:textId="1F9CA577" w:rsidR="00D86480" w:rsidRDefault="00D86480">
            <w:pPr>
              <w:spacing w:after="120" w:line="240" w:lineRule="auto"/>
              <w:rPr>
                <w:rFonts w:eastAsia="SimSun"/>
                <w:bCs/>
                <w:sz w:val="18"/>
                <w:szCs w:val="18"/>
                <w:lang w:val="en-GB" w:eastAsia="zh-CN"/>
              </w:rPr>
            </w:pPr>
            <w:r>
              <w:rPr>
                <w:rFonts w:eastAsia="SimSun"/>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SimSun"/>
                <w:bCs/>
                <w:sz w:val="18"/>
                <w:szCs w:val="18"/>
                <w:lang w:val="en-GB" w:eastAsia="zh-CN"/>
              </w:rPr>
            </w:pPr>
            <w:r>
              <w:rPr>
                <w:rFonts w:eastAsia="SimSun"/>
                <w:bCs/>
                <w:sz w:val="18"/>
                <w:szCs w:val="18"/>
                <w:lang w:val="en-GB" w:eastAsia="zh-CN"/>
              </w:rPr>
              <w:t>Ericsson:  do not support</w:t>
            </w:r>
          </w:p>
          <w:p w14:paraId="578476A2" w14:textId="2CD26803" w:rsidR="00DC4BCE" w:rsidRPr="00146CB1" w:rsidRDefault="00B62877">
            <w:pPr>
              <w:spacing w:after="120" w:line="240" w:lineRule="auto"/>
              <w:rPr>
                <w:rFonts w:eastAsia="SimSun"/>
                <w:bCs/>
                <w:sz w:val="18"/>
                <w:szCs w:val="18"/>
                <w:lang w:val="en-GB" w:eastAsia="zh-CN"/>
              </w:rPr>
            </w:pPr>
            <w:r w:rsidRPr="00B62877">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lastRenderedPageBreak/>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굴림" w:eastAsia="굴림" w:hAnsi="굴림"/>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굴림" w:eastAsia="굴림" w:hAnsi="굴림"/>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corresponds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lastRenderedPageBreak/>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support to further discuss it.</w:t>
            </w:r>
          </w:p>
          <w:p w14:paraId="175E1DAE" w14:textId="39A2EFC5"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SimSun"/>
                <w:sz w:val="18"/>
                <w:szCs w:val="18"/>
                <w:lang w:val="en-GB" w:eastAsia="zh-CN"/>
              </w:rPr>
            </w:pPr>
            <w:r w:rsidRPr="002270B5">
              <w:rPr>
                <w:rFonts w:eastAsia="SimSun"/>
                <w:sz w:val="18"/>
                <w:szCs w:val="18"/>
                <w:highlight w:val="yellow"/>
                <w:lang w:val="en-GB" w:eastAsia="zh-CN"/>
              </w:rPr>
              <w:t>FL</w:t>
            </w:r>
            <w:r>
              <w:rPr>
                <w:rFonts w:eastAsia="SimSun"/>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71FC3405" w:rsidR="00313DF0" w:rsidRDefault="00FB583B">
            <w:pPr>
              <w:spacing w:after="120" w:line="240" w:lineRule="auto"/>
              <w:rPr>
                <w:sz w:val="18"/>
                <w:szCs w:val="18"/>
                <w:lang w:val="en-GB" w:eastAsia="zh-CN"/>
              </w:rPr>
            </w:pPr>
            <w:r>
              <w:rPr>
                <w:sz w:val="18"/>
                <w:szCs w:val="18"/>
                <w:lang w:val="en-GB" w:eastAsia="zh-CN"/>
              </w:rPr>
              <w:t>Futurewei: agree with the FL.</w:t>
            </w:r>
          </w:p>
          <w:p w14:paraId="726789F7" w14:textId="77777777" w:rsidR="00D92DA0" w:rsidRPr="00824BB3" w:rsidRDefault="00D92DA0" w:rsidP="00D92DA0">
            <w:pPr>
              <w:spacing w:after="120"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lastRenderedPageBreak/>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SimSun"/>
                <w:sz w:val="18"/>
                <w:szCs w:val="18"/>
                <w:lang w:val="en-GB" w:eastAsia="zh-CN"/>
              </w:rPr>
            </w:pPr>
            <w:r>
              <w:rPr>
                <w:rFonts w:eastAsia="SimSun"/>
                <w:sz w:val="18"/>
                <w:szCs w:val="18"/>
                <w:lang w:val="en-GB" w:eastAsia="zh-CN"/>
              </w:rPr>
              <w:t>Futurewei: agree with Samsung.</w:t>
            </w:r>
          </w:p>
          <w:p w14:paraId="51780051" w14:textId="4F4ECF9C" w:rsidR="000B5B29" w:rsidRDefault="000B5B29">
            <w:pPr>
              <w:spacing w:after="120"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SimSun"/>
                <w:sz w:val="18"/>
                <w:szCs w:val="18"/>
                <w:lang w:val="en-GB" w:eastAsia="zh-CN"/>
              </w:rPr>
            </w:pPr>
            <w:r>
              <w:rPr>
                <w:rFonts w:eastAsia="SimSun"/>
                <w:sz w:val="18"/>
                <w:szCs w:val="18"/>
                <w:lang w:val="en-GB" w:eastAsia="zh-CN"/>
              </w:rPr>
              <w:t>Ericsson:  no clarification is needed</w:t>
            </w:r>
          </w:p>
          <w:p w14:paraId="1D7F6ABE" w14:textId="684A6BF5" w:rsidR="0049393B" w:rsidRPr="006628C4" w:rsidRDefault="002270B5">
            <w:pPr>
              <w:spacing w:after="120" w:line="240" w:lineRule="auto"/>
              <w:rPr>
                <w:rFonts w:eastAsia="SimSun"/>
                <w:sz w:val="18"/>
                <w:szCs w:val="18"/>
                <w:lang w:val="en-GB" w:eastAsia="zh-CN"/>
              </w:rPr>
            </w:pPr>
            <w:r w:rsidRPr="002270B5">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2"/>
        <w:spacing w:after="120"/>
        <w:jc w:val="both"/>
        <w:rPr>
          <w:rFonts w:ascii="Calibri" w:eastAsia="바탕" w:hAnsi="Calibri" w:cs="Calibri"/>
          <w:b/>
          <w:bCs/>
          <w:sz w:val="28"/>
        </w:rPr>
      </w:pPr>
      <w:r>
        <w:rPr>
          <w:rFonts w:ascii="Calibri" w:eastAsia="바탕"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ad"/>
        <w:tblW w:w="0" w:type="auto"/>
        <w:tblLook w:val="04A0" w:firstRow="1" w:lastRow="0" w:firstColumn="1" w:lastColumn="0" w:noHBand="0" w:noVBand="1"/>
      </w:tblPr>
      <w:tblGrid>
        <w:gridCol w:w="9307"/>
      </w:tblGrid>
      <w:tr w:rsidR="00676190" w14:paraId="3FD81047" w14:textId="77777777" w:rsidTr="008B7879">
        <w:tc>
          <w:tcPr>
            <w:tcW w:w="9307" w:type="dxa"/>
          </w:tcPr>
          <w:p w14:paraId="58563CD3" w14:textId="77777777" w:rsidR="00676190" w:rsidRPr="001E76F8" w:rsidRDefault="00676190" w:rsidP="008B7879">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8B7879">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8B7879">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8B7879">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8B7879">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8B7879">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8B7879">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8B7879">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af1"/>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af1"/>
        <w:numPr>
          <w:ilvl w:val="0"/>
          <w:numId w:val="16"/>
        </w:numPr>
        <w:ind w:firstLineChars="0"/>
        <w:rPr>
          <w:lang w:val="en-GB" w:eastAsia="zh-CN"/>
        </w:rPr>
      </w:pPr>
      <w:r>
        <w:rPr>
          <w:lang w:val="en-GB" w:eastAsia="zh-CN"/>
        </w:rPr>
        <w:lastRenderedPageBreak/>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w:t>
      </w:r>
      <w:r w:rsidR="00F924B3" w:rsidRPr="00F924B3">
        <w:rPr>
          <w:rFonts w:ascii="Times New Roman" w:eastAsia="SimSun"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SimSun" w:hAnsi="Times New Roman" w:cs="Times New Roman"/>
          <w:b/>
          <w:i/>
        </w:rPr>
      </w:pPr>
      <w:r w:rsidRPr="00F924B3">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SimSun"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af1"/>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af1"/>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we have overlapping in the SCell?</w:t>
      </w:r>
    </w:p>
    <w:p w14:paraId="584E2F68" w14:textId="295D555C" w:rsidR="0099585A" w:rsidRPr="00EF0B42" w:rsidRDefault="003F7F7A" w:rsidP="00EF0B42">
      <w:pPr>
        <w:pStyle w:val="af1"/>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8B7879">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8B7879">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8B7879">
            <w:pPr>
              <w:autoSpaceDE w:val="0"/>
              <w:autoSpaceDN w:val="0"/>
              <w:adjustRightInd w:val="0"/>
              <w:snapToGrid w:val="0"/>
              <w:spacing w:after="0" w:line="240" w:lineRule="auto"/>
              <w:jc w:val="both"/>
              <w:rPr>
                <w:rFonts w:eastAsiaTheme="minorEastAsia" w:hint="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in Round 1 and their tdoc,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xml:space="preserve">) can </w:t>
            </w:r>
            <w:r>
              <w:rPr>
                <w:rFonts w:eastAsiaTheme="minorEastAsia"/>
                <w:sz w:val="20"/>
                <w:szCs w:val="20"/>
                <w:lang w:eastAsia="ko-KR"/>
              </w:rPr>
              <w:t>separately</w:t>
            </w:r>
            <w:r>
              <w:rPr>
                <w:rFonts w:eastAsiaTheme="minorEastAsia"/>
                <w:sz w:val="20"/>
                <w:szCs w:val="20"/>
                <w:lang w:eastAsia="ko-KR"/>
              </w:rPr>
              <w:t xml:space="preserve"> indicate scheduling information?</w:t>
            </w:r>
          </w:p>
          <w:p w14:paraId="26F0B7B3" w14:textId="27CCF1EE" w:rsidR="00052B3E" w:rsidRPr="00052B3E" w:rsidRDefault="00052B3E" w:rsidP="00052B3E">
            <w:pPr>
              <w:spacing w:after="0" w:line="240" w:lineRule="auto"/>
              <w:rPr>
                <w:rFonts w:hint="eastAsia"/>
                <w:sz w:val="20"/>
                <w:szCs w:val="18"/>
                <w:lang w:val="en-GB" w:eastAsia="zh-CN"/>
              </w:rPr>
            </w:pPr>
            <w:r>
              <w:rPr>
                <w:sz w:val="20"/>
                <w:szCs w:val="18"/>
                <w:lang w:val="en-GB" w:eastAsia="zh-CN"/>
              </w:rPr>
              <w:t>If our understanding is wrong, it would be grateful for proponents to revise our saying.</w:t>
            </w:r>
          </w:p>
        </w:tc>
      </w:tr>
    </w:tbl>
    <w:p w14:paraId="6BFE8B69" w14:textId="77777777" w:rsidR="00950DDC" w:rsidRPr="00950DDC" w:rsidRDefault="00950DDC" w:rsidP="00950DDC">
      <w:pPr>
        <w:rPr>
          <w:lang w:val="en-GB" w:eastAsia="zh-CN"/>
        </w:rPr>
      </w:pPr>
    </w:p>
    <w:p w14:paraId="7DE408B5" w14:textId="77777777" w:rsidR="00313DF0" w:rsidRDefault="00B2305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lastRenderedPageBreak/>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BBB35" w14:textId="77777777" w:rsidR="00727CFF" w:rsidRDefault="00727CFF" w:rsidP="00663EF7">
      <w:pPr>
        <w:spacing w:after="0" w:line="240" w:lineRule="auto"/>
      </w:pPr>
      <w:r>
        <w:separator/>
      </w:r>
    </w:p>
  </w:endnote>
  <w:endnote w:type="continuationSeparator" w:id="0">
    <w:p w14:paraId="526226EC" w14:textId="77777777" w:rsidR="00727CFF" w:rsidRDefault="00727CFF"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921F" w14:textId="77777777" w:rsidR="00727CFF" w:rsidRDefault="00727CFF" w:rsidP="00663EF7">
      <w:pPr>
        <w:spacing w:after="0" w:line="240" w:lineRule="auto"/>
      </w:pPr>
      <w:r>
        <w:separator/>
      </w:r>
    </w:p>
  </w:footnote>
  <w:footnote w:type="continuationSeparator" w:id="0">
    <w:p w14:paraId="08C1A370" w14:textId="77777777" w:rsidR="00727CFF" w:rsidRDefault="00727CFF"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50538E"/>
    <w:multiLevelType w:val="hybridMultilevel"/>
    <w:tmpl w:val="10C8109C"/>
    <w:lvl w:ilvl="0" w:tplc="7706839E">
      <w:numFmt w:val="bullet"/>
      <w:lvlText w:val="-"/>
      <w:lvlJc w:val="left"/>
      <w:pPr>
        <w:ind w:left="420" w:hanging="420"/>
      </w:pPr>
      <w:rPr>
        <w:rFonts w:ascii="Arial" w:eastAsia="맑은 고딕" w:hAnsi="Arial" w:cs="Arial" w:hint="default"/>
      </w:rPr>
    </w:lvl>
    <w:lvl w:ilvl="1" w:tplc="7706839E">
      <w:numFmt w:val="bullet"/>
      <w:lvlText w:val="-"/>
      <w:lvlJc w:val="left"/>
      <w:pPr>
        <w:ind w:left="840" w:hanging="420"/>
      </w:pPr>
      <w:rPr>
        <w:rFonts w:ascii="Arial" w:eastAsia="맑은 고딕"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AA4FCA"/>
    <w:multiLevelType w:val="multilevel"/>
    <w:tmpl w:val="63AA4FCA"/>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8"/>
  </w:num>
  <w:num w:numId="5">
    <w:abstractNumId w:val="2"/>
  </w:num>
  <w:num w:numId="6">
    <w:abstractNumId w:val="5"/>
  </w:num>
  <w:num w:numId="7">
    <w:abstractNumId w:val="10"/>
  </w:num>
  <w:num w:numId="8">
    <w:abstractNumId w:val="6"/>
  </w:num>
  <w:num w:numId="9">
    <w:abstractNumId w:val="1"/>
  </w:num>
  <w:num w:numId="10">
    <w:abstractNumId w:val="0"/>
  </w:num>
  <w:num w:numId="11">
    <w:abstractNumId w:val="16"/>
  </w:num>
  <w:num w:numId="12">
    <w:abstractNumId w:val="11"/>
  </w:num>
  <w:num w:numId="13">
    <w:abstractNumId w:val="15"/>
  </w:num>
  <w:num w:numId="14">
    <w:abstractNumId w:val="12"/>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CAA"/>
    <w:rsid w:val="00913E18"/>
    <w:rsid w:val="00914B3E"/>
    <w:rsid w:val="009157B7"/>
    <w:rsid w:val="00915D20"/>
    <w:rsid w:val="00916F74"/>
    <w:rsid w:val="009201A1"/>
    <w:rsid w:val="00920A3E"/>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Char"/>
    <w:uiPriority w:val="9"/>
    <w:semiHidden/>
    <w:unhideWhenUsed/>
    <w:qFormat/>
    <w:pPr>
      <w:numPr>
        <w:ilvl w:val="3"/>
      </w:numPr>
      <w:outlineLvl w:val="3"/>
    </w:pPr>
    <w:rPr>
      <w:i/>
    </w:rPr>
  </w:style>
  <w:style w:type="paragraph" w:styleId="5">
    <w:name w:val="heading 5"/>
    <w:basedOn w:val="40"/>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10">
    <w:name w:val="toc 1"/>
    <w:basedOn w:val="a"/>
    <w:next w:val="a"/>
    <w:uiPriority w:val="39"/>
    <w:semiHidden/>
    <w:unhideWhenUsed/>
    <w:qFormat/>
    <w:pPr>
      <w:spacing w:after="100"/>
    </w:p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pPr>
      <w:spacing w:after="120" w:line="480" w:lineRule="auto"/>
    </w:pPr>
  </w:style>
  <w:style w:type="paragraph" w:styleId="ab">
    <w:name w:val="Normal (Web)"/>
    <w:basedOn w:val="a"/>
    <w:uiPriority w:val="99"/>
    <w:unhideWhenUsed/>
    <w:qFormat/>
    <w:pPr>
      <w:spacing w:before="100" w:beforeAutospacing="1" w:after="100" w:afterAutospacing="1" w:line="240" w:lineRule="auto"/>
    </w:pPr>
    <w:rPr>
      <w:rFonts w:ascii="굴림" w:eastAsia="굴림" w:hAnsi="굴림" w:cs="굴림"/>
      <w:sz w:val="24"/>
      <w:szCs w:val="24"/>
      <w:lang w:eastAsia="ko-KR"/>
    </w:rPr>
  </w:style>
  <w:style w:type="paragraph" w:styleId="ac">
    <w:name w:val="annotation subject"/>
    <w:basedOn w:val="a4"/>
    <w:next w:val="a4"/>
    <w:link w:val="Char5"/>
    <w:uiPriority w:val="99"/>
    <w:semiHidden/>
    <w:unhideWhenUsed/>
    <w:qFormat/>
    <w:rPr>
      <w:b/>
      <w:bCs/>
    </w:rPr>
  </w:style>
  <w:style w:type="table" w:styleId="ad">
    <w:name w:val="Table Grid"/>
    <w:basedOn w:val="a1"/>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qFormat/>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0"/>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c"/>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5"/>
    <w:pPr>
      <w:keepNext/>
      <w:widowControl/>
      <w:numPr>
        <w:numId w:val="8"/>
      </w:numPr>
      <w:spacing w:after="120"/>
      <w:ind w:left="357" w:hanging="357"/>
      <w:jc w:val="both"/>
    </w:pPr>
    <w:rPr>
      <w:rFonts w:eastAsia="바탕"/>
      <w:b/>
      <w:kern w:val="28"/>
      <w:sz w:val="24"/>
      <w:szCs w:val="20"/>
      <w:lang w:val="en-US" w:eastAsia="en-US"/>
    </w:rPr>
  </w:style>
  <w:style w:type="paragraph" w:customStyle="1" w:styleId="Reference">
    <w:name w:val="Reference"/>
    <w:basedOn w:val="a5"/>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Char0">
    <w:name w:val="본문 2 Char"/>
    <w:basedOn w:val="a0"/>
    <w:link w:val="20"/>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4F698-2BC6-4194-BB8A-B46FAF64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8290</Words>
  <Characters>47255</Characters>
  <Application>Microsoft Office Word</Application>
  <DocSecurity>0</DocSecurity>
  <Lines>393</Lines>
  <Paragraphs>110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Samsung</cp:lastModifiedBy>
  <cp:revision>6</cp:revision>
  <dcterms:created xsi:type="dcterms:W3CDTF">2022-02-23T02:16:00Z</dcterms:created>
  <dcterms:modified xsi:type="dcterms:W3CDTF">2022-02-23T03:01:00Z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