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Discussion Summary for mTRP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DengXian"/>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Paragraph"/>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bl>
    <w:p w14:paraId="74EA744B"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lastRenderedPageBreak/>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bl>
    <w:p w14:paraId="16E5B6FB" w14:textId="77777777" w:rsidR="00313DF0" w:rsidRDefault="00313DF0">
      <w:pPr>
        <w:jc w:val="both"/>
        <w:rPr>
          <w:lang w:val="en-GB" w:eastAsia="zh-CN"/>
        </w:rPr>
      </w:pPr>
    </w:p>
    <w:p w14:paraId="05A97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w:t>
      </w:r>
      <w:r>
        <w:rPr>
          <w:rFonts w:ascii="Times New Roman" w:hAnsi="Times New Roman" w:cs="Times New Roman"/>
          <w:strike/>
          <w:color w:val="FF0000"/>
          <w:sz w:val="20"/>
          <w:szCs w:val="20"/>
        </w:rPr>
        <w:lastRenderedPageBreak/>
        <w:t xml:space="preserve">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color w:val="000000"/>
          <w:sz w:val="20"/>
          <w:szCs w:val="20"/>
        </w:rPr>
        <w:lastRenderedPageBreak/>
        <w:t xml:space="preserve">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lastRenderedPageBreak/>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Huawei, HiSilicon: the current spec seems to be clear.</w:t>
            </w:r>
          </w:p>
          <w:p w14:paraId="5ADAFEA6" w14:textId="57895F53" w:rsidR="00D445DB" w:rsidRDefault="00AF4BFD">
            <w:pPr>
              <w:spacing w:after="120"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4C1AE4F8" w14:textId="00F8F387" w:rsidR="005C153F" w:rsidRPr="003A466A" w:rsidRDefault="005C153F">
            <w:pPr>
              <w:spacing w:after="120" w:line="240" w:lineRule="auto"/>
              <w:rPr>
                <w:rFonts w:eastAsia="SimSun"/>
                <w:sz w:val="18"/>
                <w:szCs w:val="18"/>
                <w:lang w:val="en-GB" w:eastAsia="zh-CN"/>
              </w:rPr>
            </w:pPr>
            <w:r>
              <w:rPr>
                <w:rFonts w:eastAsia="SimSun"/>
                <w:sz w:val="18"/>
                <w:szCs w:val="18"/>
                <w:lang w:val="en-GB" w:eastAsia="zh-CN"/>
              </w:rPr>
              <w:t>Futurewei: Seems not absolutely necessary.</w:t>
            </w: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lastRenderedPageBreak/>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r w:rsidRPr="003A466A">
              <w:rPr>
                <w:rFonts w:eastAsia="SimSun" w:hint="eastAsia"/>
                <w:sz w:val="18"/>
                <w:szCs w:val="18"/>
                <w:lang w:eastAsia="zh-CN"/>
              </w:rPr>
              <w:t>S</w:t>
            </w:r>
            <w:r w:rsidRPr="003A466A">
              <w:rPr>
                <w:rFonts w:eastAsia="SimSun"/>
                <w:sz w:val="18"/>
                <w:szCs w:val="18"/>
                <w:lang w:eastAsia="zh-CN"/>
              </w:rPr>
              <w:t>preadtrum: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Huawei, HiSilicon: We prefer to leave it to RAN2.</w:t>
            </w:r>
          </w:p>
          <w:p w14:paraId="4552154A" w14:textId="654A357B" w:rsidR="00D445DB" w:rsidRDefault="00AF4BFD">
            <w:pPr>
              <w:spacing w:after="120" w:line="240" w:lineRule="auto"/>
              <w:rPr>
                <w:rFonts w:eastAsia="SimSun"/>
                <w:sz w:val="18"/>
                <w:szCs w:val="18"/>
                <w:lang w:eastAsia="zh-CN"/>
              </w:rPr>
            </w:pPr>
            <w:r>
              <w:rPr>
                <w:rFonts w:eastAsia="SimSun"/>
                <w:sz w:val="18"/>
                <w:szCs w:val="18"/>
                <w:lang w:eastAsia="zh-CN"/>
              </w:rPr>
              <w:t xml:space="preserve">Nokia, NSB: RAN2 can discuss this without a LS. </w:t>
            </w:r>
          </w:p>
          <w:p w14:paraId="6AF2A5D8" w14:textId="33899C12" w:rsidR="000E20C2" w:rsidRPr="006628C4" w:rsidRDefault="000E20C2">
            <w:pPr>
              <w:spacing w:after="120" w:line="240" w:lineRule="auto"/>
              <w:rPr>
                <w:rFonts w:eastAsia="SimSun"/>
                <w:sz w:val="18"/>
                <w:szCs w:val="18"/>
                <w:lang w:eastAsia="zh-CN"/>
              </w:rPr>
            </w:pPr>
            <w:r>
              <w:rPr>
                <w:rFonts w:eastAsia="SimSun"/>
                <w:sz w:val="18"/>
                <w:szCs w:val="18"/>
                <w:lang w:eastAsia="zh-CN"/>
              </w:rPr>
              <w:t>Futurewei: Agree with the majority.</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HiSilicon: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6C20BE1F" w:rsidR="00A959ED" w:rsidRPr="006628C4" w:rsidRDefault="00A959ED">
            <w:pPr>
              <w:spacing w:after="120" w:line="240" w:lineRule="auto"/>
              <w:rPr>
                <w:sz w:val="18"/>
                <w:szCs w:val="18"/>
                <w:lang w:val="en-GB" w:eastAsia="zh-CN"/>
              </w:rPr>
            </w:pPr>
            <w:r>
              <w:rPr>
                <w:sz w:val="18"/>
                <w:szCs w:val="18"/>
                <w:lang w:val="en-GB" w:eastAsia="zh-CN"/>
              </w:rPr>
              <w:lastRenderedPageBreak/>
              <w:t>Futurewei: open for further discussion.</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w:t>
            </w:r>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7092657D" w14:textId="202EB95B" w:rsidR="00775FBF" w:rsidRPr="00146CB1" w:rsidRDefault="00775FBF">
            <w:pPr>
              <w:spacing w:after="120"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lastRenderedPageBreak/>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leGri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corresponds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w:t>
            </w:r>
            <w:r>
              <w:rPr>
                <w:rFonts w:eastAsia="SimSun"/>
                <w:sz w:val="18"/>
                <w:szCs w:val="18"/>
                <w:lang w:val="en-GB" w:eastAsia="zh-CN"/>
              </w:rPr>
              <w:t>c</w:t>
            </w:r>
            <w:r>
              <w:rPr>
                <w:rFonts w:eastAsia="SimSun" w:hint="eastAsia"/>
                <w:sz w:val="18"/>
                <w:szCs w:val="18"/>
                <w:lang w:val="en-GB" w:eastAsia="zh-CN"/>
              </w:rPr>
              <w:t xml:space="preserve">on: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511E8F8F" w:rsidR="00176EF1" w:rsidRPr="006628C4"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lastRenderedPageBreak/>
              <w:t>Huawei, HiSilicon: We support to further discuss it.</w:t>
            </w:r>
          </w:p>
          <w:p w14:paraId="175E1DAE" w14:textId="78063A27" w:rsidR="00D445DB" w:rsidRPr="006628C4"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Nokia, NSB : agree with FL.</w:t>
            </w:r>
          </w:p>
          <w:p w14:paraId="04BCC491" w14:textId="1C85E51E" w:rsidR="00313DF0" w:rsidRPr="006628C4" w:rsidRDefault="00FB583B">
            <w:pPr>
              <w:spacing w:after="120" w:line="240" w:lineRule="auto"/>
              <w:rPr>
                <w:sz w:val="18"/>
                <w:szCs w:val="18"/>
                <w:lang w:val="en-GB" w:eastAsia="zh-CN"/>
              </w:rPr>
            </w:pPr>
            <w:r>
              <w:rPr>
                <w:sz w:val="18"/>
                <w:szCs w:val="18"/>
                <w:lang w:val="en-GB" w:eastAsia="zh-CN"/>
              </w:rPr>
              <w:t>Futurewei: agree with the FL.</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Huawei, HiSilicon: Share similar view with Samsung.</w:t>
            </w:r>
          </w:p>
          <w:p w14:paraId="641E38B0" w14:textId="2BECF56F"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3C906FAD" w14:textId="68549934" w:rsidR="00BA6642" w:rsidRPr="006628C4" w:rsidRDefault="00BA6642">
            <w:pPr>
              <w:spacing w:after="120" w:line="240" w:lineRule="auto"/>
              <w:rPr>
                <w:rFonts w:eastAsia="SimSun"/>
                <w:sz w:val="18"/>
                <w:szCs w:val="18"/>
                <w:lang w:val="en-GB" w:eastAsia="zh-CN"/>
              </w:rPr>
            </w:pPr>
            <w:r>
              <w:rPr>
                <w:rFonts w:eastAsia="SimSun"/>
                <w:sz w:val="18"/>
                <w:szCs w:val="18"/>
                <w:lang w:val="en-GB" w:eastAsia="zh-CN"/>
              </w:rPr>
              <w:lastRenderedPageBreak/>
              <w:t>Futurewei: agree with Samsung.</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34E4" w14:textId="77777777" w:rsidR="00E839B5" w:rsidRDefault="00E839B5" w:rsidP="00663EF7">
      <w:pPr>
        <w:spacing w:after="0" w:line="240" w:lineRule="auto"/>
      </w:pPr>
      <w:r>
        <w:separator/>
      </w:r>
    </w:p>
  </w:endnote>
  <w:endnote w:type="continuationSeparator" w:id="0">
    <w:p w14:paraId="24D88857" w14:textId="77777777" w:rsidR="00E839B5" w:rsidRDefault="00E839B5"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D9C7" w14:textId="77777777" w:rsidR="00E839B5" w:rsidRDefault="00E839B5" w:rsidP="00663EF7">
      <w:pPr>
        <w:spacing w:after="0" w:line="240" w:lineRule="auto"/>
      </w:pPr>
      <w:r>
        <w:separator/>
      </w:r>
    </w:p>
  </w:footnote>
  <w:footnote w:type="continuationSeparator" w:id="0">
    <w:p w14:paraId="46896EEA" w14:textId="77777777" w:rsidR="00E839B5" w:rsidRDefault="00E839B5"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5FBF"/>
    <w:rsid w:val="00776335"/>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708"/>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2645"/>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A02D01-B50C-4DAB-A6E6-DFB630541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6855</Words>
  <Characters>39076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Mondal, Bishwarup</cp:lastModifiedBy>
  <cp:revision>4</cp:revision>
  <dcterms:created xsi:type="dcterms:W3CDTF">2022-02-21T23:51:00Z</dcterms:created>
  <dcterms:modified xsi:type="dcterms:W3CDTF">2022-02-22T07:24:00Z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