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lang w:val="de-DE"/>
        </w:rPr>
      </w:pPr>
      <w:bookmarkStart w:id="0" w:name="_Hlk37418177"/>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#108-e</w:t>
      </w:r>
      <w:r>
        <w:rPr>
          <w:bCs/>
          <w:sz w:val="24"/>
          <w:szCs w:val="24"/>
          <w:lang w:val="de-DE"/>
        </w:rPr>
        <w:fldChar w:fldCharType="end"/>
      </w:r>
      <w:r>
        <w:rPr>
          <w:lang w:val="de-DE"/>
        </w:rPr>
        <w:tab/>
      </w:r>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R1-220xxxx</w:t>
      </w:r>
      <w:r>
        <w:rPr>
          <w:bCs/>
          <w:sz w:val="24"/>
          <w:szCs w:val="24"/>
          <w:lang w:val="de-DE"/>
        </w:rPr>
        <w:fldChar w:fldCharType="end"/>
      </w:r>
    </w:p>
    <w:p>
      <w:pPr>
        <w:pStyle w:val="36"/>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February 21st - March 3rd, 2022</w:t>
      </w:r>
      <w:r>
        <w:rPr>
          <w:bCs/>
          <w:sz w:val="24"/>
          <w:szCs w:val="24"/>
        </w:rPr>
        <w:fldChar w:fldCharType="end"/>
      </w:r>
    </w:p>
    <w:bookmarkEnd w:id="0"/>
    <w:p>
      <w:pPr>
        <w:pStyle w:val="36"/>
        <w:rPr>
          <w:bCs/>
          <w:sz w:val="24"/>
          <w:lang w:val="en-GB" w:eastAsia="ja-JP"/>
        </w:rPr>
      </w:pPr>
    </w:p>
    <w:p>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tab/>
      </w:r>
      <w:r>
        <w:rPr>
          <w:rFonts w:ascii="Arial" w:hAnsi="Arial" w:cs="Arial"/>
          <w:b/>
          <w:bCs/>
          <w:sz w:val="24"/>
          <w:szCs w:val="24"/>
        </w:rPr>
        <w:t>Summary of [108-e-R16-V2X-07] Corrections on SL timing (R1-2202357)</w:t>
      </w:r>
    </w:p>
    <w:p>
      <w:pPr>
        <w:pStyle w:val="88"/>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7.2.4</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fldChar w:fldCharType="begin"/>
      </w:r>
      <w:r>
        <w:rPr>
          <w:rFonts w:ascii="Arial" w:hAnsi="Arial" w:cs="Arial"/>
          <w:b/>
          <w:bCs/>
          <w:sz w:val="24"/>
          <w:szCs w:val="24"/>
        </w:rPr>
        <w:instrText xml:space="preserve"> DOCPROPERTY  TdocFor  \* MERGEFORMAT </w:instrText>
      </w:r>
      <w:r>
        <w:rPr>
          <w:rFonts w:ascii="Arial" w:hAnsi="Arial" w:cs="Arial"/>
          <w:b/>
          <w:bCs/>
          <w:sz w:val="24"/>
          <w:szCs w:val="24"/>
        </w:rPr>
        <w:fldChar w:fldCharType="separate"/>
      </w:r>
      <w:r>
        <w:rPr>
          <w:rFonts w:ascii="Arial" w:hAnsi="Arial" w:cs="Arial"/>
          <w:b/>
          <w:bCs/>
          <w:sz w:val="24"/>
          <w:szCs w:val="24"/>
        </w:rPr>
        <w:t>Discussion and Decision</w:t>
      </w:r>
      <w:r>
        <w:rPr>
          <w:rFonts w:ascii="Arial" w:hAnsi="Arial" w:cs="Arial"/>
          <w:b/>
          <w:bCs/>
          <w:sz w:val="24"/>
          <w:szCs w:val="24"/>
        </w:rPr>
        <w:fldChar w:fldCharType="end"/>
      </w:r>
    </w:p>
    <w:p>
      <w:pPr>
        <w:pStyle w:val="2"/>
      </w:pPr>
      <w:r>
        <w:t>Introduction</w:t>
      </w:r>
    </w:p>
    <w:p>
      <w:pPr>
        <w:spacing w:after="120"/>
        <w:rPr>
          <w:rFonts w:ascii="Calibri" w:hAnsi="Calibri" w:eastAsia="ＭＳ 明朝" w:cs="Calibri"/>
          <w:szCs w:val="24"/>
        </w:rPr>
      </w:pPr>
      <w:bookmarkStart w:id="1" w:name="_Hlk510705081"/>
      <w:r>
        <w:rPr>
          <w:rFonts w:ascii="Calibri" w:hAnsi="Calibri" w:eastAsia="ＭＳ 明朝" w:cs="Calibri"/>
          <w:szCs w:val="24"/>
        </w:rPr>
        <w:t>The document is to collect companies’ views and provide a summary for the email discussion thread:</w:t>
      </w:r>
    </w:p>
    <w:p>
      <w:pPr>
        <w:spacing w:after="120"/>
        <w:rPr>
          <w:rFonts w:eastAsia="等线"/>
        </w:rPr>
      </w:pPr>
      <w:r>
        <w:rPr>
          <w:highlight w:val="cyan"/>
          <w:lang w:eastAsia="zh-CN"/>
        </w:rPr>
        <w:t>[108-e-R16-V2X-07] Corrections on SL timing; considering R1-2202357</w:t>
      </w:r>
      <w:r>
        <w:rPr>
          <w:lang w:eastAsia="zh-CN"/>
        </w:rPr>
        <w:t>.</w:t>
      </w:r>
    </w:p>
    <w:p>
      <w:pPr>
        <w:rPr>
          <w:rFonts w:eastAsia="等线"/>
        </w:rPr>
      </w:pPr>
    </w:p>
    <w:p>
      <w:pPr>
        <w:pStyle w:val="2"/>
      </w:pPr>
      <w:r>
        <w:t>Round#1 discussion</w:t>
      </w:r>
    </w:p>
    <w:p>
      <w:pPr>
        <w:pStyle w:val="3"/>
      </w:pPr>
      <w:r>
        <w:t>Editorial changes</w:t>
      </w:r>
    </w:p>
    <w:p>
      <w:pPr>
        <w:spacing w:before="120" w:beforeLines="50"/>
        <w:ind w:hanging="11"/>
        <w:rPr>
          <w:rFonts w:eastAsia="等线"/>
          <w:bCs/>
        </w:rPr>
      </w:pPr>
      <w:r>
        <w:rPr>
          <w:rFonts w:eastAsia="等线"/>
          <w:bCs/>
        </w:rPr>
        <w:t>In R1-2202357 it is proposed to add to the clause 2 of 38.211 the following references:</w:t>
      </w:r>
    </w:p>
    <w:p>
      <w:pPr>
        <w:keepLines/>
        <w:ind w:left="1702" w:hanging="1418"/>
        <w:rPr>
          <w:ins w:id="0" w:author="Lindholm, Jari (Nokia - FI/Espoo)" w:date="2022-02-10T10:32:00Z"/>
          <w:rFonts w:ascii="Times New Roman" w:hAnsi="Times New Roman" w:cs="Times New Roman"/>
          <w:sz w:val="20"/>
          <w:szCs w:val="20"/>
        </w:rPr>
      </w:pPr>
      <w:ins w:id="1" w:author="Lindholm, Jari (Nokia - FI/Espoo)" w:date="2022-02-10T10:32:00Z">
        <w:r>
          <w:rPr>
            <w:rFonts w:ascii="Times New Roman" w:hAnsi="Times New Roman" w:cs="Times New Roman"/>
            <w:sz w:val="20"/>
            <w:szCs w:val="20"/>
          </w:rPr>
          <w:t>[12]</w:t>
        </w:r>
      </w:ins>
      <w:ins w:id="2" w:author="Lindholm, Jari (Nokia - FI/Espoo)" w:date="2022-02-10T10:32:00Z">
        <w:r>
          <w:rPr>
            <w:rFonts w:ascii="Times New Roman" w:hAnsi="Times New Roman" w:cs="Times New Roman"/>
            <w:sz w:val="20"/>
            <w:szCs w:val="20"/>
          </w:rPr>
          <w:tab/>
        </w:r>
      </w:ins>
      <w:ins w:id="3" w:author="Lindholm, Jari (Nokia - FI/Espoo)" w:date="2022-02-10T10:32:00Z">
        <w:r>
          <w:rPr>
            <w:rFonts w:ascii="Times New Roman" w:hAnsi="Times New Roman" w:cs="Times New Roman"/>
            <w:sz w:val="20"/>
            <w:szCs w:val="20"/>
          </w:rPr>
          <w:t>3GPP TS 38.133: "NR; Requirements for support of radio resource management”</w:t>
        </w:r>
      </w:ins>
    </w:p>
    <w:p>
      <w:pPr>
        <w:keepLines/>
        <w:ind w:left="1702" w:hanging="1418"/>
        <w:rPr>
          <w:ins w:id="4" w:author="Lindholm, Jari (Nokia - FI/Espoo)" w:date="2022-02-10T10:32:00Z"/>
          <w:rFonts w:ascii="Times New Roman" w:hAnsi="Times New Roman" w:cs="Times New Roman"/>
          <w:sz w:val="20"/>
          <w:szCs w:val="20"/>
        </w:rPr>
      </w:pPr>
      <w:ins w:id="5" w:author="Lindholm, Jari (Nokia - FI/Espoo)" w:date="2022-02-10T10:32:00Z">
        <w:r>
          <w:rPr>
            <w:rFonts w:ascii="Times New Roman" w:hAnsi="Times New Roman" w:cs="Times New Roman"/>
            <w:sz w:val="20"/>
            <w:szCs w:val="20"/>
          </w:rPr>
          <w:t>[13]</w:t>
        </w:r>
      </w:ins>
      <w:ins w:id="6" w:author="Lindholm, Jari (Nokia - FI/Espoo)" w:date="2022-02-10T10:32:00Z">
        <w:r>
          <w:rPr>
            <w:rFonts w:ascii="Times New Roman" w:hAnsi="Times New Roman" w:cs="Times New Roman"/>
            <w:sz w:val="20"/>
            <w:szCs w:val="20"/>
          </w:rPr>
          <w:tab/>
        </w:r>
      </w:ins>
      <w:ins w:id="7" w:author="Lindholm, Jari (Nokia - FI/Espoo)" w:date="2022-02-10T10:32:00Z">
        <w:r>
          <w:rPr>
            <w:rFonts w:ascii="Times New Roman" w:hAnsi="Times New Roman" w:cs="Times New Roman"/>
            <w:sz w:val="20"/>
            <w:szCs w:val="20"/>
          </w:rPr>
          <w:t>3GPP TS 38.304: “NR; User Equipment (UE) procedures in Idle mode and RRC Inactive state”</w:t>
        </w:r>
      </w:ins>
    </w:p>
    <w:p>
      <w:pPr>
        <w:spacing w:before="120" w:beforeLines="50"/>
        <w:ind w:hanging="11"/>
        <w:rPr>
          <w:rFonts w:eastAsia="等线"/>
          <w:bCs/>
        </w:rPr>
      </w:pPr>
      <w:r>
        <w:rPr>
          <w:rFonts w:eastAsia="等线"/>
          <w:bCs/>
        </w:rPr>
        <w:t>Also, it is proposed the add serial numbers to the references in the text i.e.</w:t>
      </w:r>
    </w:p>
    <w:p>
      <w:pPr>
        <w:spacing w:before="120" w:beforeLines="50"/>
        <w:ind w:hanging="11"/>
        <w:rPr>
          <w:rFonts w:ascii="Times New Roman" w:hAnsi="Times New Roman" w:eastAsia="等线" w:cs="Times New Roman"/>
          <w:bCs/>
          <w:sz w:val="20"/>
          <w:szCs w:val="20"/>
        </w:rPr>
      </w:pPr>
      <w:r>
        <w:rPr>
          <w:rFonts w:eastAsia="等线"/>
          <w:bCs/>
        </w:rPr>
        <w:t xml:space="preserve"> </w:t>
      </w:r>
      <w:r>
        <w:rPr>
          <w:rFonts w:ascii="Times New Roman" w:hAnsi="Times New Roman" w:cs="Times New Roman"/>
          <w:sz w:val="20"/>
          <w:szCs w:val="20"/>
        </w:rPr>
        <w:t>[</w:t>
      </w:r>
      <w:ins w:id="8" w:author="Lindholm, Jari (Nokia - FI/Espoo)" w:date="2022-02-10T10:58:00Z">
        <w:r>
          <w:rPr>
            <w:rFonts w:ascii="Times New Roman" w:hAnsi="Times New Roman" w:cs="Times New Roman"/>
            <w:sz w:val="20"/>
            <w:szCs w:val="20"/>
          </w:rPr>
          <w:t xml:space="preserve">12, </w:t>
        </w:r>
      </w:ins>
      <w:r>
        <w:rPr>
          <w:rFonts w:ascii="Times New Roman" w:hAnsi="Times New Roman" w:cs="Times New Roman"/>
          <w:sz w:val="20"/>
          <w:szCs w:val="20"/>
        </w:rPr>
        <w:t>TS 38.133] and [</w:t>
      </w:r>
      <w:ins w:id="9" w:author="Lindholm, Jari (Nokia - FI/Espoo)" w:date="2022-02-10T10:58:00Z">
        <w:r>
          <w:rPr>
            <w:rFonts w:ascii="Times New Roman" w:hAnsi="Times New Roman" w:cs="Times New Roman"/>
            <w:sz w:val="20"/>
            <w:szCs w:val="20"/>
          </w:rPr>
          <w:t xml:space="preserve">13, </w:t>
        </w:r>
      </w:ins>
      <w:r>
        <w:rPr>
          <w:rFonts w:ascii="Times New Roman" w:hAnsi="Times New Roman" w:cs="Times New Roman"/>
          <w:sz w:val="20"/>
          <w:szCs w:val="20"/>
        </w:rPr>
        <w:t xml:space="preserve">TS 38.304] </w:t>
      </w:r>
      <w:r>
        <w:rPr>
          <w:rFonts w:ascii="Times New Roman" w:hAnsi="Times New Roman" w:eastAsia="等线" w:cs="Times New Roman"/>
          <w:bCs/>
          <w:sz w:val="20"/>
          <w:szCs w:val="20"/>
        </w:rPr>
        <w:t xml:space="preserve"> </w:t>
      </w:r>
    </w:p>
    <w:p>
      <w:pPr>
        <w:spacing w:before="120" w:beforeLines="50"/>
        <w:ind w:hanging="11"/>
        <w:rPr>
          <w:rFonts w:eastAsia="等线"/>
          <w:bCs/>
        </w:rPr>
      </w:pPr>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Question 1: Do you agree that the changes should be adopted? If no, please provide the reasons and suggestions,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Intel</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Agree, subject to resolution of Q2 and Q3 which use these 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Qualcomm</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eastAsia="Malgun Gothic"/>
                <w:sz w:val="24"/>
                <w:szCs w:val="24"/>
              </w:rPr>
              <w:t>Samsung</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Agree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sz w:val="24"/>
                <w:szCs w:val="24"/>
              </w:rPr>
              <w:t>O</w:t>
            </w:r>
            <w:r>
              <w:rPr>
                <w:sz w:val="24"/>
                <w:szCs w:val="24"/>
              </w:rPr>
              <w:t>PPO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ascii="Calibri" w:hAnsi="Calibri" w:cs="Calibri"/>
              </w:rPr>
              <w:t>LG Electronics</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Calibri" w:hAnsi="Calibri" w:eastAsia="Malgun Gothic" w:cs="Calibri"/>
              </w:rPr>
              <w:t>See our comments in Q 2/3 (i.e., no changes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ascii="Calibri" w:hAnsi="Calibri" w:cs="Calibri"/>
              </w:rPr>
              <w:t>S</w:t>
            </w:r>
            <w:r>
              <w:rPr>
                <w:rFonts w:ascii="Calibri" w:hAnsi="Calibri" w:cs="Calibri"/>
              </w:rPr>
              <w:t>harp</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Calibri" w:hAnsi="Calibri" w:cs="Calibri"/>
              </w:rPr>
              <w:t>A</w:t>
            </w:r>
            <w:r>
              <w:rPr>
                <w:rFonts w:ascii="Calibri" w:hAnsi="Calibri" w:cs="Calibri"/>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sz w:val="24"/>
                <w:szCs w:val="24"/>
              </w:rPr>
              <w:t>Ericsson</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ascii="Calibri" w:hAnsi="Calibri" w:cs="Calibri"/>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sz w:val="24"/>
                <w:szCs w:val="24"/>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ascii="Calibri" w:hAnsi="Calibri" w:cs="Calibri"/>
              </w:rPr>
              <w:t>C</w:t>
            </w:r>
            <w:r>
              <w:rPr>
                <w:rFonts w:ascii="Calibri" w:hAnsi="Calibri" w:cs="Calibri"/>
              </w:rPr>
              <w:t>ATT, GOHIGH</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sz w:val="24"/>
                <w:szCs w:val="24"/>
              </w:rPr>
              <w:t>A</w:t>
            </w:r>
            <w:r>
              <w:rPr>
                <w:sz w:val="24"/>
                <w:szCs w:val="24"/>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sz w:val="24"/>
                <w:szCs w:val="24"/>
              </w:rPr>
              <w:t>Huawei, HiSilicon</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Agree</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sz w:val="24"/>
                <w:szCs w:val="24"/>
              </w:rPr>
              <w:t>NEC</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sz w:val="24"/>
                <w:szCs w:val="24"/>
              </w:rPr>
              <w:t>A</w:t>
            </w:r>
            <w:r>
              <w:rPr>
                <w:sz w:val="24"/>
                <w:szCs w:val="24"/>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sz w:val="24"/>
                <w:szCs w:val="24"/>
              </w:rPr>
              <w:t>Nokia, Nokia Shanghai Bell</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Agree</w:t>
            </w:r>
          </w:p>
        </w:tc>
      </w:tr>
    </w:tbl>
    <w:p>
      <w:pPr>
        <w:spacing w:before="120" w:beforeLines="50"/>
        <w:ind w:hanging="11"/>
        <w:rPr>
          <w:rFonts w:eastAsia="等线"/>
          <w:bCs/>
        </w:rPr>
      </w:pPr>
    </w:p>
    <w:p>
      <w:pPr>
        <w:pStyle w:val="3"/>
      </w:pPr>
      <w:r>
        <w:t>Timing offset in the serving cell</w:t>
      </w:r>
    </w:p>
    <w:p>
      <w:pPr>
        <w:spacing w:before="120" w:beforeLines="50"/>
        <w:rPr>
          <w:rFonts w:eastAsia="等线"/>
          <w:bCs/>
        </w:rPr>
      </w:pPr>
      <w:r>
        <w:rPr>
          <w:rFonts w:eastAsia="等线"/>
          <w:bCs/>
        </w:rPr>
        <w:t>The draft CR proposes the following changes:</w:t>
      </w:r>
    </w:p>
    <w:p>
      <w:pPr>
        <w:rPr>
          <w:rFonts w:ascii="Times New Roman" w:hAnsi="Times New Roman" w:cs="Times New Roman"/>
          <w:sz w:val="20"/>
          <w:szCs w:val="20"/>
        </w:rPr>
      </w:pPr>
      <w:r>
        <w:rPr>
          <w:rFonts w:ascii="Times New Roman" w:hAnsi="Times New Roman" w:cs="Times New Roman"/>
          <w:sz w:val="20"/>
          <w:szCs w:val="20"/>
        </w:rPr>
        <w:t>I</w:t>
      </w:r>
      <w:del w:id="10" w:author="Lindholm, Jari (Nokia - FI/Espoo)" w:date="2022-02-14T11:51:00Z">
        <w:r>
          <w:rPr>
            <w:rFonts w:ascii="Times New Roman" w:hAnsi="Times New Roman" w:cs="Times New Roman"/>
            <w:sz w:val="20"/>
            <w:szCs w:val="20"/>
          </w:rPr>
          <w:delText>f the UE has</w:delText>
        </w:r>
      </w:del>
      <w:ins w:id="11" w:author="Lindholm, Jari (Nokia - FI/Espoo)" w:date="2022-02-14T11:51:00Z">
        <w:r>
          <w:rPr>
            <w:rFonts w:ascii="Times New Roman" w:hAnsi="Times New Roman" w:cs="Times New Roman"/>
            <w:sz w:val="20"/>
            <w:szCs w:val="20"/>
          </w:rPr>
          <w:t>n</w:t>
        </w:r>
      </w:ins>
      <w:r>
        <w:rPr>
          <w:rFonts w:ascii="Times New Roman" w:hAnsi="Times New Roman" w:cs="Times New Roman"/>
          <w:sz w:val="20"/>
          <w:szCs w:val="20"/>
        </w:rPr>
        <w:t xml:space="preserve"> a serving cell fulfilling the S criterion according to clause 8.2 of [</w:t>
      </w:r>
      <w:ins w:id="12" w:author="Lindholm, Jari (Nokia - FI/Espoo)" w:date="2022-02-10T10:58:00Z">
        <w:r>
          <w:rPr>
            <w:rFonts w:ascii="Times New Roman" w:hAnsi="Times New Roman" w:cs="Times New Roman"/>
            <w:sz w:val="20"/>
            <w:szCs w:val="20"/>
          </w:rPr>
          <w:t xml:space="preserve">13, </w:t>
        </w:r>
      </w:ins>
      <w:r>
        <w:rPr>
          <w:rFonts w:ascii="Times New Roman" w:hAnsi="Times New Roman" w:cs="Times New Roman"/>
          <w:sz w:val="20"/>
          <w:szCs w:val="20"/>
        </w:rPr>
        <w:t>TS 38.304]</w:t>
      </w:r>
    </w:p>
    <w:p>
      <w:pPr>
        <w:ind w:left="568" w:hanging="284"/>
        <w:rPr>
          <w:rFonts w:ascii="Times New Roman" w:hAnsi="Times New Roman" w:eastAsia="Calibri" w:cs="Times New Roman"/>
          <w:sz w:val="20"/>
          <w:szCs w:val="20"/>
        </w:rPr>
      </w:pPr>
      <w:r>
        <w:rPr>
          <w:rFonts w:ascii="Times New Roman" w:hAnsi="Times New Roman" w:eastAsia="Calibri" w:cs="Times New Roman"/>
          <w:sz w:val="20"/>
          <w:szCs w:val="20"/>
        </w:rPr>
        <w:t>-</w:t>
      </w:r>
      <w:r>
        <w:rPr>
          <w:rFonts w:ascii="Times New Roman" w:hAnsi="Times New Roman" w:eastAsia="Calibri" w:cs="Times New Roman"/>
          <w:sz w:val="20"/>
          <w:szCs w:val="20"/>
        </w:rPr>
        <w:tab/>
      </w:r>
      <w:r>
        <w:rPr>
          <w:rFonts w:ascii="Times New Roman" w:hAnsi="Times New Roman" w:eastAsia="Calibri" w:cs="Times New Roman"/>
          <w:sz w:val="20"/>
          <w:szCs w:val="20"/>
        </w:rPr>
        <w:t xml:space="preserve">The timing of reference radio frame </w:t>
      </w:r>
      <m:oMath>
        <m:r>
          <w:rPr>
            <w:rFonts w:ascii="Cambria Math" w:hAnsi="Cambria Math" w:eastAsia="Calibri" w:cs="Times New Roman"/>
            <w:sz w:val="20"/>
            <w:szCs w:val="20"/>
          </w:rPr>
          <m:t>i</m:t>
        </m:r>
      </m:oMath>
      <w:r>
        <w:rPr>
          <w:rFonts w:ascii="Times New Roman" w:hAnsi="Times New Roman" w:eastAsia="Calibri" w:cs="Times New Roman"/>
          <w:sz w:val="20"/>
          <w:szCs w:val="20"/>
        </w:rPr>
        <w:t xml:space="preserve"> equals that of downlink radio frame </w:t>
      </w:r>
      <m:oMath>
        <m:r>
          <w:rPr>
            <w:rFonts w:ascii="Cambria Math" w:hAnsi="Cambria Math" w:eastAsia="Calibri" w:cs="Times New Roman"/>
            <w:sz w:val="20"/>
            <w:szCs w:val="20"/>
          </w:rPr>
          <m:t>i</m:t>
        </m:r>
      </m:oMath>
      <w:r>
        <w:rPr>
          <w:rFonts w:ascii="Times New Roman" w:hAnsi="Times New Roman" w:eastAsia="Calibri" w:cs="Times New Roman"/>
          <w:sz w:val="20"/>
          <w:szCs w:val="20"/>
        </w:rPr>
        <w:t xml:space="preserve"> in the cell with the same uplink carrier frequency as the sidelink and</w:t>
      </w:r>
    </w:p>
    <w:p>
      <w:pPr>
        <w:ind w:left="568" w:hanging="284"/>
        <w:rPr>
          <w:rFonts w:ascii="Times New Roman" w:hAnsi="Times New Roman" w:eastAsia="Calibri" w:cs="Times New Roman"/>
          <w:sz w:val="20"/>
          <w:szCs w:val="20"/>
        </w:rPr>
      </w:pPr>
      <w:r>
        <w:rPr>
          <w:rFonts w:ascii="Times New Roman" w:hAnsi="Times New Roman" w:eastAsia="Calibri" w:cs="Times New Roman"/>
          <w:sz w:val="20"/>
          <w:szCs w:val="20"/>
        </w:rPr>
        <w:t>-</w:t>
      </w:r>
      <w:r>
        <w:rPr>
          <w:rFonts w:ascii="Times New Roman" w:hAnsi="Times New Roman" w:eastAsia="Calibri" w:cs="Times New Roman"/>
          <w:sz w:val="20"/>
          <w:szCs w:val="20"/>
        </w:rPr>
        <w:tab/>
      </w:r>
      <m:oMath>
        <m:sSub>
          <m:sSubPr>
            <m:ctrlPr>
              <w:rPr>
                <w:rFonts w:ascii="Cambria Math" w:hAnsi="Cambria Math" w:eastAsia="宋体" w:cs="Times New Roman"/>
                <w:sz w:val="20"/>
                <w:szCs w:val="20"/>
              </w:rPr>
            </m:ctrlPr>
          </m:sSubPr>
          <m:e>
            <m:r>
              <w:rPr>
                <w:rFonts w:ascii="Cambria Math" w:hAnsi="Cambria Math" w:eastAsia="Calibri" w:cs="Times New Roman"/>
                <w:sz w:val="20"/>
                <w:szCs w:val="20"/>
              </w:rPr>
              <m:t>N</m:t>
            </m:r>
            <m:ctrlPr>
              <w:rPr>
                <w:rFonts w:ascii="Cambria Math" w:hAnsi="Cambria Math" w:eastAsia="宋体" w:cs="Times New Roman"/>
                <w:sz w:val="20"/>
                <w:szCs w:val="20"/>
              </w:rPr>
            </m:ctrlPr>
          </m:e>
          <m:sub>
            <m:r>
              <m:rPr>
                <m:sty m:val="p"/>
              </m:rPr>
              <w:rPr>
                <w:rFonts w:ascii="Cambria Math" w:hAnsi="Cambria Math" w:eastAsia="Calibri" w:cs="Times New Roman"/>
                <w:sz w:val="20"/>
                <w:szCs w:val="20"/>
              </w:rPr>
              <m:t>TA,offset</m:t>
            </m:r>
            <m:ctrlPr>
              <w:rPr>
                <w:rFonts w:ascii="Cambria Math" w:hAnsi="Cambria Math" w:eastAsia="宋体" w:cs="Times New Roman"/>
                <w:sz w:val="20"/>
                <w:szCs w:val="20"/>
              </w:rPr>
            </m:ctrlPr>
          </m:sub>
        </m:sSub>
      </m:oMath>
      <w:r>
        <w:rPr>
          <w:rFonts w:ascii="Times New Roman" w:hAnsi="Times New Roman" w:eastAsia="Calibri" w:cs="Times New Roman"/>
          <w:sz w:val="20"/>
          <w:szCs w:val="20"/>
        </w:rPr>
        <w:t xml:space="preserve"> is given by clause </w:t>
      </w:r>
      <w:del w:id="13" w:author="Lindholm, Jari (Nokia - FI/Espoo)" w:date="2022-02-10T11:00:00Z">
        <w:r>
          <w:rPr>
            <w:rFonts w:ascii="Times New Roman" w:hAnsi="Times New Roman" w:eastAsia="Calibri" w:cs="Times New Roman"/>
            <w:sz w:val="20"/>
            <w:szCs w:val="20"/>
          </w:rPr>
          <w:delText>4.3.1</w:delText>
        </w:r>
      </w:del>
      <w:ins w:id="14" w:author="Lindholm, Jari (Nokia - FI/Espoo)" w:date="2022-02-10T11:00:00Z">
        <w:r>
          <w:rPr>
            <w:rFonts w:ascii="Times New Roman" w:hAnsi="Times New Roman" w:eastAsia="Calibri" w:cs="Times New Roman"/>
            <w:sz w:val="20"/>
            <w:szCs w:val="20"/>
          </w:rPr>
          <w:t>7.1.2</w:t>
        </w:r>
      </w:ins>
      <w:r>
        <w:rPr>
          <w:rFonts w:ascii="Times New Roman" w:hAnsi="Times New Roman" w:eastAsia="Calibri" w:cs="Times New Roman"/>
          <w:sz w:val="20"/>
          <w:szCs w:val="20"/>
        </w:rPr>
        <w:t xml:space="preserve"> of [</w:t>
      </w:r>
      <w:ins w:id="15" w:author="Lindholm, Jari (Nokia - FI/Espoo)" w:date="2022-02-10T11:00:00Z">
        <w:r>
          <w:rPr>
            <w:rFonts w:ascii="Times New Roman" w:hAnsi="Times New Roman" w:eastAsia="Calibri" w:cs="Times New Roman"/>
            <w:sz w:val="20"/>
            <w:szCs w:val="20"/>
          </w:rPr>
          <w:t xml:space="preserve">12, </w:t>
        </w:r>
      </w:ins>
      <w:r>
        <w:rPr>
          <w:rFonts w:ascii="Times New Roman" w:hAnsi="Times New Roman" w:eastAsia="Calibri" w:cs="Times New Roman"/>
          <w:sz w:val="20"/>
          <w:szCs w:val="20"/>
        </w:rPr>
        <w:t>TS 38.</w:t>
      </w:r>
      <w:del w:id="16" w:author="Lindholm, Jari (Nokia - FI/Espoo)" w:date="2022-02-10T11:00:00Z">
        <w:r>
          <w:rPr>
            <w:rFonts w:ascii="Times New Roman" w:hAnsi="Times New Roman" w:eastAsia="Calibri" w:cs="Times New Roman"/>
            <w:sz w:val="20"/>
            <w:szCs w:val="20"/>
          </w:rPr>
          <w:delText>211</w:delText>
        </w:r>
      </w:del>
      <w:ins w:id="17" w:author="Lindholm, Jari (Nokia - FI/Espoo)" w:date="2022-02-10T11:00:00Z">
        <w:r>
          <w:rPr>
            <w:rFonts w:ascii="Times New Roman" w:hAnsi="Times New Roman" w:eastAsia="Calibri" w:cs="Times New Roman"/>
            <w:sz w:val="20"/>
            <w:szCs w:val="20"/>
          </w:rPr>
          <w:t>133</w:t>
        </w:r>
      </w:ins>
      <w:r>
        <w:rPr>
          <w:rFonts w:ascii="Times New Roman" w:hAnsi="Times New Roman" w:eastAsia="Calibri" w:cs="Times New Roman"/>
          <w:sz w:val="20"/>
          <w:szCs w:val="20"/>
        </w:rPr>
        <w:t>]</w:t>
      </w:r>
      <w:ins w:id="18" w:author="Lindholm, Jari (Nokia - FI/Espoo)" w:date="2022-02-10T11:01:00Z">
        <w:r>
          <w:rPr>
            <w:rFonts w:ascii="Times New Roman" w:hAnsi="Times New Roman" w:eastAsia="Calibri" w:cs="Times New Roman"/>
            <w:sz w:val="20"/>
            <w:szCs w:val="20"/>
          </w:rPr>
          <w:t xml:space="preserve"> </w:t>
        </w:r>
      </w:ins>
      <w:r>
        <w:rPr>
          <w:rFonts w:ascii="Times New Roman" w:hAnsi="Times New Roman" w:eastAsia="Calibri" w:cs="Times New Roman"/>
          <w:sz w:val="20"/>
          <w:szCs w:val="20"/>
        </w:rPr>
        <w:t>,</w:t>
      </w:r>
    </w:p>
    <w:p>
      <w:pPr>
        <w:spacing w:before="120" w:beforeLines="50"/>
        <w:rPr>
          <w:rFonts w:eastAsia="等线"/>
          <w:bCs/>
        </w:rPr>
      </w:pPr>
    </w:p>
    <w:p>
      <w:pPr>
        <w:spacing w:before="120" w:beforeLines="50"/>
        <w:rPr>
          <w:rFonts w:eastAsia="等线"/>
          <w:bCs/>
        </w:rPr>
      </w:pPr>
    </w:p>
    <w:p>
      <w:pPr>
        <w:spacing w:before="120" w:beforeLines="50"/>
        <w:rPr>
          <w:rFonts w:eastAsia="等线"/>
          <w:bCs/>
        </w:rPr>
      </w:pPr>
      <w:r>
        <w:rPr>
          <w:rFonts w:eastAsia="等线"/>
          <w:bCs/>
        </w:rPr>
        <w:t>The first change (</w:t>
      </w:r>
      <w:r>
        <w:t>I</w:t>
      </w:r>
      <w:del w:id="19" w:author="Lindholm, Jari (Nokia - FI/Espoo)" w:date="2022-02-14T11:51:00Z">
        <w:r>
          <w:rPr/>
          <w:delText>f the UE has</w:delText>
        </w:r>
      </w:del>
      <w:ins w:id="20" w:author="Lindholm, Jari (Nokia - FI/Espoo)" w:date="2022-02-14T11:51:00Z">
        <w:r>
          <w:rPr/>
          <w:t>n</w:t>
        </w:r>
      </w:ins>
      <w:r>
        <w:t xml:space="preserve"> a serving cell fulfilling the S criterion …) is intended to clarify that the </w:t>
      </w:r>
      <w:r>
        <w:rPr>
          <w:i/>
          <w:iCs/>
        </w:rPr>
        <w:t>N</w:t>
      </w:r>
      <w:r>
        <w:rPr>
          <w:i/>
          <w:iCs/>
          <w:vertAlign w:val="subscript"/>
        </w:rPr>
        <w:t>TA,offset</w:t>
      </w:r>
      <w:r>
        <w:rPr>
          <w:rFonts w:eastAsia="等线"/>
          <w:bCs/>
        </w:rPr>
        <w:t xml:space="preserve"> value specified for UL transmissions is only applicable in the case when SL transmission takes place in the UL carrier. If UE has a serving cell fulfilling S criterion but SL transmissions take place in the dedicated SL carrier, then </w:t>
      </w:r>
      <w:r>
        <w:rPr>
          <w:i/>
          <w:iCs/>
        </w:rPr>
        <w:t>N</w:t>
      </w:r>
      <w:r>
        <w:rPr>
          <w:i/>
          <w:iCs/>
          <w:vertAlign w:val="subscript"/>
        </w:rPr>
        <w:t>TA,offset</w:t>
      </w:r>
      <w:r>
        <w:rPr>
          <w:rFonts w:eastAsia="等线"/>
          <w:bCs/>
        </w:rPr>
        <w:t xml:space="preserve"> = 0 as specified in “Otherwise” section.</w:t>
      </w:r>
    </w:p>
    <w:p>
      <w:pPr>
        <w:spacing w:before="120" w:beforeLines="50"/>
        <w:rPr>
          <w:rFonts w:eastAsia="等线"/>
          <w:bCs/>
        </w:rPr>
      </w:pPr>
      <w:r>
        <w:rPr>
          <w:rFonts w:eastAsia="等线"/>
          <w:bCs/>
        </w:rPr>
        <w:t xml:space="preserve">The second change proposes to refer to UL timing clause of 38.133 instead of 38.211 to obtain </w:t>
      </w:r>
      <w:r>
        <w:rPr>
          <w:i/>
          <w:iCs/>
        </w:rPr>
        <w:t>N</w:t>
      </w:r>
      <w:r>
        <w:rPr>
          <w:i/>
          <w:iCs/>
          <w:vertAlign w:val="subscript"/>
        </w:rPr>
        <w:t>TA,offset</w:t>
      </w:r>
      <w:r>
        <w:rPr>
          <w:rFonts w:eastAsia="等线"/>
          <w:bCs/>
        </w:rPr>
        <w:t xml:space="preserve"> values. (In LTE, 36.211 included </w:t>
      </w:r>
      <w:r>
        <w:rPr>
          <w:i/>
          <w:iCs/>
        </w:rPr>
        <w:t>N</w:t>
      </w:r>
      <w:r>
        <w:rPr>
          <w:i/>
          <w:iCs/>
          <w:vertAlign w:val="subscript"/>
        </w:rPr>
        <w:t>TA,offset</w:t>
      </w:r>
      <w:r>
        <w:rPr>
          <w:rFonts w:eastAsia="等线"/>
          <w:bCs/>
        </w:rPr>
        <w:t xml:space="preserve"> values but in NR specifications values are given in 38.133).</w:t>
      </w:r>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Question 2: Do you agree that the changes should be adopted? If no, please provide the reasons and suggestions,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Intel</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Agree. In our understanding, there are cases when a UE has a serving cell, but uses ITS spectrum, which are not covered by current spec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Qualcomm</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We agree with the first change “</w:t>
            </w:r>
            <w:r>
              <w:rPr>
                <w:rFonts w:cs="Times New Roman"/>
                <w:szCs w:val="20"/>
              </w:rPr>
              <w:t>I</w:t>
            </w:r>
            <w:del w:id="21" w:author="Lindholm, Jari (Nokia - FI/Espoo)" w:date="2022-02-14T11:51:00Z">
              <w:r>
                <w:rPr>
                  <w:rFonts w:cs="Times New Roman"/>
                  <w:szCs w:val="20"/>
                </w:rPr>
                <w:delText>f the UE has</w:delText>
              </w:r>
            </w:del>
            <w:ins w:id="22" w:author="Lindholm, Jari (Nokia - FI/Espoo)" w:date="2022-02-14T11:51:00Z">
              <w:r>
                <w:rPr>
                  <w:rFonts w:cs="Times New Roman"/>
                  <w:szCs w:val="20"/>
                </w:rPr>
                <w:t>n</w:t>
              </w:r>
            </w:ins>
            <w:r>
              <w:rPr>
                <w:rFonts w:cs="Times New Roman"/>
                <w:szCs w:val="20"/>
              </w:rPr>
              <w:t xml:space="preserve"> a serving cell fulfilling the S criterion according to clause 8.2 of [</w:t>
            </w:r>
            <w:ins w:id="23" w:author="Lindholm, Jari (Nokia - FI/Espoo)" w:date="2022-02-10T10:58:00Z">
              <w:r>
                <w:rPr>
                  <w:rFonts w:cs="Times New Roman"/>
                  <w:szCs w:val="20"/>
                </w:rPr>
                <w:t xml:space="preserve">13, </w:t>
              </w:r>
            </w:ins>
            <w:r>
              <w:rPr>
                <w:rFonts w:cs="Times New Roman"/>
                <w:szCs w:val="20"/>
              </w:rPr>
              <w:t>TS 38.304]</w:t>
            </w:r>
            <w:r>
              <w:rPr>
                <w:sz w:val="24"/>
                <w:szCs w:val="24"/>
              </w:rPr>
              <w:t xml:space="preserve">” </w:t>
            </w:r>
          </w:p>
          <w:p>
            <w:pPr>
              <w:rPr>
                <w:rFonts w:ascii="Times New Roman" w:hAnsi="Times New Roman"/>
                <w:sz w:val="24"/>
                <w:szCs w:val="24"/>
              </w:rPr>
            </w:pPr>
            <w:r>
              <w:rPr>
                <w:sz w:val="24"/>
                <w:szCs w:val="24"/>
              </w:rPr>
              <w:t xml:space="preserve">We don’t think the second change is necessary. Existing specification was clear in that it referred to 38.211 </w:t>
            </w:r>
            <w:r>
              <w:rPr>
                <w:sz w:val="24"/>
                <w:szCs w:val="24"/>
              </w:rPr>
              <w:sym w:font="Wingdings" w:char="F0E0"/>
            </w:r>
            <w:r>
              <w:rPr>
                <w:sz w:val="24"/>
                <w:szCs w:val="24"/>
              </w:rPr>
              <w:t xml:space="preserve"> 38.213 (where the RRC parameter was noted) </w:t>
            </w:r>
            <w:r>
              <w:rPr>
                <w:sz w:val="24"/>
                <w:szCs w:val="24"/>
              </w:rPr>
              <w:sym w:font="Wingdings" w:char="F0E0"/>
            </w:r>
            <w:r>
              <w:rPr>
                <w:sz w:val="24"/>
                <w:szCs w:val="24"/>
              </w:rPr>
              <w:t xml:space="preserve"> 38.133 (when RRC parameter is not configured). With the change, the reference becomes 38.133 then based on the note in the table (when RRC parameter is configured) </w:t>
            </w:r>
            <w:r>
              <w:rPr>
                <w:sz w:val="24"/>
                <w:szCs w:val="24"/>
              </w:rPr>
              <w:sym w:font="Wingdings" w:char="F0E0"/>
            </w:r>
            <w:r>
              <w:rPr>
                <w:sz w:val="24"/>
                <w:szCs w:val="24"/>
              </w:rPr>
              <w:t xml:space="preserve"> 38.213 (where the RRC parameter was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eastAsia="Malgun Gothic"/>
                <w:sz w:val="24"/>
                <w:szCs w:val="24"/>
              </w:rPr>
              <w:t>Samsung</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First change is not strictly needed. It should be clear when we say “If the UE has a serving cell …” the description applies to the serving cell.</w:t>
            </w:r>
          </w:p>
          <w:p>
            <w:pPr>
              <w:rPr>
                <w:rFonts w:ascii="Times New Roman" w:hAnsi="Times New Roman"/>
                <w:sz w:val="24"/>
                <w:szCs w:val="24"/>
              </w:rPr>
            </w:pPr>
            <w:r>
              <w:rPr>
                <w:sz w:val="24"/>
                <w:szCs w:val="24"/>
              </w:rPr>
              <w:t>The second change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sz w:val="24"/>
                <w:szCs w:val="24"/>
              </w:rPr>
              <w:t>O</w:t>
            </w:r>
            <w:r>
              <w:rPr>
                <w:sz w:val="24"/>
                <w:szCs w:val="24"/>
              </w:rPr>
              <w:t>PPO</w:t>
            </w:r>
          </w:p>
        </w:tc>
        <w:tc>
          <w:tcPr>
            <w:tcW w:w="6952" w:type="dxa"/>
            <w:tcBorders>
              <w:top w:val="single" w:color="auto" w:sz="4" w:space="0"/>
              <w:left w:val="single" w:color="auto" w:sz="4" w:space="0"/>
              <w:bottom w:val="single" w:color="auto" w:sz="4" w:space="0"/>
              <w:right w:val="single" w:color="auto" w:sz="4" w:space="0"/>
            </w:tcBorders>
          </w:tcPr>
          <w:p>
            <w:r>
              <w:rPr>
                <w:sz w:val="24"/>
                <w:szCs w:val="24"/>
              </w:rPr>
              <w:t>Generally we agree with the intention of the change in the main bullet. The case of SL in dedicated carrier (</w:t>
            </w:r>
            <m:oMath>
              <m:sSub>
                <m:sSubPr>
                  <m:ctrlPr>
                    <w:rPr>
                      <w:rFonts w:ascii="Cambria Math" w:hAnsi="Cambria Math" w:eastAsia="宋体" w:cs="Times New Roman"/>
                      <w:szCs w:val="20"/>
                    </w:rPr>
                  </m:ctrlPr>
                </m:sSubPr>
                <m:e>
                  <m:r>
                    <w:rPr>
                      <w:rFonts w:ascii="Cambria Math" w:hAnsi="Cambria Math" w:eastAsia="Calibri" w:cs="Times New Roman"/>
                      <w:szCs w:val="20"/>
                    </w:rPr>
                    <m:t>N</m:t>
                  </m:r>
                  <m:ctrlPr>
                    <w:rPr>
                      <w:rFonts w:ascii="Cambria Math" w:hAnsi="Cambria Math" w:eastAsia="宋体" w:cs="Times New Roman"/>
                      <w:szCs w:val="20"/>
                    </w:rPr>
                  </m:ctrlPr>
                </m:e>
                <m:sub>
                  <m:r>
                    <m:rPr>
                      <m:sty m:val="p"/>
                    </m:rPr>
                    <w:rPr>
                      <w:rFonts w:ascii="Cambria Math" w:hAnsi="Cambria Math" w:eastAsia="Calibri" w:cs="Times New Roman"/>
                      <w:szCs w:val="20"/>
                    </w:rPr>
                    <m:t>TA,offset</m:t>
                  </m:r>
                  <m:ctrlPr>
                    <w:rPr>
                      <w:rFonts w:ascii="Cambria Math" w:hAnsi="Cambria Math" w:eastAsia="宋体" w:cs="Times New Roman"/>
                      <w:szCs w:val="20"/>
                    </w:rPr>
                  </m:ctrlPr>
                </m:sub>
              </m:sSub>
              <m:r>
                <w:rPr>
                  <w:rFonts w:ascii="Cambria Math" w:hAnsi="Cambria Math" w:eastAsia="宋体" w:cs="Times New Roman"/>
                  <w:szCs w:val="20"/>
                </w:rPr>
                <m:t xml:space="preserve">=0) </m:t>
              </m:r>
            </m:oMath>
            <w:r>
              <w:rPr>
                <w:sz w:val="24"/>
                <w:szCs w:val="24"/>
              </w:rPr>
              <w:t xml:space="preserve">should belong to otherwise branch. While the wording “in a serving cell” may be also confusing. We suggest the wording below which follows the same description method as in </w:t>
            </w:r>
            <w:r>
              <w:rPr>
                <w:rFonts w:hint="eastAsia"/>
              </w:rPr>
              <w:t>1</w:t>
            </w:r>
            <w:r>
              <w:t>2.</w:t>
            </w:r>
            <w:r>
              <w:rPr>
                <w:rFonts w:hint="eastAsia"/>
              </w:rPr>
              <w:t>3</w:t>
            </w:r>
            <w:r>
              <w:t>.</w:t>
            </w:r>
            <w:r>
              <w:rPr>
                <w:rFonts w:hint="eastAsia"/>
              </w:rPr>
              <w:t>1</w:t>
            </w:r>
            <w:r>
              <w:t>.1 in 38.133.</w:t>
            </w:r>
          </w:p>
          <w:p/>
          <w:p>
            <w:pPr>
              <w:rPr>
                <w:rFonts w:cs="Times New Roman"/>
                <w:szCs w:val="20"/>
              </w:rPr>
            </w:pPr>
            <w:r>
              <w:rPr>
                <w:sz w:val="24"/>
                <w:szCs w:val="24"/>
              </w:rPr>
              <w:t>“</w:t>
            </w:r>
            <w:r>
              <w:rPr>
                <w:rFonts w:cs="Times New Roman"/>
                <w:szCs w:val="20"/>
              </w:rPr>
              <w:t xml:space="preserve">If the UE </w:t>
            </w:r>
            <w:del w:id="24" w:author="zhaozhenshan@oppo.com" w:date="2022-02-22T11:16:00Z">
              <w:r>
                <w:rPr>
                  <w:rFonts w:cs="Times New Roman"/>
                  <w:szCs w:val="20"/>
                </w:rPr>
                <w:delText xml:space="preserve">has </w:delText>
              </w:r>
            </w:del>
            <w:ins w:id="25" w:author="zhaozhenshan@oppo.com" w:date="2022-02-22T11:16:00Z">
              <w:r>
                <w:rPr>
                  <w:rFonts w:cs="Times New Roman"/>
                  <w:szCs w:val="20"/>
                </w:rPr>
                <w:t xml:space="preserve">is in-coverage with </w:t>
              </w:r>
            </w:ins>
            <w:r>
              <w:rPr>
                <w:rFonts w:cs="Times New Roman"/>
                <w:szCs w:val="20"/>
              </w:rPr>
              <w:t xml:space="preserve">a serving cell </w:t>
            </w:r>
            <w:ins w:id="26" w:author="zhaozhenshan@oppo.com" w:date="2022-02-22T11:17:00Z">
              <w:r>
                <w:rPr>
                  <w:rFonts w:cs="Times New Roman"/>
                  <w:szCs w:val="20"/>
                </w:rPr>
                <w:t xml:space="preserve">on a NR sidelink carrier </w:t>
              </w:r>
            </w:ins>
            <w:del w:id="27" w:author="zhaozhenshan@oppo.com" w:date="2022-02-22T11:17:00Z">
              <w:r>
                <w:rPr>
                  <w:rFonts w:cs="Times New Roman"/>
                  <w:szCs w:val="20"/>
                </w:rPr>
                <w:delText>fulfilling the S criterion according to clause 8.2 of [TS 38.304]</w:delText>
              </w:r>
            </w:del>
            <w:r>
              <w:rPr>
                <w:rFonts w:cs="Times New Roman"/>
                <w:szCs w:val="20"/>
              </w:rPr>
              <w:t>”</w:t>
            </w:r>
          </w:p>
          <w:p>
            <w:pPr>
              <w:rPr>
                <w:sz w:val="24"/>
                <w:szCs w:val="24"/>
              </w:rPr>
            </w:pPr>
          </w:p>
          <w:p>
            <w:pPr>
              <w:rPr>
                <w:rFonts w:ascii="Times New Roman" w:hAnsi="Times New Roman"/>
                <w:sz w:val="24"/>
                <w:szCs w:val="24"/>
              </w:rPr>
            </w:pPr>
            <w:r>
              <w:rPr>
                <w:sz w:val="24"/>
                <w:szCs w:val="24"/>
              </w:rPr>
              <w:t xml:space="preserve">For the change in the second sub-bullet, we agree with QC that it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ascii="Calibri" w:hAnsi="Calibri" w:cs="Calibri"/>
              </w:rPr>
              <w:t>LG Electronics</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algun Gothic" w:cs="Calibri"/>
              </w:rPr>
            </w:pPr>
            <w:r>
              <w:rPr>
                <w:rFonts w:ascii="Calibri" w:hAnsi="Calibri" w:eastAsia="Malgun Gothic" w:cs="Calibri"/>
                <w:b/>
                <w:u w:val="single"/>
              </w:rPr>
              <w:t>1</w:t>
            </w:r>
            <w:r>
              <w:rPr>
                <w:rFonts w:ascii="Calibri" w:hAnsi="Calibri" w:eastAsia="Malgun Gothic" w:cs="Calibri"/>
                <w:b/>
                <w:u w:val="single"/>
                <w:vertAlign w:val="superscript"/>
              </w:rPr>
              <w:t>st</w:t>
            </w:r>
            <w:r>
              <w:rPr>
                <w:rFonts w:ascii="Calibri" w:hAnsi="Calibri" w:eastAsia="Malgun Gothic" w:cs="Calibri"/>
                <w:b/>
                <w:u w:val="single"/>
              </w:rPr>
              <w:t xml:space="preserve"> change</w:t>
            </w:r>
            <w:r>
              <w:rPr>
                <w:rFonts w:ascii="Calibri" w:hAnsi="Calibri" w:eastAsia="Malgun Gothic" w:cs="Calibri"/>
              </w:rPr>
              <w:t xml:space="preserve">: </w:t>
            </w:r>
          </w:p>
          <w:p>
            <w:pPr>
              <w:rPr>
                <w:rFonts w:ascii="Calibri" w:hAnsi="Calibri" w:eastAsia="Malgun Gothic" w:cs="Calibri"/>
              </w:rPr>
            </w:pPr>
            <w:r>
              <w:rPr>
                <w:rFonts w:hint="eastAsia" w:ascii="Calibri" w:hAnsi="Calibri" w:eastAsia="Malgun Gothic" w:cs="Calibri"/>
              </w:rPr>
              <w:t xml:space="preserve">Our understanding is </w:t>
            </w:r>
            <w:r>
              <w:rPr>
                <w:rFonts w:ascii="Calibri" w:hAnsi="Calibri" w:eastAsia="Malgun Gothic" w:cs="Calibri"/>
              </w:rPr>
              <w:t>that</w:t>
            </w:r>
            <w:r>
              <w:rPr>
                <w:rFonts w:hint="eastAsia" w:ascii="Calibri" w:hAnsi="Calibri" w:eastAsia="Malgun Gothic" w:cs="Calibri"/>
              </w:rPr>
              <w:t xml:space="preserve"> </w:t>
            </w:r>
            <w:r>
              <w:rPr>
                <w:rFonts w:ascii="Calibri" w:hAnsi="Calibri" w:eastAsia="Malgun Gothic" w:cs="Calibri"/>
              </w:rPr>
              <w:t>the current specification supports a case where the reference timing of SL Tx/Rx in ITS dedicated carrier is the timing of UE’s</w:t>
            </w:r>
            <w:r>
              <w:t xml:space="preserve"> </w:t>
            </w:r>
            <w:r>
              <w:rPr>
                <w:rFonts w:ascii="Calibri" w:hAnsi="Calibri" w:eastAsia="Malgun Gothic" w:cs="Calibri"/>
              </w:rPr>
              <w:t>serving cell fulfilling S criterion in Licensed carrier. For this case, applying N</w:t>
            </w:r>
            <w:r>
              <w:rPr>
                <w:rFonts w:ascii="Calibri" w:hAnsi="Calibri" w:eastAsia="Malgun Gothic" w:cs="Calibri"/>
                <w:vertAlign w:val="subscript"/>
              </w:rPr>
              <w:t>TA,offset</w:t>
            </w:r>
            <w:r>
              <w:rPr>
                <w:rFonts w:ascii="Calibri" w:hAnsi="Calibri" w:eastAsia="Malgun Gothic" w:cs="Calibri"/>
              </w:rPr>
              <w:t xml:space="preserve"> value of UL Tx in Licensed carrier to SL Tx/Rx in ITS dedicated carrier  could be reasonable in terms of ensuring the frame (or slot) boundary alignment between UL Tx and SL Tx from the point of view of a single UE. By dosing, the serving cell can efficiently control/decide the overlap between UL Tx and SL Tx for the UE. Note that when UL Tx and SL Tx overlap in time, the transmit power of the UE is split between them. So, we have a concern on the intention of 1</w:t>
            </w:r>
            <w:r>
              <w:rPr>
                <w:rFonts w:ascii="Calibri" w:hAnsi="Calibri" w:eastAsia="Malgun Gothic" w:cs="Calibri"/>
                <w:vertAlign w:val="superscript"/>
              </w:rPr>
              <w:t>st</w:t>
            </w:r>
            <w:r>
              <w:rPr>
                <w:rFonts w:ascii="Calibri" w:hAnsi="Calibri" w:eastAsia="Malgun Gothic" w:cs="Calibri"/>
              </w:rPr>
              <w:t xml:space="preserve"> change, and prefer not to do it</w:t>
            </w:r>
          </w:p>
          <w:p>
            <w:pPr>
              <w:rPr>
                <w:rFonts w:ascii="Calibri" w:hAnsi="Calibri" w:eastAsia="Malgun Gothic" w:cs="Calibri"/>
              </w:rPr>
            </w:pPr>
            <w:r>
              <w:rPr>
                <w:rFonts w:ascii="Calibri" w:hAnsi="Calibri" w:eastAsia="Malgun Gothic" w:cs="Calibri"/>
                <w:b/>
                <w:u w:val="single"/>
              </w:rPr>
              <w:t>2</w:t>
            </w:r>
            <w:r>
              <w:rPr>
                <w:rFonts w:ascii="Calibri" w:hAnsi="Calibri" w:eastAsia="Malgun Gothic" w:cs="Calibri"/>
                <w:b/>
                <w:u w:val="single"/>
                <w:vertAlign w:val="superscript"/>
              </w:rPr>
              <w:t>nd</w:t>
            </w:r>
            <w:r>
              <w:rPr>
                <w:rFonts w:ascii="Calibri" w:hAnsi="Calibri" w:eastAsia="Malgun Gothic" w:cs="Calibri"/>
                <w:b/>
                <w:u w:val="single"/>
              </w:rPr>
              <w:t xml:space="preserve"> change</w:t>
            </w:r>
            <w:r>
              <w:rPr>
                <w:rFonts w:ascii="Calibri" w:hAnsi="Calibri" w:eastAsia="Malgun Gothic" w:cs="Calibri"/>
              </w:rPr>
              <w:t xml:space="preserve">: </w:t>
            </w:r>
          </w:p>
          <w:p>
            <w:pPr>
              <w:rPr>
                <w:rFonts w:ascii="Times New Roman" w:hAnsi="Times New Roman"/>
                <w:sz w:val="24"/>
                <w:szCs w:val="24"/>
              </w:rPr>
            </w:pPr>
            <w:r>
              <w:rPr>
                <w:rFonts w:ascii="Calibri" w:hAnsi="Calibri" w:eastAsia="Malgun Gothic" w:cs="Calibri"/>
              </w:rPr>
              <w:t>We tend to agree with Qualcomm’s comment, and 2</w:t>
            </w:r>
            <w:r>
              <w:rPr>
                <w:rFonts w:ascii="Calibri" w:hAnsi="Calibri" w:eastAsia="Malgun Gothic" w:cs="Calibri"/>
                <w:vertAlign w:val="superscript"/>
              </w:rPr>
              <w:t>nd</w:t>
            </w:r>
            <w:r>
              <w:rPr>
                <w:rFonts w:ascii="Calibri" w:hAnsi="Calibri" w:eastAsia="Malgun Gothic" w:cs="Calibri"/>
              </w:rPr>
              <w:t xml:space="preserve">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ascii="Calibri" w:hAnsi="Calibri" w:cs="Calibri"/>
              </w:rPr>
              <w:t>S</w:t>
            </w:r>
            <w:r>
              <w:rPr>
                <w:rFonts w:ascii="Calibri" w:hAnsi="Calibri" w:cs="Calibri"/>
              </w:rPr>
              <w:t>harp</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Calibri" w:hAnsi="Calibri" w:cs="Calibri"/>
              </w:rPr>
              <w:t>A</w:t>
            </w:r>
            <w:r>
              <w:rPr>
                <w:rFonts w:ascii="Calibri" w:hAnsi="Calibri" w:cs="Calibri"/>
              </w:rPr>
              <w:t>gree with both changes and reasoning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ascii="Calibri" w:hAnsi="Calibri" w:cs="Calibri"/>
              </w:rPr>
              <w:t>NTT DOCOMO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Calibri" w:hAnsi="Calibri" w:eastAsia="ＭＳ 明朝" w:cs="Calibri"/>
              </w:rPr>
              <w:t>S</w:t>
            </w:r>
            <w:r>
              <w:rPr>
                <w:rFonts w:ascii="Calibri" w:hAnsi="Calibri" w:eastAsia="ＭＳ 明朝" w:cs="Calibri"/>
              </w:rPr>
              <w:t>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ascii="Calibri" w:hAnsi="Calibri" w:cs="Calibri"/>
              </w:rPr>
              <w:t>Ericsson</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Calibri" w:hAnsi="Calibri" w:eastAsia="ＭＳ 明朝" w:cs="Calibri"/>
              </w:rPr>
              <w:t>We agree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ascii="Calibri" w:hAnsi="Calibri" w:cs="Calibri"/>
              </w:rPr>
              <w:t>Vivo</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algun Gothic" w:cs="Calibri"/>
              </w:rPr>
            </w:pPr>
            <w:r>
              <w:rPr>
                <w:rFonts w:ascii="Calibri" w:hAnsi="Calibri" w:eastAsia="Malgun Gothic" w:cs="Calibri"/>
                <w:b/>
                <w:u w:val="single"/>
              </w:rPr>
              <w:t>1</w:t>
            </w:r>
            <w:r>
              <w:rPr>
                <w:rFonts w:ascii="Calibri" w:hAnsi="Calibri" w:eastAsia="Malgun Gothic" w:cs="Calibri"/>
                <w:b/>
                <w:u w:val="single"/>
                <w:vertAlign w:val="superscript"/>
              </w:rPr>
              <w:t>st</w:t>
            </w:r>
            <w:r>
              <w:rPr>
                <w:rFonts w:ascii="Calibri" w:hAnsi="Calibri" w:eastAsia="Malgun Gothic" w:cs="Calibri"/>
                <w:b/>
                <w:u w:val="single"/>
              </w:rPr>
              <w:t xml:space="preserve"> change</w:t>
            </w:r>
            <w:r>
              <w:rPr>
                <w:rFonts w:ascii="Calibri" w:hAnsi="Calibri" w:eastAsia="Malgun Gothic" w:cs="Calibri"/>
              </w:rPr>
              <w:t xml:space="preserve">: </w:t>
            </w:r>
          </w:p>
          <w:p>
            <w:pPr>
              <w:rPr>
                <w:rFonts w:cs="Times New Roman"/>
                <w:szCs w:val="20"/>
              </w:rPr>
            </w:pPr>
            <w:r>
              <w:rPr>
                <w:rFonts w:ascii="Calibri" w:hAnsi="Calibri" w:eastAsia="ＭＳ 明朝" w:cs="Calibri"/>
              </w:rPr>
              <w:t xml:space="preserve">We don’t think this change is needed. Please note that in the sub bullet the spec says “… </w:t>
            </w:r>
            <w:r>
              <w:rPr>
                <w:rFonts w:eastAsia="Calibri" w:cs="Times New Roman"/>
                <w:szCs w:val="20"/>
              </w:rPr>
              <w:t xml:space="preserve">in </w:t>
            </w:r>
            <w:r>
              <w:rPr>
                <w:rFonts w:eastAsia="Calibri" w:cs="Times New Roman"/>
                <w:color w:val="FF0000"/>
                <w:szCs w:val="20"/>
              </w:rPr>
              <w:t>the cell</w:t>
            </w:r>
            <w:r>
              <w:rPr>
                <w:rFonts w:eastAsia="Calibri" w:cs="Times New Roman"/>
                <w:szCs w:val="20"/>
              </w:rPr>
              <w:t xml:space="preserve"> with the same uplink carrier frequency as the sidelink</w:t>
            </w:r>
            <w:r>
              <w:rPr>
                <w:rFonts w:ascii="Calibri" w:hAnsi="Calibri" w:eastAsia="ＭＳ 明朝" w:cs="Calibri"/>
              </w:rPr>
              <w:t xml:space="preserve">”. Here it clearly refers to </w:t>
            </w:r>
            <w:r>
              <w:rPr>
                <w:rFonts w:ascii="Calibri" w:hAnsi="Calibri" w:eastAsia="ＭＳ 明朝" w:cs="Calibri"/>
                <w:b/>
                <w:i/>
              </w:rPr>
              <w:t>the cell</w:t>
            </w:r>
            <w:r>
              <w:rPr>
                <w:rFonts w:ascii="Calibri" w:hAnsi="Calibri" w:eastAsia="ＭＳ 明朝" w:cs="Calibri"/>
              </w:rPr>
              <w:t xml:space="preserve"> in the mail bullet that </w:t>
            </w:r>
            <w:r>
              <w:rPr>
                <w:rFonts w:ascii="Calibri" w:hAnsi="Calibri" w:eastAsia="ＭＳ 明朝" w:cs="Calibri"/>
                <w:u w:val="single"/>
              </w:rPr>
              <w:t xml:space="preserve">the UE has and </w:t>
            </w:r>
            <w:r>
              <w:rPr>
                <w:rFonts w:cs="Times New Roman"/>
                <w:szCs w:val="20"/>
                <w:u w:val="single"/>
              </w:rPr>
              <w:t>fulfilling the S criterion</w:t>
            </w:r>
            <w:r>
              <w:rPr>
                <w:rFonts w:cs="Times New Roman"/>
                <w:szCs w:val="20"/>
              </w:rPr>
              <w:t>. Thus, there should not be any confusion here.</w:t>
            </w:r>
          </w:p>
          <w:p>
            <w:pPr>
              <w:rPr>
                <w:rFonts w:ascii="Calibri" w:hAnsi="Calibri" w:eastAsia="ＭＳ 明朝" w:cs="Calibri"/>
              </w:rPr>
            </w:pPr>
          </w:p>
          <w:p>
            <w:pPr>
              <w:rPr>
                <w:rFonts w:ascii="Calibri" w:hAnsi="Calibri" w:eastAsia="Malgun Gothic" w:cs="Calibri"/>
              </w:rPr>
            </w:pPr>
            <w:r>
              <w:rPr>
                <w:rFonts w:ascii="Calibri" w:hAnsi="Calibri" w:eastAsia="Malgun Gothic" w:cs="Calibri"/>
                <w:b/>
                <w:u w:val="single"/>
              </w:rPr>
              <w:t>2</w:t>
            </w:r>
            <w:r>
              <w:rPr>
                <w:rFonts w:ascii="Calibri" w:hAnsi="Calibri" w:eastAsia="Malgun Gothic" w:cs="Calibri"/>
                <w:b/>
                <w:u w:val="single"/>
                <w:vertAlign w:val="superscript"/>
              </w:rPr>
              <w:t>nd</w:t>
            </w:r>
            <w:r>
              <w:rPr>
                <w:rFonts w:ascii="Calibri" w:hAnsi="Calibri" w:eastAsia="Malgun Gothic" w:cs="Calibri"/>
                <w:b/>
                <w:u w:val="single"/>
              </w:rPr>
              <w:t xml:space="preserve"> change</w:t>
            </w:r>
            <w:r>
              <w:rPr>
                <w:rFonts w:ascii="Calibri" w:hAnsi="Calibri" w:eastAsia="Malgun Gothic" w:cs="Calibri"/>
              </w:rPr>
              <w:t xml:space="preserve">: </w:t>
            </w:r>
          </w:p>
          <w:p>
            <w:pPr>
              <w:rPr>
                <w:rFonts w:ascii="Times New Roman" w:hAnsi="Times New Roman"/>
                <w:sz w:val="24"/>
                <w:szCs w:val="24"/>
              </w:rPr>
            </w:pPr>
            <w:r>
              <w:rPr>
                <w:rFonts w:ascii="Calibri" w:hAnsi="Calibri" w:eastAsia="ＭＳ 明朝" w:cs="Calibri"/>
              </w:rPr>
              <w:t>We tend to agree with Qualcomm and others that the 2</w:t>
            </w:r>
            <w:r>
              <w:rPr>
                <w:rFonts w:ascii="Calibri" w:hAnsi="Calibri" w:eastAsia="ＭＳ 明朝" w:cs="Calibri"/>
                <w:vertAlign w:val="superscript"/>
              </w:rPr>
              <w:t>nd</w:t>
            </w:r>
            <w:r>
              <w:rPr>
                <w:rFonts w:ascii="Calibri" w:hAnsi="Calibri" w:eastAsia="ＭＳ 明朝" w:cs="Calibri"/>
              </w:rPr>
              <w:t xml:space="preserve"> change is not needed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ascii="Calibri" w:hAnsi="Calibri" w:cs="Calibri"/>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Calibri" w:hAnsi="Calibri" w:eastAsia="宋体" w:cs="Calibri"/>
              </w:rPr>
              <w:t xml:space="preserve">Same view as QC, </w:t>
            </w:r>
            <w:r>
              <w:rPr>
                <w:rFonts w:ascii="Calibri" w:hAnsi="Calibri" w:eastAsia="ＭＳ 明朝" w:cs="Calibri"/>
              </w:rPr>
              <w:t>the 2</w:t>
            </w:r>
            <w:r>
              <w:rPr>
                <w:rFonts w:ascii="Calibri" w:hAnsi="Calibri" w:eastAsia="ＭＳ 明朝" w:cs="Calibri"/>
                <w:vertAlign w:val="superscript"/>
              </w:rPr>
              <w:t>nd</w:t>
            </w:r>
            <w:r>
              <w:rPr>
                <w:rFonts w:ascii="Calibri" w:hAnsi="Calibri" w:eastAsia="ＭＳ 明朝" w:cs="Calibri"/>
              </w:rPr>
              <w:t xml:space="preserve"> change is not </w:t>
            </w:r>
            <w:r>
              <w:rPr>
                <w:rFonts w:hint="eastAsia" w:ascii="Calibri" w:hAnsi="Calibri" w:eastAsia="宋体" w:cs="Calibri"/>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ascii="Calibri" w:hAnsi="Calibri" w:cs="Calibri"/>
              </w:rPr>
              <w:t>C</w:t>
            </w:r>
            <w:r>
              <w:rPr>
                <w:rFonts w:ascii="Calibri" w:hAnsi="Calibri" w:cs="Calibri"/>
              </w:rPr>
              <w:t>ATT, GOHIGH</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For the 1</w:t>
            </w:r>
            <w:r>
              <w:rPr>
                <w:rFonts w:ascii="Calibri" w:hAnsi="Calibri" w:cs="Calibri"/>
                <w:vertAlign w:val="superscript"/>
              </w:rPr>
              <w:t>st</w:t>
            </w:r>
            <w:r>
              <w:rPr>
                <w:rFonts w:ascii="Calibri" w:hAnsi="Calibri" w:cs="Calibri"/>
              </w:rPr>
              <w:t xml:space="preserve"> change, we share similar views as vivo, the 1</w:t>
            </w:r>
            <w:r>
              <w:rPr>
                <w:rFonts w:ascii="Calibri" w:hAnsi="Calibri" w:cs="Calibri"/>
                <w:vertAlign w:val="superscript"/>
              </w:rPr>
              <w:t>st</w:t>
            </w:r>
            <w:r>
              <w:rPr>
                <w:rFonts w:ascii="Calibri" w:hAnsi="Calibri" w:cs="Calibri"/>
              </w:rPr>
              <w:t xml:space="preserve"> sub-bullet has said that this is only for the case when sidelink is the same as UL carrier frequency. Therefore, we think it is not necessary.</w:t>
            </w:r>
          </w:p>
          <w:p>
            <w:pPr>
              <w:rPr>
                <w:rFonts w:ascii="Times New Roman" w:hAnsi="Times New Roman"/>
                <w:sz w:val="24"/>
                <w:szCs w:val="24"/>
              </w:rPr>
            </w:pPr>
            <w:r>
              <w:rPr>
                <w:rFonts w:ascii="Calibri" w:hAnsi="Calibri" w:cs="Calibri"/>
              </w:rPr>
              <w:t>For 2</w:t>
            </w:r>
            <w:r>
              <w:rPr>
                <w:rFonts w:ascii="Calibri" w:hAnsi="Calibri" w:cs="Calibri"/>
                <w:vertAlign w:val="superscript"/>
              </w:rPr>
              <w:t>nd</w:t>
            </w:r>
            <w:r>
              <w:rPr>
                <w:rFonts w:ascii="Calibri" w:hAnsi="Calibri" w:cs="Calibri"/>
              </w:rPr>
              <w:t xml:space="preserve"> change, we are ok to directly refer to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ascii="Calibri" w:hAnsi="Calibri" w:cs="Calibri"/>
              </w:rPr>
              <w:t>Huawei, HiSilicon</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On the first change, the point is how to interpret the wording “if the UE has a serving cell…”. It can be understood as the UE has SL transmission in the UL carrier, then the reference timing is determined as …. However, if it is changed to “In a serving cell… ” , there would be an ambiguous case that “Although the UE camps in a serving cell fulfilling S criterion, its SL transmissions take place in the dedicated SL carrier, then the downlink timing is used”. So we prefer not to have such a change.</w:t>
            </w:r>
          </w:p>
          <w:p>
            <w:pPr>
              <w:rPr>
                <w:rFonts w:ascii="Calibri" w:hAnsi="Calibri" w:eastAsia="ＭＳ 明朝" w:cs="Calibri"/>
              </w:rPr>
            </w:pPr>
          </w:p>
          <w:p>
            <w:pPr>
              <w:rPr>
                <w:rFonts w:ascii="Times New Roman" w:hAnsi="Times New Roman"/>
                <w:sz w:val="24"/>
                <w:szCs w:val="24"/>
              </w:rPr>
            </w:pPr>
            <w:r>
              <w:rPr>
                <w:rFonts w:ascii="Calibri" w:hAnsi="Calibri" w:eastAsia="ＭＳ 明朝" w:cs="Calibri"/>
              </w:rPr>
              <w:t>On the second change, we share with others that it is not needed. The reference logic in the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rFonts w:hint="eastAsia"/>
                <w:sz w:val="24"/>
                <w:szCs w:val="24"/>
              </w:rPr>
              <w:t>N</w:t>
            </w:r>
            <w:r>
              <w:rPr>
                <w:sz w:val="24"/>
                <w:szCs w:val="24"/>
              </w:rPr>
              <w:t>EC</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For the first change, we’re fine with the intention.</w:t>
            </w:r>
          </w:p>
          <w:p>
            <w:pPr>
              <w:rPr>
                <w:rFonts w:ascii="Times New Roman" w:hAnsi="Times New Roman"/>
                <w:sz w:val="24"/>
                <w:szCs w:val="24"/>
              </w:rPr>
            </w:pPr>
            <w:r>
              <w:rPr>
                <w:sz w:val="24"/>
                <w:szCs w:val="24"/>
              </w:rPr>
              <w:t>For the second change, we can both OK with change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sz w:val="24"/>
                <w:szCs w:val="24"/>
              </w:rPr>
              <w:t>Nokia, Nokia Shanghai Bell</w:t>
            </w:r>
          </w:p>
        </w:tc>
        <w:tc>
          <w:tcPr>
            <w:tcW w:w="6952" w:type="dxa"/>
            <w:tcBorders>
              <w:top w:val="single" w:color="auto" w:sz="4" w:space="0"/>
              <w:left w:val="single" w:color="auto" w:sz="4" w:space="0"/>
              <w:bottom w:val="single" w:color="auto" w:sz="4" w:space="0"/>
              <w:right w:val="single" w:color="auto" w:sz="4" w:space="0"/>
            </w:tcBorders>
          </w:tcPr>
          <w:p>
            <w:pPr>
              <w:rPr>
                <w:rFonts w:eastAsia="等线"/>
                <w:bCs/>
              </w:rPr>
            </w:pPr>
            <w:r>
              <w:rPr>
                <w:sz w:val="24"/>
                <w:szCs w:val="24"/>
              </w:rPr>
              <w:t>1</w:t>
            </w:r>
            <w:r>
              <w:rPr>
                <w:sz w:val="24"/>
                <w:szCs w:val="24"/>
                <w:vertAlign w:val="superscript"/>
              </w:rPr>
              <w:t>st</w:t>
            </w:r>
            <w:r>
              <w:rPr>
                <w:sz w:val="24"/>
                <w:szCs w:val="24"/>
              </w:rPr>
              <w:t xml:space="preserve"> change: We think that the clarification is needed. The interpretation presented by LG (</w:t>
            </w:r>
            <w:r>
              <w:rPr>
                <w:i/>
                <w:iCs/>
              </w:rPr>
              <w:t>N</w:t>
            </w:r>
            <w:r>
              <w:rPr>
                <w:i/>
                <w:iCs/>
                <w:vertAlign w:val="subscript"/>
              </w:rPr>
              <w:t>TA,offset</w:t>
            </w:r>
            <w:r>
              <w:rPr>
                <w:rFonts w:eastAsia="等线"/>
                <w:bCs/>
              </w:rPr>
              <w:t xml:space="preserve"> </w:t>
            </w:r>
            <w:r>
              <w:rPr>
                <w:rFonts w:eastAsia="等线" w:cstheme="minorHAnsi"/>
                <w:bCs/>
              </w:rPr>
              <w:t>≠</w:t>
            </w:r>
            <w:r>
              <w:rPr>
                <w:rFonts w:eastAsia="等线"/>
                <w:bCs/>
              </w:rPr>
              <w:t xml:space="preserve"> 0 supported in the dedicated SL carrier) may be possible based on the current text. However, we think that it is not the intention of the specification. The wording used in 38.133 and proposed by OPPO is also fine for us.</w:t>
            </w:r>
          </w:p>
          <w:p>
            <w:pPr>
              <w:rPr>
                <w:rFonts w:ascii="Times New Roman" w:hAnsi="Times New Roman"/>
                <w:sz w:val="24"/>
                <w:szCs w:val="24"/>
              </w:rPr>
            </w:pPr>
            <w:r>
              <w:rPr>
                <w:rFonts w:eastAsia="等线"/>
                <w:bCs/>
              </w:rPr>
              <w:t>2</w:t>
            </w:r>
            <w:r>
              <w:rPr>
                <w:rFonts w:eastAsia="等线"/>
                <w:bCs/>
                <w:vertAlign w:val="superscript"/>
              </w:rPr>
              <w:t>nd</w:t>
            </w:r>
            <w:r>
              <w:rPr>
                <w:rFonts w:eastAsia="等线"/>
                <w:bCs/>
              </w:rPr>
              <w:t xml:space="preserve"> change: We think that default values of </w:t>
            </w:r>
            <w:r>
              <w:rPr>
                <w:i/>
                <w:iCs/>
              </w:rPr>
              <w:t>N</w:t>
            </w:r>
            <w:r>
              <w:rPr>
                <w:i/>
                <w:iCs/>
                <w:vertAlign w:val="subscript"/>
              </w:rPr>
              <w:t>TA,offset</w:t>
            </w:r>
            <w:r>
              <w:rPr>
                <w:rFonts w:eastAsia="等线"/>
                <w:bCs/>
              </w:rPr>
              <w:t xml:space="preserve"> and possibility to use parameter </w:t>
            </w:r>
            <w:r>
              <w:t>n-TimingAdvanceOffset</w:t>
            </w:r>
            <w:r>
              <w:rPr>
                <w:rFonts w:eastAsia="等线"/>
                <w:bCs/>
              </w:rPr>
              <w:t xml:space="preserve"> can be found 38.133. It is not necessary to look at 38.211 and then 38.213.</w:t>
            </w:r>
          </w:p>
        </w:tc>
      </w:tr>
    </w:tbl>
    <w:p>
      <w:pPr>
        <w:spacing w:before="120" w:beforeLines="50"/>
        <w:rPr>
          <w:rFonts w:eastAsia="等线"/>
          <w:bCs/>
        </w:rPr>
      </w:pPr>
    </w:p>
    <w:p>
      <w:pPr>
        <w:spacing w:before="120" w:beforeLines="50"/>
        <w:rPr>
          <w:rFonts w:eastAsia="等线"/>
          <w:bCs/>
        </w:rPr>
      </w:pPr>
    </w:p>
    <w:p>
      <w:pPr>
        <w:pStyle w:val="3"/>
      </w:pPr>
      <w:r>
        <w:t>Timing in the dedicated SL carrier</w:t>
      </w:r>
    </w:p>
    <w:p>
      <w:pPr>
        <w:spacing w:before="120" w:beforeLines="50"/>
        <w:rPr>
          <w:rFonts w:eastAsia="等线"/>
          <w:bCs/>
        </w:rPr>
      </w:pPr>
      <w:r>
        <w:rPr>
          <w:rFonts w:eastAsia="等线"/>
          <w:bCs/>
        </w:rPr>
        <w:t>The draft CR proposes the following changes:</w:t>
      </w:r>
    </w:p>
    <w:p>
      <w:pPr>
        <w:rPr>
          <w:rFonts w:ascii="Times New Roman" w:hAnsi="Times New Roman" w:eastAsia="宋体" w:cs="Times New Roman"/>
          <w:sz w:val="20"/>
          <w:szCs w:val="20"/>
        </w:rPr>
      </w:pPr>
      <w:r>
        <w:rPr>
          <w:rFonts w:ascii="Times New Roman" w:hAnsi="Times New Roman" w:cs="Times New Roman"/>
          <w:sz w:val="20"/>
          <w:szCs w:val="20"/>
        </w:rPr>
        <w:t xml:space="preserve">Otherwise </w:t>
      </w:r>
    </w:p>
    <w:p>
      <w:pPr>
        <w:ind w:left="568" w:hanging="284"/>
        <w:rPr>
          <w:rFonts w:ascii="Times New Roman" w:hAnsi="Times New Roman" w:cs="Times New Roman"/>
          <w:sz w:val="20"/>
          <w:szCs w:val="20"/>
        </w:rPr>
      </w:pPr>
      <w:r>
        <w:rPr>
          <w:rFonts w:ascii="Times New Roman" w:hAnsi="Times New Roman" w:eastAsia="Calibri" w:cs="Times New Roman"/>
          <w:sz w:val="20"/>
          <w:szCs w:val="20"/>
        </w:rPr>
        <w:t>-</w:t>
      </w:r>
      <w:r>
        <w:rPr>
          <w:rFonts w:ascii="Times New Roman" w:hAnsi="Times New Roman" w:eastAsia="Calibri" w:cs="Times New Roman"/>
          <w:sz w:val="20"/>
          <w:szCs w:val="20"/>
        </w:rPr>
        <w:tab/>
      </w:r>
      <w:r>
        <w:rPr>
          <w:rFonts w:ascii="Times New Roman" w:hAnsi="Times New Roman" w:eastAsia="Calibri" w:cs="Times New Roman"/>
          <w:sz w:val="20"/>
          <w:szCs w:val="20"/>
        </w:rPr>
        <w:t xml:space="preserve">The timing of reference radio frame </w:t>
      </w:r>
      <w:r>
        <w:rPr>
          <w:rFonts w:ascii="Times New Roman" w:hAnsi="Times New Roman" w:eastAsia="Calibri" w:cs="Times New Roman"/>
          <w:i/>
          <w:sz w:val="20"/>
          <w:szCs w:val="20"/>
        </w:rPr>
        <w:t>i</w:t>
      </w:r>
      <w:r>
        <w:rPr>
          <w:rFonts w:ascii="Times New Roman" w:hAnsi="Times New Roman" w:eastAsia="Calibri" w:cs="Times New Roman"/>
          <w:sz w:val="20"/>
          <w:szCs w:val="20"/>
        </w:rPr>
        <w:t xml:space="preserve"> </w:t>
      </w:r>
      <w:del w:id="28" w:author="Lindholm, Jari (Nokia - FI/Espoo)" w:date="2022-02-11T13:16:00Z">
        <w:r>
          <w:rPr>
            <w:rFonts w:ascii="Times New Roman" w:hAnsi="Times New Roman" w:eastAsia="Calibri" w:cs="Times New Roman"/>
            <w:sz w:val="20"/>
            <w:szCs w:val="20"/>
          </w:rPr>
          <w:delText xml:space="preserve">is </w:delText>
        </w:r>
      </w:del>
      <w:ins w:id="29" w:author="Lindholm, Jari (Nokia - FI/Espoo)" w:date="2022-02-11T13:16:00Z">
        <w:r>
          <w:rPr>
            <w:rFonts w:ascii="Times New Roman" w:hAnsi="Times New Roman" w:eastAsia="Calibri" w:cs="Times New Roman"/>
            <w:sz w:val="20"/>
            <w:szCs w:val="20"/>
          </w:rPr>
          <w:t xml:space="preserve">and </w:t>
        </w:r>
      </w:ins>
      <m:oMath>
        <m:sSub>
          <m:sSubPr>
            <m:ctrlPr>
              <w:ins w:id="30" w:author="Lindholm, Jari (Nokia - FI/Espoo)" w:date="2022-02-11T13:17:00Z">
                <w:rPr>
                  <w:rFonts w:ascii="Cambria Math" w:hAnsi="Cambria Math" w:eastAsia="宋体" w:cs="Times New Roman"/>
                  <w:sz w:val="20"/>
                  <w:szCs w:val="20"/>
                </w:rPr>
              </w:ins>
            </m:ctrlPr>
          </m:sSubPr>
          <m:e>
            <w:ins w:id="31" w:author="Lindholm, Jari (Nokia - FI/Espoo)" w:date="2022-02-11T13:17:00Z">
              <m:r>
                <w:rPr>
                  <w:rFonts w:ascii="Cambria Math" w:hAnsi="Cambria Math" w:eastAsia="Calibri" w:cs="Times New Roman"/>
                  <w:sz w:val="20"/>
                  <w:szCs w:val="20"/>
                </w:rPr>
                <m:t>N</m:t>
              </m:r>
            </w:ins>
            <m:ctrlPr>
              <w:ins w:id="32" w:author="Lindholm, Jari (Nokia - FI/Espoo)" w:date="2022-02-11T13:17:00Z">
                <w:rPr>
                  <w:rFonts w:ascii="Cambria Math" w:hAnsi="Cambria Math" w:eastAsia="宋体" w:cs="Times New Roman"/>
                  <w:sz w:val="20"/>
                  <w:szCs w:val="20"/>
                </w:rPr>
              </w:ins>
            </m:ctrlPr>
          </m:e>
          <m:sub>
            <w:ins w:id="33" w:author="Lindholm, Jari (Nokia - FI/Espoo)" w:date="2022-02-11T13:17:00Z">
              <m:r>
                <m:rPr>
                  <m:sty m:val="p"/>
                </m:rPr>
                <w:rPr>
                  <w:rFonts w:ascii="Cambria Math" w:hAnsi="Cambria Math" w:eastAsia="Calibri" w:cs="Times New Roman"/>
                  <w:sz w:val="20"/>
                  <w:szCs w:val="20"/>
                </w:rPr>
                <m:t>TA,offset</m:t>
              </m:r>
            </w:ins>
            <m:ctrlPr>
              <w:ins w:id="34" w:author="Lindholm, Jari (Nokia - FI/Espoo)" w:date="2022-02-11T13:17:00Z">
                <w:rPr>
                  <w:rFonts w:ascii="Cambria Math" w:hAnsi="Cambria Math" w:eastAsia="宋体" w:cs="Times New Roman"/>
                  <w:sz w:val="20"/>
                  <w:szCs w:val="20"/>
                </w:rPr>
              </w:ins>
            </m:ctrlPr>
          </m:sub>
        </m:sSub>
      </m:oMath>
      <w:ins w:id="35" w:author="Lindholm, Jari (Nokia - FI/Espoo)" w:date="2022-02-11T13:17:00Z">
        <w:r>
          <w:rPr>
            <w:rFonts w:ascii="Times New Roman" w:hAnsi="Times New Roman" w:eastAsia="Calibri" w:cs="Times New Roman"/>
            <w:sz w:val="20"/>
            <w:szCs w:val="20"/>
          </w:rPr>
          <w:t xml:space="preserve"> are</w:t>
        </w:r>
      </w:ins>
      <w:ins w:id="36" w:author="Lindholm, Jari (Nokia - FI/Espoo)" w:date="2022-02-11T13:16:00Z">
        <w:r>
          <w:rPr>
            <w:rFonts w:ascii="Times New Roman" w:hAnsi="Times New Roman" w:eastAsia="Calibri" w:cs="Times New Roman"/>
            <w:sz w:val="20"/>
            <w:szCs w:val="20"/>
          </w:rPr>
          <w:t xml:space="preserve"> </w:t>
        </w:r>
      </w:ins>
      <w:del w:id="37" w:author="Lindholm, Jari (Nokia - FI/Espoo)" w:date="2022-02-10T11:02:00Z">
        <w:r>
          <w:rPr>
            <w:rFonts w:ascii="Times New Roman" w:hAnsi="Times New Roman" w:cs="Times New Roman"/>
            <w:sz w:val="20"/>
            <w:szCs w:val="20"/>
          </w:rPr>
          <w:delText>implicitly obtained from</w:delText>
        </w:r>
      </w:del>
      <w:ins w:id="38" w:author="Lindholm, Jari (Nokia - FI/Espoo)" w:date="2022-02-10T11:02:00Z">
        <w:r>
          <w:rPr>
            <w:rFonts w:ascii="Times New Roman" w:hAnsi="Times New Roman" w:cs="Times New Roman"/>
            <w:sz w:val="20"/>
            <w:szCs w:val="20"/>
          </w:rPr>
          <w:t>given by</w:t>
        </w:r>
      </w:ins>
      <w:r>
        <w:rPr>
          <w:rFonts w:ascii="Times New Roman" w:hAnsi="Times New Roman" w:cs="Times New Roman"/>
          <w:sz w:val="20"/>
          <w:szCs w:val="20"/>
        </w:rPr>
        <w:t xml:space="preserve"> clause </w:t>
      </w:r>
      <w:del w:id="39" w:author="Lindholm, Jari (Nokia - FI/Espoo)" w:date="2022-02-10T11:03:00Z">
        <w:r>
          <w:rPr>
            <w:rFonts w:ascii="Times New Roman" w:hAnsi="Times New Roman" w:cs="Times New Roman"/>
            <w:sz w:val="20"/>
            <w:szCs w:val="20"/>
          </w:rPr>
          <w:delText>4.2</w:delText>
        </w:r>
      </w:del>
      <w:ins w:id="40" w:author="Lindholm, Jari (Nokia - FI/Espoo)" w:date="2022-02-10T11:03:00Z">
        <w:r>
          <w:rPr>
            <w:rFonts w:ascii="Times New Roman" w:hAnsi="Times New Roman" w:cs="Times New Roman"/>
            <w:sz w:val="20"/>
            <w:szCs w:val="20"/>
          </w:rPr>
          <w:t xml:space="preserve">12.2.2, 12.2.3, 12.2.4 </w:t>
        </w:r>
      </w:ins>
      <w:ins w:id="41" w:author="Lindholm, Jari (Nokia - FI/Espoo)" w:date="2022-02-10T11:06:00Z">
        <w:r>
          <w:rPr>
            <w:rFonts w:ascii="Times New Roman" w:hAnsi="Times New Roman" w:cs="Times New Roman"/>
            <w:sz w:val="20"/>
            <w:szCs w:val="20"/>
          </w:rPr>
          <w:t>or</w:t>
        </w:r>
      </w:ins>
      <w:ins w:id="42" w:author="Lindholm, Jari (Nokia - FI/Espoo)" w:date="2022-02-10T11:03:00Z">
        <w:r>
          <w:rPr>
            <w:rFonts w:ascii="Times New Roman" w:hAnsi="Times New Roman" w:cs="Times New Roman"/>
            <w:sz w:val="20"/>
            <w:szCs w:val="20"/>
          </w:rPr>
          <w:t xml:space="preserve"> 12.2.5</w:t>
        </w:r>
      </w:ins>
      <w:r>
        <w:rPr>
          <w:rFonts w:ascii="Times New Roman" w:hAnsi="Times New Roman" w:cs="Times New Roman"/>
          <w:sz w:val="20"/>
          <w:szCs w:val="20"/>
        </w:rPr>
        <w:t xml:space="preserve"> of [</w:t>
      </w:r>
      <w:ins w:id="43" w:author="Lindholm, Jari (Nokia - FI/Espoo)" w:date="2022-02-10T11:03:00Z">
        <w:r>
          <w:rPr>
            <w:rFonts w:ascii="Times New Roman" w:hAnsi="Times New Roman" w:cs="Times New Roman"/>
            <w:sz w:val="20"/>
            <w:szCs w:val="20"/>
          </w:rPr>
          <w:t xml:space="preserve">12, </w:t>
        </w:r>
      </w:ins>
      <w:r>
        <w:rPr>
          <w:rFonts w:ascii="Times New Roman" w:hAnsi="Times New Roman" w:cs="Times New Roman"/>
          <w:sz w:val="20"/>
          <w:szCs w:val="20"/>
        </w:rPr>
        <w:t>TS 38.</w:t>
      </w:r>
      <w:del w:id="44" w:author="Lindholm, Jari (Nokia - FI/Espoo)" w:date="2022-02-10T11:03:00Z">
        <w:r>
          <w:rPr>
            <w:rFonts w:ascii="Times New Roman" w:hAnsi="Times New Roman" w:cs="Times New Roman"/>
            <w:sz w:val="20"/>
            <w:szCs w:val="20"/>
          </w:rPr>
          <w:delText>213</w:delText>
        </w:r>
      </w:del>
      <w:ins w:id="45" w:author="Lindholm, Jari (Nokia - FI/Espoo)" w:date="2022-02-10T11:03:00Z">
        <w:r>
          <w:rPr>
            <w:rFonts w:ascii="Times New Roman" w:hAnsi="Times New Roman" w:cs="Times New Roman"/>
            <w:sz w:val="20"/>
            <w:szCs w:val="20"/>
          </w:rPr>
          <w:t>1</w:t>
        </w:r>
      </w:ins>
      <w:ins w:id="46" w:author="Lindholm, Jari (Nokia - FI/Espoo)" w:date="2022-02-10T11:04:00Z">
        <w:r>
          <w:rPr>
            <w:rFonts w:ascii="Times New Roman" w:hAnsi="Times New Roman" w:cs="Times New Roman"/>
            <w:sz w:val="20"/>
            <w:szCs w:val="20"/>
          </w:rPr>
          <w:t>33</w:t>
        </w:r>
      </w:ins>
      <w:r>
        <w:rPr>
          <w:rFonts w:ascii="Times New Roman" w:hAnsi="Times New Roman" w:cs="Times New Roman"/>
          <w:sz w:val="20"/>
          <w:szCs w:val="20"/>
        </w:rPr>
        <w:t xml:space="preserve">] </w:t>
      </w:r>
      <w:del w:id="47" w:author="Lindholm, Jari (Nokia - FI/Espoo)" w:date="2022-02-14T11:53:00Z">
        <w:r>
          <w:rPr>
            <w:rFonts w:ascii="Times New Roman" w:hAnsi="Times New Roman" w:eastAsia="Calibri" w:cs="Times New Roman"/>
            <w:sz w:val="20"/>
            <w:szCs w:val="20"/>
          </w:rPr>
          <w:delText>and</w:delText>
        </w:r>
      </w:del>
    </w:p>
    <w:p>
      <w:pPr>
        <w:ind w:left="568" w:hanging="284"/>
        <w:rPr>
          <w:del w:id="48" w:author="Lindholm, Jari (Nokia - FI/Espoo)" w:date="2022-02-11T13:18:00Z"/>
          <w:rFonts w:ascii="Times New Roman" w:hAnsi="Times New Roman" w:eastAsia="Calibri" w:cs="Times New Roman"/>
          <w:sz w:val="20"/>
          <w:szCs w:val="20"/>
        </w:rPr>
      </w:pPr>
      <w:del w:id="49" w:author="Lindholm, Jari (Nokia - FI/Espoo)" w:date="2022-02-11T13:18:00Z">
        <w:r>
          <w:rPr>
            <w:rFonts w:ascii="Times New Roman" w:hAnsi="Times New Roman" w:eastAsia="Calibri" w:cs="Times New Roman"/>
            <w:sz w:val="20"/>
            <w:szCs w:val="20"/>
          </w:rPr>
          <w:delText>-</w:delText>
        </w:r>
      </w:del>
      <w:del w:id="50" w:author="Lindholm, Jari (Nokia - FI/Espoo)" w:date="2022-02-11T13:18:00Z">
        <w:r>
          <w:rPr>
            <w:rFonts w:ascii="Times New Roman" w:hAnsi="Times New Roman" w:eastAsia="Calibri" w:cs="Times New Roman"/>
            <w:sz w:val="20"/>
            <w:szCs w:val="20"/>
          </w:rPr>
          <w:tab/>
        </w:r>
      </w:del>
      <m:oMath>
        <m:sSub>
          <m:sSubPr>
            <m:ctrlPr>
              <w:del w:id="51" w:author="Lindholm, Jari (Nokia - FI/Espoo)" w:date="2022-02-11T13:18:00Z">
                <w:rPr>
                  <w:rFonts w:ascii="Cambria Math" w:hAnsi="Cambria Math" w:eastAsia="宋体" w:cs="Times New Roman"/>
                  <w:sz w:val="20"/>
                  <w:szCs w:val="20"/>
                </w:rPr>
              </w:del>
            </m:ctrlPr>
          </m:sSubPr>
          <m:e>
            <w:del w:id="52" w:author="Lindholm, Jari (Nokia - FI/Espoo)" w:date="2022-02-11T13:18:00Z">
              <m:r>
                <w:rPr>
                  <w:rFonts w:ascii="Cambria Math" w:hAnsi="Cambria Math" w:eastAsia="Calibri" w:cs="Times New Roman"/>
                  <w:sz w:val="20"/>
                  <w:szCs w:val="20"/>
                </w:rPr>
                <m:t>N</m:t>
              </m:r>
            </w:del>
            <m:ctrlPr>
              <w:del w:id="53" w:author="Lindholm, Jari (Nokia - FI/Espoo)" w:date="2022-02-11T13:18:00Z">
                <w:rPr>
                  <w:rFonts w:ascii="Cambria Math" w:hAnsi="Cambria Math" w:eastAsia="宋体" w:cs="Times New Roman"/>
                  <w:sz w:val="20"/>
                  <w:szCs w:val="20"/>
                </w:rPr>
              </w:del>
            </m:ctrlPr>
          </m:e>
          <m:sub>
            <w:del w:id="54" w:author="Lindholm, Jari (Nokia - FI/Espoo)" w:date="2022-02-11T13:18:00Z">
              <m:r>
                <m:rPr>
                  <m:sty m:val="p"/>
                </m:rPr>
                <w:rPr>
                  <w:rFonts w:ascii="Cambria Math" w:hAnsi="Cambria Math" w:eastAsia="Calibri" w:cs="Times New Roman"/>
                  <w:sz w:val="20"/>
                  <w:szCs w:val="20"/>
                </w:rPr>
                <m:t>TA,offset</m:t>
              </m:r>
            </w:del>
            <m:ctrlPr>
              <w:del w:id="55" w:author="Lindholm, Jari (Nokia - FI/Espoo)" w:date="2022-02-11T13:18:00Z">
                <w:rPr>
                  <w:rFonts w:ascii="Cambria Math" w:hAnsi="Cambria Math" w:eastAsia="宋体" w:cs="Times New Roman"/>
                  <w:sz w:val="20"/>
                  <w:szCs w:val="20"/>
                </w:rPr>
              </w:del>
            </m:ctrlPr>
          </m:sub>
        </m:sSub>
        <w:del w:id="56" w:author="Lindholm, Jari (Nokia - FI/Espoo)" w:date="2022-02-11T13:18:00Z">
          <m:r>
            <w:rPr>
              <w:rFonts w:ascii="Cambria Math" w:hAnsi="Cambria Math" w:eastAsia="Calibri" w:cs="Times New Roman"/>
              <w:sz w:val="20"/>
              <w:szCs w:val="20"/>
            </w:rPr>
            <m:t>=0</m:t>
          </m:r>
        </w:del>
      </m:oMath>
      <w:del w:id="57" w:author="Lindholm, Jari (Nokia - FI/Espoo)" w:date="2022-02-11T13:18:00Z">
        <w:r>
          <w:rPr>
            <w:rFonts w:ascii="Times New Roman" w:hAnsi="Times New Roman" w:eastAsia="Calibri" w:cs="Times New Roman"/>
            <w:sz w:val="20"/>
            <w:szCs w:val="20"/>
          </w:rPr>
          <w:delText>.</w:delText>
        </w:r>
      </w:del>
    </w:p>
    <w:p>
      <w:pPr>
        <w:spacing w:before="120" w:beforeLines="50"/>
        <w:rPr>
          <w:rFonts w:eastAsia="等线"/>
          <w:bCs/>
        </w:rPr>
      </w:pPr>
    </w:p>
    <w:p>
      <w:pPr>
        <w:spacing w:before="120" w:beforeLines="50"/>
        <w:rPr>
          <w:rFonts w:eastAsia="等线"/>
          <w:bCs/>
        </w:rPr>
      </w:pPr>
      <w:r>
        <w:rPr>
          <w:rFonts w:eastAsia="等线"/>
          <w:bCs/>
        </w:rPr>
        <w:t xml:space="preserve">The implicit obtaining of timing of reference radio frame from 38.213 is ambiguous because clause 4.2 of 38.213 defines UL timing w.r.t DL timing but e.g., in the case of GNSS as the timing reference, it is not clear if clause 4.2 of 38.213 is relevant. In addition, because </w:t>
      </w:r>
      <w:r>
        <w:rPr>
          <w:i/>
          <w:iCs/>
        </w:rPr>
        <w:t>N</w:t>
      </w:r>
      <w:r>
        <w:rPr>
          <w:i/>
          <w:iCs/>
          <w:vertAlign w:val="subscript"/>
        </w:rPr>
        <w:t>TA,offset</w:t>
      </w:r>
      <w:r>
        <w:rPr>
          <w:rFonts w:eastAsia="等线"/>
          <w:bCs/>
        </w:rPr>
        <w:t xml:space="preserve"> values for UL are not specified in 38.211 but in 38.133 it is proposed that the same practice is applied to SL as well.   </w:t>
      </w:r>
    </w:p>
    <w:p>
      <w:pPr>
        <w:spacing w:before="120" w:beforeLines="50"/>
        <w:rPr>
          <w:rFonts w:eastAsia="等线"/>
          <w:bCs/>
        </w:rPr>
      </w:pPr>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Question 3: Do you agree that the changes should be adopted? If no, please provide the reasons and suggestions,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Intel</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Agree. We also suggest to simply refer to parent 12.2 clause which contains all the referred subclauses.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lang w:eastAsia="ko-KR"/>
              </w:rPr>
            </w:pPr>
            <w:r>
              <w:rPr>
                <w:sz w:val="24"/>
                <w:szCs w:val="24"/>
              </w:rPr>
              <w:t>Qualcomm</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sz w:val="24"/>
                <w:szCs w:val="24"/>
              </w:rPr>
              <w:t>We don’t think the change is necessary. Existing specification text was clear and directly stated that N</w:t>
            </w:r>
            <w:r>
              <w:rPr>
                <w:sz w:val="24"/>
                <w:szCs w:val="24"/>
                <w:vertAlign w:val="subscript"/>
              </w:rPr>
              <w:t>TA,offset</w:t>
            </w:r>
            <w:r>
              <w:rPr>
                <w:sz w:val="24"/>
                <w:szCs w:val="24"/>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sz w:val="24"/>
                <w:szCs w:val="24"/>
              </w:rPr>
            </w:pPr>
            <w:r>
              <w:rPr>
                <w:rFonts w:eastAsia="Malgun Gothic"/>
                <w:sz w:val="24"/>
                <w:szCs w:val="24"/>
              </w:rPr>
              <w:t>Samsung</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OK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eastAsia="Malgun Gothic"/>
                <w:sz w:val="24"/>
                <w:szCs w:val="24"/>
              </w:rPr>
            </w:pPr>
            <w:r>
              <w:rPr>
                <w:rFonts w:hint="eastAsia"/>
                <w:sz w:val="24"/>
                <w:szCs w:val="24"/>
              </w:rPr>
              <w:t>O</w:t>
            </w:r>
            <w:r>
              <w:rPr>
                <w:sz w:val="24"/>
                <w:szCs w:val="24"/>
              </w:rPr>
              <w:t>PPO</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sz w:val="24"/>
                <w:szCs w:val="24"/>
              </w:rPr>
            </w:pPr>
            <w:r>
              <w:rPr>
                <w:rFonts w:ascii="Calibri" w:hAnsi="Calibri" w:cs="Calibri"/>
              </w:rPr>
              <w:t>LG Electronics</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rFonts w:ascii="Calibri" w:hAnsi="Calibri" w:cs="Calibri"/>
              </w:rPr>
              <w:t>Since there is no critical problem on interpreting the correction operation even with the current specification, we prefer not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S</w:t>
            </w:r>
            <w:r>
              <w:rPr>
                <w:rFonts w:ascii="Calibri" w:hAnsi="Calibri" w:cs="Calibri"/>
              </w:rPr>
              <w:t>harp</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Agree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eastAsia="ＭＳ 明朝" w:cs="Calibri"/>
              </w:rPr>
              <w:t>N</w:t>
            </w:r>
            <w:r>
              <w:rPr>
                <w:rFonts w:ascii="Calibri" w:hAnsi="Calibri" w:eastAsia="ＭＳ 明朝" w:cs="Calibri"/>
              </w:rPr>
              <w:t>TT DOCOMO</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eastAsia="ＭＳ 明朝" w:cs="Calibri"/>
              </w:rPr>
              <w:t>A</w:t>
            </w:r>
            <w:r>
              <w:rPr>
                <w:rFonts w:ascii="Calibri" w:hAnsi="Calibri" w:eastAsia="ＭＳ 明朝" w:cs="Calibri"/>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sz w:val="24"/>
                <w:szCs w:val="24"/>
              </w:rPr>
              <w:t>Ericsson</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vivo</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We agree with the changes of the references fixing part.</w:t>
            </w:r>
          </w:p>
          <w:p>
            <w:pPr>
              <w:rPr>
                <w:sz w:val="24"/>
                <w:szCs w:val="24"/>
              </w:rPr>
            </w:pPr>
            <w:r>
              <w:rPr>
                <w:sz w:val="24"/>
                <w:szCs w:val="24"/>
              </w:rPr>
              <w:t>However, we don’t agree with the change of N</w:t>
            </w:r>
            <w:r>
              <w:rPr>
                <w:sz w:val="24"/>
                <w:szCs w:val="24"/>
                <w:vertAlign w:val="subscript"/>
              </w:rPr>
              <w:t>TA,offset</w:t>
            </w:r>
            <w:r>
              <w:rPr>
                <w:sz w:val="24"/>
                <w:szCs w:val="24"/>
              </w:rPr>
              <w:t>. The current spec is clear regarding N</w:t>
            </w:r>
            <w:r>
              <w:rPr>
                <w:sz w:val="24"/>
                <w:szCs w:val="24"/>
                <w:vertAlign w:val="subscript"/>
              </w:rPr>
              <w:t>TA,offset</w:t>
            </w:r>
            <w:r>
              <w:rPr>
                <w:sz w:val="24"/>
                <w:szCs w:val="24"/>
              </w:rPr>
              <w:t xml:space="preserve"> =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ascii="Calibri" w:hAnsi="Calibri" w:cs="Calibri"/>
              </w:rPr>
              <w:t>ZTE, Sanechips</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ascii="Calibri" w:hAnsi="Calibri" w:eastAsia="宋体" w:cs="Calibri"/>
              </w:rPr>
              <w:t xml:space="preserve">Same view as vivo, it is a more straight way to set </w:t>
            </w:r>
            <w:r>
              <w:rPr>
                <w:sz w:val="24"/>
                <w:szCs w:val="24"/>
              </w:rPr>
              <w:t>N</w:t>
            </w:r>
            <w:r>
              <w:rPr>
                <w:sz w:val="24"/>
                <w:szCs w:val="24"/>
                <w:vertAlign w:val="subscript"/>
              </w:rPr>
              <w:t>TA,offset</w:t>
            </w:r>
            <w:r>
              <w:rPr>
                <w:sz w:val="24"/>
                <w:szCs w:val="24"/>
              </w:rPr>
              <w:t xml:space="preserve"> = 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C</w:t>
            </w:r>
            <w:r>
              <w:rPr>
                <w:rFonts w:ascii="Calibri" w:hAnsi="Calibri" w:cs="Calibri"/>
              </w:rPr>
              <w:t>ATT, GOHIGH</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rPr>
            </w:pPr>
            <w:r>
              <w:rPr>
                <w:rFonts w:ascii="Calibri" w:hAnsi="Calibri" w:eastAsia="宋体" w:cs="Calibri"/>
              </w:rPr>
              <w:t xml:space="preserve">Similar views as vivo, OK to directly refer to 38.133, and prefer to keep  </w:t>
            </w:r>
            <w:r>
              <w:rPr>
                <w:sz w:val="24"/>
                <w:szCs w:val="24"/>
              </w:rPr>
              <w:t>N</w:t>
            </w:r>
            <w:r>
              <w:rPr>
                <w:sz w:val="24"/>
                <w:szCs w:val="24"/>
                <w:vertAlign w:val="subscript"/>
              </w:rPr>
              <w:t>TA,offset</w:t>
            </w:r>
            <w:r>
              <w:rPr>
                <w:sz w:val="24"/>
                <w:szCs w:val="24"/>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sz w:val="24"/>
                <w:szCs w:val="24"/>
              </w:rPr>
              <w:t>Huawei, HiSilicon</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rPr>
            </w:pPr>
            <w:r>
              <w:rPr>
                <w:sz w:val="24"/>
                <w:szCs w:val="24"/>
              </w:rPr>
              <w:t>We do not think the change on reference is very crucial, even without changes, the UE does not implement wrongly. The deleting of N</w:t>
            </w:r>
            <w:r>
              <w:rPr>
                <w:sz w:val="24"/>
                <w:szCs w:val="24"/>
                <w:vertAlign w:val="subscript"/>
              </w:rPr>
              <w:t>TA,offset</w:t>
            </w:r>
            <w:r>
              <w:rPr>
                <w:sz w:val="24"/>
                <w:szCs w:val="24"/>
              </w:rPr>
              <w:t xml:space="preserve"> is not needed. </w:t>
            </w:r>
            <w:r>
              <w:rPr>
                <w:rFonts w:cs="Times New Roman"/>
                <w:sz w:val="24"/>
                <w:szCs w:val="24"/>
              </w:rPr>
              <w:t xml:space="preserve">It </w:t>
            </w:r>
            <w:r>
              <w:rPr>
                <w:sz w:val="24"/>
                <w:szCs w:val="24"/>
              </w:rPr>
              <w:t xml:space="preserve">would be more straightforward and not misleading to directly define </w:t>
            </w:r>
            <m:oMath>
              <m:sSub>
                <m:sSubPr>
                  <m:ctrlPr>
                    <w:rPr>
                      <w:rFonts w:ascii="Cambria Math" w:hAnsi="Cambria Math" w:eastAsia="宋体" w:cs="Times New Roman"/>
                    </w:rPr>
                  </m:ctrlPr>
                </m:sSubPr>
                <m:e>
                  <m:r>
                    <w:rPr>
                      <w:rFonts w:ascii="Cambria Math" w:hAnsi="Cambria Math" w:cs="Times New Roman"/>
                    </w:rPr>
                    <m:t>N</m:t>
                  </m:r>
                  <m:ctrlPr>
                    <w:rPr>
                      <w:rFonts w:ascii="Cambria Math" w:hAnsi="Cambria Math" w:eastAsia="宋体" w:cs="Times New Roman"/>
                    </w:rPr>
                  </m:ctrlPr>
                </m:e>
                <m:sub>
                  <m:r>
                    <m:rPr>
                      <m:sty m:val="p"/>
                    </m:rPr>
                    <w:rPr>
                      <w:rFonts w:ascii="Cambria Math" w:hAnsi="Cambria Math" w:cs="Times New Roman"/>
                    </w:rPr>
                    <m:t>TA,offset</m:t>
                  </m:r>
                  <m:ctrlPr>
                    <w:rPr>
                      <w:rFonts w:ascii="Cambria Math" w:hAnsi="Cambria Math" w:eastAsia="宋体" w:cs="Times New Roman"/>
                    </w:rPr>
                  </m:ctrlPr>
                </m:sub>
              </m:sSub>
              <m:r>
                <w:rPr>
                  <w:rFonts w:ascii="Cambria Math" w:hAnsi="Cambria Math" w:cs="Times New Roman"/>
                </w:rPr>
                <m:t>=0</m:t>
              </m:r>
            </m:oMath>
            <w:r>
              <w:rPr>
                <w:sz w:val="24"/>
                <w:szCs w:val="24"/>
              </w:rPr>
              <w:t xml:space="preser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NEC</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Nokia, Nokia Shanghai Bell</w:t>
            </w:r>
          </w:p>
        </w:tc>
        <w:tc>
          <w:tcPr>
            <w:tcW w:w="6952"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 xml:space="preserve">We prefer to add reference to 38.133. Current text was intended to be just a placeholder until better formulation is agreed. </w:t>
            </w:r>
          </w:p>
          <w:p>
            <w:pPr>
              <w:rPr>
                <w:sz w:val="24"/>
                <w:szCs w:val="24"/>
              </w:rPr>
            </w:pPr>
            <w:r>
              <w:rPr>
                <w:sz w:val="24"/>
                <w:szCs w:val="24"/>
              </w:rPr>
              <w:t>We agree that N</w:t>
            </w:r>
            <w:r>
              <w:rPr>
                <w:sz w:val="24"/>
                <w:szCs w:val="24"/>
                <w:vertAlign w:val="subscript"/>
              </w:rPr>
              <w:t>TA,offset</w:t>
            </w:r>
            <w:r>
              <w:rPr>
                <w:sz w:val="24"/>
                <w:szCs w:val="24"/>
              </w:rPr>
              <w:t xml:space="preserve"> = 0 is correct statement but the point is that </w:t>
            </w:r>
            <w:bookmarkStart w:id="2" w:name="_Hlk96495375"/>
            <w:r>
              <w:rPr>
                <w:sz w:val="24"/>
                <w:szCs w:val="24"/>
              </w:rPr>
              <w:t>N</w:t>
            </w:r>
            <w:r>
              <w:rPr>
                <w:sz w:val="24"/>
                <w:szCs w:val="24"/>
                <w:vertAlign w:val="subscript"/>
              </w:rPr>
              <w:t>TA,offset</w:t>
            </w:r>
            <w:r>
              <w:rPr>
                <w:sz w:val="24"/>
                <w:szCs w:val="24"/>
              </w:rPr>
              <w:t xml:space="preserve"> value</w:t>
            </w:r>
            <w:bookmarkEnd w:id="2"/>
            <w:r>
              <w:rPr>
                <w:sz w:val="24"/>
                <w:szCs w:val="24"/>
              </w:rPr>
              <w:t xml:space="preserve">s are specified in RAN4 documents. </w:t>
            </w:r>
          </w:p>
        </w:tc>
      </w:tr>
    </w:tbl>
    <w:p>
      <w:pPr>
        <w:spacing w:before="120" w:beforeLines="50"/>
        <w:rPr>
          <w:rFonts w:eastAsia="等线"/>
          <w:bCs/>
        </w:rPr>
      </w:pPr>
    </w:p>
    <w:p>
      <w:pPr>
        <w:spacing w:before="120" w:beforeLines="50"/>
        <w:rPr>
          <w:rFonts w:eastAsia="等线"/>
          <w:bCs/>
        </w:rPr>
      </w:pPr>
    </w:p>
    <w:p>
      <w:pPr>
        <w:pStyle w:val="2"/>
      </w:pPr>
      <w:r>
        <w:t>Round#2 discussion</w:t>
      </w:r>
    </w:p>
    <w:p>
      <w:pPr>
        <w:pStyle w:val="3"/>
        <w:rPr>
          <w:lang w:val="en-US"/>
        </w:rPr>
      </w:pPr>
      <w:r>
        <w:rPr>
          <w:lang w:val="en-US"/>
        </w:rPr>
        <w:t>N</w:t>
      </w:r>
      <w:r>
        <w:rPr>
          <w:vertAlign w:val="subscript"/>
          <w:lang w:val="en-US"/>
        </w:rPr>
        <w:t>TA,offset</w:t>
      </w:r>
      <w:r>
        <w:rPr>
          <w:lang w:val="en-US"/>
        </w:rPr>
        <w:t xml:space="preserve"> value definition</w:t>
      </w:r>
    </w:p>
    <w:p>
      <w:r>
        <w:t>Clause 8.5 of 38.211 refers to 38.133 and 38.211 to obtain N</w:t>
      </w:r>
      <w:r>
        <w:rPr>
          <w:vertAlign w:val="subscript"/>
        </w:rPr>
        <w:t>TA,offset</w:t>
      </w:r>
      <w:r>
        <w:t xml:space="preserve"> value and also explicitly defines the value as highlighted below.</w:t>
      </w:r>
    </w:p>
    <w:p>
      <w:pPr>
        <w:spacing w:after="180"/>
        <w:rPr>
          <w:rFonts w:ascii="Times New Roman" w:hAnsi="Times New Roman" w:eastAsia="Times New Roman" w:cs="Times New Roman"/>
          <w:sz w:val="32"/>
          <w:szCs w:val="32"/>
        </w:rPr>
      </w:pPr>
      <w:r>
        <w:rPr>
          <w:rFonts w:ascii="Times New Roman" w:hAnsi="Times New Roman" w:eastAsia="Times New Roman" w:cs="Times New Roman"/>
          <w:sz w:val="32"/>
          <w:szCs w:val="32"/>
        </w:rPr>
        <w:t>8.5</w:t>
      </w:r>
      <w:r>
        <w:rPr>
          <w:rFonts w:ascii="Times New Roman" w:hAnsi="Times New Roman" w:eastAsia="Times New Roman" w:cs="Times New Roman"/>
          <w:sz w:val="32"/>
          <w:szCs w:val="32"/>
        </w:rPr>
        <w:tab/>
      </w:r>
      <w:r>
        <w:rPr>
          <w:rFonts w:ascii="Times New Roman" w:hAnsi="Times New Roman" w:eastAsia="Times New Roman" w:cs="Times New Roman"/>
          <w:sz w:val="32"/>
          <w:szCs w:val="32"/>
        </w:rPr>
        <w:t>Timing</w:t>
      </w:r>
    </w:p>
    <w:p>
      <w:pPr>
        <w:spacing w:after="18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Transmission of a sidelink radio frame number </w:t>
      </w:r>
      <m:oMath>
        <m:r>
          <w:rPr>
            <w:rFonts w:ascii="Cambria Math" w:hAnsi="Cambria Math" w:eastAsia="Times New Roman" w:cs="Times New Roman"/>
            <w:sz w:val="20"/>
            <w:szCs w:val="20"/>
          </w:rPr>
          <m:t>i</m:t>
        </m:r>
      </m:oMath>
      <w:r>
        <w:rPr>
          <w:rFonts w:ascii="Times New Roman" w:hAnsi="Times New Roman" w:eastAsia="Times New Roman" w:cs="Times New Roman"/>
          <w:sz w:val="20"/>
          <w:szCs w:val="20"/>
        </w:rPr>
        <w:t xml:space="preserve"> from the UE shall start </w:t>
      </w:r>
      <m:oMath>
        <m:r>
          <m:rPr>
            <m:sty m:val="p"/>
          </m:rPr>
          <w:rPr>
            <w:rFonts w:ascii="Cambria Math" w:hAnsi="Cambria Math" w:eastAsia="Times New Roman" w:cs="Times New Roman"/>
            <w:sz w:val="20"/>
            <w:szCs w:val="20"/>
          </w:rPr>
          <m:t>(</m:t>
        </m:r>
        <m:sSub>
          <m:sSubPr>
            <m:ctrlPr>
              <w:rPr>
                <w:rFonts w:ascii="Cambria Math" w:hAnsi="Cambria Math" w:eastAsia="宋体" w:cs="Times New Roman"/>
                <w:sz w:val="20"/>
                <w:szCs w:val="20"/>
                <w:lang w:val="en-GB"/>
              </w:rPr>
            </m:ctrlPr>
          </m:sSubPr>
          <m:e>
            <m:r>
              <w:rPr>
                <w:rFonts w:ascii="Cambria Math" w:hAnsi="Cambria Math" w:eastAsia="Times New Roman" w:cs="Times New Roman"/>
                <w:sz w:val="20"/>
                <w:szCs w:val="20"/>
              </w:rPr>
              <m:t>N</m:t>
            </m:r>
            <m:ctrlPr>
              <w:rPr>
                <w:rFonts w:ascii="Cambria Math" w:hAnsi="Cambria Math" w:eastAsia="宋体" w:cs="Times New Roman"/>
                <w:sz w:val="20"/>
                <w:szCs w:val="20"/>
                <w:lang w:val="en-GB"/>
              </w:rPr>
            </m:ctrlPr>
          </m:e>
          <m:sub>
            <m:r>
              <m:rPr>
                <m:sty m:val="p"/>
              </m:rPr>
              <w:rPr>
                <w:rFonts w:ascii="Cambria Math" w:hAnsi="Cambria Math" w:eastAsia="Times New Roman" w:cs="Times New Roman"/>
                <w:sz w:val="20"/>
                <w:szCs w:val="20"/>
              </w:rPr>
              <m:t>TA,SL</m:t>
            </m:r>
            <m:ctrlPr>
              <w:rPr>
                <w:rFonts w:ascii="Cambria Math" w:hAnsi="Cambria Math" w:eastAsia="宋体" w:cs="Times New Roman"/>
                <w:sz w:val="20"/>
                <w:szCs w:val="20"/>
                <w:lang w:val="en-GB"/>
              </w:rPr>
            </m:ctrlPr>
          </m:sub>
        </m:sSub>
        <m:r>
          <m:rPr>
            <m:sty m:val="p"/>
          </m:rPr>
          <w:rPr>
            <w:rFonts w:ascii="Cambria Math" w:hAnsi="Cambria Math" w:eastAsia="Times New Roman" w:cs="Times New Roman"/>
            <w:sz w:val="20"/>
            <w:szCs w:val="20"/>
          </w:rPr>
          <m:t>+</m:t>
        </m:r>
        <m:sSub>
          <m:sSubPr>
            <m:ctrlPr>
              <w:rPr>
                <w:rFonts w:ascii="Cambria Math" w:hAnsi="Cambria Math" w:eastAsia="宋体" w:cs="Times New Roman"/>
                <w:sz w:val="20"/>
                <w:szCs w:val="20"/>
                <w:lang w:val="en-GB"/>
              </w:rPr>
            </m:ctrlPr>
          </m:sSubPr>
          <m:e>
            <m:r>
              <w:rPr>
                <w:rFonts w:ascii="Cambria Math" w:hAnsi="Cambria Math" w:eastAsia="Times New Roman" w:cs="Times New Roman"/>
                <w:sz w:val="20"/>
                <w:szCs w:val="20"/>
              </w:rPr>
              <m:t>N</m:t>
            </m:r>
            <m:ctrlPr>
              <w:rPr>
                <w:rFonts w:ascii="Cambria Math" w:hAnsi="Cambria Math" w:eastAsia="宋体" w:cs="Times New Roman"/>
                <w:sz w:val="20"/>
                <w:szCs w:val="20"/>
                <w:lang w:val="en-GB"/>
              </w:rPr>
            </m:ctrlPr>
          </m:e>
          <m:sub>
            <m:r>
              <m:rPr>
                <m:sty m:val="p"/>
              </m:rPr>
              <w:rPr>
                <w:rFonts w:ascii="Cambria Math" w:hAnsi="Cambria Math" w:eastAsia="Times New Roman" w:cs="Times New Roman"/>
                <w:sz w:val="20"/>
                <w:szCs w:val="20"/>
              </w:rPr>
              <m:t>TA,offset</m:t>
            </m:r>
            <m:ctrlPr>
              <w:rPr>
                <w:rFonts w:ascii="Cambria Math" w:hAnsi="Cambria Math" w:eastAsia="宋体" w:cs="Times New Roman"/>
                <w:sz w:val="20"/>
                <w:szCs w:val="20"/>
                <w:lang w:val="en-GB"/>
              </w:rPr>
            </m:ctrlPr>
          </m:sub>
        </m:sSub>
        <m:r>
          <m:rPr>
            <m:sty m:val="p"/>
          </m:rPr>
          <w:rPr>
            <w:rFonts w:ascii="Cambria Math" w:hAnsi="Cambria Math" w:eastAsia="Times New Roman" w:cs="Times New Roman"/>
            <w:sz w:val="20"/>
            <w:szCs w:val="20"/>
          </w:rPr>
          <m:t>)∙</m:t>
        </m:r>
        <m:sSub>
          <m:sSubPr>
            <m:ctrlPr>
              <w:rPr>
                <w:rFonts w:ascii="Cambria Math" w:hAnsi="Cambria Math" w:eastAsia="宋体" w:cs="Times New Roman"/>
                <w:sz w:val="20"/>
                <w:szCs w:val="20"/>
                <w:lang w:val="en-GB"/>
              </w:rPr>
            </m:ctrlPr>
          </m:sSubPr>
          <m:e>
            <m:r>
              <w:rPr>
                <w:rFonts w:ascii="Cambria Math" w:hAnsi="Cambria Math" w:eastAsia="Times New Roman" w:cs="Times New Roman"/>
                <w:sz w:val="20"/>
                <w:szCs w:val="20"/>
              </w:rPr>
              <m:t>T</m:t>
            </m:r>
            <m:ctrlPr>
              <w:rPr>
                <w:rFonts w:ascii="Cambria Math" w:hAnsi="Cambria Math" w:eastAsia="宋体" w:cs="Times New Roman"/>
                <w:sz w:val="20"/>
                <w:szCs w:val="20"/>
                <w:lang w:val="en-GB"/>
              </w:rPr>
            </m:ctrlPr>
          </m:e>
          <m:sub>
            <m:r>
              <m:rPr>
                <m:sty m:val="p"/>
              </m:rPr>
              <w:rPr>
                <w:rFonts w:ascii="Cambria Math" w:hAnsi="Cambria Math" w:eastAsia="Times New Roman" w:cs="Times New Roman"/>
                <w:sz w:val="20"/>
                <w:szCs w:val="20"/>
              </w:rPr>
              <m:t>c</m:t>
            </m:r>
            <m:ctrlPr>
              <w:rPr>
                <w:rFonts w:ascii="Cambria Math" w:hAnsi="Cambria Math" w:eastAsia="宋体" w:cs="Times New Roman"/>
                <w:sz w:val="20"/>
                <w:szCs w:val="20"/>
                <w:lang w:val="en-GB"/>
              </w:rPr>
            </m:ctrlPr>
          </m:sub>
        </m:sSub>
      </m:oMath>
      <w:r>
        <w:rPr>
          <w:rFonts w:ascii="Times New Roman" w:hAnsi="Times New Roman" w:eastAsia="Times New Roman" w:cs="Times New Roman"/>
          <w:sz w:val="20"/>
          <w:szCs w:val="20"/>
        </w:rPr>
        <w:t xml:space="preserve"> seconds before the start of the corresponding timing reference frame at the UE. The UE is not required to receive sidelink or downlink transmissions earlier than the value of </w:t>
      </w:r>
      <m:oMath>
        <m:sSub>
          <m:sSubPr>
            <m:ctrlPr>
              <w:rPr>
                <w:rFonts w:ascii="Cambria Math" w:hAnsi="Cambria Math" w:eastAsia="宋体" w:cs="Times New Roman"/>
                <w:sz w:val="20"/>
                <w:szCs w:val="20"/>
                <w:highlight w:val="yellow"/>
                <w:lang w:val="en-GB"/>
              </w:rPr>
            </m:ctrlPr>
          </m:sSubPr>
          <m:e>
            <m:r>
              <w:rPr>
                <w:rFonts w:ascii="Cambria Math" w:hAnsi="Cambria Math" w:eastAsia="Times New Roman" w:cs="Times New Roman"/>
                <w:sz w:val="20"/>
                <w:szCs w:val="20"/>
                <w:highlight w:val="yellow"/>
              </w:rPr>
              <m:t>N</m:t>
            </m:r>
            <m:ctrlPr>
              <w:rPr>
                <w:rFonts w:ascii="Cambria Math" w:hAnsi="Cambria Math" w:eastAsia="宋体" w:cs="Times New Roman"/>
                <w:sz w:val="20"/>
                <w:szCs w:val="20"/>
                <w:highlight w:val="yellow"/>
                <w:lang w:val="en-GB"/>
              </w:rPr>
            </m:ctrlPr>
          </m:e>
          <m:sub>
            <m:r>
              <m:rPr>
                <m:sty m:val="p"/>
              </m:rPr>
              <w:rPr>
                <w:rFonts w:ascii="Cambria Math" w:hAnsi="Cambria Math" w:eastAsia="Times New Roman" w:cs="Times New Roman"/>
                <w:sz w:val="20"/>
                <w:szCs w:val="20"/>
                <w:highlight w:val="yellow"/>
              </w:rPr>
              <m:t>TA,offset</m:t>
            </m:r>
            <m:ctrlPr>
              <w:rPr>
                <w:rFonts w:ascii="Cambria Math" w:hAnsi="Cambria Math" w:eastAsia="宋体" w:cs="Times New Roman"/>
                <w:sz w:val="20"/>
                <w:szCs w:val="20"/>
                <w:highlight w:val="yellow"/>
                <w:lang w:val="en-GB"/>
              </w:rPr>
            </m:ctrlPr>
          </m:sub>
        </m:sSub>
      </m:oMath>
      <w:r>
        <w:rPr>
          <w:rFonts w:ascii="Times New Roman" w:hAnsi="Times New Roman" w:eastAsia="Times New Roman" w:cs="Times New Roman"/>
          <w:sz w:val="20"/>
          <w:szCs w:val="20"/>
          <w:highlight w:val="yellow"/>
          <w:u w:val="single"/>
        </w:rPr>
        <w:t>,</w:t>
      </w:r>
      <w:r>
        <w:rPr>
          <w:rFonts w:ascii="Times New Roman" w:hAnsi="Times New Roman" w:eastAsia="Times New Roman" w:cs="Times New Roman"/>
          <w:sz w:val="20"/>
          <w:szCs w:val="20"/>
          <w:highlight w:val="yellow"/>
        </w:rPr>
        <w:t xml:space="preserve"> which is given in [TS 38.133</w:t>
      </w:r>
      <w:r>
        <w:rPr>
          <w:rFonts w:ascii="Times New Roman" w:hAnsi="Times New Roman" w:eastAsia="Times New Roman" w:cs="Times New Roman"/>
          <w:sz w:val="20"/>
          <w:szCs w:val="20"/>
          <w:u w:val="single"/>
        </w:rPr>
        <w:t>]</w:t>
      </w:r>
      <w:r>
        <w:rPr>
          <w:rFonts w:ascii="Times New Roman" w:hAnsi="Times New Roman" w:eastAsia="Times New Roman" w:cs="Times New Roman"/>
          <w:sz w:val="20"/>
          <w:szCs w:val="20"/>
        </w:rPr>
        <w:t>, after the end of a sidelink transmission.</w:t>
      </w:r>
    </w:p>
    <w:p>
      <w:pPr>
        <w:spacing w:after="180"/>
        <w:rPr>
          <w:rFonts w:ascii="Times New Roman" w:hAnsi="Times New Roman" w:eastAsia="Times New Roman" w:cs="Times New Roman"/>
          <w:sz w:val="20"/>
          <w:szCs w:val="20"/>
        </w:rPr>
      </w:pPr>
      <w:r>
        <w:rPr>
          <w:rFonts w:ascii="Times New Roman" w:hAnsi="Times New Roman" w:eastAsia="Times New Roman" w:cs="Times New Roman"/>
          <w:sz w:val="20"/>
          <w:szCs w:val="20"/>
        </w:rPr>
        <w:t>For sidelink transmissions:</w:t>
      </w:r>
    </w:p>
    <w:p>
      <w:pPr>
        <w:spacing w:after="180"/>
        <w:rPr>
          <w:rFonts w:ascii="Times New Roman" w:hAnsi="Times New Roman" w:eastAsia="Times New Roman" w:cs="Times New Roman"/>
          <w:sz w:val="20"/>
          <w:szCs w:val="20"/>
        </w:rPr>
      </w:pPr>
      <w:r>
        <w:rPr>
          <w:rFonts w:ascii="Times New Roman" w:hAnsi="Times New Roman" w:eastAsia="Times New Roman" w:cs="Times New Roman"/>
          <w:sz w:val="20"/>
          <w:szCs w:val="20"/>
        </w:rPr>
        <w:t>If the UE has a serving cell fulfilling the S criterion according to clause 8.2 of [TS 38.304]</w:t>
      </w:r>
    </w:p>
    <w:p>
      <w:pPr>
        <w:spacing w:after="180"/>
        <w:ind w:left="568" w:hanging="284"/>
        <w:rPr>
          <w:rFonts w:ascii="Times New Roman" w:hAnsi="Times New Roman" w:eastAsia="宋体" w:cs="Times New Roman"/>
          <w:sz w:val="20"/>
          <w:szCs w:val="20"/>
          <w:lang w:val="en-GB"/>
        </w:rPr>
      </w:pPr>
      <w:r>
        <w:rPr>
          <w:rFonts w:ascii="Times New Roman" w:hAnsi="Times New Roman" w:eastAsia="宋体" w:cs="Times New Roman"/>
          <w:sz w:val="20"/>
          <w:szCs w:val="20"/>
        </w:rPr>
        <w:t>-</w:t>
      </w:r>
      <w:r>
        <w:rPr>
          <w:rFonts w:ascii="Times New Roman" w:hAnsi="Times New Roman" w:eastAsia="宋体" w:cs="Times New Roman"/>
          <w:sz w:val="20"/>
          <w:szCs w:val="20"/>
        </w:rPr>
        <w:tab/>
      </w:r>
      <w:r>
        <w:rPr>
          <w:rFonts w:ascii="Times New Roman" w:hAnsi="Times New Roman" w:eastAsia="宋体" w:cs="Times New Roman"/>
          <w:sz w:val="20"/>
          <w:szCs w:val="20"/>
        </w:rPr>
        <w:t xml:space="preserve">The timing of reference radio frame </w:t>
      </w:r>
      <m:oMath>
        <m:r>
          <w:rPr>
            <w:rFonts w:ascii="Cambria Math" w:hAnsi="Cambria Math" w:eastAsia="宋体" w:cs="Times New Roman"/>
            <w:sz w:val="20"/>
            <w:szCs w:val="20"/>
          </w:rPr>
          <m:t>i</m:t>
        </m:r>
      </m:oMath>
      <w:r>
        <w:rPr>
          <w:rFonts w:ascii="Times New Roman" w:hAnsi="Times New Roman" w:eastAsia="宋体" w:cs="Times New Roman"/>
          <w:sz w:val="20"/>
          <w:szCs w:val="20"/>
        </w:rPr>
        <w:t xml:space="preserve"> equals that of downlink radio frame </w:t>
      </w:r>
      <m:oMath>
        <m:r>
          <w:rPr>
            <w:rFonts w:ascii="Cambria Math" w:hAnsi="Cambria Math" w:eastAsia="宋体" w:cs="Times New Roman"/>
            <w:sz w:val="20"/>
            <w:szCs w:val="20"/>
          </w:rPr>
          <m:t>i</m:t>
        </m:r>
      </m:oMath>
      <w:r>
        <w:rPr>
          <w:rFonts w:ascii="Times New Roman" w:hAnsi="Times New Roman" w:eastAsia="宋体" w:cs="Times New Roman"/>
          <w:sz w:val="20"/>
          <w:szCs w:val="20"/>
        </w:rPr>
        <w:t xml:space="preserve"> in the cell with the same uplink carrier frequency as the sidelink and</w:t>
      </w:r>
    </w:p>
    <w:p>
      <w:pPr>
        <w:spacing w:after="180"/>
        <w:ind w:left="568" w:hanging="284"/>
        <w:rPr>
          <w:rFonts w:ascii="Times New Roman" w:hAnsi="Times New Roman" w:eastAsia="宋体" w:cs="Times New Roman"/>
          <w:sz w:val="20"/>
          <w:szCs w:val="20"/>
          <w:u w:val="single"/>
        </w:rPr>
      </w:pPr>
      <w:r>
        <w:rPr>
          <w:rFonts w:ascii="Times New Roman" w:hAnsi="Times New Roman" w:eastAsia="宋体" w:cs="Times New Roman"/>
          <w:sz w:val="20"/>
          <w:szCs w:val="20"/>
        </w:rPr>
        <w:t>-</w:t>
      </w:r>
      <w:r>
        <w:rPr>
          <w:rFonts w:ascii="Times New Roman" w:hAnsi="Times New Roman" w:eastAsia="宋体" w:cs="Times New Roman"/>
          <w:sz w:val="20"/>
          <w:szCs w:val="20"/>
        </w:rPr>
        <w:tab/>
      </w:r>
      <m:oMath>
        <m:sSub>
          <m:sSubPr>
            <m:ctrlPr>
              <w:rPr>
                <w:rFonts w:ascii="Cambria Math" w:hAnsi="Cambria Math" w:eastAsia="宋体" w:cs="Times New Roman"/>
                <w:sz w:val="20"/>
                <w:szCs w:val="20"/>
                <w:highlight w:val="yellow"/>
              </w:rPr>
            </m:ctrlPr>
          </m:sSubPr>
          <m:e>
            <m:r>
              <w:rPr>
                <w:rFonts w:ascii="Cambria Math" w:hAnsi="Cambria Math" w:eastAsia="宋体" w:cs="Times New Roman"/>
                <w:sz w:val="20"/>
                <w:szCs w:val="20"/>
                <w:highlight w:val="yellow"/>
              </w:rPr>
              <m:t>N</m:t>
            </m:r>
            <m:ctrlPr>
              <w:rPr>
                <w:rFonts w:ascii="Cambria Math" w:hAnsi="Cambria Math" w:eastAsia="宋体" w:cs="Times New Roman"/>
                <w:sz w:val="20"/>
                <w:szCs w:val="20"/>
                <w:highlight w:val="yellow"/>
              </w:rPr>
            </m:ctrlPr>
          </m:e>
          <m:sub>
            <m:r>
              <m:rPr>
                <m:sty m:val="p"/>
              </m:rPr>
              <w:rPr>
                <w:rFonts w:ascii="Cambria Math" w:hAnsi="Cambria Math" w:eastAsia="宋体" w:cs="Times New Roman"/>
                <w:sz w:val="20"/>
                <w:szCs w:val="20"/>
                <w:highlight w:val="yellow"/>
              </w:rPr>
              <m:t>TA,offset</m:t>
            </m:r>
            <m:ctrlPr>
              <w:rPr>
                <w:rFonts w:ascii="Cambria Math" w:hAnsi="Cambria Math" w:eastAsia="宋体" w:cs="Times New Roman"/>
                <w:sz w:val="20"/>
                <w:szCs w:val="20"/>
                <w:highlight w:val="yellow"/>
              </w:rPr>
            </m:ctrlPr>
          </m:sub>
        </m:sSub>
      </m:oMath>
      <w:r>
        <w:rPr>
          <w:rFonts w:ascii="Times New Roman" w:hAnsi="Times New Roman" w:eastAsia="宋体" w:cs="Times New Roman"/>
          <w:sz w:val="20"/>
          <w:szCs w:val="20"/>
          <w:highlight w:val="yellow"/>
        </w:rPr>
        <w:t xml:space="preserve"> is given by clause 4.3.1 of [TS 38.211],</w:t>
      </w:r>
    </w:p>
    <w:p>
      <w:pPr>
        <w:spacing w:after="180"/>
        <w:rPr>
          <w:rFonts w:ascii="Times New Roman" w:hAnsi="Times New Roman" w:eastAsia="宋体" w:cs="Times New Roman"/>
          <w:sz w:val="20"/>
          <w:szCs w:val="20"/>
        </w:rPr>
      </w:pPr>
      <w:r>
        <w:rPr>
          <w:rFonts w:ascii="Times New Roman" w:hAnsi="Times New Roman" w:eastAsia="Times New Roman" w:cs="Times New Roman"/>
          <w:sz w:val="20"/>
          <w:szCs w:val="20"/>
        </w:rPr>
        <w:t xml:space="preserve">Otherwise </w:t>
      </w:r>
    </w:p>
    <w:p>
      <w:pPr>
        <w:spacing w:after="180"/>
        <w:ind w:left="568" w:hanging="284"/>
        <w:rPr>
          <w:rFonts w:ascii="Times New Roman" w:hAnsi="Times New Roman" w:eastAsia="Times New Roman" w:cs="Times New Roman"/>
          <w:sz w:val="20"/>
          <w:szCs w:val="20"/>
          <w:lang w:val="en-GB"/>
        </w:rPr>
      </w:pPr>
      <w:r>
        <w:rPr>
          <w:rFonts w:ascii="Times New Roman" w:hAnsi="Times New Roman" w:eastAsia="宋体" w:cs="Times New Roman"/>
          <w:sz w:val="20"/>
          <w:szCs w:val="20"/>
        </w:rPr>
        <w:t>-</w:t>
      </w:r>
      <w:r>
        <w:rPr>
          <w:rFonts w:ascii="Times New Roman" w:hAnsi="Times New Roman" w:eastAsia="宋体" w:cs="Times New Roman"/>
          <w:sz w:val="20"/>
          <w:szCs w:val="20"/>
        </w:rPr>
        <w:tab/>
      </w:r>
      <w:r>
        <w:rPr>
          <w:rFonts w:ascii="Times New Roman" w:hAnsi="Times New Roman" w:eastAsia="宋体" w:cs="Times New Roman"/>
          <w:sz w:val="20"/>
          <w:szCs w:val="20"/>
        </w:rPr>
        <w:t xml:space="preserve">The timing of reference radio frame </w:t>
      </w:r>
      <w:r>
        <w:rPr>
          <w:rFonts w:ascii="Times New Roman" w:hAnsi="Times New Roman" w:eastAsia="宋体" w:cs="Times New Roman"/>
          <w:i/>
          <w:sz w:val="20"/>
          <w:szCs w:val="20"/>
        </w:rPr>
        <w:t>i</w:t>
      </w:r>
      <w:r>
        <w:rPr>
          <w:rFonts w:ascii="Times New Roman" w:hAnsi="Times New Roman" w:eastAsia="宋体" w:cs="Times New Roman"/>
          <w:sz w:val="20"/>
          <w:szCs w:val="20"/>
        </w:rPr>
        <w:t xml:space="preserve"> is implicitly obtained from clause 4.2 of [TS 38.213] and</w:t>
      </w:r>
    </w:p>
    <w:p>
      <w:pPr>
        <w:spacing w:after="180"/>
        <w:ind w:left="568" w:hanging="284"/>
        <w:rPr>
          <w:rFonts w:ascii="CG Times (WN)" w:hAnsi="CG Times (WN)" w:eastAsia="宋体" w:cs="Times New Roman"/>
          <w:sz w:val="20"/>
          <w:szCs w:val="20"/>
        </w:rPr>
      </w:pPr>
      <w:r>
        <w:rPr>
          <w:rFonts w:ascii="CG Times (WN)" w:hAnsi="CG Times (WN)" w:eastAsia="宋体" w:cs="Times New Roman"/>
          <w:sz w:val="20"/>
          <w:szCs w:val="20"/>
        </w:rPr>
        <w:t>-</w:t>
      </w:r>
      <w:r>
        <w:rPr>
          <w:rFonts w:ascii="CG Times (WN)" w:hAnsi="CG Times (WN)" w:eastAsia="宋体" w:cs="Times New Roman"/>
          <w:sz w:val="20"/>
          <w:szCs w:val="20"/>
        </w:rPr>
        <w:tab/>
      </w:r>
      <m:oMath>
        <m:sSub>
          <m:sSubPr>
            <m:ctrlPr>
              <w:rPr>
                <w:rFonts w:ascii="Cambria Math" w:hAnsi="Cambria Math" w:eastAsia="宋体" w:cs="Times New Roman"/>
                <w:sz w:val="20"/>
                <w:szCs w:val="20"/>
                <w:highlight w:val="yellow"/>
              </w:rPr>
            </m:ctrlPr>
          </m:sSubPr>
          <m:e>
            <m:r>
              <w:rPr>
                <w:rFonts w:ascii="Cambria Math" w:hAnsi="Cambria Math" w:eastAsia="宋体" w:cs="Times New Roman"/>
                <w:sz w:val="20"/>
                <w:szCs w:val="20"/>
                <w:highlight w:val="yellow"/>
              </w:rPr>
              <m:t>N</m:t>
            </m:r>
            <m:ctrlPr>
              <w:rPr>
                <w:rFonts w:ascii="Cambria Math" w:hAnsi="Cambria Math" w:eastAsia="宋体" w:cs="Times New Roman"/>
                <w:sz w:val="20"/>
                <w:szCs w:val="20"/>
                <w:highlight w:val="yellow"/>
              </w:rPr>
            </m:ctrlPr>
          </m:e>
          <m:sub>
            <m:r>
              <m:rPr>
                <m:sty m:val="p"/>
              </m:rPr>
              <w:rPr>
                <w:rFonts w:ascii="Cambria Math" w:hAnsi="Cambria Math" w:eastAsia="宋体" w:cs="Times New Roman"/>
                <w:sz w:val="20"/>
                <w:szCs w:val="20"/>
                <w:highlight w:val="yellow"/>
              </w:rPr>
              <m:t>TA,offset</m:t>
            </m:r>
            <m:ctrlPr>
              <w:rPr>
                <w:rFonts w:ascii="Cambria Math" w:hAnsi="Cambria Math" w:eastAsia="宋体" w:cs="Times New Roman"/>
                <w:sz w:val="20"/>
                <w:szCs w:val="20"/>
                <w:highlight w:val="yellow"/>
              </w:rPr>
            </m:ctrlPr>
          </m:sub>
        </m:sSub>
        <m:r>
          <w:rPr>
            <w:rFonts w:ascii="Cambria Math" w:hAnsi="Cambria Math" w:eastAsia="宋体" w:cs="Times New Roman"/>
            <w:sz w:val="20"/>
            <w:szCs w:val="20"/>
            <w:highlight w:val="yellow"/>
          </w:rPr>
          <m:t>=0</m:t>
        </m:r>
      </m:oMath>
      <w:r>
        <w:rPr>
          <w:rFonts w:ascii="CG Times (WN)" w:hAnsi="CG Times (WN)" w:eastAsia="宋体" w:cs="Times New Roman"/>
          <w:sz w:val="20"/>
          <w:szCs w:val="20"/>
        </w:rPr>
        <w:t>.</w:t>
      </w:r>
    </w:p>
    <w:p/>
    <w:p>
      <w:r>
        <w:t xml:space="preserve">It seems that for UL </w:t>
      </w:r>
      <w:bookmarkStart w:id="3" w:name="_Hlk96497518"/>
      <w:r>
        <w:t>N</w:t>
      </w:r>
      <w:r>
        <w:rPr>
          <w:vertAlign w:val="subscript"/>
        </w:rPr>
        <w:t>TA,offset</w:t>
      </w:r>
      <w:r>
        <w:t xml:space="preserve"> value</w:t>
      </w:r>
      <w:bookmarkEnd w:id="3"/>
      <w:r>
        <w:t>s are specified in 38.133, so in the draft CR it was proposed to keep the reference to 38.133 and further specify which clauses of 38.133 are relevant in different cases. Another option could be to delete reference to 38.133. The 3</w:t>
      </w:r>
      <w:r>
        <w:rPr>
          <w:vertAlign w:val="superscript"/>
        </w:rPr>
        <w:t>rd</w:t>
      </w:r>
      <w:r>
        <w:t xml:space="preserve"> option could be not to change anything.</w:t>
      </w:r>
    </w:p>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Question 1: Do you think that N</w:t>
      </w:r>
      <w:r>
        <w:rPr>
          <w:rFonts w:ascii="Times New Roman" w:hAnsi="Times New Roman"/>
          <w:b/>
          <w:szCs w:val="24"/>
          <w:vertAlign w:val="subscript"/>
        </w:rPr>
        <w:t>TA,offset</w:t>
      </w:r>
      <w:r>
        <w:rPr>
          <w:rFonts w:ascii="Times New Roman" w:hAnsi="Times New Roman"/>
          <w:b/>
          <w:szCs w:val="24"/>
        </w:rPr>
        <w:t xml:space="preserve"> value definition/reference should be clarified in the clause 8.5 of 38.211?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OPPO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vivo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No.</w:t>
            </w:r>
          </w:p>
          <w:p>
            <w:pPr>
              <w:rPr>
                <w:rFonts w:ascii="Times New Roman" w:hAnsi="Times New Roman" w:cs="Times New Roman"/>
                <w:sz w:val="24"/>
                <w:szCs w:val="24"/>
              </w:rPr>
            </w:pPr>
            <w:r>
              <w:rPr>
                <w:rFonts w:ascii="Times New Roman" w:hAnsi="Times New Roman" w:cs="Times New Roman"/>
                <w:sz w:val="24"/>
                <w:szCs w:val="24"/>
              </w:rPr>
              <w:t>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highlighted part is correct, which is defined for reception perspective.</w:t>
            </w:r>
          </w:p>
          <w:p>
            <w:pPr>
              <w:rPr>
                <w:rFonts w:ascii="Times New Roman" w:hAnsi="Times New Roman" w:eastAsia="ＭＳ 明朝" w:cs="Times New Roman"/>
                <w:sz w:val="24"/>
                <w:szCs w:val="24"/>
              </w:rPr>
            </w:pPr>
            <w:r>
              <w:rPr>
                <w:rFonts w:ascii="Times New Roman" w:hAnsi="Times New Roman" w:cs="Times New Roman"/>
                <w:sz w:val="24"/>
                <w:szCs w:val="24"/>
              </w:rPr>
              <w:t>For the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highlighted part, we </w:t>
            </w:r>
            <w:r>
              <w:rPr>
                <w:rFonts w:ascii="Times New Roman" w:hAnsi="Times New Roman" w:eastAsia="ＭＳ 明朝" w:cs="Times New Roman"/>
                <w:sz w:val="24"/>
                <w:szCs w:val="24"/>
              </w:rPr>
              <w:t>tend to agree with Qualcomm’s analysis that the current reference is correct.</w:t>
            </w:r>
          </w:p>
          <w:p>
            <w:pPr>
              <w:rPr>
                <w:rFonts w:ascii="Times New Roman" w:hAnsi="Times New Roman" w:eastAsia="ＭＳ 明朝" w:cs="Times New Roman"/>
                <w:sz w:val="24"/>
                <w:szCs w:val="24"/>
              </w:rPr>
            </w:pPr>
            <w:r>
              <w:rPr>
                <w:rFonts w:ascii="Times New Roman" w:hAnsi="Times New Roman" w:eastAsia="ＭＳ 明朝" w:cs="Times New Roman"/>
                <w:sz w:val="24"/>
                <w:szCs w:val="24"/>
              </w:rPr>
              <w:t>For the 3</w:t>
            </w:r>
            <w:r>
              <w:rPr>
                <w:rFonts w:ascii="Times New Roman" w:hAnsi="Times New Roman" w:eastAsia="ＭＳ 明朝" w:cs="Times New Roman"/>
                <w:sz w:val="24"/>
                <w:szCs w:val="24"/>
                <w:vertAlign w:val="superscript"/>
              </w:rPr>
              <w:t>rd</w:t>
            </w:r>
            <w:r>
              <w:rPr>
                <w:rFonts w:ascii="Times New Roman" w:hAnsi="Times New Roman" w:eastAsia="ＭＳ 明朝" w:cs="Times New Roman"/>
                <w:sz w:val="24"/>
                <w:szCs w:val="24"/>
              </w:rPr>
              <w:t xml:space="preserve"> highlighted part, the current spec is clear regarding </w:t>
            </w:r>
            <w:r>
              <w:rPr>
                <w:sz w:val="24"/>
                <w:szCs w:val="24"/>
              </w:rPr>
              <w:t>N</w:t>
            </w:r>
            <w:r>
              <w:rPr>
                <w:sz w:val="24"/>
                <w:szCs w:val="24"/>
                <w:vertAlign w:val="subscript"/>
              </w:rPr>
              <w:t>TA,offset</w:t>
            </w:r>
            <w:r>
              <w:rPr>
                <w:sz w:val="24"/>
                <w:szCs w:val="24"/>
              </w:rPr>
              <w:t xml:space="preserve"> </w:t>
            </w:r>
            <w:r>
              <w:rPr>
                <w:rFonts w:ascii="Times New Roman" w:hAnsi="Times New Roman" w:eastAsia="ＭＳ 明朝" w:cs="Times New Roman"/>
                <w:sz w:val="24"/>
                <w:szCs w:val="24"/>
              </w:rPr>
              <w:t>= 0, no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NTT DOCOMO</w:t>
            </w:r>
          </w:p>
        </w:tc>
        <w:tc>
          <w:tcPr>
            <w:tcW w:w="6952"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cs="Times New Roman"/>
                <w:sz w:val="24"/>
                <w:szCs w:val="24"/>
              </w:rPr>
            </w:pPr>
            <w:r>
              <w:rPr>
                <w:rFonts w:hint="eastAsia" w:ascii="Times New Roman" w:hAnsi="Times New Roman" w:eastAsia="ＭＳ 明朝" w:cs="Times New Roman"/>
                <w:sz w:val="24"/>
                <w:szCs w:val="24"/>
              </w:rPr>
              <w:t>S</w:t>
            </w:r>
            <w:r>
              <w:rPr>
                <w:rFonts w:ascii="Times New Roman" w:hAnsi="Times New Roman" w:eastAsia="ＭＳ 明朝" w:cs="Times New Roman"/>
                <w:sz w:val="24"/>
                <w:szCs w:val="24"/>
              </w:rPr>
              <w:t>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cs="Times New Roman"/>
                <w:sz w:val="24"/>
                <w:szCs w:val="24"/>
              </w:rPr>
            </w:pPr>
            <w:r>
              <w:rPr>
                <w:rFonts w:hint="eastAsia" w:ascii="Times New Roman" w:hAnsi="Times New Roman" w:eastAsia="ＭＳ 明朝" w:cs="Times New Roman"/>
                <w:sz w:val="24"/>
                <w:szCs w:val="24"/>
              </w:rPr>
              <w:t>S</w:t>
            </w:r>
            <w:r>
              <w:rPr>
                <w:rFonts w:ascii="Times New Roman" w:hAnsi="Times New Roman" w:eastAsia="ＭＳ 明朝" w:cs="Times New Roman"/>
                <w:sz w:val="24"/>
                <w:szCs w:val="24"/>
              </w:rPr>
              <w:t>ame view with vivo.</w:t>
            </w:r>
          </w:p>
        </w:tc>
      </w:tr>
    </w:tbl>
    <w:p/>
    <w:p/>
    <w:p>
      <w:pPr>
        <w:pStyle w:val="3"/>
      </w:pPr>
      <w:r>
        <w:t>N</w:t>
      </w:r>
      <w:r>
        <w:rPr>
          <w:vertAlign w:val="subscript"/>
        </w:rPr>
        <w:t>TA,offset</w:t>
      </w:r>
      <w:r>
        <w:t xml:space="preserve"> determination when UE has a serving cell fulfilling the S criterion</w:t>
      </w:r>
    </w:p>
    <w:p>
      <w:pPr>
        <w:rPr>
          <w:lang w:val="en-GB"/>
        </w:rPr>
      </w:pPr>
      <w:r>
        <w:rPr>
          <w:lang w:val="en-GB"/>
        </w:rPr>
        <w:t>There seems to be different views if the change in the draft CR should be agreed:</w:t>
      </w:r>
    </w:p>
    <w:p>
      <w:pPr>
        <w:rPr>
          <w:lang w:val="en-GB"/>
        </w:rPr>
      </w:pPr>
      <w:r>
        <w:rPr>
          <w:rFonts w:ascii="Times New Roman" w:hAnsi="Times New Roman" w:cs="Times New Roman"/>
          <w:sz w:val="20"/>
          <w:szCs w:val="20"/>
        </w:rPr>
        <w:t>I</w:t>
      </w:r>
      <w:del w:id="58" w:author="Lindholm, Jari (Nokia - FI/Espoo)" w:date="2022-02-14T11:51:00Z">
        <w:r>
          <w:rPr>
            <w:rFonts w:ascii="Times New Roman" w:hAnsi="Times New Roman" w:cs="Times New Roman"/>
            <w:sz w:val="20"/>
            <w:szCs w:val="20"/>
          </w:rPr>
          <w:delText>f the UE has</w:delText>
        </w:r>
      </w:del>
      <w:ins w:id="59" w:author="Lindholm, Jari (Nokia - FI/Espoo)" w:date="2022-02-14T11:51:00Z">
        <w:r>
          <w:rPr>
            <w:rFonts w:ascii="Times New Roman" w:hAnsi="Times New Roman" w:cs="Times New Roman"/>
            <w:sz w:val="20"/>
            <w:szCs w:val="20"/>
          </w:rPr>
          <w:t>n</w:t>
        </w:r>
      </w:ins>
      <w:r>
        <w:rPr>
          <w:rFonts w:ascii="Times New Roman" w:hAnsi="Times New Roman" w:cs="Times New Roman"/>
          <w:sz w:val="20"/>
          <w:szCs w:val="20"/>
        </w:rPr>
        <w:t xml:space="preserve"> a serving cell fulfilling the S criterion according</w:t>
      </w:r>
      <w:r>
        <w:rPr>
          <w:lang w:val="en-GB"/>
        </w:rPr>
        <w:t xml:space="preserve">  </w:t>
      </w:r>
    </w:p>
    <w:p>
      <w:pPr>
        <w:rPr>
          <w:lang w:val="en-GB"/>
        </w:rPr>
      </w:pPr>
    </w:p>
    <w:p>
      <w:pPr>
        <w:rPr>
          <w:lang w:val="en-GB"/>
        </w:rPr>
      </w:pPr>
      <w:r>
        <w:rPr>
          <w:lang w:val="en-GB"/>
        </w:rPr>
        <w:t>The following options could be considered:</w:t>
      </w:r>
    </w:p>
    <w:p>
      <w:pPr>
        <w:pStyle w:val="96"/>
        <w:numPr>
          <w:ilvl w:val="0"/>
          <w:numId w:val="8"/>
        </w:numPr>
        <w:rPr>
          <w:lang w:val="en-GB"/>
        </w:rPr>
      </w:pPr>
      <w:r>
        <w:rPr>
          <w:lang w:val="en-GB"/>
        </w:rPr>
        <w:t>Option 1: Adopt the change proposed in the draft CR</w:t>
      </w:r>
    </w:p>
    <w:p>
      <w:pPr>
        <w:pStyle w:val="96"/>
        <w:numPr>
          <w:ilvl w:val="0"/>
          <w:numId w:val="8"/>
        </w:numPr>
        <w:rPr>
          <w:lang w:val="en-GB"/>
        </w:rPr>
      </w:pPr>
      <w:r>
        <w:rPr>
          <w:lang w:val="en-GB"/>
        </w:rPr>
        <w:t>Option 2: The wording of the change is improved e.g. as proposed by OPPO</w:t>
      </w:r>
    </w:p>
    <w:p>
      <w:pPr>
        <w:pStyle w:val="96"/>
        <w:numPr>
          <w:ilvl w:val="0"/>
          <w:numId w:val="8"/>
        </w:numPr>
        <w:rPr>
          <w:lang w:val="en-GB"/>
        </w:rPr>
      </w:pPr>
      <w:r>
        <w:rPr>
          <w:lang w:val="en-GB"/>
        </w:rPr>
        <w:t xml:space="preserve">Option 3: No change to 38.211. </w:t>
      </w:r>
    </w:p>
    <w:p>
      <w:pPr>
        <w:pStyle w:val="96"/>
        <w:numPr>
          <w:ilvl w:val="1"/>
          <w:numId w:val="8"/>
        </w:numPr>
        <w:rPr>
          <w:lang w:val="en-GB"/>
        </w:rPr>
      </w:pPr>
      <w:r>
        <w:rPr>
          <w:lang w:val="en-GB"/>
        </w:rPr>
        <w:t xml:space="preserve">If 38.211 is not changed do you agree with the interpretation/comment from LG so that </w:t>
      </w:r>
      <w:r>
        <w:rPr>
          <w:i/>
          <w:iCs/>
        </w:rPr>
        <w:t>N</w:t>
      </w:r>
      <w:r>
        <w:rPr>
          <w:i/>
          <w:iCs/>
          <w:vertAlign w:val="subscript"/>
        </w:rPr>
        <w:t>TA,offset</w:t>
      </w:r>
      <w:r>
        <w:rPr>
          <w:rFonts w:eastAsia="等线"/>
          <w:bCs/>
        </w:rPr>
        <w:t xml:space="preserve"> </w:t>
      </w:r>
      <w:r>
        <w:rPr>
          <w:rFonts w:eastAsia="等线" w:cstheme="minorHAnsi"/>
          <w:bCs/>
        </w:rPr>
        <w:t>≠</w:t>
      </w:r>
      <w:r>
        <w:rPr>
          <w:rFonts w:eastAsia="等线"/>
          <w:bCs/>
        </w:rPr>
        <w:t xml:space="preserve"> 0 is supported in the dedicated SL carrier</w:t>
      </w:r>
    </w:p>
    <w:p>
      <w:pPr>
        <w:rPr>
          <w:lang w:val="en-GB"/>
        </w:rPr>
      </w:pPr>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 xml:space="preserve">Question 2: Which of the options above should be selected?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O</w:t>
            </w:r>
            <w:r>
              <w:rPr>
                <w:rFonts w:ascii="Times New Roman" w:hAnsi="Times New Roman"/>
                <w:sz w:val="24"/>
                <w:szCs w:val="24"/>
              </w:rPr>
              <w:t>PPO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O</w:t>
            </w:r>
            <w:r>
              <w:rPr>
                <w:rFonts w:ascii="Times New Roman" w:hAnsi="Times New Roman"/>
                <w:sz w:val="24"/>
                <w:szCs w:val="24"/>
              </w:rPr>
              <w:t xml:space="preserve">ption 2 is preferred. It uses the same description as 38.133 which is more clear and not controversial. </w:t>
            </w:r>
          </w:p>
          <w:p>
            <w:pPr>
              <w:rPr>
                <w:rFonts w:ascii="Times New Roman" w:hAnsi="Times New Roman"/>
                <w:sz w:val="24"/>
                <w:szCs w:val="24"/>
              </w:rPr>
            </w:pPr>
          </w:p>
          <w:p>
            <w:pPr>
              <w:rPr>
                <w:rFonts w:ascii="Times New Roman" w:hAnsi="Times New Roman"/>
                <w:sz w:val="24"/>
                <w:szCs w:val="24"/>
              </w:rPr>
            </w:pPr>
            <w:r>
              <w:rPr>
                <w:rFonts w:hint="eastAsia" w:ascii="Times New Roman" w:hAnsi="Times New Roman"/>
                <w:sz w:val="24"/>
                <w:szCs w:val="24"/>
              </w:rPr>
              <w:t>B</w:t>
            </w:r>
            <w:r>
              <w:rPr>
                <w:rFonts w:ascii="Times New Roman" w:hAnsi="Times New Roman"/>
                <w:sz w:val="24"/>
                <w:szCs w:val="24"/>
              </w:rPr>
              <w:t xml:space="preserve">TW, for option 3, we have different understanding with LGE. According to the description in 12.1 and 12.2.3 in 38.133 (copied below), in case of SL and UL on different carriers and UE has a serving cell, </w:t>
            </w:r>
            <w:r>
              <w:rPr>
                <w:position w:val="-12"/>
              </w:rPr>
              <w:object>
                <v:shape id="_x0000_i1025" o:spt="75" type="#_x0000_t75" style="height:15pt;width:36.3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rPr>
              <w:t xml:space="preserve"> = 0</w:t>
            </w:r>
            <w:r>
              <w:t xml:space="preserve">. </w:t>
            </w:r>
          </w:p>
          <w:p>
            <w:pPr>
              <w:rPr>
                <w:rFonts w:ascii="Times New Roman" w:hAnsi="Times New Roman"/>
                <w:sz w:val="24"/>
                <w:szCs w:val="24"/>
              </w:rPr>
            </w:pPr>
          </w:p>
          <w:p>
            <w:pPr>
              <w:pStyle w:val="3"/>
              <w:numPr>
                <w:ilvl w:val="0"/>
                <w:numId w:val="0"/>
              </w:numPr>
              <w:ind w:left="357" w:hanging="357"/>
            </w:pPr>
            <w:r>
              <w:t>12.1</w:t>
            </w:r>
            <w:r>
              <w:tab/>
            </w:r>
            <w:r>
              <w:t>Introduction</w:t>
            </w:r>
          </w:p>
          <w:p>
            <w:r>
              <w:t xml:space="preserve">This clause contains the requirements for the UE capable of </w:t>
            </w:r>
            <w:r>
              <w:rPr>
                <w:rFonts w:hint="eastAsia"/>
              </w:rPr>
              <w:t>V2X sidelink</w:t>
            </w:r>
            <w:r>
              <w:t xml:space="preserve"> </w:t>
            </w:r>
            <w:r>
              <w:rPr>
                <w:rFonts w:hint="eastAsia"/>
              </w:rPr>
              <w:t>c</w:t>
            </w:r>
            <w:r>
              <w:t xml:space="preserve">ommunication when the UE is out of coverage on the carrier used for </w:t>
            </w:r>
            <w:r>
              <w:rPr>
                <w:rFonts w:hint="eastAsia"/>
              </w:rPr>
              <w:t>V2X</w:t>
            </w:r>
            <w:r>
              <w:t xml:space="preserve"> </w:t>
            </w:r>
            <w:r>
              <w:rPr>
                <w:rFonts w:hint="eastAsia"/>
              </w:rPr>
              <w:t xml:space="preserve">sidelink </w:t>
            </w:r>
            <w:r>
              <w:t>operation, as defined in TS 38.304 [1]. The requirement</w:t>
            </w:r>
            <w:r>
              <w:rPr>
                <w:rFonts w:hint="eastAsia"/>
              </w:rPr>
              <w:t>s</w:t>
            </w:r>
            <w:r>
              <w:t xml:space="preserve"> apply when the UE is:</w:t>
            </w:r>
          </w:p>
          <w:p>
            <w:pPr>
              <w:pStyle w:val="82"/>
            </w:pPr>
            <w:r>
              <w:t>-</w:t>
            </w:r>
            <w:r>
              <w:tab/>
            </w:r>
            <w:r>
              <w:t>in any cell selection state, or,</w:t>
            </w:r>
          </w:p>
          <w:p>
            <w:pPr>
              <w:pStyle w:val="82"/>
            </w:pPr>
            <w:r>
              <w:rPr>
                <w:rFonts w:hint="eastAsia"/>
                <w:lang w:eastAsia="ko-KR"/>
              </w:rPr>
              <w:t>-</w:t>
            </w:r>
            <w:r>
              <w:rPr>
                <w:lang w:eastAsia="ko-KR"/>
              </w:rPr>
              <w:tab/>
            </w:r>
            <w:r>
              <w:rPr>
                <w:highlight w:val="yellow"/>
              </w:rPr>
              <w:t>configured for V2X SL operation on a V2X carrier which is dedicated to only V2X SL operation and configured with only a PCell on WAN carrier</w:t>
            </w:r>
            <w:r>
              <w:t>.</w:t>
            </w:r>
          </w:p>
          <w:p>
            <w:pPr>
              <w:rPr>
                <w:rFonts w:ascii="Times New Roman" w:hAnsi="Times New Roman"/>
                <w:sz w:val="24"/>
                <w:szCs w:val="24"/>
              </w:rPr>
            </w:pPr>
          </w:p>
          <w:p>
            <w:pPr>
              <w:pStyle w:val="4"/>
              <w:numPr>
                <w:ilvl w:val="0"/>
                <w:numId w:val="0"/>
              </w:numPr>
              <w:ind w:left="357" w:hanging="357"/>
            </w:pPr>
            <w:r>
              <w:t>12.2.</w:t>
            </w:r>
            <w:r>
              <w:rPr>
                <w:rFonts w:hint="eastAsia"/>
              </w:rPr>
              <w:t>3</w:t>
            </w:r>
            <w:r>
              <w:tab/>
            </w:r>
            <w:r>
              <w:rPr>
                <w:lang w:eastAsia="en-GB"/>
              </w:rPr>
              <w:t>NR Cell</w:t>
            </w:r>
            <w:r>
              <w:rPr>
                <w:rFonts w:hint="eastAsia"/>
              </w:rPr>
              <w:t xml:space="preserve"> as </w:t>
            </w:r>
            <w:r>
              <w:rPr>
                <w:lang w:eastAsia="en-GB"/>
              </w:rPr>
              <w:t>synchronization reference source</w:t>
            </w:r>
          </w:p>
          <w:p>
            <w:r>
              <w:t xml:space="preserve">The requirements in this subclause are applicable when the </w:t>
            </w:r>
            <w:r>
              <w:rPr>
                <w:highlight w:val="yellow"/>
              </w:rPr>
              <w:t>reference timing used for s</w:t>
            </w:r>
            <w:r>
              <w:rPr>
                <w:rFonts w:hint="eastAsia"/>
                <w:highlight w:val="yellow"/>
              </w:rPr>
              <w:t>idelink</w:t>
            </w:r>
            <w:r>
              <w:rPr>
                <w:highlight w:val="yellow"/>
              </w:rPr>
              <w:t xml:space="preserve"> transmissions is a NR serving cell </w:t>
            </w:r>
            <w:r>
              <w:rPr>
                <w:rFonts w:hint="eastAsia" w:eastAsia="Malgun Gothic"/>
                <w:highlight w:val="yellow"/>
              </w:rPr>
              <w:t>on a non-V2X sidelink carrier</w:t>
            </w:r>
            <w:r>
              <w:t>.</w:t>
            </w:r>
          </w:p>
          <w:p>
            <w:r>
              <w:t xml:space="preserve">The sidelink transmissions takes place </w:t>
            </w:r>
            <w:r>
              <w:rPr>
                <w:position w:val="-14"/>
              </w:rPr>
              <w:object>
                <v:shape id="_x0000_i1026" o:spt="75" type="#_x0000_t75" style="height:15pt;width:107.7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t xml:space="preserve"> before </w:t>
            </w:r>
            <w:r>
              <w:rPr>
                <w:rFonts w:cs="v4.2.0"/>
              </w:rPr>
              <w:t>the reception of the first detected path (in time) of the corresponding downlink frame</w:t>
            </w:r>
            <w:r>
              <w:t xml:space="preserve"> from the reference cell, where </w:t>
            </w:r>
            <w:r>
              <w:rPr>
                <w:position w:val="-12"/>
                <w:highlight w:val="yellow"/>
              </w:rPr>
              <w:object>
                <v:shape id="_x0000_i1027" o:spt="75" type="#_x0000_t75" style="height:15pt;width:36.3pt;" o:ole="t" filled="f" o:preferrelative="t" stroked="f" coordsize="21600,21600">
                  <v:path/>
                  <v:fill on="f" focussize="0,0"/>
                  <v:stroke on="f" joinstyle="miter"/>
                  <v:imagedata r:id="rId5" o:title=""/>
                  <o:lock v:ext="edit" aspectratio="t"/>
                  <w10:wrap type="none"/>
                  <w10:anchorlock/>
                </v:shape>
                <o:OLEObject Type="Embed" ProgID="Equation.DSMT4" ShapeID="_x0000_i1027" DrawAspect="Content" ObjectID="_1468075727" r:id="rId8">
                  <o:LockedField>false</o:LockedField>
                </o:OLEObject>
              </w:object>
            </w:r>
            <w:r>
              <w:rPr>
                <w:rFonts w:hint="eastAsia"/>
                <w:highlight w:val="yellow"/>
              </w:rPr>
              <w:t xml:space="preserve"> = 0</w:t>
            </w:r>
            <w:r>
              <w:rPr>
                <w:rFonts w:hint="eastAsia"/>
              </w:rPr>
              <w:t xml:space="preserve"> </w:t>
            </w:r>
            <w:r>
              <w:t>and</w:t>
            </w:r>
            <w:r>
              <w:rPr>
                <w:position w:val="-14"/>
              </w:rPr>
              <w:object>
                <v:shape id="_x0000_i1028" o:spt="75" type="#_x0000_t75" style="height:21.9pt;width:27.65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r:id="rId9">
                  <o:LockedField>false</o:LockedField>
                </o:OLEObject>
              </w:object>
            </w:r>
            <w:r>
              <w:t>=0</w:t>
            </w:r>
            <w:r>
              <w:rPr>
                <w:rFonts w:hint="eastAsia"/>
              </w:rPr>
              <w:t>.</w:t>
            </w:r>
          </w:p>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vivo</w:t>
            </w:r>
          </w:p>
        </w:tc>
        <w:tc>
          <w:tcPr>
            <w:tcW w:w="6952" w:type="dxa"/>
            <w:tcBorders>
              <w:top w:val="single" w:color="auto" w:sz="4" w:space="0"/>
              <w:left w:val="single" w:color="auto" w:sz="4" w:space="0"/>
              <w:bottom w:val="single" w:color="auto" w:sz="4" w:space="0"/>
              <w:right w:val="single" w:color="auto" w:sz="4" w:space="0"/>
            </w:tcBorders>
          </w:tcPr>
          <w:p>
            <w:r>
              <w:rPr>
                <w:rFonts w:ascii="Times New Roman" w:hAnsi="Times New Roman"/>
                <w:sz w:val="24"/>
                <w:szCs w:val="24"/>
              </w:rPr>
              <w:t xml:space="preserve">Option 3, while in our view, in the dedicated SL carrier </w:t>
            </w:r>
            <w:r>
              <w:rPr>
                <w:position w:val="-12"/>
              </w:rPr>
              <w:object>
                <v:shape id="_x0000_i1029" o:spt="75" type="#_x0000_t75" style="height:15pt;width:36.3pt;" o:ole="t" filled="f" o:preferrelative="t" stroked="f" coordsize="21600,21600">
                  <v:path/>
                  <v:fill on="f" focussize="0,0"/>
                  <v:stroke on="f" joinstyle="miter"/>
                  <v:imagedata r:id="rId5" o:title=""/>
                  <o:lock v:ext="edit" aspectratio="t"/>
                  <w10:wrap type="none"/>
                  <w10:anchorlock/>
                </v:shape>
                <o:OLEObject Type="Embed" ProgID="Equation.DSMT4" ShapeID="_x0000_i1029" DrawAspect="Content" ObjectID="_1468075729" r:id="rId11">
                  <o:LockedField>false</o:LockedField>
                </o:OLEObject>
              </w:object>
            </w:r>
            <w:r>
              <w:rPr>
                <w:rFonts w:hint="eastAsia"/>
              </w:rPr>
              <w:t xml:space="preserve"> = 0</w:t>
            </w:r>
            <w:r>
              <w:t>.</w:t>
            </w:r>
          </w:p>
          <w:p>
            <w:pPr>
              <w:rPr>
                <w:rFonts w:ascii="Times New Roman" w:hAnsi="Times New Roman"/>
                <w:sz w:val="24"/>
                <w:szCs w:val="24"/>
              </w:rPr>
            </w:pPr>
            <w:r>
              <w:rPr>
                <w:rFonts w:ascii="Times New Roman" w:hAnsi="Times New Roman"/>
                <w:sz w:val="24"/>
                <w:szCs w:val="24"/>
              </w:rPr>
              <w:t>Note that Option 2 has a problem as “in-coverage” is something not defined in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sz w:val="24"/>
                <w:szCs w:val="24"/>
              </w:rPr>
            </w:pPr>
            <w:r>
              <w:rPr>
                <w:rFonts w:hint="eastAsia" w:ascii="Times New Roman" w:hAnsi="Times New Roman" w:eastAsia="ＭＳ 明朝"/>
                <w:sz w:val="24"/>
                <w:szCs w:val="24"/>
              </w:rPr>
              <w:t>N</w:t>
            </w:r>
            <w:r>
              <w:rPr>
                <w:rFonts w:ascii="Times New Roman" w:hAnsi="Times New Roman" w:eastAsia="ＭＳ 明朝"/>
                <w:sz w:val="24"/>
                <w:szCs w:val="24"/>
              </w:rPr>
              <w:t>TT DOCOMO</w:t>
            </w:r>
          </w:p>
        </w:tc>
        <w:tc>
          <w:tcPr>
            <w:tcW w:w="6952"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sz w:val="24"/>
                <w:szCs w:val="24"/>
              </w:rPr>
            </w:pPr>
            <w:r>
              <w:rPr>
                <w:rFonts w:hint="eastAsia" w:ascii="Times New Roman" w:hAnsi="Times New Roman" w:eastAsia="ＭＳ 明朝"/>
                <w:sz w:val="24"/>
                <w:szCs w:val="24"/>
              </w:rPr>
              <w:t>E</w:t>
            </w:r>
            <w:r>
              <w:rPr>
                <w:rFonts w:ascii="Times New Roman" w:hAnsi="Times New Roman" w:eastAsia="ＭＳ 明朝"/>
                <w:sz w:val="24"/>
                <w:szCs w:val="24"/>
              </w:rPr>
              <w:t>ither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sz w:val="24"/>
                <w:szCs w:val="24"/>
              </w:rPr>
            </w:pPr>
            <w:r>
              <w:rPr>
                <w:rFonts w:hint="eastAsia" w:ascii="Times New Roman" w:hAnsi="Times New Roman"/>
                <w:sz w:val="24"/>
                <w:szCs w:val="24"/>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Prefer Option 1 and accept Option 2.</w:t>
            </w:r>
          </w:p>
        </w:tc>
      </w:tr>
    </w:tbl>
    <w:p>
      <w:pPr>
        <w:rPr>
          <w:lang w:val="en-GB"/>
        </w:rPr>
      </w:pPr>
    </w:p>
    <w:p>
      <w:pPr>
        <w:rPr>
          <w:lang w:val="en-GB"/>
        </w:rPr>
      </w:pPr>
    </w:p>
    <w:p>
      <w:pPr>
        <w:pStyle w:val="3"/>
      </w:pPr>
      <w:r>
        <w:t>Reference radio frame definition</w:t>
      </w:r>
    </w:p>
    <w:p>
      <w:pPr>
        <w:rPr>
          <w:lang w:val="en-GB"/>
        </w:rPr>
      </w:pPr>
      <w:r>
        <w:rPr>
          <w:lang w:val="en-GB"/>
        </w:rPr>
        <w:t>The wording: “The timing of reference radio frame i is implicitly obtained from 36.213” was originally included in the LTE specification as placeholder until better formulation is agreed. RAN4 has now defined timing definitions for different SL cases (GNSS, eNB, gNB, SyncRef UE) so in the draft CR it was proposed to change the reference to 38.133 which seems to be more relevant than 38.213:</w:t>
      </w:r>
    </w:p>
    <w:p>
      <w:pPr>
        <w:rPr>
          <w:rFonts w:ascii="Times New Roman" w:hAnsi="Times New Roman" w:eastAsia="宋体" w:cs="Times New Roman"/>
          <w:sz w:val="20"/>
        </w:rPr>
      </w:pPr>
      <w:r>
        <w:rPr>
          <w:rFonts w:ascii="Times New Roman" w:hAnsi="Times New Roman" w:cs="Times New Roman"/>
          <w:sz w:val="20"/>
        </w:rPr>
        <w:t xml:space="preserve">Otherwise </w:t>
      </w:r>
    </w:p>
    <w:p>
      <w:pPr>
        <w:rPr>
          <w:rFonts w:ascii="Times New Roman" w:hAnsi="Times New Roman" w:cs="Times New Roman"/>
          <w:sz w:val="20"/>
          <w:lang w:val="en-GB"/>
        </w:rPr>
      </w:pPr>
      <w:r>
        <w:rPr>
          <w:rFonts w:ascii="Times New Roman" w:hAnsi="Times New Roman" w:eastAsia="Calibri" w:cs="Times New Roman"/>
          <w:sz w:val="20"/>
        </w:rPr>
        <w:t>-</w:t>
      </w:r>
      <w:r>
        <w:rPr>
          <w:rFonts w:ascii="Times New Roman" w:hAnsi="Times New Roman" w:eastAsia="Calibri" w:cs="Times New Roman"/>
          <w:sz w:val="20"/>
        </w:rPr>
        <w:tab/>
      </w:r>
      <w:r>
        <w:rPr>
          <w:rFonts w:ascii="Times New Roman" w:hAnsi="Times New Roman" w:eastAsia="Calibri" w:cs="Times New Roman"/>
          <w:sz w:val="20"/>
        </w:rPr>
        <w:t xml:space="preserve">The timing of reference radio frame </w:t>
      </w:r>
      <w:r>
        <w:rPr>
          <w:rFonts w:ascii="Times New Roman" w:hAnsi="Times New Roman" w:eastAsia="Calibri" w:cs="Times New Roman"/>
          <w:i/>
          <w:sz w:val="20"/>
        </w:rPr>
        <w:t>i</w:t>
      </w:r>
      <w:r>
        <w:rPr>
          <w:rFonts w:ascii="Times New Roman" w:hAnsi="Times New Roman" w:eastAsia="Calibri" w:cs="Times New Roman"/>
          <w:sz w:val="20"/>
        </w:rPr>
        <w:t xml:space="preserve"> is </w:t>
      </w:r>
      <w:del w:id="60" w:author="Lindholm, Jari (Nokia - FI/Espoo)" w:date="2022-02-10T11:02:00Z">
        <w:r>
          <w:rPr>
            <w:rFonts w:ascii="Times New Roman" w:hAnsi="Times New Roman" w:cs="Times New Roman"/>
            <w:sz w:val="20"/>
          </w:rPr>
          <w:delText>implicitly obtained from</w:delText>
        </w:r>
      </w:del>
      <w:ins w:id="61" w:author="Lindholm, Jari (Nokia - FI/Espoo)" w:date="2022-02-10T11:02:00Z">
        <w:r>
          <w:rPr>
            <w:rFonts w:ascii="Times New Roman" w:hAnsi="Times New Roman" w:cs="Times New Roman"/>
            <w:sz w:val="20"/>
          </w:rPr>
          <w:t>given by</w:t>
        </w:r>
      </w:ins>
      <w:r>
        <w:rPr>
          <w:rFonts w:ascii="Times New Roman" w:hAnsi="Times New Roman" w:cs="Times New Roman"/>
          <w:sz w:val="20"/>
        </w:rPr>
        <w:t xml:space="preserve"> clause </w:t>
      </w:r>
      <w:del w:id="62" w:author="Lindholm, Jari (Nokia - FI/Espoo)" w:date="2022-02-10T11:03:00Z">
        <w:r>
          <w:rPr>
            <w:rFonts w:ascii="Times New Roman" w:hAnsi="Times New Roman" w:cs="Times New Roman"/>
            <w:sz w:val="20"/>
          </w:rPr>
          <w:delText>4.2</w:delText>
        </w:r>
      </w:del>
      <w:ins w:id="63" w:author="Lindholm, Jari (Nokia - FI/Espoo)" w:date="2022-02-10T11:03:00Z">
        <w:r>
          <w:rPr>
            <w:rFonts w:ascii="Times New Roman" w:hAnsi="Times New Roman" w:cs="Times New Roman"/>
            <w:sz w:val="20"/>
          </w:rPr>
          <w:t xml:space="preserve">12.2.2, 12.2.3, 12.2.4 </w:t>
        </w:r>
      </w:ins>
      <w:ins w:id="64" w:author="Lindholm, Jari (Nokia - FI/Espoo)" w:date="2022-02-10T11:06:00Z">
        <w:r>
          <w:rPr>
            <w:rFonts w:ascii="Times New Roman" w:hAnsi="Times New Roman" w:cs="Times New Roman"/>
            <w:sz w:val="20"/>
          </w:rPr>
          <w:t>or</w:t>
        </w:r>
      </w:ins>
      <w:ins w:id="65" w:author="Lindholm, Jari (Nokia - FI/Espoo)" w:date="2022-02-10T11:03:00Z">
        <w:r>
          <w:rPr>
            <w:rFonts w:ascii="Times New Roman" w:hAnsi="Times New Roman" w:cs="Times New Roman"/>
            <w:sz w:val="20"/>
          </w:rPr>
          <w:t xml:space="preserve"> 12.2.5</w:t>
        </w:r>
      </w:ins>
      <w:r>
        <w:rPr>
          <w:rFonts w:ascii="Times New Roman" w:hAnsi="Times New Roman" w:cs="Times New Roman"/>
          <w:sz w:val="20"/>
        </w:rPr>
        <w:t xml:space="preserve"> of [</w:t>
      </w:r>
      <w:ins w:id="66" w:author="Lindholm, Jari (Nokia - FI/Espoo)" w:date="2022-02-10T11:03:00Z">
        <w:r>
          <w:rPr>
            <w:rFonts w:ascii="Times New Roman" w:hAnsi="Times New Roman" w:cs="Times New Roman"/>
            <w:sz w:val="20"/>
          </w:rPr>
          <w:t xml:space="preserve">12, </w:t>
        </w:r>
      </w:ins>
      <w:r>
        <w:rPr>
          <w:rFonts w:ascii="Times New Roman" w:hAnsi="Times New Roman" w:cs="Times New Roman"/>
          <w:sz w:val="20"/>
        </w:rPr>
        <w:t>TS 38.</w:t>
      </w:r>
      <w:del w:id="67" w:author="Lindholm, Jari (Nokia - FI/Espoo)" w:date="2022-02-10T11:03:00Z">
        <w:r>
          <w:rPr>
            <w:rFonts w:ascii="Times New Roman" w:hAnsi="Times New Roman" w:cs="Times New Roman"/>
            <w:sz w:val="20"/>
          </w:rPr>
          <w:delText>213</w:delText>
        </w:r>
      </w:del>
      <w:ins w:id="68" w:author="Lindholm, Jari (Nokia - FI/Espoo)" w:date="2022-02-10T11:03:00Z">
        <w:r>
          <w:rPr>
            <w:rFonts w:ascii="Times New Roman" w:hAnsi="Times New Roman" w:cs="Times New Roman"/>
            <w:sz w:val="20"/>
          </w:rPr>
          <w:t>1</w:t>
        </w:r>
      </w:ins>
      <w:ins w:id="69" w:author="Lindholm, Jari (Nokia - FI/Espoo)" w:date="2022-02-10T11:04:00Z">
        <w:r>
          <w:rPr>
            <w:rFonts w:ascii="Times New Roman" w:hAnsi="Times New Roman" w:cs="Times New Roman"/>
            <w:sz w:val="20"/>
          </w:rPr>
          <w:t>33</w:t>
        </w:r>
      </w:ins>
      <w:r>
        <w:rPr>
          <w:rFonts w:ascii="Times New Roman" w:hAnsi="Times New Roman" w:cs="Times New Roman"/>
          <w:sz w:val="20"/>
        </w:rPr>
        <w:t>]</w:t>
      </w:r>
    </w:p>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 xml:space="preserve">Question 1: Do you think that reference should be changed from 38.213 to 38.133?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O</w:t>
            </w:r>
            <w:r>
              <w:rPr>
                <w:rFonts w:ascii="Times New Roman" w:hAnsi="Times New Roman"/>
                <w:sz w:val="24"/>
                <w:szCs w:val="24"/>
              </w:rPr>
              <w:t>PPO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 xml:space="preserve">Agree. Prefer to clarify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vivo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sz w:val="24"/>
                <w:szCs w:val="24"/>
              </w:rPr>
            </w:pPr>
            <w:r>
              <w:rPr>
                <w:rFonts w:hint="eastAsia" w:ascii="Times New Roman" w:hAnsi="Times New Roman" w:eastAsia="ＭＳ 明朝"/>
                <w:sz w:val="24"/>
                <w:szCs w:val="24"/>
              </w:rPr>
              <w:t>N</w:t>
            </w:r>
            <w:r>
              <w:rPr>
                <w:rFonts w:ascii="Times New Roman" w:hAnsi="Times New Roman" w:eastAsia="ＭＳ 明朝"/>
                <w:sz w:val="24"/>
                <w:szCs w:val="24"/>
              </w:rPr>
              <w:t>TT DOCOMO</w:t>
            </w:r>
          </w:p>
        </w:tc>
        <w:tc>
          <w:tcPr>
            <w:tcW w:w="6952"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sz w:val="24"/>
                <w:szCs w:val="24"/>
              </w:rPr>
            </w:pPr>
            <w:r>
              <w:rPr>
                <w:rFonts w:hint="eastAsia" w:ascii="Times New Roman" w:hAnsi="Times New Roman" w:eastAsia="ＭＳ 明朝"/>
                <w:sz w:val="24"/>
                <w:szCs w:val="24"/>
              </w:rPr>
              <w:t>O</w:t>
            </w:r>
            <w:r>
              <w:rPr>
                <w:rFonts w:ascii="Times New Roman" w:hAnsi="Times New Roman" w:eastAsia="ＭＳ 明朝"/>
                <w:sz w:val="24"/>
                <w:szCs w:val="24"/>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ＭＳ 明朝"/>
                <w:sz w:val="24"/>
                <w:szCs w:val="24"/>
              </w:rPr>
            </w:pPr>
            <w:r>
              <w:rPr>
                <w:rFonts w:hint="eastAsia" w:ascii="Times New Roman" w:hAnsi="Times New Roman"/>
                <w:sz w:val="24"/>
                <w:szCs w:val="24"/>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OK.</w:t>
            </w:r>
            <w:bookmarkStart w:id="4" w:name="_GoBack"/>
            <w:bookmarkEnd w:id="4"/>
          </w:p>
        </w:tc>
      </w:tr>
    </w:tbl>
    <w:p/>
    <w:p/>
    <w:p/>
    <w:p/>
    <w:p>
      <w:pPr>
        <w:rPr>
          <w:lang w:val="en-GB"/>
        </w:rPr>
      </w:pPr>
    </w:p>
    <w:p/>
    <w:bookmarkEnd w:id="1"/>
    <w:p>
      <w:pPr>
        <w:pStyle w:val="2"/>
      </w:pPr>
      <w:r>
        <w:t>Conclusion</w:t>
      </w:r>
    </w:p>
    <w:p>
      <w:pPr>
        <w:rPr>
          <w:rFonts w:eastAsia="等线"/>
          <w:b/>
          <w:bCs/>
          <w:i/>
          <w:iCs/>
        </w:rPr>
      </w:pPr>
    </w:p>
    <w:p/>
    <w:p>
      <w:pPr>
        <w:pStyle w:val="2"/>
        <w:numPr>
          <w:ilvl w:val="0"/>
          <w:numId w:val="0"/>
        </w:numPr>
      </w:pPr>
      <w:r>
        <w:t>References</w:t>
      </w:r>
    </w:p>
    <w:p>
      <w:pPr>
        <w:pStyle w:val="96"/>
        <w:numPr>
          <w:ilvl w:val="0"/>
          <w:numId w:val="9"/>
        </w:numPr>
        <w:rPr>
          <w:sz w:val="22"/>
          <w:szCs w:val="22"/>
        </w:rPr>
      </w:pPr>
      <w:r>
        <w:rPr>
          <w:rStyle w:val="52"/>
          <w:color w:val="auto"/>
          <w:sz w:val="22"/>
          <w:szCs w:val="22"/>
          <w:u w:val="none"/>
        </w:rPr>
        <w:t>R1-2202357</w:t>
      </w:r>
      <w:r>
        <w:rPr>
          <w:sz w:val="22"/>
          <w:szCs w:val="22"/>
        </w:rPr>
        <w:tab/>
      </w:r>
      <w:r>
        <w:rPr>
          <w:sz w:val="22"/>
          <w:szCs w:val="22"/>
        </w:rPr>
        <w:tab/>
      </w:r>
      <w:r>
        <w:rPr>
          <w:sz w:val="22"/>
          <w:szCs w:val="22"/>
          <w:lang w:eastAsia="zh-CN"/>
        </w:rPr>
        <w:t>Draft CR on corrections on SL timing</w:t>
      </w:r>
      <w:r>
        <w:rPr>
          <w:sz w:val="22"/>
          <w:szCs w:val="22"/>
          <w:lang w:eastAsia="zh-CN"/>
        </w:rPr>
        <w:tab/>
      </w:r>
      <w:r>
        <w:rPr>
          <w:sz w:val="22"/>
          <w:szCs w:val="22"/>
          <w:lang w:eastAsia="zh-CN"/>
        </w:rPr>
        <w:t>Nokia, Nokia Shanghai Bell</w:t>
      </w:r>
    </w:p>
    <w:p>
      <w:pPr>
        <w:rPr>
          <w:sz w:val="20"/>
          <w:szCs w:val="20"/>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2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60D3FFB"/>
    <w:multiLevelType w:val="multilevel"/>
    <w:tmpl w:val="060D3FFB"/>
    <w:lvl w:ilvl="0" w:tentative="0">
      <w:start w:val="1"/>
      <w:numFmt w:val="bullet"/>
      <w:pStyle w:val="1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37322F1B"/>
    <w:multiLevelType w:val="multilevel"/>
    <w:tmpl w:val="37322F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82946E8"/>
    <w:multiLevelType w:val="multilevel"/>
    <w:tmpl w:val="382946E8"/>
    <w:lvl w:ilvl="0" w:tentative="0">
      <w:start w:val="1"/>
      <w:numFmt w:val="bullet"/>
      <w:pStyle w:val="1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118"/>
      <w:lvlText w:val="Proposal %1:"/>
      <w:lvlJc w:val="left"/>
      <w:pPr>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F1D6A21"/>
    <w:multiLevelType w:val="singleLevel"/>
    <w:tmpl w:val="6F1D6A21"/>
    <w:lvl w:ilvl="0" w:tentative="0">
      <w:start w:val="1"/>
      <w:numFmt w:val="decimal"/>
      <w:pStyle w:val="124"/>
      <w:lvlText w:val="[%1]"/>
      <w:lvlJc w:val="left"/>
      <w:pPr>
        <w:tabs>
          <w:tab w:val="left" w:pos="360"/>
        </w:tabs>
        <w:ind w:left="360" w:hanging="360"/>
      </w:pPr>
      <w:rPr>
        <w:rFonts w:hint="default" w:ascii="Times New Roman" w:hAnsi="Times New Roman"/>
        <w:sz w:val="18"/>
      </w:r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8"/>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dholm, Jari (Nokia - FI/Espoo)">
    <w15:presenceInfo w15:providerId="AD" w15:userId="S::jari.lindholm@nokia.com::c05e74da-5eb7-4346-ad6b-481086e469f8"/>
  </w15:person>
  <w15:person w15:author="zhaozhenshan@oppo.com">
    <w15:presenceInfo w15:providerId="AD" w15:userId="S::zhaozhenshan@oppo.com::7d51f696-0c02-4fd0-bb07-912f9fad2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3DA"/>
    <w:rsid w:val="0000159F"/>
    <w:rsid w:val="000026EF"/>
    <w:rsid w:val="00003E20"/>
    <w:rsid w:val="00004090"/>
    <w:rsid w:val="00004AC8"/>
    <w:rsid w:val="000053BA"/>
    <w:rsid w:val="00006055"/>
    <w:rsid w:val="000061D9"/>
    <w:rsid w:val="00006AD4"/>
    <w:rsid w:val="00006CB9"/>
    <w:rsid w:val="000074C4"/>
    <w:rsid w:val="000079A6"/>
    <w:rsid w:val="00007F65"/>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4CFA"/>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35E6"/>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42F5"/>
    <w:rsid w:val="000D584F"/>
    <w:rsid w:val="000D5D37"/>
    <w:rsid w:val="000D6391"/>
    <w:rsid w:val="000D76BC"/>
    <w:rsid w:val="000D7750"/>
    <w:rsid w:val="000E071E"/>
    <w:rsid w:val="000E0DEE"/>
    <w:rsid w:val="000E181D"/>
    <w:rsid w:val="000E27AA"/>
    <w:rsid w:val="000E337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A0"/>
    <w:rsid w:val="00141E40"/>
    <w:rsid w:val="00141F08"/>
    <w:rsid w:val="00141FF2"/>
    <w:rsid w:val="0014287A"/>
    <w:rsid w:val="00142DE2"/>
    <w:rsid w:val="00144C87"/>
    <w:rsid w:val="00144E10"/>
    <w:rsid w:val="001467B1"/>
    <w:rsid w:val="001469F5"/>
    <w:rsid w:val="00150175"/>
    <w:rsid w:val="001502C8"/>
    <w:rsid w:val="00151011"/>
    <w:rsid w:val="00151224"/>
    <w:rsid w:val="0015130F"/>
    <w:rsid w:val="001532BA"/>
    <w:rsid w:val="00153FED"/>
    <w:rsid w:val="00155BFD"/>
    <w:rsid w:val="00156ABA"/>
    <w:rsid w:val="00156C59"/>
    <w:rsid w:val="00157390"/>
    <w:rsid w:val="00160998"/>
    <w:rsid w:val="00160CD6"/>
    <w:rsid w:val="00160F5F"/>
    <w:rsid w:val="00162308"/>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EB"/>
    <w:rsid w:val="00174FFD"/>
    <w:rsid w:val="001759CA"/>
    <w:rsid w:val="0017726A"/>
    <w:rsid w:val="00177DD3"/>
    <w:rsid w:val="00180278"/>
    <w:rsid w:val="001807F2"/>
    <w:rsid w:val="00180FB7"/>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16CF"/>
    <w:rsid w:val="001A5510"/>
    <w:rsid w:val="001A5C7B"/>
    <w:rsid w:val="001A5E19"/>
    <w:rsid w:val="001A63D8"/>
    <w:rsid w:val="001B01FA"/>
    <w:rsid w:val="001B0832"/>
    <w:rsid w:val="001B18A7"/>
    <w:rsid w:val="001B1D60"/>
    <w:rsid w:val="001B2762"/>
    <w:rsid w:val="001B36FC"/>
    <w:rsid w:val="001B41ED"/>
    <w:rsid w:val="001B4607"/>
    <w:rsid w:val="001B5C48"/>
    <w:rsid w:val="001B7E0C"/>
    <w:rsid w:val="001C0674"/>
    <w:rsid w:val="001C1405"/>
    <w:rsid w:val="001C14F0"/>
    <w:rsid w:val="001C1B93"/>
    <w:rsid w:val="001C1DEA"/>
    <w:rsid w:val="001C226F"/>
    <w:rsid w:val="001C435E"/>
    <w:rsid w:val="001C5296"/>
    <w:rsid w:val="001C66AC"/>
    <w:rsid w:val="001C6754"/>
    <w:rsid w:val="001C6967"/>
    <w:rsid w:val="001C77F0"/>
    <w:rsid w:val="001D289B"/>
    <w:rsid w:val="001D2909"/>
    <w:rsid w:val="001D30C9"/>
    <w:rsid w:val="001D445B"/>
    <w:rsid w:val="001D46A0"/>
    <w:rsid w:val="001D4D81"/>
    <w:rsid w:val="001D50C2"/>
    <w:rsid w:val="001D58A6"/>
    <w:rsid w:val="001D5D3E"/>
    <w:rsid w:val="001D753C"/>
    <w:rsid w:val="001D7CA4"/>
    <w:rsid w:val="001D7E58"/>
    <w:rsid w:val="001E0425"/>
    <w:rsid w:val="001E10E2"/>
    <w:rsid w:val="001E13B3"/>
    <w:rsid w:val="001E279D"/>
    <w:rsid w:val="001E30A0"/>
    <w:rsid w:val="001E3DE1"/>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4E32"/>
    <w:rsid w:val="002851EB"/>
    <w:rsid w:val="00285510"/>
    <w:rsid w:val="00285BD1"/>
    <w:rsid w:val="00285DE2"/>
    <w:rsid w:val="0028616D"/>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1A6C"/>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0FB2"/>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E8C"/>
    <w:rsid w:val="00331F96"/>
    <w:rsid w:val="0033232A"/>
    <w:rsid w:val="00332B55"/>
    <w:rsid w:val="003336B9"/>
    <w:rsid w:val="0033476C"/>
    <w:rsid w:val="00335D3A"/>
    <w:rsid w:val="00335EA8"/>
    <w:rsid w:val="003363DD"/>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D61"/>
    <w:rsid w:val="00380B66"/>
    <w:rsid w:val="00380F3F"/>
    <w:rsid w:val="00381074"/>
    <w:rsid w:val="00381953"/>
    <w:rsid w:val="003821CD"/>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4A9"/>
    <w:rsid w:val="003E7905"/>
    <w:rsid w:val="003F0336"/>
    <w:rsid w:val="003F3FCC"/>
    <w:rsid w:val="003F4353"/>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A8E"/>
    <w:rsid w:val="00430839"/>
    <w:rsid w:val="004309D8"/>
    <w:rsid w:val="004313D1"/>
    <w:rsid w:val="00432110"/>
    <w:rsid w:val="004328EE"/>
    <w:rsid w:val="00433EBE"/>
    <w:rsid w:val="00434406"/>
    <w:rsid w:val="00435DD1"/>
    <w:rsid w:val="00436A6C"/>
    <w:rsid w:val="00440FED"/>
    <w:rsid w:val="0044141E"/>
    <w:rsid w:val="00441988"/>
    <w:rsid w:val="00441B92"/>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AE8"/>
    <w:rsid w:val="00533B93"/>
    <w:rsid w:val="005340C9"/>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92E"/>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D2C"/>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1948"/>
    <w:rsid w:val="005C22F9"/>
    <w:rsid w:val="005C263C"/>
    <w:rsid w:val="005C2679"/>
    <w:rsid w:val="005C298C"/>
    <w:rsid w:val="005C2F12"/>
    <w:rsid w:val="005C3302"/>
    <w:rsid w:val="005C4BFB"/>
    <w:rsid w:val="005C5870"/>
    <w:rsid w:val="005C7328"/>
    <w:rsid w:val="005D059A"/>
    <w:rsid w:val="005D07C5"/>
    <w:rsid w:val="005D21B7"/>
    <w:rsid w:val="005D2DAD"/>
    <w:rsid w:val="005D4302"/>
    <w:rsid w:val="005D5A20"/>
    <w:rsid w:val="005D786C"/>
    <w:rsid w:val="005E00E5"/>
    <w:rsid w:val="005E0148"/>
    <w:rsid w:val="005E049F"/>
    <w:rsid w:val="005E0BB6"/>
    <w:rsid w:val="005E3073"/>
    <w:rsid w:val="005E316A"/>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29E"/>
    <w:rsid w:val="0061176E"/>
    <w:rsid w:val="00613EA5"/>
    <w:rsid w:val="00614810"/>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CA1"/>
    <w:rsid w:val="00650D35"/>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849"/>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45"/>
    <w:rsid w:val="006C1F54"/>
    <w:rsid w:val="006C225A"/>
    <w:rsid w:val="006C3AB0"/>
    <w:rsid w:val="006C3DAC"/>
    <w:rsid w:val="006C4C0D"/>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0AA5"/>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C7B"/>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496"/>
    <w:rsid w:val="007C0802"/>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23C"/>
    <w:rsid w:val="007E1782"/>
    <w:rsid w:val="007E2053"/>
    <w:rsid w:val="007E25AB"/>
    <w:rsid w:val="007E2BC3"/>
    <w:rsid w:val="007E2F41"/>
    <w:rsid w:val="007E44DB"/>
    <w:rsid w:val="007E44FC"/>
    <w:rsid w:val="007E58D3"/>
    <w:rsid w:val="007E5AC2"/>
    <w:rsid w:val="007E79C5"/>
    <w:rsid w:val="007F0798"/>
    <w:rsid w:val="007F0CC7"/>
    <w:rsid w:val="007F2845"/>
    <w:rsid w:val="007F2A69"/>
    <w:rsid w:val="007F38A2"/>
    <w:rsid w:val="007F43BC"/>
    <w:rsid w:val="007F4740"/>
    <w:rsid w:val="007F6110"/>
    <w:rsid w:val="008006C6"/>
    <w:rsid w:val="00800C52"/>
    <w:rsid w:val="00800CB8"/>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6292"/>
    <w:rsid w:val="008506E1"/>
    <w:rsid w:val="00850C9A"/>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705"/>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3040"/>
    <w:rsid w:val="009330E9"/>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D4A"/>
    <w:rsid w:val="00A36155"/>
    <w:rsid w:val="00A3629E"/>
    <w:rsid w:val="00A365AD"/>
    <w:rsid w:val="00A42A85"/>
    <w:rsid w:val="00A42D07"/>
    <w:rsid w:val="00A44B43"/>
    <w:rsid w:val="00A45000"/>
    <w:rsid w:val="00A4503E"/>
    <w:rsid w:val="00A450C0"/>
    <w:rsid w:val="00A45468"/>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60B4"/>
    <w:rsid w:val="00AC67B6"/>
    <w:rsid w:val="00AC7D98"/>
    <w:rsid w:val="00AC7EDC"/>
    <w:rsid w:val="00AD00C5"/>
    <w:rsid w:val="00AD165F"/>
    <w:rsid w:val="00AD1DA2"/>
    <w:rsid w:val="00AD2794"/>
    <w:rsid w:val="00AD2DC5"/>
    <w:rsid w:val="00AD3455"/>
    <w:rsid w:val="00AD3CAD"/>
    <w:rsid w:val="00AD5A99"/>
    <w:rsid w:val="00AD69FF"/>
    <w:rsid w:val="00AD702B"/>
    <w:rsid w:val="00AD72E6"/>
    <w:rsid w:val="00AD7AD6"/>
    <w:rsid w:val="00AD7C95"/>
    <w:rsid w:val="00AD7FCD"/>
    <w:rsid w:val="00AE2BED"/>
    <w:rsid w:val="00AE3DE1"/>
    <w:rsid w:val="00AE5439"/>
    <w:rsid w:val="00AE61B2"/>
    <w:rsid w:val="00AE78D1"/>
    <w:rsid w:val="00AE7F89"/>
    <w:rsid w:val="00AF11BF"/>
    <w:rsid w:val="00AF1E35"/>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C97"/>
    <w:rsid w:val="00B248D0"/>
    <w:rsid w:val="00B253A5"/>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5CE1"/>
    <w:rsid w:val="00B46A75"/>
    <w:rsid w:val="00B470A7"/>
    <w:rsid w:val="00B500CD"/>
    <w:rsid w:val="00B5082F"/>
    <w:rsid w:val="00B5109D"/>
    <w:rsid w:val="00B51591"/>
    <w:rsid w:val="00B5239C"/>
    <w:rsid w:val="00B53259"/>
    <w:rsid w:val="00B53893"/>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67D4B"/>
    <w:rsid w:val="00B701FE"/>
    <w:rsid w:val="00B712F9"/>
    <w:rsid w:val="00B721CD"/>
    <w:rsid w:val="00B7267A"/>
    <w:rsid w:val="00B726FF"/>
    <w:rsid w:val="00B72A5B"/>
    <w:rsid w:val="00B72AA4"/>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E2A"/>
    <w:rsid w:val="00B90F2A"/>
    <w:rsid w:val="00B91986"/>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02C"/>
    <w:rsid w:val="00C03309"/>
    <w:rsid w:val="00C037E0"/>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5A9C"/>
    <w:rsid w:val="00C272E8"/>
    <w:rsid w:val="00C301A9"/>
    <w:rsid w:val="00C30761"/>
    <w:rsid w:val="00C30ABC"/>
    <w:rsid w:val="00C30B60"/>
    <w:rsid w:val="00C31512"/>
    <w:rsid w:val="00C31FAA"/>
    <w:rsid w:val="00C32F6D"/>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0B4D"/>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990"/>
    <w:rsid w:val="00D76ABA"/>
    <w:rsid w:val="00D76ADC"/>
    <w:rsid w:val="00D76AE4"/>
    <w:rsid w:val="00D77413"/>
    <w:rsid w:val="00D778F2"/>
    <w:rsid w:val="00D80B04"/>
    <w:rsid w:val="00D81F10"/>
    <w:rsid w:val="00D82798"/>
    <w:rsid w:val="00D82BF2"/>
    <w:rsid w:val="00D84A57"/>
    <w:rsid w:val="00D87307"/>
    <w:rsid w:val="00D874DF"/>
    <w:rsid w:val="00D87A12"/>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B4"/>
    <w:rsid w:val="00DA6452"/>
    <w:rsid w:val="00DA6FE9"/>
    <w:rsid w:val="00DA7925"/>
    <w:rsid w:val="00DB031E"/>
    <w:rsid w:val="00DB040B"/>
    <w:rsid w:val="00DB0874"/>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0735"/>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727"/>
    <w:rsid w:val="00E26970"/>
    <w:rsid w:val="00E2728F"/>
    <w:rsid w:val="00E27791"/>
    <w:rsid w:val="00E30F2D"/>
    <w:rsid w:val="00E319DB"/>
    <w:rsid w:val="00E31AFC"/>
    <w:rsid w:val="00E31D91"/>
    <w:rsid w:val="00E31F28"/>
    <w:rsid w:val="00E3250F"/>
    <w:rsid w:val="00E3409E"/>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701"/>
    <w:rsid w:val="00E64E26"/>
    <w:rsid w:val="00E65D15"/>
    <w:rsid w:val="00E65FAC"/>
    <w:rsid w:val="00E66CD8"/>
    <w:rsid w:val="00E67802"/>
    <w:rsid w:val="00E67EE5"/>
    <w:rsid w:val="00E7013A"/>
    <w:rsid w:val="00E72C6B"/>
    <w:rsid w:val="00E72E8C"/>
    <w:rsid w:val="00E73AB7"/>
    <w:rsid w:val="00E7458E"/>
    <w:rsid w:val="00E74F5D"/>
    <w:rsid w:val="00E76034"/>
    <w:rsid w:val="00E77AC0"/>
    <w:rsid w:val="00E80440"/>
    <w:rsid w:val="00E817E0"/>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392"/>
    <w:rsid w:val="00EA694F"/>
    <w:rsid w:val="00EA6FE4"/>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2183"/>
    <w:rsid w:val="00F2260F"/>
    <w:rsid w:val="00F24201"/>
    <w:rsid w:val="00F242AD"/>
    <w:rsid w:val="00F247F2"/>
    <w:rsid w:val="00F2518F"/>
    <w:rsid w:val="00F252A8"/>
    <w:rsid w:val="00F255D9"/>
    <w:rsid w:val="00F265F7"/>
    <w:rsid w:val="00F276A8"/>
    <w:rsid w:val="00F27FA6"/>
    <w:rsid w:val="00F31EC7"/>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08AF"/>
    <w:rsid w:val="00F910F7"/>
    <w:rsid w:val="00F913DC"/>
    <w:rsid w:val="00F91DDA"/>
    <w:rsid w:val="00F9237A"/>
    <w:rsid w:val="00F928D7"/>
    <w:rsid w:val="00F92B9C"/>
    <w:rsid w:val="00F9397A"/>
    <w:rsid w:val="00F93A37"/>
    <w:rsid w:val="00F94182"/>
    <w:rsid w:val="00F9431F"/>
    <w:rsid w:val="00F944D9"/>
    <w:rsid w:val="00F94DB3"/>
    <w:rsid w:val="00F96500"/>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2E8D"/>
    <w:rsid w:val="00FF3B7F"/>
    <w:rsid w:val="00FF3E3F"/>
    <w:rsid w:val="00FF4F92"/>
    <w:rsid w:val="00FF54EB"/>
    <w:rsid w:val="00FF5C35"/>
    <w:rsid w:val="00FF5D15"/>
    <w:rsid w:val="00FF5FE4"/>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ABB49CA"/>
    <w:rsid w:val="0B9E7290"/>
    <w:rsid w:val="0BF09B7A"/>
    <w:rsid w:val="0DF51398"/>
    <w:rsid w:val="0EF09EE9"/>
    <w:rsid w:val="0F29A9E0"/>
    <w:rsid w:val="0F41FCAE"/>
    <w:rsid w:val="100A6660"/>
    <w:rsid w:val="101FBE72"/>
    <w:rsid w:val="10E807B4"/>
    <w:rsid w:val="110FEDBE"/>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next w:val="1"/>
    <w:link w:val="10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spacing w:before="180"/>
      <w:ind w:left="357" w:hanging="357"/>
      <w:outlineLvl w:val="1"/>
    </w:pPr>
    <w:rPr>
      <w:sz w:val="32"/>
    </w:rPr>
  </w:style>
  <w:style w:type="paragraph" w:styleId="4">
    <w:name w:val="heading 3"/>
    <w:basedOn w:val="3"/>
    <w:next w:val="1"/>
    <w:qFormat/>
    <w:uiPriority w:val="0"/>
    <w:pPr>
      <w:numPr>
        <w:ilvl w:val="2"/>
      </w:numPr>
      <w:spacing w:before="120"/>
      <w:ind w:left="357" w:hanging="357"/>
      <w:outlineLvl w:val="2"/>
    </w:pPr>
    <w:rPr>
      <w:sz w:val="28"/>
    </w:rPr>
  </w:style>
  <w:style w:type="paragraph" w:styleId="5">
    <w:name w:val="heading 4"/>
    <w:basedOn w:val="4"/>
    <w:next w:val="1"/>
    <w:qFormat/>
    <w:uiPriority w:val="0"/>
    <w:pPr>
      <w:numPr>
        <w:ilvl w:val="3"/>
      </w:numPr>
      <w:ind w:left="2880" w:hanging="360"/>
      <w:outlineLvl w:val="3"/>
    </w:pPr>
    <w:rPr>
      <w:sz w:val="24"/>
    </w:rPr>
  </w:style>
  <w:style w:type="paragraph" w:styleId="6">
    <w:name w:val="heading 5"/>
    <w:basedOn w:val="5"/>
    <w:next w:val="1"/>
    <w:qFormat/>
    <w:uiPriority w:val="0"/>
    <w:pPr>
      <w:numPr>
        <w:ilvl w:val="4"/>
      </w:numPr>
      <w:ind w:left="3600" w:hanging="360"/>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2"/>
    <w:qFormat/>
    <w:uiPriority w:val="99"/>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00"/>
    <w:semiHidden/>
    <w:qFormat/>
    <w:uiPriority w:val="0"/>
    <w:rPr>
      <w:rFonts w:eastAsia="ＭＳ 明朝"/>
    </w:rPr>
  </w:style>
  <w:style w:type="paragraph" w:styleId="31">
    <w:name w:val="Body Text"/>
    <w:basedOn w:val="1"/>
    <w:link w:val="99"/>
    <w:unhideWhenUsed/>
    <w:qFormat/>
    <w:uiPriority w:val="99"/>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7"/>
    <w:qFormat/>
    <w:uiPriority w:val="0"/>
    <w:pPr>
      <w:keepLines/>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ＭＳ 明朝"/>
      <w:color w:val="FFFF00"/>
    </w:rPr>
  </w:style>
  <w:style w:type="paragraph" w:styleId="42">
    <w:name w:val="Normal (Web)"/>
    <w:basedOn w:val="1"/>
    <w:unhideWhenUsed/>
    <w:qFormat/>
    <w:uiPriority w:val="99"/>
    <w:pPr>
      <w:spacing w:before="100" w:beforeAutospacing="1" w:after="100" w:afterAutospacing="1"/>
    </w:pPr>
    <w:rPr>
      <w:sz w:val="24"/>
      <w:szCs w:val="24"/>
    </w:rPr>
  </w:style>
  <w:style w:type="paragraph" w:styleId="43">
    <w:name w:val="index 1"/>
    <w:basedOn w:val="1"/>
    <w:next w:val="1"/>
    <w:semiHidden/>
    <w:qFormat/>
    <w:uiPriority w:val="0"/>
    <w:pPr>
      <w:keepLines/>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FollowedHyperlink"/>
    <w:semiHidden/>
    <w:unhideWhenUsed/>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link w:val="112"/>
    <w:qFormat/>
    <w:uiPriority w:val="0"/>
    <w:rPr>
      <w:b/>
    </w:rPr>
  </w:style>
  <w:style w:type="paragraph" w:customStyle="1" w:styleId="59">
    <w:name w:val="TAC"/>
    <w:basedOn w:val="60"/>
    <w:link w:val="111"/>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0"/>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1">
    <w:name w:val="Editor's Note"/>
    <w:basedOn w:val="63"/>
    <w:uiPriority w:val="0"/>
    <w:rPr>
      <w:color w:val="FF0000"/>
    </w:rPr>
  </w:style>
  <w:style w:type="paragraph" w:customStyle="1" w:styleId="82">
    <w:name w:val="B1"/>
    <w:basedOn w:val="14"/>
    <w:link w:val="102"/>
    <w:qFormat/>
    <w:uiPriority w:val="0"/>
  </w:style>
  <w:style w:type="paragraph" w:customStyle="1" w:styleId="83">
    <w:name w:val="B2"/>
    <w:basedOn w:val="13"/>
    <w:qFormat/>
    <w:uiPriority w:val="0"/>
  </w:style>
  <w:style w:type="paragraph" w:customStyle="1" w:styleId="84">
    <w:name w:val="B3"/>
    <w:basedOn w:val="12"/>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pPr>
    <w:rPr>
      <w:rFonts w:ascii="Arial" w:hAnsi="Arial" w:eastAsia="ＭＳ 明朝" w:cs="Times New Roman"/>
      <w:lang w:val="en-GB" w:eastAsia="en-US" w:bidi="ar-SA"/>
    </w:rPr>
  </w:style>
  <w:style w:type="paragraph" w:customStyle="1" w:styleId="89">
    <w:name w:val="00 BodyText"/>
    <w:basedOn w:val="1"/>
    <w:qFormat/>
    <w:uiPriority w:val="0"/>
    <w:pPr>
      <w:spacing w:after="220"/>
    </w:pPr>
    <w:rPr>
      <w:rFonts w:ascii="Arial" w:hAnsi="Arial"/>
    </w:rPr>
  </w:style>
  <w:style w:type="paragraph" w:customStyle="1" w:styleId="90">
    <w:name w:val="11 BodyText"/>
    <w:basedOn w:val="1"/>
    <w:qFormat/>
    <w:uiPriority w:val="0"/>
    <w:pPr>
      <w:spacing w:after="220"/>
      <w:ind w:left="1298"/>
    </w:pPr>
    <w:rPr>
      <w:rFonts w:ascii="Arial" w:hAnsi="Arial"/>
    </w:rPr>
  </w:style>
  <w:style w:type="paragraph" w:customStyle="1" w:styleId="91">
    <w:name w:val="B6"/>
    <w:basedOn w:val="86"/>
    <w:qFormat/>
    <w:uiPriority w:val="0"/>
  </w:style>
  <w:style w:type="character" w:customStyle="1" w:styleId="92">
    <w:name w:val="図表番号 (文字)"/>
    <w:link w:val="28"/>
    <w:qFormat/>
    <w:uiPriority w:val="99"/>
    <w:rPr>
      <w:rFonts w:ascii="Times New Roman" w:hAnsi="Times New Roman"/>
      <w:b/>
    </w:rPr>
  </w:style>
  <w:style w:type="paragraph" w:customStyle="1" w:styleId="93">
    <w:name w:val="Doc-text2"/>
    <w:basedOn w:val="1"/>
    <w:link w:val="94"/>
    <w:qFormat/>
    <w:uiPriority w:val="0"/>
    <w:pPr>
      <w:tabs>
        <w:tab w:val="left" w:pos="1622"/>
      </w:tabs>
      <w:ind w:left="1622" w:hanging="363"/>
    </w:pPr>
    <w:rPr>
      <w:rFonts w:ascii="Arial" w:hAnsi="Arial" w:eastAsia="ＭＳ 明朝"/>
      <w:szCs w:val="24"/>
      <w:lang w:eastAsia="en-GB"/>
    </w:rPr>
  </w:style>
  <w:style w:type="character" w:customStyle="1" w:styleId="94">
    <w:name w:val="Doc-text2 Char"/>
    <w:link w:val="93"/>
    <w:qFormat/>
    <w:uiPriority w:val="0"/>
    <w:rPr>
      <w:rFonts w:ascii="Arial" w:hAnsi="Arial" w:eastAsia="ＭＳ 明朝"/>
      <w:szCs w:val="24"/>
      <w:lang w:eastAsia="en-GB"/>
    </w:rPr>
  </w:style>
  <w:style w:type="paragraph" w:customStyle="1" w:styleId="95">
    <w:name w:val="Revision"/>
    <w:hidden/>
    <w:semiHidden/>
    <w:qFormat/>
    <w:uiPriority w:val="99"/>
    <w:rPr>
      <w:rFonts w:ascii="Times New Roman" w:hAnsi="Times New Roman" w:eastAsia="宋体" w:cs="Times New Roman"/>
      <w:lang w:val="en-GB" w:eastAsia="en-US" w:bidi="ar-SA"/>
    </w:rPr>
  </w:style>
  <w:style w:type="paragraph" w:styleId="96">
    <w:name w:val="List Paragraph"/>
    <w:basedOn w:val="1"/>
    <w:link w:val="103"/>
    <w:qFormat/>
    <w:uiPriority w:val="34"/>
    <w:pPr>
      <w:ind w:left="720"/>
      <w:contextualSpacing/>
    </w:pPr>
    <w:rPr>
      <w:sz w:val="24"/>
      <w:szCs w:val="24"/>
    </w:rPr>
  </w:style>
  <w:style w:type="character" w:customStyle="1" w:styleId="97">
    <w:name w:val="脚注文字列 (文字)"/>
    <w:link w:val="37"/>
    <w:qFormat/>
    <w:uiPriority w:val="0"/>
    <w:rPr>
      <w:rFonts w:ascii="Times New Roman" w:hAnsi="Times New Roman"/>
      <w:sz w:val="16"/>
      <w:lang w:val="en-GB"/>
    </w:rPr>
  </w:style>
  <w:style w:type="paragraph" w:customStyle="1" w:styleId="98">
    <w:name w:val="owapara"/>
    <w:basedOn w:val="1"/>
    <w:qFormat/>
    <w:uiPriority w:val="0"/>
    <w:rPr>
      <w:rFonts w:eastAsia="Calibri"/>
      <w:sz w:val="24"/>
      <w:szCs w:val="24"/>
    </w:rPr>
  </w:style>
  <w:style w:type="character" w:customStyle="1" w:styleId="99">
    <w:name w:val="本文 (文字)"/>
    <w:basedOn w:val="48"/>
    <w:link w:val="31"/>
    <w:qFormat/>
    <w:uiPriority w:val="99"/>
    <w:rPr>
      <w:rFonts w:asciiTheme="minorHAnsi" w:hAnsiTheme="minorHAnsi" w:eastAsiaTheme="minorEastAsia" w:cstheme="minorBidi"/>
      <w:sz w:val="22"/>
      <w:szCs w:val="22"/>
      <w:lang w:val="en-GB" w:eastAsia="ko-KR"/>
    </w:rPr>
  </w:style>
  <w:style w:type="character" w:customStyle="1" w:styleId="100">
    <w:name w:val="コメント文字列 (文字)"/>
    <w:link w:val="30"/>
    <w:semiHidden/>
    <w:qFormat/>
    <w:uiPriority w:val="0"/>
    <w:rPr>
      <w:rFonts w:ascii="Times New Roman" w:hAnsi="Times New Roman" w:eastAsia="ＭＳ 明朝"/>
      <w:lang w:val="en-GB"/>
    </w:rPr>
  </w:style>
  <w:style w:type="paragraph" w:customStyle="1" w:styleId="101">
    <w:name w:val="LGTdoc_본문"/>
    <w:basedOn w:val="1"/>
    <w:qFormat/>
    <w:uiPriority w:val="0"/>
    <w:pPr>
      <w:snapToGrid w:val="0"/>
      <w:spacing w:afterLines="50" w:line="264" w:lineRule="auto"/>
    </w:pPr>
    <w:rPr>
      <w:rFonts w:eastAsia="Batang"/>
      <w:szCs w:val="24"/>
    </w:rPr>
  </w:style>
  <w:style w:type="character" w:customStyle="1" w:styleId="102">
    <w:name w:val="B1 Char"/>
    <w:link w:val="82"/>
    <w:qFormat/>
    <w:locked/>
    <w:uiPriority w:val="0"/>
    <w:rPr>
      <w:rFonts w:ascii="Times New Roman" w:hAnsi="Times New Roman"/>
      <w:lang w:val="en-GB"/>
    </w:rPr>
  </w:style>
  <w:style w:type="character" w:customStyle="1" w:styleId="103">
    <w:name w:val="リスト段落 (文字)"/>
    <w:link w:val="96"/>
    <w:qFormat/>
    <w:locked/>
    <w:uiPriority w:val="34"/>
    <w:rPr>
      <w:rFonts w:ascii="Times New Roman" w:hAnsi="Times New Roman"/>
      <w:sz w:val="24"/>
      <w:szCs w:val="24"/>
      <w:lang w:val="fi-FI" w:eastAsia="zh-CN"/>
    </w:rPr>
  </w:style>
  <w:style w:type="character" w:styleId="104">
    <w:name w:val="Placeholder Text"/>
    <w:basedOn w:val="48"/>
    <w:semiHidden/>
    <w:qFormat/>
    <w:uiPriority w:val="99"/>
    <w:rPr>
      <w:color w:val="808080"/>
    </w:rPr>
  </w:style>
  <w:style w:type="character" w:customStyle="1" w:styleId="105">
    <w:name w:val="ヘッダー (文字)"/>
    <w:basedOn w:val="48"/>
    <w:link w:val="36"/>
    <w:qFormat/>
    <w:locked/>
    <w:uiPriority w:val="0"/>
    <w:rPr>
      <w:rFonts w:ascii="Arial" w:hAnsi="Arial"/>
      <w:b/>
      <w:sz w:val="18"/>
    </w:rPr>
  </w:style>
  <w:style w:type="character" w:customStyle="1" w:styleId="106">
    <w:name w:val="見出し 1 (文字)"/>
    <w:basedOn w:val="48"/>
    <w:link w:val="2"/>
    <w:qFormat/>
    <w:uiPriority w:val="0"/>
    <w:rPr>
      <w:rFonts w:ascii="Arial" w:hAnsi="Arial"/>
      <w:sz w:val="36"/>
      <w:lang w:val="en-GB"/>
    </w:rPr>
  </w:style>
  <w:style w:type="character" w:customStyle="1" w:styleId="107">
    <w:name w:val="見出し 2 (文字)"/>
    <w:basedOn w:val="48"/>
    <w:link w:val="3"/>
    <w:qFormat/>
    <w:uiPriority w:val="0"/>
    <w:rPr>
      <w:rFonts w:ascii="Arial" w:hAnsi="Arial"/>
      <w:sz w:val="32"/>
      <w:lang w:val="en-GB"/>
    </w:rPr>
  </w:style>
  <w:style w:type="table" w:customStyle="1" w:styleId="108">
    <w:name w:val="Plain Table 1"/>
    <w:basedOn w:val="4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9">
    <w:name w:val="B1 Zchn"/>
    <w:qFormat/>
    <w:uiPriority w:val="0"/>
    <w:rPr>
      <w:lang w:eastAsia="en-US"/>
    </w:rPr>
  </w:style>
  <w:style w:type="character" w:customStyle="1" w:styleId="110">
    <w:name w:val="TH Char"/>
    <w:link w:val="62"/>
    <w:qFormat/>
    <w:uiPriority w:val="0"/>
    <w:rPr>
      <w:rFonts w:ascii="Arial" w:hAnsi="Arial"/>
      <w:b/>
      <w:lang w:val="en-GB"/>
    </w:rPr>
  </w:style>
  <w:style w:type="character" w:customStyle="1" w:styleId="111">
    <w:name w:val="TAC Char"/>
    <w:link w:val="59"/>
    <w:qFormat/>
    <w:locked/>
    <w:uiPriority w:val="0"/>
    <w:rPr>
      <w:rFonts w:ascii="Arial" w:hAnsi="Arial"/>
      <w:sz w:val="18"/>
      <w:lang w:val="en-GB"/>
    </w:rPr>
  </w:style>
  <w:style w:type="character" w:customStyle="1" w:styleId="112">
    <w:name w:val="TAH Car"/>
    <w:link w:val="58"/>
    <w:qFormat/>
    <w:uiPriority w:val="0"/>
    <w:rPr>
      <w:rFonts w:ascii="Arial" w:hAnsi="Arial"/>
      <w:b/>
      <w:sz w:val="18"/>
      <w:lang w:val="en-GB"/>
    </w:rPr>
  </w:style>
  <w:style w:type="paragraph" w:styleId="113">
    <w:name w:val="No Spacing"/>
    <w:qFormat/>
    <w:uiPriority w:val="1"/>
    <w:rPr>
      <w:rFonts w:ascii="Arial" w:hAnsi="Arial" w:eastAsia="Times New Roman" w:cs="Times New Roman"/>
      <w:sz w:val="22"/>
      <w:lang w:val="en-GB" w:eastAsia="en-US" w:bidi="ar-SA"/>
    </w:rPr>
  </w:style>
  <w:style w:type="paragraph" w:customStyle="1" w:styleId="114">
    <w:name w:val="item"/>
    <w:basedOn w:val="1"/>
    <w:qFormat/>
    <w:uiPriority w:val="0"/>
    <w:pPr>
      <w:numPr>
        <w:ilvl w:val="0"/>
        <w:numId w:val="2"/>
      </w:numPr>
    </w:pPr>
    <w:rPr>
      <w:rFonts w:eastAsia="ＭＳ 明朝"/>
    </w:rPr>
  </w:style>
  <w:style w:type="table" w:customStyle="1" w:styleId="115">
    <w:name w:val="Table Grid7"/>
    <w:basedOn w:val="46"/>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RAN1 bullet1"/>
    <w:basedOn w:val="1"/>
    <w:qFormat/>
    <w:uiPriority w:val="0"/>
    <w:pPr>
      <w:numPr>
        <w:ilvl w:val="0"/>
        <w:numId w:val="3"/>
      </w:numPr>
    </w:pPr>
    <w:rPr>
      <w:rFonts w:ascii="Times" w:hAnsi="Times" w:eastAsia="Batang"/>
      <w:szCs w:val="24"/>
      <w:lang w:val="zh-CN" w:eastAsia="zh-CN"/>
    </w:rPr>
  </w:style>
  <w:style w:type="character" w:customStyle="1" w:styleId="117">
    <w:name w:val="Unresolved Mention"/>
    <w:basedOn w:val="48"/>
    <w:unhideWhenUsed/>
    <w:qFormat/>
    <w:uiPriority w:val="99"/>
    <w:rPr>
      <w:color w:val="605E5C"/>
      <w:shd w:val="clear" w:color="auto" w:fill="E1DFDD"/>
    </w:rPr>
  </w:style>
  <w:style w:type="paragraph" w:customStyle="1" w:styleId="118">
    <w:name w:val="Proposal"/>
    <w:basedOn w:val="31"/>
    <w:next w:val="1"/>
    <w:qFormat/>
    <w:uiPriority w:val="0"/>
    <w:pPr>
      <w:numPr>
        <w:ilvl w:val="0"/>
        <w:numId w:val="4"/>
      </w:numPr>
      <w:tabs>
        <w:tab w:val="left" w:pos="1701"/>
      </w:tabs>
      <w:overflowPunct w:val="0"/>
      <w:autoSpaceDE w:val="0"/>
      <w:autoSpaceDN w:val="0"/>
      <w:adjustRightInd w:val="0"/>
      <w:textAlignment w:val="baseline"/>
    </w:pPr>
    <w:rPr>
      <w:rFonts w:ascii="Arial" w:hAnsi="Arial" w:eastAsia="Times New Roman" w:cs="Times New Roman"/>
      <w:b/>
      <w:bCs/>
      <w:sz w:val="20"/>
      <w:szCs w:val="20"/>
    </w:rPr>
  </w:style>
  <w:style w:type="paragraph" w:customStyle="1" w:styleId="119">
    <w:name w:val="Observation"/>
    <w:basedOn w:val="118"/>
    <w:next w:val="1"/>
    <w:qFormat/>
    <w:uiPriority w:val="0"/>
    <w:pPr>
      <w:numPr>
        <w:ilvl w:val="0"/>
        <w:numId w:val="5"/>
      </w:numPr>
      <w:tabs>
        <w:tab w:val="left" w:pos="2835"/>
      </w:tabs>
    </w:pPr>
  </w:style>
  <w:style w:type="paragraph" w:customStyle="1" w:styleId="120">
    <w:name w:val="x_xmsolistparagraph"/>
    <w:basedOn w:val="1"/>
    <w:qFormat/>
    <w:uiPriority w:val="0"/>
    <w:pPr>
      <w:spacing w:before="100" w:beforeAutospacing="1" w:after="100" w:afterAutospacing="1"/>
    </w:pPr>
    <w:rPr>
      <w:rFonts w:ascii="Calibri" w:hAnsi="Calibri" w:eastAsia="Calibri" w:cs="Calibri"/>
    </w:rPr>
  </w:style>
  <w:style w:type="paragraph" w:customStyle="1" w:styleId="121">
    <w:name w:val="RAN1 bullet2"/>
    <w:basedOn w:val="1"/>
    <w:qFormat/>
    <w:uiPriority w:val="0"/>
    <w:pPr>
      <w:numPr>
        <w:ilvl w:val="1"/>
        <w:numId w:val="6"/>
      </w:numPr>
    </w:pPr>
    <w:rPr>
      <w:rFonts w:ascii="Times" w:hAnsi="Times" w:eastAsia="Batang" w:cs="Times New Roman"/>
      <w:sz w:val="20"/>
      <w:szCs w:val="20"/>
    </w:rPr>
  </w:style>
  <w:style w:type="character" w:customStyle="1" w:styleId="122">
    <w:name w:val="apple-converted-space"/>
    <w:qFormat/>
    <w:uiPriority w:val="0"/>
  </w:style>
  <w:style w:type="character" w:customStyle="1" w:styleId="123">
    <w:name w:val="Mention"/>
    <w:basedOn w:val="48"/>
    <w:unhideWhenUsed/>
    <w:qFormat/>
    <w:uiPriority w:val="99"/>
    <w:rPr>
      <w:color w:val="2B579A"/>
      <w:shd w:val="clear" w:color="auto" w:fill="E1DFDD"/>
    </w:rPr>
  </w:style>
  <w:style w:type="paragraph" w:customStyle="1" w:styleId="124">
    <w:name w:val="References"/>
    <w:basedOn w:val="1"/>
    <w:qFormat/>
    <w:uiPriority w:val="99"/>
    <w:pPr>
      <w:numPr>
        <w:ilvl w:val="0"/>
        <w:numId w:val="7"/>
      </w:numPr>
      <w:tabs>
        <w:tab w:val="clear" w:pos="360"/>
      </w:tabs>
      <w:spacing w:after="80"/>
      <w:ind w:left="460"/>
    </w:pPr>
    <w:rPr>
      <w:rFonts w:ascii="Times New Roman" w:hAnsi="Times New Roman" w:eastAsia="ＭＳ 明朝" w:cs="Times New Roman"/>
      <w:sz w:val="1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5AIRPNAIUNRU-1830940522-13981</_dlc_DocId>
    <_dlc_DocIdUrl xmlns="71c5aaf6-e6ce-465b-b873-5148d2a4c105">
      <Url>https://nokia.sharepoint.com/sites/c5g/5gradio/_layouts/15/DocIdRedir.aspx?ID=5AIRPNAIUNRU-1830940522-13981</Url>
      <Description>5AIRPNAIUNRU-1830940522-13981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1E1A1-BB9C-4606-B300-023AAFA3263E}">
  <ds:schemaRefs/>
</ds:datastoreItem>
</file>

<file path=customXml/itemProps3.xml><?xml version="1.0" encoding="utf-8"?>
<ds:datastoreItem xmlns:ds="http://schemas.openxmlformats.org/officeDocument/2006/customXml" ds:itemID="{6C68E4E4-420A-4B26-83FF-2E2501120B28}">
  <ds:schemaRefs/>
</ds:datastoreItem>
</file>

<file path=customXml/itemProps4.xml><?xml version="1.0" encoding="utf-8"?>
<ds:datastoreItem xmlns:ds="http://schemas.openxmlformats.org/officeDocument/2006/customXml" ds:itemID="{C48AE544-A187-40FD-861B-C6986F0CF58F}">
  <ds:schemaRefs/>
</ds:datastoreItem>
</file>

<file path=customXml/itemProps5.xml><?xml version="1.0" encoding="utf-8"?>
<ds:datastoreItem xmlns:ds="http://schemas.openxmlformats.org/officeDocument/2006/customXml" ds:itemID="{7A8A6962-EE8E-4CD6-9D47-CA7F2C49B59D}">
  <ds:schemaRefs/>
</ds:datastoreItem>
</file>

<file path=customXml/itemProps6.xml><?xml version="1.0" encoding="utf-8"?>
<ds:datastoreItem xmlns:ds="http://schemas.openxmlformats.org/officeDocument/2006/customXml" ds:itemID="{5C2C37EB-2F8A-45C6-B719-B1A3176D647A}">
  <ds:schemaRefs/>
</ds:datastoreItem>
</file>

<file path=customXml/itemProps7.xml><?xml version="1.0" encoding="utf-8"?>
<ds:datastoreItem xmlns:ds="http://schemas.openxmlformats.org/officeDocument/2006/customXml" ds:itemID="{F4B93212-E613-4EDD-B356-E2918847E2A1}">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2109</Words>
  <Characters>12023</Characters>
  <Lines>100</Lines>
  <Paragraphs>28</Paragraphs>
  <TotalTime>1</TotalTime>
  <ScaleCrop>false</ScaleCrop>
  <LinksUpToDate>false</LinksUpToDate>
  <CharactersWithSpaces>14104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2022-02-23T22:20:00Z</dcterms:created>
  <dc:creator>Torsten Wildschek</dc:creator>
  <cp:lastModifiedBy>10110645</cp:lastModifiedBy>
  <dcterms:modified xsi:type="dcterms:W3CDTF">2022-02-24T01:18:57Z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90d082b9-b53d-4c66-8e80-c009767bc526</vt:lpwstr>
  </property>
  <property fmtid="{D5CDD505-2E9C-101B-9397-08002B2CF9AE}" pid="4" name="MeetingName">
    <vt:lpwstr>3GPP TSG RAN WG1 #108-e</vt:lpwstr>
  </property>
  <property fmtid="{D5CDD505-2E9C-101B-9397-08002B2CF9AE}" pid="5" name="TdocFor">
    <vt:lpwstr>Discussion and Decision</vt:lpwstr>
  </property>
  <property fmtid="{D5CDD505-2E9C-101B-9397-08002B2CF9AE}" pid="6" name="MeetingPlaceDates">
    <vt:lpwstr>e-Meeting, February 21st - March 3rd, 2022</vt:lpwstr>
  </property>
  <property fmtid="{D5CDD505-2E9C-101B-9397-08002B2CF9AE}" pid="7" name="TdocSource">
    <vt:lpwstr>Nokia, Nokia Shanghai Bell</vt:lpwstr>
  </property>
  <property fmtid="{D5CDD505-2E9C-101B-9397-08002B2CF9AE}" pid="8" name="TdocTitle">
    <vt:lpwstr>Resource allocation for power saving</vt:lpwstr>
  </property>
  <property fmtid="{D5CDD505-2E9C-101B-9397-08002B2CF9AE}" pid="9" name="TdocAgendaItem">
    <vt:lpwstr>8.11.1.1</vt:lpwstr>
  </property>
  <property fmtid="{D5CDD505-2E9C-101B-9397-08002B2CF9AE}" pid="10" name="TdocId">
    <vt:lpwstr>R1-2200980</vt:lpwstr>
  </property>
  <property fmtid="{D5CDD505-2E9C-101B-9397-08002B2CF9AE}" pid="11" name="KSOProductBuildVer">
    <vt:lpwstr>2052-11.8.2.9022</vt:lpwstr>
  </property>
</Properties>
</file>