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0C8D7" w14:textId="77777777" w:rsidR="001E419F" w:rsidRDefault="002B4AA2">
      <w:pPr>
        <w:pStyle w:val="af0"/>
        <w:tabs>
          <w:tab w:val="right" w:pos="9498"/>
        </w:tabs>
        <w:rPr>
          <w:rFonts w:cs="Arial"/>
          <w:bCs/>
          <w:sz w:val="22"/>
          <w:lang w:val="en-US"/>
        </w:rPr>
      </w:pPr>
      <w:bookmarkStart w:id="0" w:name="_GoBack"/>
      <w:bookmarkEnd w:id="0"/>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a"/>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a"/>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afe"/>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e"/>
        <w:ind w:left="420"/>
        <w:jc w:val="both"/>
        <w:rPr>
          <w:rFonts w:eastAsiaTheme="minorEastAsia"/>
          <w:sz w:val="20"/>
          <w:szCs w:val="20"/>
          <w:lang w:val="en-US" w:eastAsia="zh-CN"/>
        </w:rPr>
      </w:pPr>
    </w:p>
    <w:p w14:paraId="51D035AD"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8"/>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5"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5"/>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e"/>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afe"/>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We don’t think currently overlapping bands in RAN4 have the same issue with that in Alt2. Because the existing overlapping bands in RAN4 share the same 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宋体"/>
                <w:lang w:val="en-US" w:eastAsia="zh-CN"/>
              </w:rPr>
            </w:pPr>
            <w:r>
              <w:rPr>
                <w:rFonts w:eastAsia="宋体"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宋体" w:hint="eastAsia"/>
                <w:iCs/>
                <w:lang w:val="en-US" w:eastAsia="zh-CN"/>
              </w:rPr>
              <w:t xml:space="preserve"> with </w:t>
            </w:r>
            <w:r>
              <w:rPr>
                <w:iCs/>
              </w:rPr>
              <w:t>table 13.6</w:t>
            </w:r>
            <w:r>
              <w:rPr>
                <w:rFonts w:eastAsia="宋体"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宋体"/>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6"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8"/>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宋体"/>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宋体"/>
                <w:lang w:val="en-US" w:eastAsia="zh-CN"/>
              </w:rPr>
            </w:pPr>
            <w:r>
              <w:rPr>
                <w:lang w:val="en-US" w:eastAsia="ko-KR"/>
              </w:rPr>
              <w:t>Q2: Alt-1a</w:t>
            </w:r>
            <w:r>
              <w:rPr>
                <w:rFonts w:eastAsia="宋体"/>
                <w:lang w:val="en-US" w:eastAsia="zh-CN"/>
              </w:rPr>
              <w:t xml:space="preserve">’. It can provide better flexibility and avoid dependency on </w:t>
            </w:r>
            <w:r>
              <w:rPr>
                <w:iCs/>
              </w:rPr>
              <w:t xml:space="preserve">GSCN </w:t>
            </w:r>
            <w:r>
              <w:rPr>
                <w:rFonts w:eastAsia="宋体"/>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宋体"/>
                <w:lang w:val="en-US" w:eastAsia="zh-CN"/>
              </w:rPr>
              <w:t xml:space="preserve"> </w:t>
            </w:r>
            <w:r>
              <w:rPr>
                <w:lang w:val="en-US" w:eastAsia="ko-KR"/>
              </w:rPr>
              <w:t>Alt-1b</w:t>
            </w:r>
            <w:r>
              <w:rPr>
                <w:rFonts w:eastAsia="宋体"/>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6AF21022" w:rsidR="0082760B"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[Intel]??,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af8"/>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[Intel]??,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af8"/>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Huawei, HiSilicon</w:t>
            </w:r>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FL3:</w:t>
            </w:r>
            <w:r>
              <w:rPr>
                <w:color w:val="FF0000"/>
              </w:rPr>
              <w:t>Please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宋体"/>
                <w:lang w:val="en-US" w:eastAsia="zh-CN"/>
              </w:rPr>
            </w:pPr>
            <w:r>
              <w:rPr>
                <w:rFonts w:eastAsia="宋体" w:hint="eastAsia"/>
                <w:lang w:val="en-US" w:eastAsia="zh-CN"/>
              </w:rPr>
              <w:t>H</w:t>
            </w:r>
            <w:r>
              <w:rPr>
                <w:rFonts w:eastAsia="宋体"/>
                <w:lang w:val="en-US" w:eastAsia="zh-CN"/>
              </w:rPr>
              <w:t>uawei, HiSilicon</w:t>
            </w:r>
          </w:p>
        </w:tc>
        <w:tc>
          <w:tcPr>
            <w:tcW w:w="1372" w:type="dxa"/>
          </w:tcPr>
          <w:p w14:paraId="51FA5BB5" w14:textId="77777777" w:rsidR="008C378D" w:rsidRDefault="008C378D" w:rsidP="00B425E7">
            <w:pPr>
              <w:tabs>
                <w:tab w:val="left" w:pos="551"/>
              </w:tabs>
              <w:rPr>
                <w:rFonts w:eastAsia="宋体"/>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宋体"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8"/>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宋体"/>
                <w:lang w:val="en-US" w:eastAsia="zh-CN"/>
              </w:rPr>
            </w:pPr>
            <w:r>
              <w:rPr>
                <w:rFonts w:eastAsia="宋体"/>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宋体"/>
                <w:lang w:val="en-US" w:eastAsia="ko-KR"/>
              </w:rPr>
            </w:pPr>
            <w:r>
              <w:rPr>
                <w:rFonts w:eastAsia="宋体"/>
                <w:lang w:val="en-US" w:eastAsia="zh-CN"/>
              </w:rPr>
              <w:t xml:space="preserve">For Table 13-5: </w:t>
            </w:r>
          </w:p>
          <w:p w14:paraId="7DD9AAC0"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w:t>
            </w:r>
            <w:r>
              <w:rPr>
                <w:rFonts w:eastAsia="宋体"/>
                <w:color w:val="FF0000"/>
                <w:u w:val="single"/>
                <w:shd w:val="clear" w:color="auto" w:fill="FFFFFF"/>
                <w:lang w:val="en-US" w:eastAsia="zh-CN"/>
              </w:rPr>
              <w:t>3</w:t>
            </w:r>
          </w:p>
          <w:p w14:paraId="2278724D"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01C5B2D7"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5</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186AA4CB" w14:textId="77777777" w:rsidR="006E404E" w:rsidRDefault="006E404E">
            <w:pPr>
              <w:rPr>
                <w:rFonts w:eastAsia="宋体"/>
                <w:lang w:val="en-US" w:eastAsia="ko-KR"/>
              </w:rPr>
            </w:pPr>
            <w:r>
              <w:rPr>
                <w:rFonts w:eastAsia="宋体"/>
                <w:lang w:val="en-US" w:eastAsia="zh-CN"/>
              </w:rPr>
              <w:t xml:space="preserve">For Table 13-6: </w:t>
            </w:r>
          </w:p>
          <w:p w14:paraId="4E40CC8D"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13-4</w:t>
            </w:r>
          </w:p>
          <w:p w14:paraId="26F40EAC"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2</w:t>
            </w:r>
            <w:r>
              <w:rPr>
                <w:rFonts w:eastAsia="宋体"/>
                <w:color w:val="FF0000"/>
                <w:u w:val="single"/>
                <w:shd w:val="clear" w:color="auto" w:fill="FFFFFF"/>
              </w:rPr>
              <w:t xml:space="preserve"> of Table 13-4</w:t>
            </w:r>
          </w:p>
          <w:p w14:paraId="7BE3A0F7" w14:textId="77777777" w:rsidR="006E404E" w:rsidRDefault="006E404E">
            <w:pPr>
              <w:rPr>
                <w:rFonts w:eastAsia="宋体"/>
                <w:color w:val="FF0000"/>
                <w:u w:val="single"/>
                <w:shd w:val="clear" w:color="auto" w:fill="FFFFFF"/>
                <w:lang w:val="en-US" w:eastAsia="ko-KR"/>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13-4</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宋体"/>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af8"/>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07980664" w14:textId="22E3BA60" w:rsidR="009729A4" w:rsidRPr="00E75FA2" w:rsidRDefault="009729A4" w:rsidP="009729A4">
            <w:pPr>
              <w:rPr>
                <w:rFonts w:eastAsiaTheme="minorEastAsia"/>
                <w:lang w:val="en-US" w:eastAsia="zh-CN"/>
              </w:rPr>
            </w:pPr>
            <w:r>
              <w:rPr>
                <w:rFonts w:eastAsiaTheme="minorEastAsia"/>
                <w:lang w:val="en-US" w:eastAsia="zh-CN"/>
              </w:rPr>
              <w:t>For the use of the new entries, in order to avoid any implications with legacy terminals, these entries could be used only in the new SS-raster locations, and in the legacy raster locations it would be preferable to restrict to legacy entries. From this perspective Alt1a with new entries and Alt1b do not differ.</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r>
                        <w:t>]</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afe"/>
        <w:spacing w:after="0" w:line="240" w:lineRule="auto"/>
        <w:contextualSpacing w:val="0"/>
        <w:rPr>
          <w:rFonts w:ascii="Times New Roman" w:eastAsiaTheme="minorEastAsia" w:hAnsi="Times New Roman" w:cs="Times New Roman"/>
          <w:b/>
          <w:sz w:val="20"/>
          <w:szCs w:val="20"/>
          <w:lang w:val="en-GB" w:eastAsia="zh-CN"/>
        </w:rPr>
      </w:pPr>
    </w:p>
    <w:tbl>
      <w:tblPr>
        <w:tblStyle w:val="af8"/>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BD94A8F" w14:textId="692D60F4" w:rsidR="009729A4" w:rsidRPr="00864C21"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7D20DE">
            <w:pPr>
              <w:rPr>
                <w:color w:val="0000FF"/>
                <w:u w:val="single"/>
                <w:lang w:val="en-US"/>
              </w:rPr>
            </w:pPr>
            <w:hyperlink r:id="rId14" w:history="1">
              <w:r w:rsidR="002B4AA2">
                <w:rPr>
                  <w:rStyle w:val="afa"/>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7D20DE">
            <w:pPr>
              <w:rPr>
                <w:lang w:eastAsia="zh-CN"/>
              </w:rPr>
            </w:pPr>
            <w:hyperlink r:id="rId15" w:history="1">
              <w:r w:rsidR="002B4AA2">
                <w:rPr>
                  <w:rStyle w:val="afa"/>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7D20DE">
            <w:pPr>
              <w:rPr>
                <w:lang w:eastAsia="zh-CN"/>
              </w:rPr>
            </w:pPr>
            <w:hyperlink r:id="rId16" w:history="1">
              <w:r w:rsidR="002B4AA2">
                <w:rPr>
                  <w:rStyle w:val="afa"/>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7D20DE">
            <w:pPr>
              <w:rPr>
                <w:lang w:eastAsia="zh-CN"/>
              </w:rPr>
            </w:pPr>
            <w:hyperlink r:id="rId17" w:history="1">
              <w:r w:rsidR="002B4AA2">
                <w:rPr>
                  <w:rStyle w:val="afa"/>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7D20DE">
            <w:pPr>
              <w:rPr>
                <w:lang w:eastAsia="zh-CN"/>
              </w:rPr>
            </w:pPr>
            <w:hyperlink r:id="rId18" w:history="1">
              <w:r w:rsidR="002B4AA2">
                <w:rPr>
                  <w:rStyle w:val="afa"/>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7D20DE">
            <w:pPr>
              <w:rPr>
                <w:lang w:eastAsia="zh-CN"/>
              </w:rPr>
            </w:pPr>
            <w:hyperlink r:id="rId19" w:history="1">
              <w:r w:rsidR="002B4AA2">
                <w:rPr>
                  <w:rStyle w:val="afa"/>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7D20DE">
            <w:pPr>
              <w:rPr>
                <w:lang w:eastAsia="zh-CN"/>
              </w:rPr>
            </w:pPr>
            <w:hyperlink r:id="rId20" w:history="1">
              <w:r w:rsidR="002B4AA2">
                <w:rPr>
                  <w:rStyle w:val="afa"/>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7D20DE">
            <w:pPr>
              <w:rPr>
                <w:lang w:eastAsia="zh-CN"/>
              </w:rPr>
            </w:pPr>
            <w:hyperlink r:id="rId21" w:history="1">
              <w:r w:rsidR="002B4AA2">
                <w:rPr>
                  <w:rStyle w:val="afa"/>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7D20DE">
            <w:pPr>
              <w:rPr>
                <w:lang w:eastAsia="zh-CN"/>
              </w:rPr>
            </w:pPr>
            <w:hyperlink r:id="rId22" w:history="1">
              <w:r w:rsidR="002B4AA2">
                <w:rPr>
                  <w:rStyle w:val="afa"/>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7D20DE">
            <w:pPr>
              <w:rPr>
                <w:color w:val="FF0000"/>
                <w:lang w:eastAsia="zh-CN"/>
              </w:rPr>
            </w:pPr>
            <w:hyperlink r:id="rId23" w:history="1">
              <w:r w:rsidR="002B4AA2">
                <w:rPr>
                  <w:rStyle w:val="afa"/>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7D20DE">
            <w:pPr>
              <w:rPr>
                <w:lang w:eastAsia="zh-CN"/>
              </w:rPr>
            </w:pPr>
            <w:hyperlink r:id="rId24" w:history="1">
              <w:r w:rsidR="002B4AA2">
                <w:rPr>
                  <w:rStyle w:val="afa"/>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6"/>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1FAB3" w14:textId="77777777" w:rsidR="007D20DE" w:rsidRDefault="007D20DE" w:rsidP="00A8672E">
      <w:pPr>
        <w:spacing w:after="0" w:line="240" w:lineRule="auto"/>
      </w:pPr>
      <w:r>
        <w:separator/>
      </w:r>
    </w:p>
  </w:endnote>
  <w:endnote w:type="continuationSeparator" w:id="0">
    <w:p w14:paraId="06A07CF9" w14:textId="77777777" w:rsidR="007D20DE" w:rsidRDefault="007D20DE"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5168C" w14:textId="77777777" w:rsidR="007D20DE" w:rsidRDefault="007D20DE" w:rsidP="00A8672E">
      <w:pPr>
        <w:spacing w:after="0" w:line="240" w:lineRule="auto"/>
      </w:pPr>
      <w:r>
        <w:separator/>
      </w:r>
    </w:p>
  </w:footnote>
  <w:footnote w:type="continuationSeparator" w:id="0">
    <w:p w14:paraId="69EA5002" w14:textId="77777777" w:rsidR="007D20DE" w:rsidRDefault="007D20DE"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4C"/>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w:eastAsia="宋体"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목록단락,リスト段落,列"/>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E12B4E4-1952-4C5C-8403-86AFE2AF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5946</Words>
  <Characters>33898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Lihui</cp:lastModifiedBy>
  <cp:revision>2</cp:revision>
  <dcterms:created xsi:type="dcterms:W3CDTF">2022-02-23T21:41:00Z</dcterms:created>
  <dcterms:modified xsi:type="dcterms:W3CDTF">2022-02-23T21:41:00Z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