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81CF94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p>
          <w:p w14:paraId="69D6F4F2" w14:textId="77777777" w:rsidR="00BE34AE" w:rsidRPr="001C2799" w:rsidRDefault="00BE34AE" w:rsidP="00BE34AE">
            <w:pPr>
              <w:tabs>
                <w:tab w:val="left" w:pos="2715"/>
              </w:tabs>
              <w:snapToGrid w:val="0"/>
              <w:rPr>
                <w:sz w:val="18"/>
                <w:lang w:val="sv-SE"/>
              </w:rPr>
            </w:pPr>
          </w:p>
          <w:p w14:paraId="5805CA0D" w14:textId="1AB8725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xml:space="preserve">, Convida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979BE4E"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0"/>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0"/>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ins w:id="2" w:author="Darcy Tsai" w:date="2021-10-14T18:42:00Z">
              <w:r w:rsidR="000B5A90" w:rsidRPr="00C36AB1">
                <w:rPr>
                  <w:sz w:val="18"/>
                  <w:szCs w:val="18"/>
                </w:rPr>
                <w:t xml:space="preserve">for DL or UL channels/signals that </w:t>
              </w:r>
            </w:ins>
            <w:ins w:id="3" w:author="Darcy Tsai" w:date="2021-10-14T18:43:00Z">
              <w:r w:rsidR="000B5A90" w:rsidRPr="00C36AB1">
                <w:rPr>
                  <w:sz w:val="18"/>
                  <w:szCs w:val="18"/>
                </w:rPr>
                <w:t>can</w:t>
              </w:r>
            </w:ins>
            <w:ins w:id="4" w:author="Darcy Tsai" w:date="2021-10-14T18:42:00Z">
              <w:r w:rsidR="000B5A90"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1541FD37" w14:textId="4ADA3EA6"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del w:id="5" w:author="Eko Onggosanusi" w:date="2021-10-15T00:25:00Z">
              <w:r w:rsidRPr="00A977F9" w:rsidDel="00541C51">
                <w:rPr>
                  <w:sz w:val="18"/>
                  <w:szCs w:val="20"/>
                </w:rPr>
                <w:delText>If there is at least one</w:delText>
              </w:r>
            </w:del>
            <w:r w:rsidRPr="00A977F9">
              <w:rPr>
                <w:sz w:val="18"/>
                <w:szCs w:val="20"/>
              </w:rPr>
              <w:t xml:space="preserve"> </w:t>
            </w:r>
            <w:ins w:id="6" w:author="Eko Onggosanusi" w:date="2021-10-15T00:25:00Z">
              <w:r w:rsidR="00541C51">
                <w:rPr>
                  <w:sz w:val="18"/>
                  <w:szCs w:val="20"/>
                </w:rPr>
                <w:t xml:space="preserve">That a </w:t>
              </w:r>
            </w:ins>
            <w:r w:rsidRPr="00A977F9">
              <w:rPr>
                <w:rFonts w:eastAsia="Times New Roman"/>
                <w:bCs/>
                <w:sz w:val="18"/>
                <w:szCs w:val="20"/>
              </w:rPr>
              <w:t xml:space="preserve">DL channel/signal </w:t>
            </w:r>
            <w:del w:id="7" w:author="Eko Onggosanusi" w:date="2021-10-15T00:25:00Z">
              <w:r w:rsidRPr="00A977F9" w:rsidDel="00541C51">
                <w:rPr>
                  <w:rFonts w:eastAsia="Times New Roman"/>
                  <w:bCs/>
                  <w:sz w:val="18"/>
                  <w:szCs w:val="20"/>
                </w:rPr>
                <w:delText xml:space="preserve">that does </w:delText>
              </w:r>
            </w:del>
            <w:ins w:id="8" w:author="Eko Onggosanusi" w:date="2021-10-15T00:33:00Z">
              <w:r w:rsidR="00D635D2">
                <w:rPr>
                  <w:rFonts w:eastAsia="Times New Roman"/>
                  <w:bCs/>
                  <w:sz w:val="18"/>
                  <w:szCs w:val="20"/>
                </w:rPr>
                <w:t>[</w:t>
              </w:r>
            </w:ins>
            <w:r w:rsidRPr="00A977F9">
              <w:rPr>
                <w:rFonts w:eastAsia="Times New Roman"/>
                <w:bCs/>
                <w:sz w:val="18"/>
                <w:szCs w:val="20"/>
              </w:rPr>
              <w:t>not</w:t>
            </w:r>
            <w:ins w:id="9" w:author="Eko Onggosanusi" w:date="2021-10-15T00:34:00Z">
              <w:r w:rsidR="00D635D2">
                <w:rPr>
                  <w:rFonts w:eastAsia="Times New Roman"/>
                  <w:bCs/>
                  <w:sz w:val="18"/>
                  <w:szCs w:val="20"/>
                </w:rPr>
                <w:t>]</w:t>
              </w:r>
            </w:ins>
            <w:r w:rsidRPr="00A977F9">
              <w:rPr>
                <w:rFonts w:eastAsia="Times New Roman"/>
                <w:bCs/>
                <w:sz w:val="18"/>
                <w:szCs w:val="20"/>
              </w:rPr>
              <w:t xml:space="preserve"> shar</w:t>
            </w:r>
            <w:ins w:id="10" w:author="Eko Onggosanusi" w:date="2021-10-15T00:25:00Z">
              <w:r w:rsidR="00541C51">
                <w:rPr>
                  <w:rFonts w:eastAsia="Times New Roman"/>
                  <w:bCs/>
                  <w:sz w:val="18"/>
                  <w:szCs w:val="20"/>
                </w:rPr>
                <w:t>ing</w:t>
              </w:r>
            </w:ins>
            <w:del w:id="11" w:author="Eko Onggosanusi" w:date="2021-10-15T00:25:00Z">
              <w:r w:rsidRPr="00A977F9" w:rsidDel="00541C51">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w:t>
            </w:r>
            <w:del w:id="12" w:author="Eko Onggosanusi" w:date="2021-10-15T00:25:00Z">
              <w:r w:rsidRPr="00A977F9" w:rsidDel="00541C51">
                <w:rPr>
                  <w:rFonts w:eastAsia="Times New Roman"/>
                  <w:bCs/>
                  <w:sz w:val="18"/>
                  <w:szCs w:val="20"/>
                </w:rPr>
                <w:delText>, it</w:delText>
              </w:r>
            </w:del>
            <w:r w:rsidRPr="00A977F9">
              <w:rPr>
                <w:rFonts w:eastAsia="Times New Roman"/>
                <w:bCs/>
                <w:sz w:val="18"/>
                <w:szCs w:val="20"/>
              </w:rPr>
              <w:t xml:space="preserve"> is </w:t>
            </w:r>
            <w:ins w:id="13" w:author="Eko Onggosanusi" w:date="2021-10-15T00:25:00Z">
              <w:r w:rsidR="00541C51">
                <w:rPr>
                  <w:rFonts w:eastAsia="Times New Roman"/>
                  <w:bCs/>
                  <w:sz w:val="18"/>
                  <w:szCs w:val="20"/>
                </w:rPr>
                <w:t xml:space="preserve">indicated </w:t>
              </w:r>
            </w:ins>
            <w:del w:id="14" w:author="Eko Onggosanusi" w:date="2021-10-15T00:25:00Z">
              <w:r w:rsidRPr="00A977F9" w:rsidDel="00541C51">
                <w:rPr>
                  <w:rFonts w:eastAsia="Times New Roman"/>
                  <w:bCs/>
                  <w:sz w:val="18"/>
                  <w:szCs w:val="20"/>
                </w:rPr>
                <w:delText xml:space="preserve">signaled </w:delText>
              </w:r>
            </w:del>
            <w:r w:rsidRPr="00A977F9">
              <w:rPr>
                <w:rFonts w:eastAsia="Times New Roman"/>
                <w:bCs/>
                <w:sz w:val="18"/>
                <w:szCs w:val="20"/>
              </w:rPr>
              <w:t>via RRC.</w:t>
            </w:r>
          </w:p>
          <w:p w14:paraId="1F9BDD28" w14:textId="1320F619"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del w:id="15" w:author="Eko Onggosanusi" w:date="2021-10-15T00:25:00Z">
              <w:r w:rsidRPr="00A977F9" w:rsidDel="00541C51">
                <w:rPr>
                  <w:sz w:val="18"/>
                  <w:szCs w:val="20"/>
                </w:rPr>
                <w:delText xml:space="preserve">If there is at least one </w:delText>
              </w:r>
            </w:del>
            <w:ins w:id="16" w:author="Eko Onggosanusi" w:date="2021-10-15T00:25:00Z">
              <w:r w:rsidR="00541C51">
                <w:rPr>
                  <w:sz w:val="18"/>
                  <w:szCs w:val="20"/>
                </w:rPr>
                <w:t>That a</w:t>
              </w:r>
            </w:ins>
            <w:ins w:id="17" w:author="Eko Onggosanusi" w:date="2021-10-15T00:26:00Z">
              <w:r w:rsidR="00541C51">
                <w:rPr>
                  <w:sz w:val="18"/>
                  <w:szCs w:val="20"/>
                </w:rPr>
                <w:t>n</w:t>
              </w:r>
            </w:ins>
            <w:ins w:id="18" w:author="Eko Onggosanusi" w:date="2021-10-15T00:25:00Z">
              <w:r w:rsidR="00541C51">
                <w:rPr>
                  <w:sz w:val="18"/>
                  <w:szCs w:val="20"/>
                </w:rPr>
                <w:t xml:space="preserve"> </w:t>
              </w:r>
            </w:ins>
            <w:r w:rsidRPr="00A977F9">
              <w:rPr>
                <w:rFonts w:eastAsia="Times New Roman"/>
                <w:bCs/>
                <w:sz w:val="18"/>
                <w:szCs w:val="20"/>
              </w:rPr>
              <w:t xml:space="preserve">UL channel/signal </w:t>
            </w:r>
            <w:del w:id="19" w:author="Eko Onggosanusi" w:date="2021-10-15T00:33:00Z">
              <w:r w:rsidRPr="00A977F9" w:rsidDel="00D635D2">
                <w:rPr>
                  <w:rFonts w:eastAsia="Times New Roman"/>
                  <w:bCs/>
                  <w:sz w:val="18"/>
                  <w:szCs w:val="20"/>
                </w:rPr>
                <w:delText xml:space="preserve">that does </w:delText>
              </w:r>
            </w:del>
            <w:ins w:id="20" w:author="Eko Onggosanusi" w:date="2021-10-15T00:34:00Z">
              <w:r w:rsidR="00C41E13">
                <w:rPr>
                  <w:rFonts w:eastAsia="Times New Roman"/>
                  <w:bCs/>
                  <w:sz w:val="18"/>
                  <w:szCs w:val="20"/>
                </w:rPr>
                <w:t>[</w:t>
              </w:r>
            </w:ins>
            <w:r w:rsidRPr="00A977F9">
              <w:rPr>
                <w:rFonts w:eastAsia="Times New Roman"/>
                <w:bCs/>
                <w:sz w:val="18"/>
                <w:szCs w:val="20"/>
              </w:rPr>
              <w:t>not</w:t>
            </w:r>
            <w:ins w:id="21" w:author="Eko Onggosanusi" w:date="2021-10-15T00:34:00Z">
              <w:r w:rsidR="00C41E13">
                <w:rPr>
                  <w:rFonts w:eastAsia="Times New Roman"/>
                  <w:bCs/>
                  <w:sz w:val="18"/>
                  <w:szCs w:val="20"/>
                </w:rPr>
                <w:t>]</w:t>
              </w:r>
            </w:ins>
            <w:r w:rsidRPr="00A977F9">
              <w:rPr>
                <w:rFonts w:eastAsia="Times New Roman"/>
                <w:bCs/>
                <w:sz w:val="18"/>
                <w:szCs w:val="20"/>
              </w:rPr>
              <w:t xml:space="preserve"> shar</w:t>
            </w:r>
            <w:ins w:id="22" w:author="Eko Onggosanusi" w:date="2021-10-15T00:34:00Z">
              <w:r w:rsidR="00D635D2">
                <w:rPr>
                  <w:rFonts w:eastAsia="Times New Roman"/>
                  <w:bCs/>
                  <w:sz w:val="18"/>
                  <w:szCs w:val="20"/>
                </w:rPr>
                <w:t>ing</w:t>
              </w:r>
            </w:ins>
            <w:del w:id="23" w:author="Eko Onggosanusi" w:date="2021-10-15T00:34:00Z">
              <w:r w:rsidRPr="00A977F9" w:rsidDel="00D635D2">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w:t>
            </w:r>
            <w:del w:id="24" w:author="Eko Onggosanusi" w:date="2021-10-15T00:26:00Z">
              <w:r w:rsidRPr="00A977F9" w:rsidDel="00541C51">
                <w:rPr>
                  <w:rFonts w:eastAsia="Times New Roman"/>
                  <w:bCs/>
                  <w:sz w:val="18"/>
                  <w:szCs w:val="20"/>
                </w:rPr>
                <w:delText>, it</w:delText>
              </w:r>
            </w:del>
            <w:r w:rsidRPr="00A977F9">
              <w:rPr>
                <w:rFonts w:eastAsia="Times New Roman"/>
                <w:bCs/>
                <w:sz w:val="18"/>
                <w:szCs w:val="20"/>
              </w:rPr>
              <w:t xml:space="preserve"> is </w:t>
            </w:r>
            <w:del w:id="25" w:author="Eko Onggosanusi" w:date="2021-10-15T00:26:00Z">
              <w:r w:rsidRPr="00A977F9" w:rsidDel="00541C51">
                <w:rPr>
                  <w:rFonts w:eastAsia="Times New Roman"/>
                  <w:bCs/>
                  <w:sz w:val="18"/>
                  <w:szCs w:val="20"/>
                </w:rPr>
                <w:delText xml:space="preserve">signaled </w:delText>
              </w:r>
            </w:del>
            <w:ins w:id="26" w:author="Eko Onggosanusi" w:date="2021-10-15T00:26:00Z">
              <w:r w:rsidR="00541C51">
                <w:rPr>
                  <w:rFonts w:eastAsia="Times New Roman"/>
                  <w:bCs/>
                  <w:sz w:val="18"/>
                  <w:szCs w:val="20"/>
                </w:rPr>
                <w:t xml:space="preserve">indicated </w:t>
              </w:r>
            </w:ins>
            <w:r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7A214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ins w:id="27" w:author="Eko Onggosanusi" w:date="2021-10-15T00:34:00Z">
              <w:r w:rsidR="00A40FAD">
                <w:rPr>
                  <w:rFonts w:eastAsia="Times New Roman"/>
                  <w:sz w:val="18"/>
                </w:rPr>
                <w:t xml:space="preserve"> </w:t>
              </w:r>
            </w:ins>
            <w:r w:rsidR="00A40FAD">
              <w:rPr>
                <w:rFonts w:eastAsia="Times New Roman"/>
                <w:sz w:val="18"/>
              </w:rPr>
              <w:t>Futurewei (“not” removed), ZTE (“not” removed)</w:t>
            </w:r>
            <w:r w:rsidR="00C77CF3">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ins w:id="28" w:author="Eko Onggosanusi" w:date="2021-10-15T00:42:00Z">
              <w:r w:rsidR="00D546D5">
                <w:rPr>
                  <w:sz w:val="18"/>
                  <w:szCs w:val="20"/>
                </w:rPr>
                <w:t xml:space="preserve">individual </w:t>
              </w:r>
            </w:ins>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af0"/>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af0"/>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476C1FC9" w:rsidR="0053414A" w:rsidRDefault="0053414A" w:rsidP="00356E16">
            <w:pPr>
              <w:pStyle w:val="af0"/>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p>
          <w:p w14:paraId="61352FD7" w14:textId="79C20271" w:rsidR="0053414A" w:rsidRPr="008A19FB" w:rsidRDefault="0053414A" w:rsidP="00356E16">
            <w:pPr>
              <w:pStyle w:val="af0"/>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aa"/>
              <w:snapToGrid w:val="0"/>
              <w:spacing w:before="0" w:after="0"/>
              <w:rPr>
                <w:ins w:id="29" w:author="Eko Onggosanusi" w:date="2021-10-15T00:16:00Z"/>
                <w:sz w:val="18"/>
                <w:szCs w:val="18"/>
              </w:rPr>
            </w:pPr>
            <w:ins w:id="30" w:author="Eko Onggosanusi" w:date="2021-10-15T00:16:00Z">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ins>
          </w:p>
          <w:p w14:paraId="675A766E" w14:textId="77777777" w:rsidR="00CE27F0" w:rsidRPr="00C36AB1" w:rsidRDefault="00CE27F0" w:rsidP="00CE27F0">
            <w:pPr>
              <w:pStyle w:val="aa"/>
              <w:numPr>
                <w:ilvl w:val="0"/>
                <w:numId w:val="35"/>
              </w:numPr>
              <w:snapToGrid w:val="0"/>
              <w:spacing w:before="0" w:after="0"/>
              <w:rPr>
                <w:ins w:id="31" w:author="Eko Onggosanusi" w:date="2021-10-15T00:16:00Z"/>
                <w:rFonts w:eastAsia="MS Mincho"/>
                <w:sz w:val="18"/>
                <w:szCs w:val="18"/>
                <w:lang w:eastAsia="ja-JP"/>
              </w:rPr>
            </w:pPr>
            <w:ins w:id="32" w:author="Eko Onggosanusi" w:date="2021-10-15T00:16:00Z">
              <w:r w:rsidRPr="00C36AB1">
                <w:rPr>
                  <w:rFonts w:eastAsia="DengXian"/>
                  <w:sz w:val="18"/>
                  <w:szCs w:val="18"/>
                  <w:lang w:eastAsia="ko-KR"/>
                </w:rPr>
                <w:t>Note: By previous agreements, DL TCI shares the same TCI state pool as joint DL/UL TCI</w:t>
              </w:r>
            </w:ins>
          </w:p>
          <w:p w14:paraId="4E3D88E9" w14:textId="77777777" w:rsidR="00CE27F0" w:rsidRDefault="00CE27F0" w:rsidP="0053414A">
            <w:pPr>
              <w:snapToGrid w:val="0"/>
              <w:rPr>
                <w:ins w:id="33" w:author="Eko Onggosanusi" w:date="2021-10-15T00:15:00Z"/>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af0"/>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af0"/>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af0"/>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af0"/>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13CAAAE"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r w:rsidR="00761577">
              <w:rPr>
                <w:sz w:val="18"/>
                <w:szCs w:val="20"/>
              </w:rPr>
              <w:t>, Intel (without last bullet from prev round)</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ins w:id="34" w:author="Eko Onggosanusi" w:date="2021-10-15T00:14:00Z">
              <w:r>
                <w:rPr>
                  <w:sz w:val="18"/>
                  <w:szCs w:val="18"/>
                  <w:lang w:eastAsia="zh-CN"/>
                </w:rPr>
                <w:t>[Mod: OK]</w:t>
              </w:r>
            </w:ins>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aa"/>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aa"/>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aa"/>
              <w:snapToGrid w:val="0"/>
              <w:spacing w:before="0" w:after="0"/>
              <w:rPr>
                <w:rFonts w:eastAsia="DengXian"/>
                <w:sz w:val="18"/>
                <w:szCs w:val="18"/>
                <w:lang w:eastAsia="ko-KR"/>
              </w:rPr>
            </w:pPr>
            <w:ins w:id="35" w:author="Eko Onggosanusi" w:date="2021-10-15T00:15:00Z">
              <w:r>
                <w:rPr>
                  <w:rFonts w:eastAsia="DengXian"/>
                  <w:sz w:val="18"/>
                  <w:szCs w:val="18"/>
                  <w:lang w:eastAsia="ko-KR"/>
                </w:rPr>
                <w:lastRenderedPageBreak/>
                <w:t>[Mod: It seems this is the best we can do]</w:t>
              </w:r>
            </w:ins>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0"/>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ins w:id="36" w:author="Eko Onggosanusi" w:date="2021-10-15T00:20:00Z">
              <w:r>
                <w:rPr>
                  <w:rFonts w:eastAsia="MS Mincho"/>
                  <w:sz w:val="18"/>
                  <w:szCs w:val="18"/>
                  <w:lang w:eastAsia="ja-JP"/>
                </w:rPr>
                <w:t>[Mod: It was argued that we should follow Rel-15/16 UL spatial relation. Here the max number is 64]</w:t>
              </w:r>
            </w:ins>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ins w:id="37" w:author="Eko Onggosanusi" w:date="2021-10-15T00:26:00Z"/>
                <w:rFonts w:eastAsia="宋体"/>
                <w:sz w:val="18"/>
                <w:szCs w:val="18"/>
                <w:lang w:eastAsia="zh-CN"/>
              </w:rPr>
            </w:pPr>
            <w:ins w:id="38" w:author="Eko Onggosanusi" w:date="2021-10-15T00:26:00Z">
              <w:r>
                <w:rPr>
                  <w:rFonts w:eastAsia="宋体"/>
                  <w:sz w:val="18"/>
                  <w:szCs w:val="18"/>
                  <w:lang w:eastAsia="zh-CN"/>
                </w:rPr>
                <w:t xml:space="preserve">[Mod: There seems to be a misunderstanding of the proposal, It is not the TCI state that is signaled via RRC. It is an indication whether a channel/signal </w:t>
              </w:r>
            </w:ins>
            <w:ins w:id="39" w:author="Eko Onggosanusi" w:date="2021-10-15T00:27:00Z">
              <w:r>
                <w:rPr>
                  <w:rFonts w:eastAsia="宋体"/>
                  <w:sz w:val="18"/>
                  <w:szCs w:val="18"/>
                  <w:lang w:eastAsia="zh-CN"/>
                </w:rPr>
                <w:t>doesn’t share the “common” TCI state</w:t>
              </w:r>
              <w:r w:rsidR="00BB2B4E">
                <w:rPr>
                  <w:rFonts w:eastAsia="宋体"/>
                  <w:sz w:val="18"/>
                  <w:szCs w:val="18"/>
                  <w:lang w:eastAsia="zh-CN"/>
                </w:rPr>
                <w:t xml:space="preserve"> – it has nothing to do with TCI state signaling. I have reworded to avoid misinterpretation of the pronoun “it”</w:t>
              </w:r>
              <w:r>
                <w:rPr>
                  <w:rFonts w:eastAsia="宋体"/>
                  <w:sz w:val="18"/>
                  <w:szCs w:val="18"/>
                  <w:lang w:eastAsia="zh-CN"/>
                </w:rPr>
                <w:t>]</w:t>
              </w:r>
            </w:ins>
          </w:p>
          <w:p w14:paraId="22A2B11C" w14:textId="77777777" w:rsidR="00541C51" w:rsidRDefault="00541C51"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9A4F1E" w:rsidP="003B1D75">
            <w:pPr>
              <w:snapToGrid w:val="0"/>
              <w:jc w:val="center"/>
              <w:rPr>
                <w:rFonts w:eastAsia="宋体"/>
                <w:sz w:val="18"/>
                <w:szCs w:val="18"/>
                <w:lang w:eastAsia="zh-CN"/>
              </w:rPr>
            </w:pPr>
            <w:r>
              <w:rPr>
                <w:rFonts w:eastAsia="宋体"/>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5pt;height:271.05pt;mso-width-percent:0;mso-height-percent:0;mso-width-percent:0;mso-height-percent:0" o:ole="">
                  <v:imagedata r:id="rId9" o:title=""/>
                </v:shape>
                <o:OLEObject Type="Embed" ProgID="Visio.Drawing.11" ShapeID="_x0000_i1025" DrawAspect="Content" ObjectID="_1695824215"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ins w:id="40" w:author="Eko Onggosanusi" w:date="2021-10-15T00:29:00Z"/>
                <w:rFonts w:eastAsia="宋体"/>
                <w:sz w:val="18"/>
                <w:szCs w:val="18"/>
                <w:lang w:eastAsia="zh-CN"/>
              </w:rPr>
            </w:pPr>
            <w:ins w:id="41" w:author="Eko Onggosanusi" w:date="2021-10-15T00:29:00Z">
              <w:r>
                <w:rPr>
                  <w:rFonts w:eastAsia="宋体"/>
                  <w:sz w:val="18"/>
                  <w:szCs w:val="18"/>
                  <w:lang w:eastAsia="zh-CN"/>
                </w:rPr>
                <w:t xml:space="preserve">[Mod: There is an agreement that switching between joint and separate is via RRC. This implies that mixture between joint and separate is no possible. </w:t>
              </w:r>
            </w:ins>
            <w:ins w:id="42" w:author="Eko Onggosanusi" w:date="2021-10-15T00:30:00Z">
              <w:r>
                <w:rPr>
                  <w:rFonts w:eastAsia="宋体"/>
                  <w:sz w:val="18"/>
                  <w:szCs w:val="18"/>
                  <w:lang w:eastAsia="zh-CN"/>
                </w:rPr>
                <w:t xml:space="preserve">I think you are referring to whether UL shares the same pool as joint or not (which will be p to TRAN2 – see 1.6). But the maximum number of </w:t>
              </w:r>
            </w:ins>
            <w:ins w:id="43" w:author="Eko Onggosanusi" w:date="2021-10-15T00:31:00Z">
              <w:r>
                <w:rPr>
                  <w:rFonts w:eastAsia="宋体"/>
                  <w:sz w:val="18"/>
                  <w:szCs w:val="18"/>
                  <w:lang w:eastAsia="zh-CN"/>
                </w:rPr>
                <w:t>configured TCI states doesn’t depend</w:t>
              </w:r>
              <w:r w:rsidR="0035775D">
                <w:rPr>
                  <w:rFonts w:eastAsia="宋体"/>
                  <w:sz w:val="18"/>
                  <w:szCs w:val="18"/>
                  <w:lang w:eastAsia="zh-CN"/>
                </w:rPr>
                <w:t xml:space="preserve"> on the pool design necessarily.</w:t>
              </w:r>
            </w:ins>
            <w:ins w:id="44" w:author="Eko Onggosanusi" w:date="2021-10-15T00:29:00Z">
              <w:r>
                <w:rPr>
                  <w:rFonts w:eastAsia="宋体"/>
                  <w:sz w:val="18"/>
                  <w:szCs w:val="18"/>
                  <w:lang w:eastAsia="zh-CN"/>
                </w:rPr>
                <w:t>]</w:t>
              </w:r>
            </w:ins>
          </w:p>
          <w:p w14:paraId="07E5EF95" w14:textId="77777777" w:rsidR="00950C54" w:rsidRDefault="00950C5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宋体"/>
                <w:sz w:val="18"/>
                <w:szCs w:val="18"/>
                <w:lang w:eastAsia="zh-CN"/>
              </w:rPr>
            </w:pPr>
            <w:r>
              <w:rPr>
                <w:rFonts w:eastAsia="宋体"/>
                <w:sz w:val="18"/>
                <w:szCs w:val="18"/>
                <w:lang w:eastAsia="zh-CN"/>
              </w:rPr>
              <w:t>Views updated in the Table.</w:t>
            </w:r>
          </w:p>
          <w:p w14:paraId="1ADB982D" w14:textId="77777777" w:rsidR="005F5B92" w:rsidRDefault="005F5B92" w:rsidP="00AC2CE2">
            <w:pPr>
              <w:snapToGrid w:val="0"/>
              <w:rPr>
                <w:rFonts w:eastAsia="宋体"/>
                <w:sz w:val="18"/>
                <w:szCs w:val="18"/>
                <w:lang w:eastAsia="zh-CN"/>
              </w:rPr>
            </w:pPr>
          </w:p>
          <w:p w14:paraId="53DAB8D1" w14:textId="43255DCC" w:rsidR="00914A9B" w:rsidRDefault="005F5B92" w:rsidP="00AC2CE2">
            <w:pPr>
              <w:snapToGrid w:val="0"/>
              <w:rPr>
                <w:rFonts w:eastAsia="宋体"/>
                <w:sz w:val="18"/>
                <w:szCs w:val="18"/>
                <w:lang w:eastAsia="zh-CN"/>
              </w:rPr>
            </w:pPr>
            <w:r w:rsidRPr="00182E7D">
              <w:rPr>
                <w:rFonts w:eastAsia="宋体"/>
                <w:b/>
                <w:bCs/>
                <w:sz w:val="18"/>
                <w:szCs w:val="18"/>
                <w:lang w:eastAsia="zh-CN"/>
              </w:rPr>
              <w:t>Proposal 1.</w:t>
            </w:r>
            <w:r w:rsidR="00914A9B" w:rsidRPr="00182E7D">
              <w:rPr>
                <w:rFonts w:eastAsia="宋体"/>
                <w:b/>
                <w:bCs/>
                <w:sz w:val="18"/>
                <w:szCs w:val="18"/>
                <w:lang w:eastAsia="zh-CN"/>
              </w:rPr>
              <w:t>H</w:t>
            </w:r>
            <w:r w:rsidRPr="00182E7D">
              <w:rPr>
                <w:rFonts w:eastAsia="宋体"/>
                <w:b/>
                <w:bCs/>
                <w:sz w:val="18"/>
                <w:szCs w:val="18"/>
                <w:lang w:eastAsia="zh-CN"/>
              </w:rPr>
              <w:t>:</w:t>
            </w:r>
            <w:r w:rsidR="00914A9B">
              <w:rPr>
                <w:rFonts w:eastAsia="宋体"/>
                <w:sz w:val="18"/>
                <w:szCs w:val="18"/>
                <w:lang w:eastAsia="zh-CN"/>
              </w:rPr>
              <w:t xml:space="preserve"> We do not see any need to have dynamic update of these associations. Therefore Alt.1 is sufficient specially at this late stage. </w:t>
            </w:r>
            <w:r w:rsidR="00E309DA">
              <w:rPr>
                <w:rFonts w:eastAsia="宋体"/>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宋体"/>
                <w:sz w:val="18"/>
                <w:szCs w:val="18"/>
                <w:lang w:eastAsia="zh-CN"/>
              </w:rPr>
            </w:pPr>
          </w:p>
          <w:p w14:paraId="09A1D6B2" w14:textId="77777777" w:rsidR="005F5B92" w:rsidRDefault="00914A9B" w:rsidP="00AC2CE2">
            <w:pPr>
              <w:snapToGrid w:val="0"/>
              <w:rPr>
                <w:rFonts w:eastAsia="宋体"/>
                <w:sz w:val="18"/>
                <w:szCs w:val="18"/>
                <w:lang w:eastAsia="zh-CN"/>
              </w:rPr>
            </w:pPr>
            <w:r w:rsidRPr="00182E7D">
              <w:rPr>
                <w:rFonts w:eastAsia="宋体"/>
                <w:b/>
                <w:bCs/>
                <w:sz w:val="18"/>
                <w:szCs w:val="18"/>
                <w:lang w:eastAsia="zh-CN"/>
              </w:rPr>
              <w:t>Proposal 1.G:</w:t>
            </w:r>
            <w:r>
              <w:rPr>
                <w:rFonts w:eastAsia="宋体"/>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宋体"/>
                <w:sz w:val="18"/>
                <w:szCs w:val="18"/>
                <w:lang w:eastAsia="zh-CN"/>
              </w:rPr>
            </w:pPr>
          </w:p>
          <w:p w14:paraId="2E9143F9" w14:textId="77777777" w:rsidR="00E309DA" w:rsidRDefault="00914A9B" w:rsidP="00AC2CE2">
            <w:pPr>
              <w:snapToGrid w:val="0"/>
              <w:rPr>
                <w:rFonts w:eastAsia="宋体"/>
                <w:sz w:val="18"/>
                <w:szCs w:val="18"/>
                <w:lang w:eastAsia="zh-CN"/>
              </w:rPr>
            </w:pPr>
            <w:r w:rsidRPr="00182E7D">
              <w:rPr>
                <w:rFonts w:eastAsia="宋体"/>
                <w:b/>
                <w:bCs/>
                <w:sz w:val="18"/>
                <w:szCs w:val="18"/>
                <w:lang w:eastAsia="zh-CN"/>
              </w:rPr>
              <w:t>Issue 1.6:</w:t>
            </w:r>
            <w:r>
              <w:rPr>
                <w:rFonts w:eastAsia="宋体"/>
                <w:b/>
                <w:bCs/>
                <w:sz w:val="18"/>
                <w:szCs w:val="18"/>
                <w:lang w:eastAsia="zh-CN"/>
              </w:rPr>
              <w:t xml:space="preserve"> </w:t>
            </w:r>
            <w:r>
              <w:rPr>
                <w:rFonts w:eastAsia="宋体"/>
                <w:sz w:val="18"/>
                <w:szCs w:val="18"/>
                <w:lang w:eastAsia="zh-CN"/>
              </w:rPr>
              <w:t>We keep postponing discussion on this issue every meeting.</w:t>
            </w:r>
            <w:r w:rsidR="005A23E2">
              <w:rPr>
                <w:rFonts w:eastAsia="宋体"/>
                <w:sz w:val="18"/>
                <w:szCs w:val="18"/>
                <w:lang w:eastAsia="zh-CN"/>
              </w:rPr>
              <w:t xml:space="preserve"> But we feel that a decision one way or the other would help refine the RAN1 design for other issues related </w:t>
            </w:r>
            <w:r w:rsidR="005D5086">
              <w:rPr>
                <w:rFonts w:eastAsia="宋体"/>
                <w:sz w:val="18"/>
                <w:szCs w:val="18"/>
                <w:lang w:eastAsia="zh-CN"/>
              </w:rPr>
              <w:t>unified TCI indication</w:t>
            </w:r>
            <w:r w:rsidR="00E309DA">
              <w:rPr>
                <w:rFonts w:eastAsia="宋体"/>
                <w:sz w:val="18"/>
                <w:szCs w:val="18"/>
                <w:lang w:eastAsia="zh-CN"/>
              </w:rPr>
              <w:t>.</w:t>
            </w:r>
          </w:p>
          <w:p w14:paraId="04162297" w14:textId="0811D126" w:rsidR="00914A9B" w:rsidRPr="00914A9B" w:rsidRDefault="005D5086" w:rsidP="00AC2CE2">
            <w:pPr>
              <w:snapToGrid w:val="0"/>
              <w:rPr>
                <w:rFonts w:eastAsia="宋体"/>
                <w:sz w:val="18"/>
                <w:szCs w:val="18"/>
                <w:lang w:eastAsia="zh-CN"/>
              </w:rPr>
            </w:pPr>
            <w:r>
              <w:rPr>
                <w:rFonts w:eastAsia="宋体"/>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宋体"/>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ins w:id="45" w:author="Eko Onggosanusi" w:date="2021-10-15T00:40:00Z"/>
                <w:sz w:val="18"/>
                <w:szCs w:val="20"/>
              </w:rPr>
            </w:pPr>
            <w:ins w:id="46" w:author="Eko Onggosanusi" w:date="2021-10-15T00:38:00Z">
              <w:r>
                <w:rPr>
                  <w:sz w:val="18"/>
                  <w:szCs w:val="20"/>
                </w:rPr>
                <w:t>[Mod:</w:t>
              </w:r>
            </w:ins>
            <w:ins w:id="47" w:author="Eko Onggosanusi" w:date="2021-10-15T00:39:00Z">
              <w:r>
                <w:rPr>
                  <w:sz w:val="18"/>
                  <w:szCs w:val="20"/>
                </w:rPr>
                <w:t xml:space="preserve"> Honestly I don’t think it matters either way. Hat you said above doesn’t seem to correlate with the issue at hand. This is to indicate whether a channel/signal that can share the “common” TCI </w:t>
              </w:r>
            </w:ins>
            <w:ins w:id="48" w:author="Eko Onggosanusi" w:date="2021-10-15T00:40:00Z">
              <w:r>
                <w:rPr>
                  <w:sz w:val="18"/>
                  <w:szCs w:val="20"/>
                </w:rPr>
                <w:t xml:space="preserve">(e.g. AP CSI-RS, DMRS of non-UE-dedicated for intra-cell, ...) is configured to share the “common” TCI or not. </w:t>
              </w:r>
            </w:ins>
          </w:p>
          <w:p w14:paraId="6EC73EE7" w14:textId="1B192452" w:rsidR="00673CBA" w:rsidRDefault="00D546D5" w:rsidP="00673CBA">
            <w:pPr>
              <w:snapToGrid w:val="0"/>
              <w:rPr>
                <w:ins w:id="49" w:author="Eko Onggosanusi" w:date="2021-10-15T00:38:00Z"/>
                <w:sz w:val="18"/>
                <w:szCs w:val="20"/>
              </w:rPr>
            </w:pPr>
            <w:ins w:id="50" w:author="Eko Onggosanusi" w:date="2021-10-15T00:40:00Z">
              <w:r>
                <w:rPr>
                  <w:sz w:val="18"/>
                  <w:szCs w:val="20"/>
                </w:rPr>
                <w:t xml:space="preserve">Anyway, </w:t>
              </w:r>
            </w:ins>
            <w:ins w:id="51" w:author="Eko Onggosanusi" w:date="2021-10-15T00:39:00Z">
              <w:r>
                <w:rPr>
                  <w:sz w:val="18"/>
                  <w:szCs w:val="20"/>
                </w:rPr>
                <w:t>I put “not” in brackets.</w:t>
              </w:r>
            </w:ins>
            <w:ins w:id="52" w:author="Eko Onggosanusi" w:date="2021-10-15T00:38:00Z">
              <w:r>
                <w:rPr>
                  <w:sz w:val="18"/>
                  <w:szCs w:val="20"/>
                </w:rPr>
                <w:t>]</w:t>
              </w:r>
            </w:ins>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ins w:id="53" w:author="Eko Onggosanusi" w:date="2021-10-15T00:38:00Z"/>
                <w:sz w:val="18"/>
                <w:szCs w:val="20"/>
              </w:rPr>
            </w:pPr>
            <w:ins w:id="54" w:author="Eko Onggosanusi" w:date="2021-10-15T00:38:00Z">
              <w:r>
                <w:rPr>
                  <w:sz w:val="18"/>
                  <w:szCs w:val="20"/>
                </w:rPr>
                <w:t>[Mod: It is still beneficial regardless to provide context of the bullets.]</w:t>
              </w:r>
            </w:ins>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ins w:id="55" w:author="Eko Onggosanusi" w:date="2021-10-15T00:41:00Z">
              <w:r>
                <w:rPr>
                  <w:sz w:val="18"/>
                  <w:u w:val="single"/>
                </w:rPr>
                <w:t>[Mod: OK]</w:t>
              </w:r>
            </w:ins>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af0"/>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ins w:id="56" w:author="Eko Onggosanusi" w:date="2021-10-15T00:47:00Z"/>
                <w:b/>
                <w:sz w:val="18"/>
                <w:u w:val="single"/>
              </w:rPr>
            </w:pPr>
            <w:ins w:id="57" w:author="Eko Onggosanusi" w:date="2021-10-15T00:47:00Z">
              <w:r>
                <w:rPr>
                  <w:b/>
                  <w:sz w:val="18"/>
                  <w:u w:val="single"/>
                </w:rPr>
                <w:t>[Mod: Please check previous round. This was not agreeable to some companies</w:t>
              </w:r>
            </w:ins>
            <w:ins w:id="58" w:author="Eko Onggosanusi" w:date="2021-10-15T00:48:00Z">
              <w:r>
                <w:rPr>
                  <w:b/>
                  <w:sz w:val="18"/>
                  <w:u w:val="single"/>
                </w:rPr>
                <w:t>. I have mentioned this in Table 1</w:t>
              </w:r>
            </w:ins>
            <w:ins w:id="59" w:author="Eko Onggosanusi" w:date="2021-10-15T00:47:00Z">
              <w:r>
                <w:rPr>
                  <w:b/>
                  <w:sz w:val="18"/>
                  <w:u w:val="single"/>
                </w:rPr>
                <w:t>]</w:t>
              </w:r>
            </w:ins>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af0"/>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af0"/>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ins w:id="60" w:author="Eko Onggosanusi" w:date="2021-10-15T01:10:00Z">
              <w:r>
                <w:rPr>
                  <w:rFonts w:eastAsia="Malgun Gothic"/>
                  <w:bCs/>
                  <w:sz w:val="18"/>
                  <w:szCs w:val="20"/>
                  <w:lang w:eastAsia="en-US"/>
                </w:rPr>
                <w:t xml:space="preserve">Indication for activating a reporting configuration </w:t>
              </w:r>
            </w:ins>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6796D6C8"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 xml:space="preserve">AT&amp;T, </w:t>
            </w:r>
            <w:r w:rsidRPr="00CA499E">
              <w:rPr>
                <w:sz w:val="18"/>
                <w:szCs w:val="20"/>
              </w:rPr>
              <w:t>...</w:t>
            </w:r>
          </w:p>
          <w:p w14:paraId="76AD4AEC" w14:textId="77777777"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61AEDDB"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r w:rsidR="00F10A1F">
              <w:rPr>
                <w:sz w:val="18"/>
                <w:szCs w:val="18"/>
                <w:lang w:val="de-DE"/>
              </w:rPr>
              <w:t xml:space="preserve">NTT </w:t>
            </w:r>
            <w:r w:rsidR="007209EF" w:rsidRPr="000A5A76">
              <w:rPr>
                <w:sz w:val="18"/>
                <w:szCs w:val="18"/>
                <w:lang w:val="de-DE"/>
              </w:rPr>
              <w:t>Docomo</w:t>
            </w:r>
            <w:r w:rsidR="00FB6FCB" w:rsidRPr="000A5A76">
              <w:rPr>
                <w:sz w:val="18"/>
                <w:szCs w:val="18"/>
                <w:lang w:val="de-DE"/>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Spreadtrum </w:t>
            </w:r>
          </w:p>
          <w:p w14:paraId="1C8892FA" w14:textId="77777777" w:rsidR="007E0FC5" w:rsidRPr="000A5A76" w:rsidRDefault="007E0FC5">
            <w:pPr>
              <w:snapToGrid w:val="0"/>
              <w:rPr>
                <w:b/>
                <w:sz w:val="18"/>
                <w:szCs w:val="18"/>
                <w:lang w:val="de-DE"/>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0"/>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0"/>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A23EB85"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ins w:id="61" w:author="Yuki Matsumura" w:date="2021-10-15T16:13:00Z">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ins>
          </w:p>
          <w:p w14:paraId="607BA8DE" w14:textId="52A5F173" w:rsidR="00595341" w:rsidRPr="00CF46B5" w:rsidDel="00D953D2" w:rsidRDefault="00595341" w:rsidP="00CF46B5">
            <w:pPr>
              <w:pStyle w:val="af0"/>
              <w:numPr>
                <w:ilvl w:val="0"/>
                <w:numId w:val="38"/>
              </w:numPr>
              <w:snapToGrid w:val="0"/>
              <w:spacing w:after="0" w:line="240" w:lineRule="auto"/>
              <w:rPr>
                <w:del w:id="62" w:author="Yuki Matsumura" w:date="2021-10-15T16:14:00Z"/>
                <w:b/>
                <w:sz w:val="18"/>
                <w:szCs w:val="20"/>
              </w:rPr>
            </w:pPr>
            <w:del w:id="63" w:author="Yuki Matsumura" w:date="2021-10-15T16:14:00Z">
              <w:r w:rsidRPr="00CF46B5" w:rsidDel="00D953D2">
                <w:rPr>
                  <w:b/>
                  <w:sz w:val="18"/>
                  <w:szCs w:val="20"/>
                </w:rPr>
                <w:delText>Concern</w:delText>
              </w:r>
              <w:r w:rsidRPr="00CF46B5" w:rsidDel="00D953D2">
                <w:rPr>
                  <w:sz w:val="18"/>
                  <w:szCs w:val="20"/>
                </w:rPr>
                <w:delText>: NTT Docomo</w:delText>
              </w:r>
            </w:del>
          </w:p>
          <w:p w14:paraId="74295CED" w14:textId="77777777" w:rsidR="00DA34A3" w:rsidRDefault="00DA34A3" w:rsidP="00CF46B5">
            <w:pPr>
              <w:snapToGrid w:val="0"/>
              <w:rPr>
                <w:b/>
                <w:sz w:val="18"/>
                <w:szCs w:val="20"/>
              </w:rPr>
            </w:pPr>
          </w:p>
          <w:p w14:paraId="55EB06CB" w14:textId="3E8B02A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del w:id="64" w:author="Yuki Matsumura" w:date="2021-10-15T16:14:00Z">
              <w:r w:rsidR="003C23F9" w:rsidRPr="005F4D30" w:rsidDel="00D953D2">
                <w:rPr>
                  <w:sz w:val="18"/>
                  <w:szCs w:val="20"/>
                  <w:lang w:val="fi-FI"/>
                </w:rPr>
                <w:delText xml:space="preserve">NTT </w:delText>
              </w:r>
              <w:r w:rsidR="007209EF" w:rsidRPr="005F4D30" w:rsidDel="00D953D2">
                <w:rPr>
                  <w:sz w:val="18"/>
                  <w:szCs w:val="20"/>
                  <w:lang w:val="fi-FI"/>
                </w:rPr>
                <w:delText>Docomo</w:delText>
              </w:r>
              <w:r w:rsidR="00FC0094" w:rsidRPr="005F4D30" w:rsidDel="00D953D2">
                <w:rPr>
                  <w:sz w:val="18"/>
                  <w:szCs w:val="20"/>
                  <w:lang w:val="fi-FI"/>
                </w:rPr>
                <w:delText xml:space="preserve">, </w:delText>
              </w:r>
            </w:del>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6B463848"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65"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65"/>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2A21A4DB"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Spreadtrum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lastRenderedPageBreak/>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ins w:id="66" w:author="Eko Onggosanusi" w:date="2021-10-15T01:13:00Z"/>
                <w:bCs/>
                <w:sz w:val="18"/>
                <w:szCs w:val="18"/>
                <w:lang w:eastAsia="zh-CN"/>
              </w:rPr>
            </w:pPr>
            <w:ins w:id="67" w:author="Eko Onggosanusi" w:date="2021-10-15T01:13:00Z">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ins>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lastRenderedPageBreak/>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lastRenderedPageBreak/>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宋体"/>
                <w:bCs/>
                <w:sz w:val="18"/>
                <w:szCs w:val="20"/>
                <w:lang w:val="en-GB" w:eastAsia="en-US"/>
              </w:rPr>
            </w:pPr>
            <w:r w:rsidRPr="00F92B18">
              <w:rPr>
                <w:bCs/>
                <w:sz w:val="18"/>
                <w:szCs w:val="18"/>
              </w:rPr>
              <w:t xml:space="preserve">Regarding </w:t>
            </w:r>
            <w:r w:rsidRPr="00F92B18">
              <w:rPr>
                <w:rFonts w:eastAsia="宋体"/>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宋体"/>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宋体"/>
                <w:b/>
                <w:sz w:val="18"/>
                <w:szCs w:val="20"/>
                <w:lang w:val="en-GB" w:eastAsia="en-US"/>
              </w:rPr>
              <w:t>Proposal 2.F</w:t>
            </w:r>
            <w:r>
              <w:rPr>
                <w:rFonts w:eastAsia="宋体"/>
                <w:b/>
                <w:sz w:val="18"/>
                <w:szCs w:val="20"/>
                <w:lang w:val="en-GB" w:eastAsia="en-US"/>
              </w:rPr>
              <w:t xml:space="preserve">: </w:t>
            </w:r>
            <w:r w:rsidRPr="00023E89">
              <w:rPr>
                <w:rFonts w:eastAsia="宋体"/>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af0"/>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af0"/>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557D5DE9" w:rsidR="00D953D2" w:rsidRPr="00D953D2" w:rsidRDefault="00D953D2" w:rsidP="00D953D2">
            <w:pPr>
              <w:snapToGrid w:val="0"/>
              <w:rPr>
                <w:sz w:val="18"/>
                <w:szCs w:val="18"/>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tc>
      </w:tr>
      <w:tr w:rsidR="00653371" w:rsidRPr="002C581A" w14:paraId="6FC0A09E"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hint="eastAsia"/>
                <w:sz w:val="18"/>
                <w:szCs w:val="18"/>
                <w:lang w:eastAsia="ja-JP"/>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hint="eastAsia"/>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C3DF5BD"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68" w:author="Eko Onggosanusi" w:date="2021-10-15T01:27:00Z">
              <w:r w:rsidR="00493ED3">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824355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ins w:id="69" w:author="Eko Onggosanusi" w:date="2021-10-15T01:28:00Z">
              <w:r w:rsidR="00493ED3">
                <w:rPr>
                  <w:sz w:val="18"/>
                </w:rPr>
                <w:t>,</w:t>
              </w:r>
            </w:ins>
            <w:r w:rsidR="00493ED3">
              <w:rPr>
                <w:sz w:val="18"/>
              </w:rPr>
              <w:t xml:space="preserve"> Qualcomm, </w:t>
            </w:r>
            <w:r w:rsidR="0089105B">
              <w:rPr>
                <w:sz w:val="18"/>
              </w:rPr>
              <w:t xml:space="preserve">LG, Spreadtrum, </w:t>
            </w:r>
            <w:r w:rsidRPr="002747AF">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ins w:id="70" w:author="Eko Onggosanusi" w:date="2021-10-15T01:27:00Z">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ins>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ins w:id="71" w:author="Eko Onggosanusi" w:date="2021-10-15T01:27:00Z"/>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ins w:id="72" w:author="Eko Onggosanusi" w:date="2021-10-15T01:27:00Z">
              <w:r>
                <w:rPr>
                  <w:sz w:val="18"/>
                  <w:szCs w:val="20"/>
                  <w:lang w:eastAsia="zh-CN"/>
                </w:rPr>
                <w:t>[Mod: O</w:t>
              </w:r>
            </w:ins>
            <w:ins w:id="73" w:author="Eko Onggosanusi" w:date="2021-10-15T01:28:00Z">
              <w:r>
                <w:rPr>
                  <w:sz w:val="18"/>
                  <w:szCs w:val="20"/>
                  <w:lang w:eastAsia="zh-CN"/>
                </w:rPr>
                <w:t>K]</w:t>
              </w:r>
            </w:ins>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ins w:id="74" w:author="Eko Onggosanusi" w:date="2021-10-15T01:30:00Z">
              <w:r>
                <w:rPr>
                  <w:rFonts w:eastAsiaTheme="minorEastAsia"/>
                  <w:sz w:val="18"/>
                  <w:szCs w:val="18"/>
                  <w:lang w:eastAsia="zh-CN"/>
                </w:rPr>
                <w:t xml:space="preserve">[Mod: The correspondence can be inferred </w:t>
              </w:r>
            </w:ins>
            <w:ins w:id="75" w:author="Eko Onggosanusi" w:date="2021-10-15T01:31:00Z">
              <w:r>
                <w:rPr>
                  <w:rFonts w:eastAsiaTheme="minorEastAsia"/>
                  <w:sz w:val="18"/>
                  <w:szCs w:val="18"/>
                  <w:lang w:eastAsia="zh-CN"/>
                </w:rPr>
                <w:t>for the asymmetric case, at least</w:t>
              </w:r>
            </w:ins>
            <w:ins w:id="76" w:author="Eko Onggosanusi" w:date="2021-10-15T01:30:00Z">
              <w:r>
                <w:rPr>
                  <w:rFonts w:eastAsiaTheme="minorEastAsia"/>
                  <w:sz w:val="18"/>
                  <w:szCs w:val="18"/>
                  <w:lang w:eastAsia="zh-CN"/>
                </w:rPr>
                <w:t>]</w:t>
              </w:r>
            </w:ins>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7777777" w:rsidR="00697F6E" w:rsidRPr="003F3B73" w:rsidRDefault="00697F6E" w:rsidP="00697F6E">
            <w:pPr>
              <w:pStyle w:val="af0"/>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ins w:id="77" w:author="Sun Weiqi" w:date="2021-10-15T15:24:00Z">
              <w:r>
                <w:rPr>
                  <w:sz w:val="20"/>
                  <w:szCs w:val="20"/>
                  <w:lang w:eastAsia="zh-CN"/>
                </w:rPr>
                <w:t xml:space="preserve">which is </w:t>
              </w:r>
            </w:ins>
            <w:del w:id="78" w:author="Sun Weiqi" w:date="2021-10-15T15:24:00Z">
              <w:r w:rsidRPr="00EC6B09" w:rsidDel="005F1CF8">
                <w:rPr>
                  <w:sz w:val="20"/>
                  <w:szCs w:val="20"/>
                  <w:lang w:eastAsia="zh-CN"/>
                </w:rPr>
                <w:delText xml:space="preserve">associated to a logical index, where </w:delText>
              </w:r>
              <w:r w:rsidRPr="00D7327C" w:rsidDel="005F1CF8">
                <w:rPr>
                  <w:sz w:val="20"/>
                  <w:szCs w:val="20"/>
                  <w:lang w:eastAsia="zh-CN"/>
                </w:rPr>
                <w:delText xml:space="preserve">the SRS resource set should be </w:delText>
              </w:r>
            </w:del>
            <w:r w:rsidRPr="00D7327C">
              <w:rPr>
                <w:sz w:val="20"/>
                <w:szCs w:val="20"/>
                <w:lang w:eastAsia="zh-CN"/>
              </w:rPr>
              <w:t xml:space="preserve">aligned with the UE capability </w:t>
            </w:r>
            <w:del w:id="79" w:author="Sun Weiqi" w:date="2021-10-15T15:24:00Z">
              <w:r w:rsidRPr="00D7327C" w:rsidDel="005F1CF8">
                <w:rPr>
                  <w:sz w:val="20"/>
                  <w:szCs w:val="20"/>
                  <w:lang w:eastAsia="zh-CN"/>
                </w:rPr>
                <w:delText>for the log</w:delText>
              </w:r>
              <w:r w:rsidRPr="00F17901" w:rsidDel="005F1CF8">
                <w:rPr>
                  <w:sz w:val="20"/>
                  <w:szCs w:val="20"/>
                  <w:lang w:eastAsia="zh-CN"/>
                </w:rPr>
                <w:delText>ical index </w:delText>
              </w:r>
            </w:del>
          </w:p>
          <w:p w14:paraId="70F48062" w14:textId="77777777" w:rsidR="00697F6E" w:rsidRDefault="00697F6E" w:rsidP="00697F6E">
            <w:pPr>
              <w:snapToGrid w:val="0"/>
              <w:rPr>
                <w:rFonts w:eastAsia="Malgun Gothic"/>
                <w:sz w:val="18"/>
                <w:szCs w:val="18"/>
              </w:rPr>
            </w:pPr>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want to clarify the meanin of a list of UE capability values, can we understand as below:</w:t>
            </w:r>
          </w:p>
          <w:p w14:paraId="3423B963" w14:textId="77777777" w:rsidR="00910E29" w:rsidRPr="00AD015B" w:rsidRDefault="00910E29" w:rsidP="00910E29">
            <w:pPr>
              <w:pStyle w:val="af0"/>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r w:rsidRPr="00AD015B">
              <w:rPr>
                <w:sz w:val="18"/>
                <w:szCs w:val="20"/>
                <w:lang w:eastAsia="zh-CN"/>
              </w:rPr>
              <w:t>;</w:t>
            </w:r>
          </w:p>
          <w:p w14:paraId="598BE57A" w14:textId="77777777" w:rsidR="00910E29" w:rsidRDefault="00910E29" w:rsidP="00910E29">
            <w:pPr>
              <w:pStyle w:val="af0"/>
              <w:numPr>
                <w:ilvl w:val="0"/>
                <w:numId w:val="39"/>
              </w:numPr>
              <w:snapToGrid w:val="0"/>
              <w:rPr>
                <w:sz w:val="18"/>
                <w:szCs w:val="20"/>
                <w:lang w:eastAsia="zh-CN"/>
              </w:rPr>
            </w:pPr>
            <w:r w:rsidRPr="00AD015B">
              <w:rPr>
                <w:rFonts w:eastAsiaTheme="minorEastAsia"/>
                <w:sz w:val="18"/>
                <w:szCs w:val="18"/>
                <w:lang w:eastAsia="zh-CN"/>
              </w:rPr>
              <w:t>Entry#</w:t>
            </w:r>
            <w:r w:rsidRPr="00AD015B">
              <w:rPr>
                <w:rFonts w:eastAsiaTheme="minorEastAsia"/>
                <w:sz w:val="18"/>
                <w:szCs w:val="18"/>
                <w:lang w:eastAsia="zh-CN"/>
              </w:rPr>
              <w:t>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77777777" w:rsidR="00910E29" w:rsidRPr="002747AF" w:rsidRDefault="00910E29" w:rsidP="00910E2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w:t>
            </w:r>
            <w:del w:id="80" w:author="Administrator" w:date="2021-10-15T16:26:00Z">
              <w:r w:rsidRPr="002747AF" w:rsidDel="008B01C3">
                <w:rPr>
                  <w:sz w:val="18"/>
                  <w:szCs w:val="20"/>
                  <w:lang w:eastAsia="zh-CN"/>
                </w:rPr>
                <w:delText xml:space="preserve">a list of </w:delText>
              </w:r>
            </w:del>
            <w:r w:rsidRPr="002747AF">
              <w:rPr>
                <w:sz w:val="18"/>
                <w:szCs w:val="20"/>
                <w:lang w:eastAsia="zh-CN"/>
              </w:rPr>
              <w:t xml:space="preserve">UE capability </w:t>
            </w:r>
            <w:ins w:id="81" w:author="Administrator" w:date="2021-10-15T16:27:00Z">
              <w:r>
                <w:rPr>
                  <w:sz w:val="18"/>
                  <w:szCs w:val="20"/>
                  <w:lang w:eastAsia="zh-CN"/>
                </w:rPr>
                <w:t xml:space="preserve">with multi-entries, each entry including a list </w:t>
              </w:r>
            </w:ins>
            <w:ins w:id="82" w:author="Administrator" w:date="2021-10-15T16:28:00Z">
              <w:r>
                <w:rPr>
                  <w:sz w:val="18"/>
                  <w:szCs w:val="20"/>
                  <w:lang w:eastAsia="zh-CN"/>
                </w:rPr>
                <w:t xml:space="preserve">of UE capability </w:t>
              </w:r>
            </w:ins>
            <w:r w:rsidRPr="002747AF">
              <w:rPr>
                <w:sz w:val="18"/>
                <w:szCs w:val="20"/>
                <w:lang w:eastAsia="zh-CN"/>
              </w:rPr>
              <w:t>values</w:t>
            </w:r>
          </w:p>
          <w:p w14:paraId="6F2481C0" w14:textId="77777777" w:rsidR="00910E29" w:rsidRPr="002747AF" w:rsidRDefault="00910E29" w:rsidP="00910E2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83" w:author="Eko Onggosanusi" w:date="2021-10-15T01:27:00Z">
              <w:r>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5C85DFAA" w14:textId="77777777" w:rsidR="00910E29" w:rsidRPr="006A2AF2" w:rsidRDefault="00910E29" w:rsidP="00910E29">
            <w:pPr>
              <w:snapToGrid w:val="0"/>
              <w:rPr>
                <w:sz w:val="18"/>
                <w:szCs w:val="20"/>
                <w:lang w:eastAsia="zh-CN"/>
              </w:rPr>
            </w:pPr>
          </w:p>
          <w:p w14:paraId="16E26031" w14:textId="77777777" w:rsidR="00910E29" w:rsidRDefault="00910E29" w:rsidP="00910E29">
            <w:pPr>
              <w:snapToGrid w:val="0"/>
              <w:rPr>
                <w:sz w:val="18"/>
                <w:szCs w:val="20"/>
                <w:lang w:eastAsia="zh-CN"/>
              </w:rPr>
            </w:pPr>
          </w:p>
          <w:p w14:paraId="0590ECB4" w14:textId="77777777" w:rsidR="00910E29" w:rsidRPr="00AD015B" w:rsidRDefault="00910E29" w:rsidP="00910E29">
            <w:pPr>
              <w:snapToGrid w:val="0"/>
              <w:rPr>
                <w:rFonts w:hint="eastAsia"/>
                <w:sz w:val="18"/>
                <w:szCs w:val="20"/>
                <w:lang w:eastAsia="zh-CN"/>
              </w:rPr>
            </w:pPr>
          </w:p>
          <w:p w14:paraId="65DBD0E7" w14:textId="77777777" w:rsidR="00910E29" w:rsidRDefault="00910E29" w:rsidP="00910E29">
            <w:pPr>
              <w:suppressAutoHyphens/>
              <w:autoSpaceDN w:val="0"/>
              <w:snapToGrid w:val="0"/>
              <w:jc w:val="both"/>
              <w:textAlignment w:val="baseline"/>
              <w:rPr>
                <w:sz w:val="20"/>
                <w:szCs w:val="20"/>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0"/>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0D506A99"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del w:id="84" w:author="Eko Onggosanusi" w:date="2021-10-15T01:36:00Z">
              <w:r w:rsidRPr="004B5CFE" w:rsidDel="00A009D1">
                <w:rPr>
                  <w:sz w:val="18"/>
                  <w:szCs w:val="20"/>
                  <w:lang w:eastAsia="zh-CN"/>
                </w:rPr>
                <w:delText xml:space="preserve">actual </w:delText>
              </w:r>
            </w:del>
            <w:ins w:id="85" w:author="Eko Onggosanusi" w:date="2021-10-15T01:36:00Z">
              <w:r w:rsidR="00A009D1">
                <w:rPr>
                  <w:sz w:val="18"/>
                  <w:szCs w:val="20"/>
                  <w:lang w:eastAsia="zh-CN"/>
                </w:rPr>
                <w:t>virtual</w:t>
              </w:r>
              <w:r w:rsidR="00A009D1" w:rsidRPr="004B5CFE">
                <w:rPr>
                  <w:sz w:val="18"/>
                  <w:szCs w:val="20"/>
                  <w:lang w:eastAsia="zh-CN"/>
                </w:rPr>
                <w:t xml:space="preserve"> </w:t>
              </w:r>
            </w:ins>
            <w:r w:rsidRPr="004B5CFE">
              <w:rPr>
                <w:sz w:val="18"/>
                <w:szCs w:val="20"/>
                <w:lang w:eastAsia="zh-CN"/>
              </w:rPr>
              <w:t>P-MPR</w:t>
            </w:r>
          </w:p>
          <w:p w14:paraId="70CF20E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0"/>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A674C75"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xml:space="preserve">, Qualcomm, Spreadtrum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74B00068"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r w:rsidR="00AB6C60">
              <w:rPr>
                <w:sz w:val="18"/>
              </w:rPr>
              <w:t>, Intel</w:t>
            </w:r>
            <w:r w:rsidR="004461AA">
              <w:rPr>
                <w:rFonts w:hint="eastAsia"/>
                <w:sz w:val="18"/>
                <w:lang w:eastAsia="zh-CN"/>
              </w:rPr>
              <w:t>,</w:t>
            </w:r>
            <w:r w:rsidR="004461AA">
              <w:rPr>
                <w:sz w:val="18"/>
                <w:lang w:eastAsia="zh-CN"/>
              </w:rPr>
              <w:t xml:space="preserve"> OPPO</w:t>
            </w:r>
            <w:r w:rsidR="00F36B4E">
              <w:rPr>
                <w:sz w:val="18"/>
                <w:lang w:eastAsia="zh-CN"/>
              </w:rPr>
              <w:t>, Ericsson (last resort)</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lastRenderedPageBreak/>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i.e.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af0"/>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宋体"/>
                <w:sz w:val="18"/>
                <w:szCs w:val="18"/>
                <w:lang w:eastAsia="zh-CN"/>
              </w:rPr>
            </w:pPr>
            <w:r>
              <w:rPr>
                <w:rFonts w:eastAsia="宋体"/>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宋体"/>
                <w:sz w:val="18"/>
                <w:szCs w:val="18"/>
                <w:lang w:eastAsia="zh-CN"/>
              </w:rPr>
            </w:pPr>
          </w:p>
          <w:p w14:paraId="5789C41B" w14:textId="03B908BE"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宋体"/>
                <w:sz w:val="18"/>
                <w:szCs w:val="18"/>
                <w:lang w:eastAsia="zh-CN"/>
              </w:rPr>
            </w:pPr>
          </w:p>
          <w:p w14:paraId="1FDADED5" w14:textId="77777777"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宋体"/>
                <w:sz w:val="18"/>
                <w:szCs w:val="18"/>
                <w:lang w:eastAsia="zh-CN"/>
              </w:rPr>
              <w:t xml:space="preserve">Support the proposal. </w:t>
            </w:r>
            <w:r>
              <w:rPr>
                <w:rFonts w:eastAsia="宋体" w:hint="eastAsia"/>
                <w:sz w:val="18"/>
                <w:szCs w:val="18"/>
                <w:lang w:eastAsia="zh-CN"/>
              </w:rPr>
              <w:t>A</w:t>
            </w:r>
            <w:r>
              <w:rPr>
                <w:rFonts w:eastAsia="宋体"/>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宋体"/>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bookmarkStart w:id="86" w:name="_GoBack" w:colFirst="0" w:colLast="-1"/>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bookmarkEnd w:id="86"/>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0"/>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0"/>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0"/>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0"/>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lastRenderedPageBreak/>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0"/>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9261C" w14:textId="77777777" w:rsidR="00224FF0" w:rsidRDefault="00224FF0" w:rsidP="007458B4">
      <w:r>
        <w:separator/>
      </w:r>
    </w:p>
  </w:endnote>
  <w:endnote w:type="continuationSeparator" w:id="0">
    <w:p w14:paraId="6A6873A8" w14:textId="77777777" w:rsidR="00224FF0" w:rsidRDefault="00224F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8B4F" w14:textId="77777777" w:rsidR="00224FF0" w:rsidRDefault="00224FF0" w:rsidP="007458B4">
      <w:r>
        <w:separator/>
      </w:r>
    </w:p>
  </w:footnote>
  <w:footnote w:type="continuationSeparator" w:id="0">
    <w:p w14:paraId="7CFC37B3" w14:textId="77777777" w:rsidR="00224FF0" w:rsidRDefault="00224FF0"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Eko Onggosanusi">
    <w15:presenceInfo w15:providerId="AD" w15:userId="S-1-5-21-1569490900-2152479555-3239727262-3251198"/>
  </w15:person>
  <w15:person w15:author="Yuki Matsumura">
    <w15:presenceInfo w15:providerId="None" w15:userId="Yuki Matsumura"/>
  </w15:person>
  <w15:person w15:author="Sun Weiqi">
    <w15:presenceInfo w15:providerId="AD" w15:userId="S::sunwq@docomolabs-beijing.com.cn::2813135f-a739-4c8d-b6c6-f3630d9320c9"/>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80B0B"/>
    <w:rsid w:val="003840FE"/>
    <w:rsid w:val="003878A1"/>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17E4E-F32A-4FEC-B524-2B098B33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8949</Words>
  <Characters>51014</Characters>
  <Application>Microsoft Office Word</Application>
  <DocSecurity>0</DocSecurity>
  <Lines>425</Lines>
  <Paragraphs>119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2021-10-15T08:34:00Z</dcterms:created>
  <dcterms:modified xsi:type="dcterms:W3CDTF">2021-10-15T08:34:00Z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