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08AA1FFE"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Header"/>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E71390" w:rsidRPr="00E71390">
        <w:rPr>
          <w:rFonts w:ascii="Arial" w:hAnsi="Arial" w:cs="Arial"/>
          <w:b/>
          <w:bCs/>
          <w:sz w:val="24"/>
        </w:rPr>
        <w:t>FS_NR_eff_BW_util</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Hyperlink"/>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B337D9"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Hyperlink"/>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B337D9" w:rsidP="00E71390">
            <w:pPr>
              <w:overflowPunct/>
              <w:autoSpaceDE/>
              <w:autoSpaceDN/>
              <w:adjustRightInd/>
              <w:spacing w:after="0"/>
              <w:textAlignment w:val="auto"/>
              <w:rPr>
                <w:sz w:val="18"/>
                <w:szCs w:val="18"/>
              </w:rPr>
            </w:pPr>
            <w:hyperlink r:id="rId13" w:history="1">
              <w:r w:rsidR="00E71390">
                <w:rPr>
                  <w:rStyle w:val="Hyperlink"/>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B337D9" w:rsidP="00E71390">
            <w:pPr>
              <w:overflowPunct/>
              <w:autoSpaceDE/>
              <w:autoSpaceDN/>
              <w:adjustRightInd/>
              <w:spacing w:after="0"/>
              <w:textAlignment w:val="auto"/>
              <w:rPr>
                <w:sz w:val="18"/>
                <w:szCs w:val="18"/>
              </w:rPr>
            </w:pPr>
            <w:hyperlink r:id="rId14" w:history="1">
              <w:r w:rsidR="00E71390">
                <w:rPr>
                  <w:rStyle w:val="Hyperlink"/>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B337D9" w:rsidP="00E71390">
            <w:pPr>
              <w:overflowPunct/>
              <w:autoSpaceDE/>
              <w:autoSpaceDN/>
              <w:adjustRightInd/>
              <w:spacing w:after="0"/>
              <w:textAlignment w:val="auto"/>
              <w:rPr>
                <w:sz w:val="18"/>
                <w:szCs w:val="18"/>
              </w:rPr>
            </w:pPr>
            <w:hyperlink r:id="rId15" w:history="1">
              <w:r w:rsidR="00E71390">
                <w:rPr>
                  <w:rStyle w:val="Hyperlink"/>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B337D9" w:rsidP="00E71390">
            <w:pPr>
              <w:overflowPunct/>
              <w:autoSpaceDE/>
              <w:autoSpaceDN/>
              <w:adjustRightInd/>
              <w:spacing w:after="0"/>
              <w:textAlignment w:val="auto"/>
              <w:rPr>
                <w:sz w:val="18"/>
                <w:szCs w:val="18"/>
              </w:rPr>
            </w:pPr>
            <w:hyperlink r:id="rId16" w:history="1">
              <w:r w:rsidR="00E71390">
                <w:rPr>
                  <w:rStyle w:val="Hyperlink"/>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B337D9" w:rsidP="00E71390">
            <w:pPr>
              <w:overflowPunct/>
              <w:autoSpaceDE/>
              <w:autoSpaceDN/>
              <w:adjustRightInd/>
              <w:spacing w:after="0"/>
              <w:textAlignment w:val="auto"/>
              <w:rPr>
                <w:sz w:val="18"/>
                <w:szCs w:val="18"/>
              </w:rPr>
            </w:pPr>
            <w:hyperlink r:id="rId17" w:history="1">
              <w:r w:rsidR="00E71390">
                <w:rPr>
                  <w:rStyle w:val="Hyperlink"/>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B337D9" w:rsidP="00E71390">
            <w:pPr>
              <w:overflowPunct/>
              <w:autoSpaceDE/>
              <w:autoSpaceDN/>
              <w:adjustRightInd/>
              <w:spacing w:after="0"/>
              <w:textAlignment w:val="auto"/>
              <w:rPr>
                <w:sz w:val="18"/>
                <w:szCs w:val="18"/>
              </w:rPr>
            </w:pPr>
            <w:hyperlink r:id="rId18" w:history="1">
              <w:r w:rsidR="00E71390">
                <w:rPr>
                  <w:rStyle w:val="Hyperlink"/>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B337D9" w:rsidP="00E71390">
            <w:pPr>
              <w:overflowPunct/>
              <w:autoSpaceDE/>
              <w:autoSpaceDN/>
              <w:adjustRightInd/>
              <w:spacing w:after="0"/>
              <w:textAlignment w:val="auto"/>
              <w:rPr>
                <w:sz w:val="18"/>
                <w:szCs w:val="18"/>
              </w:rPr>
            </w:pPr>
            <w:hyperlink r:id="rId19" w:history="1">
              <w:r w:rsidR="00E71390">
                <w:rPr>
                  <w:rStyle w:val="Hyperlink"/>
                  <w:rFonts w:ascii="Arial" w:hAnsi="Arial" w:cs="Arial"/>
                  <w:b/>
                  <w:bCs/>
                  <w:sz w:val="16"/>
                  <w:szCs w:val="16"/>
                </w:rPr>
                <w:t>R1-211030</w:t>
              </w:r>
              <w:r w:rsidR="00E71390">
                <w:rPr>
                  <w:rStyle w:val="Hyperlink"/>
                  <w:rFonts w:ascii="Arial" w:hAnsi="Arial" w:cs="Arial"/>
                  <w:b/>
                  <w:bCs/>
                  <w:sz w:val="16"/>
                  <w:szCs w:val="16"/>
                </w:rPr>
                <w:t>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B337D9" w:rsidP="00E71390">
            <w:pPr>
              <w:overflowPunct/>
              <w:autoSpaceDE/>
              <w:autoSpaceDN/>
              <w:adjustRightInd/>
              <w:spacing w:after="0"/>
              <w:textAlignment w:val="auto"/>
              <w:rPr>
                <w:sz w:val="18"/>
                <w:szCs w:val="18"/>
              </w:rPr>
            </w:pPr>
            <w:hyperlink r:id="rId20" w:history="1">
              <w:r w:rsidR="00E71390">
                <w:rPr>
                  <w:rStyle w:val="Hyperlink"/>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synchronous operation between Uu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Heading1"/>
        <w:rPr>
          <w:rStyle w:val="Heading1Char"/>
        </w:rPr>
      </w:pPr>
      <w:r w:rsidRPr="00425E6E">
        <w:rPr>
          <w:rStyle w:val="Heading1Char"/>
        </w:rPr>
        <w:t>2</w:t>
      </w:r>
      <w:r>
        <w:rPr>
          <w:rStyle w:val="Heading1Char"/>
        </w:rPr>
        <w:tab/>
      </w:r>
      <w:r w:rsidR="00E71390">
        <w:rPr>
          <w:rStyle w:val="Heading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Header"/>
        <w:rPr>
          <w:rFonts w:eastAsia="SimSun" w:cs="Arial"/>
          <w:b w:val="0"/>
          <w:noProof w:val="0"/>
          <w:sz w:val="20"/>
          <w:lang w:eastAsia="zh-CN"/>
        </w:rPr>
      </w:pPr>
    </w:p>
    <w:p w14:paraId="5C57C1C8"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Header"/>
        <w:rPr>
          <w:rFonts w:eastAsia="SimSun" w:cs="Arial"/>
          <w:b w:val="0"/>
          <w:noProof w:val="0"/>
          <w:sz w:val="20"/>
          <w:lang w:eastAsia="zh-CN"/>
        </w:rPr>
      </w:pPr>
    </w:p>
    <w:p w14:paraId="2062B41C"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wider CBW:</w:t>
      </w:r>
    </w:p>
    <w:p w14:paraId="05A45BB6"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clarify if there is any limitation for the UL carrier positions (not just BWP positions) legacy UEs support for uplinkChannelBW-PerSCS-List and scs-SpecificCarrierList in symmetric operating bands with a fixed duplex distance and asymmetric UL/DL channel bandwidth.</w:t>
      </w:r>
    </w:p>
    <w:p w14:paraId="0D5EF7D0"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overlapping CBWs from network perspective (one cell approach):</w:t>
      </w:r>
    </w:p>
    <w:p w14:paraId="6295DCB5"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SimSun"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3" w:name="_Hlk84943599"/>
      <w:r w:rsidRPr="002926CF">
        <w:rPr>
          <w:rFonts w:eastAsia="SimSun" w:cs="Arial"/>
          <w:bCs/>
          <w:noProof w:val="0"/>
          <w:sz w:val="20"/>
          <w:lang w:eastAsia="zh-CN"/>
        </w:rPr>
        <w:t>For the overlapping CBWs from UE perspective (two cell approach / CA approach):</w:t>
      </w:r>
    </w:p>
    <w:bookmarkEnd w:id="3"/>
    <w:p w14:paraId="1E7BFEAF" w14:textId="77777777" w:rsidR="00E71390" w:rsidRDefault="00E71390" w:rsidP="00E71390">
      <w:pPr>
        <w:pStyle w:val="Header"/>
        <w:numPr>
          <w:ilvl w:val="1"/>
          <w:numId w:val="36"/>
        </w:numPr>
        <w:textAlignment w:val="auto"/>
        <w:rPr>
          <w:rFonts w:eastAsia="Times New Roman"/>
          <w:lang w:eastAsia="en-US"/>
        </w:rPr>
      </w:pPr>
      <w:r>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Header"/>
        <w:numPr>
          <w:ilvl w:val="1"/>
          <w:numId w:val="36"/>
        </w:numPr>
        <w:textAlignment w:val="auto"/>
      </w:pPr>
      <w:r>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3CAB7B1A"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4" w:name="_Hlk84944035"/>
      <w:r w:rsidRPr="002926CF">
        <w:rPr>
          <w:rFonts w:eastAsia="SimSun" w:cs="Arial"/>
          <w:bCs/>
          <w:noProof w:val="0"/>
          <w:sz w:val="20"/>
          <w:lang w:eastAsia="zh-CN"/>
        </w:rPr>
        <w:t>For the overlapping CBWs from UE perspective (one cell approach):</w:t>
      </w:r>
    </w:p>
    <w:p w14:paraId="199E594F"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eastAsia="SimSun" w:cs="Arial"/>
          <w:b w:val="0"/>
          <w:noProof w:val="0"/>
          <w:sz w:val="20"/>
          <w:lang w:eastAsia="zh-CN"/>
        </w:rPr>
        <w:t>Is it possible to configure the UE with a dedicated carrierBandwidth in the ServingCellConfig that is wider than/partially outside the carrierBandwidth configured in SIB1?</w:t>
      </w:r>
    </w:p>
    <w:p w14:paraId="6AD4DC66"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Heading1"/>
        <w:rPr>
          <w:rStyle w:val="Heading1Char"/>
        </w:rPr>
      </w:pPr>
      <w:r>
        <w:rPr>
          <w:rStyle w:val="Heading1Char"/>
        </w:rPr>
        <w:t>3</w:t>
      </w:r>
      <w:r>
        <w:rPr>
          <w:rStyle w:val="Heading1Char"/>
        </w:rPr>
        <w:tab/>
      </w:r>
      <w:r w:rsidR="00AC164A">
        <w:rPr>
          <w:rStyle w:val="Heading1Char"/>
        </w:rPr>
        <w:t>R</w:t>
      </w:r>
      <w:r w:rsidR="002926CF">
        <w:rPr>
          <w:rStyle w:val="Heading1Char"/>
        </w:rPr>
        <w:t>eply LS drafting</w:t>
      </w:r>
    </w:p>
    <w:p w14:paraId="0BFE8355" w14:textId="4CAD1EED" w:rsidR="00622410" w:rsidRDefault="002926CF" w:rsidP="00622410">
      <w:pPr>
        <w:pStyle w:val="Heading2"/>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07E282C5"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Heading3"/>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r w:rsidRPr="00361D72">
        <w:rPr>
          <w:rFonts w:ascii="Arial" w:hAnsi="Arial" w:cs="Arial"/>
          <w:i/>
          <w:iCs/>
          <w:sz w:val="20"/>
          <w:szCs w:val="20"/>
          <w:lang w:val="en-GB"/>
        </w:rPr>
        <w:t xml:space="preserve">carrierBandwidth </w:t>
      </w:r>
      <w:r w:rsidRPr="00361D72">
        <w:rPr>
          <w:rFonts w:ascii="Arial" w:hAnsi="Arial" w:cs="Arial"/>
          <w:sz w:val="20"/>
          <w:szCs w:val="20"/>
          <w:lang w:val="en-GB"/>
        </w:rPr>
        <w:t xml:space="preserve">of the </w:t>
      </w:r>
      <w:r w:rsidRPr="00361D72">
        <w:rPr>
          <w:rFonts w:ascii="Arial" w:hAnsi="Arial" w:cs="Arial"/>
          <w:i/>
          <w:iCs/>
          <w:sz w:val="20"/>
          <w:szCs w:val="20"/>
          <w:lang w:val="en-GB"/>
        </w:rPr>
        <w:t>scs-SpecificCarrier</w:t>
      </w:r>
      <w:r>
        <w:rPr>
          <w:rFonts w:ascii="Arial" w:hAnsi="Arial" w:cs="Arial"/>
          <w:sz w:val="20"/>
          <w:szCs w:val="20"/>
          <w:lang w:val="en-GB"/>
        </w:rPr>
        <w:t xml:space="preserve">, a BWP cannot extend outside the configured </w:t>
      </w:r>
      <w:r>
        <w:rPr>
          <w:rFonts w:ascii="Arial" w:hAnsi="Arial" w:cs="Arial"/>
          <w:i/>
          <w:iCs/>
          <w:sz w:val="20"/>
          <w:szCs w:val="20"/>
          <w:lang w:val="en-GB"/>
        </w:rPr>
        <w:t>carrierBandwidth</w:t>
      </w:r>
      <w:r>
        <w:rPr>
          <w:rFonts w:ascii="Arial" w:hAnsi="Arial" w:cs="Arial"/>
          <w:sz w:val="20"/>
          <w:szCs w:val="20"/>
          <w:lang w:val="en-GB"/>
        </w:rPr>
        <w:t>.</w:t>
      </w:r>
    </w:p>
    <w:p w14:paraId="3579DA08" w14:textId="4517250E" w:rsidR="00361D72" w:rsidRPr="002926CF"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r w:rsidRPr="00361D72">
        <w:rPr>
          <w:rFonts w:ascii="Arial" w:hAnsi="Arial" w:cs="Arial"/>
          <w:i/>
          <w:iCs/>
          <w:sz w:val="20"/>
          <w:szCs w:val="20"/>
          <w:lang w:val="en-GB"/>
        </w:rPr>
        <w:t>scs-SpecificCarrier</w:t>
      </w:r>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confirm UE behaviour if it is possible to configure a carrier that is not fully contained in the NR band, i.e.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r w:rsidRPr="00FD2714">
              <w:rPr>
                <w:rFonts w:ascii="Arial" w:hAnsi="Arial" w:cs="Arial"/>
                <w:b/>
                <w:bCs/>
                <w:color w:val="00B050"/>
                <w:sz w:val="16"/>
                <w:szCs w:val="16"/>
              </w:rPr>
              <w:t>is: UE behaviour is not clear for this case. RAN1 has no plans to clarify the support of this particular configuration</w:t>
            </w:r>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 xml:space="preserve">NTT </w:t>
            </w:r>
            <w:r>
              <w:rPr>
                <w:rFonts w:ascii="Arial" w:eastAsia="Yu Mincho" w:hAnsi="Arial" w:cs="Arial" w:hint="eastAsia"/>
                <w:sz w:val="18"/>
                <w:szCs w:val="18"/>
              </w:rPr>
              <w:t>D</w:t>
            </w:r>
            <w:r>
              <w:rPr>
                <w:rFonts w:ascii="Arial" w:eastAsia="Yu Mincho"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r w:rsidR="002817E0">
              <w:rPr>
                <w:rFonts w:ascii="Arial" w:eastAsia="Yu Mincho"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first question, our understanding is that there are no such limitations in RAN1 specifications.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For the second question, given that the RAN1 specifications are band agnostic, we do not see that it would be RAN1 specifications that would handle the case of placing the carrier outside the band edges, but this would be a discussion for RAN4. Hence, RAN1 should not answer that the UE behavior is undetermined but send the question back to RAN4.</w:t>
            </w:r>
          </w:p>
        </w:tc>
      </w:tr>
      <w:tr w:rsidR="00980D54" w:rsidRPr="00BA6870" w14:paraId="2DB3894E" w14:textId="77777777" w:rsidTr="00361D72">
        <w:trPr>
          <w:trHeight w:val="182"/>
        </w:trPr>
        <w:tc>
          <w:tcPr>
            <w:tcW w:w="1975" w:type="dxa"/>
            <w:shd w:val="clear" w:color="auto" w:fill="auto"/>
          </w:tcPr>
          <w:p w14:paraId="66D5BB22" w14:textId="6370B468" w:rsidR="00980D54" w:rsidRDefault="00980D54"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14A064BF" w14:textId="77777777" w:rsid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We’d be OK with the original proposals in general. </w:t>
            </w:r>
          </w:p>
          <w:p w14:paraId="307904A2" w14:textId="416FB8D5" w:rsidR="00980D54" w:rsidRP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We tend to agree that it is not possible to place a carrier outside a band, but this is not something that RAN1 specs state. The bands are visible in RAN2 and RAN4 specs and RAN4 doesn’t need to send an LS to RAN1 so that we can explain RAN4 specs and what they mean back to them. Hence we don’t see any reason why RAN1 specifications would lead to undefined UE behaviour if a carrier is placed fully in an NR band, though.</w:t>
            </w:r>
          </w:p>
        </w:tc>
      </w:tr>
    </w:tbl>
    <w:p w14:paraId="7951C131" w14:textId="664227AC" w:rsidR="002926CF" w:rsidRDefault="002926CF" w:rsidP="00622410"/>
    <w:p w14:paraId="6DD95E1B" w14:textId="14645933" w:rsidR="002926CF" w:rsidRDefault="002926CF" w:rsidP="002926CF">
      <w:pPr>
        <w:pStyle w:val="Heading2"/>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clarify whether two time staggered SSBs and CORESET#0 on the same frequency (when the frequency separation is not enough to send them simultaneously at the same time and thus time staggering is needed) are supported in RAN1/2 specifications so that U</w:t>
      </w:r>
      <w:r w:rsidR="003B4646" w:rsidRPr="002926CF">
        <w:rPr>
          <w:rFonts w:eastAsia="SimSun" w:cs="Arial"/>
          <w:b w:val="0"/>
          <w:noProof w:val="0"/>
          <w:color w:val="4472C4" w:themeColor="accent1"/>
          <w:sz w:val="20"/>
          <w:lang w:eastAsia="zh-CN"/>
        </w:rPr>
        <w:t>e</w:t>
      </w:r>
      <w:r w:rsidRPr="002926CF">
        <w:rPr>
          <w:rFonts w:eastAsia="SimSun" w:cs="Arial"/>
          <w:b w:val="0"/>
          <w:noProof w:val="0"/>
          <w:color w:val="4472C4" w:themeColor="accent1"/>
          <w:sz w:val="20"/>
          <w:lang w:eastAsia="zh-CN"/>
        </w:rPr>
        <w:t xml:space="preserve">s configured with left and right channels of the next smaller regular size can track their own time staggered SSB and CORESET#0. </w:t>
      </w:r>
    </w:p>
    <w:p w14:paraId="7E510137" w14:textId="1F97AC8F" w:rsidR="004A7DB8" w:rsidRDefault="004A7DB8" w:rsidP="004A7DB8">
      <w:pPr>
        <w:pStyle w:val="Heading3"/>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as long as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ListParagraph"/>
              <w:numPr>
                <w:ilvl w:val="0"/>
                <w:numId w:val="36"/>
              </w:numPr>
              <w:rPr>
                <w:rFonts w:ascii="Arial" w:hAnsi="Arial" w:cs="Arial"/>
                <w:sz w:val="20"/>
                <w:szCs w:val="20"/>
                <w:lang w:val="en-GB"/>
              </w:rPr>
            </w:pPr>
            <w:r w:rsidRPr="00F7737C">
              <w:rPr>
                <w:rFonts w:ascii="Arial" w:hAnsi="Arial" w:cs="Arial"/>
                <w:sz w:val="20"/>
                <w:szCs w:val="20"/>
                <w:lang w:val="en-GB"/>
              </w:rPr>
              <w:lastRenderedPageBreak/>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r w:rsidRPr="00FD2714">
              <w:rPr>
                <w:rFonts w:ascii="Arial" w:hAnsi="Arial" w:cs="Arial"/>
                <w:color w:val="00B050"/>
                <w:sz w:val="20"/>
                <w:szCs w:val="20"/>
                <w:lang w:val="en-GB"/>
              </w:rPr>
              <w:t>, as long as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6736BC">
        <w:trPr>
          <w:trHeight w:val="182"/>
        </w:trPr>
        <w:tc>
          <w:tcPr>
            <w:tcW w:w="1975" w:type="dxa"/>
            <w:shd w:val="clear" w:color="auto" w:fill="auto"/>
          </w:tcPr>
          <w:p w14:paraId="0A92882F" w14:textId="2266673C"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p>
        </w:tc>
      </w:tr>
      <w:tr w:rsidR="00101F7B" w:rsidRPr="00BA6870" w14:paraId="2B46F333" w14:textId="77777777" w:rsidTr="006736BC">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6736BC">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r w:rsidR="00C86DB3" w:rsidRPr="00BA6870" w14:paraId="487C8867" w14:textId="77777777" w:rsidTr="006736BC">
        <w:trPr>
          <w:trHeight w:val="182"/>
        </w:trPr>
        <w:tc>
          <w:tcPr>
            <w:tcW w:w="1975" w:type="dxa"/>
            <w:shd w:val="clear" w:color="auto" w:fill="auto"/>
          </w:tcPr>
          <w:p w14:paraId="7B7C2C6E" w14:textId="45924FEA"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65C16CEC" w14:textId="7246CC97"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OK with the original proposal with the fix of Ues to UEs. We don’t see the Qualcomm-proposed addition necessary.</w:t>
            </w:r>
          </w:p>
        </w:tc>
      </w:tr>
    </w:tbl>
    <w:p w14:paraId="4148D6CD" w14:textId="77777777" w:rsidR="00361D72" w:rsidRPr="00101F7B" w:rsidRDefault="00361D72" w:rsidP="00361D72"/>
    <w:p w14:paraId="7AAA4258" w14:textId="62814558" w:rsidR="00F7737C" w:rsidRDefault="00F7737C" w:rsidP="00F7737C">
      <w:pPr>
        <w:pStyle w:val="Heading2"/>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Header"/>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49864983"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clarify how PDCCH reception in overlapped CA when PCell and S</w:t>
      </w:r>
      <w:r w:rsidR="003B4646" w:rsidRPr="00F7737C">
        <w:rPr>
          <w:rFonts w:eastAsia="SimSun" w:cs="Arial"/>
          <w:b w:val="0"/>
          <w:noProof w:val="0"/>
          <w:color w:val="4472C4" w:themeColor="accent1"/>
          <w:sz w:val="20"/>
          <w:lang w:eastAsia="zh-CN"/>
        </w:rPr>
        <w:t>c</w:t>
      </w:r>
      <w:r w:rsidRPr="00F7737C">
        <w:rPr>
          <w:rFonts w:eastAsia="SimSun" w:cs="Arial"/>
          <w:b w:val="0"/>
          <w:noProof w:val="0"/>
          <w:color w:val="4472C4" w:themeColor="accent1"/>
          <w:sz w:val="20"/>
          <w:lang w:eastAsia="zh-CN"/>
        </w:rPr>
        <w:t>ell PDCCH resources partially overlap and whether there are any impacts to cross-carrier scheduling</w:t>
      </w:r>
    </w:p>
    <w:p w14:paraId="75348754" w14:textId="74685CF1" w:rsidR="004A7DB8" w:rsidRDefault="004A7DB8" w:rsidP="004A7DB8">
      <w:pPr>
        <w:pStyle w:val="Heading3"/>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gNB scheduler is responsible for avoiding collisions of different transmissions in general, this would be the case with overlapped CA as well.</w:t>
      </w:r>
    </w:p>
    <w:p w14:paraId="67D77812" w14:textId="264FD5EF" w:rsidR="002F082D" w:rsidRP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between the overlapping carriers. </w:t>
            </w:r>
            <w:r>
              <w:rPr>
                <w:rFonts w:ascii="Arial" w:hAnsi="Arial" w:cs="Arial"/>
                <w:sz w:val="16"/>
                <w:szCs w:val="16"/>
                <w:lang w:eastAsia="zh-CN"/>
              </w:rPr>
              <w:t xml:space="preserve">It is also unclear if gNB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ListParagraph"/>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6736BC">
        <w:trPr>
          <w:trHeight w:val="182"/>
        </w:trPr>
        <w:tc>
          <w:tcPr>
            <w:tcW w:w="1975" w:type="dxa"/>
            <w:shd w:val="clear" w:color="auto" w:fill="auto"/>
          </w:tcPr>
          <w:p w14:paraId="32C23C27" w14:textId="4BD379EB"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608A7923" w14:textId="1988A027"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6736BC">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w:t>
            </w:r>
            <w:r w:rsidRPr="002F082D">
              <w:rPr>
                <w:rFonts w:ascii="Arial" w:hAnsi="Arial" w:cs="Arial"/>
                <w:sz w:val="20"/>
                <w:szCs w:val="20"/>
                <w:lang w:val="en-GB"/>
              </w:rPr>
              <w:lastRenderedPageBreak/>
              <w:t xml:space="preserve">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overlapped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overlapped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ListParagraph"/>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Yu Mincho" w:hAnsi="Arial" w:cs="Arial"/>
                <w:sz w:val="18"/>
                <w:szCs w:val="18"/>
              </w:rPr>
            </w:pPr>
          </w:p>
        </w:tc>
      </w:tr>
      <w:tr w:rsidR="0021692A" w:rsidRPr="00BA6870" w14:paraId="2B766A78" w14:textId="77777777" w:rsidTr="006736BC">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lastRenderedPageBreak/>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r w:rsidR="00C86DB3" w:rsidRPr="00BA6870" w14:paraId="6944BA5B" w14:textId="77777777" w:rsidTr="006736BC">
        <w:trPr>
          <w:trHeight w:val="182"/>
        </w:trPr>
        <w:tc>
          <w:tcPr>
            <w:tcW w:w="1975" w:type="dxa"/>
            <w:shd w:val="clear" w:color="auto" w:fill="auto"/>
          </w:tcPr>
          <w:p w14:paraId="4E7D256D" w14:textId="1EC8538A"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3211A070" w14:textId="5D15C02E"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with vivo and Qualcomm that even though the spec support seems to be there, one cannot really expect the UEs to accept that sort of configurations even if they indicate support for intra-band CA. This maybe worthwhile communicating to RAN4.</w:t>
            </w:r>
          </w:p>
        </w:tc>
      </w:tr>
    </w:tbl>
    <w:p w14:paraId="12F8CCE6" w14:textId="3BCBCDA2" w:rsidR="002926CF" w:rsidRDefault="002926CF" w:rsidP="00622410"/>
    <w:p w14:paraId="57704515" w14:textId="49BCAE95" w:rsidR="00AC164A" w:rsidRDefault="00AC164A" w:rsidP="00AC164A">
      <w:pPr>
        <w:pStyle w:val="Heading2"/>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Header"/>
        <w:numPr>
          <w:ilvl w:val="0"/>
          <w:numId w:val="36"/>
        </w:numPr>
        <w:textAlignment w:val="auto"/>
        <w:rPr>
          <w:rFonts w:eastAsia="SimSun" w:cs="Arial"/>
          <w:b w:val="0"/>
          <w:noProof w:val="0"/>
          <w:color w:val="4472C4" w:themeColor="accent1"/>
          <w:sz w:val="20"/>
          <w:lang w:eastAsia="zh-CN"/>
        </w:rPr>
      </w:pPr>
      <w:bookmarkStart w:id="5" w:name="_Hlk84944053"/>
      <w:r w:rsidRPr="00AC164A">
        <w:rPr>
          <w:rFonts w:eastAsia="SimSun"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0D9A3D20" w14:textId="57F3ACC2"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Heading3"/>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ListParagraph"/>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r w:rsidRPr="00AC164A">
        <w:rPr>
          <w:rFonts w:ascii="Arial" w:hAnsi="Arial" w:cs="Arial"/>
          <w:i/>
          <w:iCs/>
          <w:sz w:val="20"/>
          <w:szCs w:val="20"/>
          <w:lang w:val="en-GB"/>
        </w:rPr>
        <w:t xml:space="preserve">carrierBandwidth </w:t>
      </w:r>
      <w:r w:rsidRPr="00AC164A">
        <w:rPr>
          <w:rFonts w:ascii="Arial" w:hAnsi="Arial" w:cs="Arial"/>
          <w:sz w:val="20"/>
          <w:szCs w:val="20"/>
          <w:lang w:val="en-GB"/>
        </w:rPr>
        <w:t xml:space="preserve">in the </w:t>
      </w:r>
      <w:r w:rsidRPr="00AC164A">
        <w:rPr>
          <w:rFonts w:ascii="Arial" w:hAnsi="Arial" w:cs="Arial"/>
          <w:i/>
          <w:iCs/>
          <w:sz w:val="20"/>
          <w:szCs w:val="20"/>
          <w:lang w:val="en-GB"/>
        </w:rPr>
        <w:t>ServingCellConfig</w:t>
      </w:r>
      <w:r w:rsidRPr="00AC164A">
        <w:rPr>
          <w:rFonts w:ascii="Arial" w:hAnsi="Arial" w:cs="Arial"/>
          <w:sz w:val="20"/>
          <w:szCs w:val="20"/>
          <w:lang w:val="en-GB"/>
        </w:rPr>
        <w:t xml:space="preserve"> that is wider than/partially outside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ListParagraph"/>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6A1D1267" w14:textId="77777777" w:rsidR="002849D9" w:rsidRPr="00F037CE" w:rsidRDefault="002849D9" w:rsidP="002849D9">
            <w:pPr>
              <w:pStyle w:val="Header"/>
              <w:textAlignment w:val="auto"/>
              <w:rPr>
                <w:rFonts w:eastAsia="SimSun" w:cs="Arial"/>
                <w:b w:val="0"/>
                <w:noProof w:val="0"/>
                <w:color w:val="00B050"/>
                <w:sz w:val="20"/>
                <w:lang w:eastAsia="zh-CN"/>
              </w:rPr>
            </w:pPr>
            <w:r w:rsidRPr="00F037CE">
              <w:rPr>
                <w:rFonts w:eastAsia="SimSun"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w:t>
            </w:r>
            <w:r w:rsidRPr="00AC164A">
              <w:rPr>
                <w:rFonts w:eastAsia="SimSun" w:cs="Arial"/>
                <w:b w:val="0"/>
                <w:noProof w:val="0"/>
                <w:color w:val="4472C4" w:themeColor="accent1"/>
                <w:sz w:val="20"/>
                <w:lang w:eastAsia="zh-CN"/>
              </w:rPr>
              <w:lastRenderedPageBreak/>
              <w:t>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SimSun"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6736BC">
        <w:trPr>
          <w:trHeight w:val="182"/>
        </w:trPr>
        <w:tc>
          <w:tcPr>
            <w:tcW w:w="1975" w:type="dxa"/>
            <w:shd w:val="clear" w:color="auto" w:fill="auto"/>
          </w:tcPr>
          <w:p w14:paraId="54D07374" w14:textId="224C861F"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Yu Mincho"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1, ran2 to answer.</w:t>
            </w:r>
          </w:p>
          <w:p w14:paraId="4770441B"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r w:rsidRPr="00AC164A">
              <w:rPr>
                <w:rFonts w:ascii="Arial" w:hAnsi="Arial" w:cs="Arial"/>
                <w:i/>
                <w:iCs/>
              </w:rPr>
              <w:t>carrierBandwidth</w:t>
            </w:r>
            <w:r>
              <w:rPr>
                <w:rFonts w:ascii="Arial" w:hAnsi="Arial" w:cs="Arial"/>
              </w:rPr>
              <w:t xml:space="preserve"> and the OFDM generation</w:t>
            </w:r>
            <w:r>
              <w:rPr>
                <w:rFonts w:ascii="Arial" w:hAnsi="Arial" w:cs="Arial"/>
                <w:sz w:val="18"/>
                <w:szCs w:val="18"/>
                <w:lang w:eastAsia="zh-CN"/>
              </w:rPr>
              <w:t>. Given that the WI does not include RAN1 work, we agree with the answers given by Qualcomm</w:t>
            </w:r>
          </w:p>
        </w:tc>
      </w:tr>
      <w:tr w:rsidR="00C86DB3" w14:paraId="560A3B64"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81A002F" w14:textId="064BCCBD"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4F7661" w14:textId="615C8457"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that 1</w:t>
            </w:r>
            <w:r w:rsidRPr="00C86DB3">
              <w:rPr>
                <w:rFonts w:ascii="Arial" w:hAnsi="Arial" w:cs="Arial"/>
                <w:sz w:val="18"/>
                <w:szCs w:val="18"/>
                <w:vertAlign w:val="superscript"/>
                <w:lang w:eastAsia="zh-CN"/>
              </w:rPr>
              <w:t>st</w:t>
            </w:r>
            <w:r>
              <w:rPr>
                <w:rFonts w:ascii="Arial" w:hAnsi="Arial" w:cs="Arial"/>
                <w:sz w:val="18"/>
                <w:szCs w:val="18"/>
                <w:lang w:eastAsia="zh-CN"/>
              </w:rPr>
              <w:t xml:space="preserve"> bullet is for RAN2</w:t>
            </w:r>
            <w:r w:rsidR="0025606C">
              <w:rPr>
                <w:rFonts w:ascii="Arial" w:hAnsi="Arial" w:cs="Arial"/>
                <w:sz w:val="18"/>
                <w:szCs w:val="18"/>
                <w:lang w:eastAsia="zh-CN"/>
              </w:rPr>
              <w:t xml:space="preserve"> and we could just indicate that this is not a RAN1 issue as it is a bit funny for RAN1 to tell RAN4 what RAN2 specs read as if RAN4 guys aren’t allowed to read other than RAN4 specs.</w:t>
            </w:r>
          </w:p>
          <w:p w14:paraId="4885F4B9" w14:textId="0E4FA955" w:rsidR="0025606C" w:rsidRDefault="0025606C"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In our understanding gNB would be totally unaware if the UE had discontinuity in frequency domain reception, but it might be difficult for the UE to pass performance requirements in all cases. We are anyway OK with an answer along the lines Qualcomm is suggesting.</w:t>
            </w:r>
          </w:p>
        </w:tc>
      </w:tr>
    </w:tbl>
    <w:p w14:paraId="149C9E44" w14:textId="6AC38D10" w:rsidR="00AC164A" w:rsidRPr="00101F7B" w:rsidRDefault="00AC164A" w:rsidP="00622410"/>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29A77" w14:textId="77777777" w:rsidR="00B337D9" w:rsidRDefault="00B337D9">
      <w:r>
        <w:separator/>
      </w:r>
    </w:p>
  </w:endnote>
  <w:endnote w:type="continuationSeparator" w:id="0">
    <w:p w14:paraId="68F3D9B9" w14:textId="77777777" w:rsidR="00B337D9" w:rsidRDefault="00B3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01F7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1F7B">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1E28E" w14:textId="77777777" w:rsidR="00B337D9" w:rsidRDefault="00B337D9">
      <w:r>
        <w:separator/>
      </w:r>
    </w:p>
  </w:footnote>
  <w:footnote w:type="continuationSeparator" w:id="0">
    <w:p w14:paraId="1CE7CC21" w14:textId="77777777" w:rsidR="00B337D9" w:rsidRDefault="00B3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90B1757"/>
    <w:multiLevelType w:val="hybridMultilevel"/>
    <w:tmpl w:val="02D875B0"/>
    <w:lvl w:ilvl="0" w:tplc="E63A02C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20"/>
  </w:num>
  <w:num w:numId="5">
    <w:abstractNumId w:val="21"/>
  </w:num>
  <w:num w:numId="6">
    <w:abstractNumId w:val="23"/>
  </w:num>
  <w:num w:numId="7">
    <w:abstractNumId w:val="6"/>
  </w:num>
  <w:num w:numId="8">
    <w:abstractNumId w:val="9"/>
  </w:num>
  <w:num w:numId="9">
    <w:abstractNumId w:val="2"/>
  </w:num>
  <w:num w:numId="10">
    <w:abstractNumId w:val="31"/>
  </w:num>
  <w:num w:numId="11">
    <w:abstractNumId w:val="12"/>
  </w:num>
  <w:num w:numId="12">
    <w:abstractNumId w:val="30"/>
  </w:num>
  <w:num w:numId="13">
    <w:abstractNumId w:val="14"/>
    <w:lvlOverride w:ilvl="0">
      <w:startOverride w:val="1"/>
    </w:lvlOverride>
  </w:num>
  <w:num w:numId="14">
    <w:abstractNumId w:val="28"/>
  </w:num>
  <w:num w:numId="15">
    <w:abstractNumId w:val="29"/>
  </w:num>
  <w:num w:numId="16">
    <w:abstractNumId w:val="3"/>
  </w:num>
  <w:num w:numId="17">
    <w:abstractNumId w:val="33"/>
  </w:num>
  <w:num w:numId="18">
    <w:abstractNumId w:val="11"/>
  </w:num>
  <w:num w:numId="19">
    <w:abstractNumId w:val="18"/>
  </w:num>
  <w:num w:numId="20">
    <w:abstractNumId w:val="4"/>
  </w:num>
  <w:num w:numId="21">
    <w:abstractNumId w:val="25"/>
  </w:num>
  <w:num w:numId="22">
    <w:abstractNumId w:val="27"/>
  </w:num>
  <w:num w:numId="23">
    <w:abstractNumId w:val="24"/>
  </w:num>
  <w:num w:numId="24">
    <w:abstractNumId w:val="34"/>
  </w:num>
  <w:num w:numId="25">
    <w:abstractNumId w:val="10"/>
  </w:num>
  <w:num w:numId="26">
    <w:abstractNumId w:val="22"/>
  </w:num>
  <w:num w:numId="27">
    <w:abstractNumId w:val="16"/>
  </w:num>
  <w:num w:numId="28">
    <w:abstractNumId w:val="7"/>
  </w:num>
  <w:num w:numId="29">
    <w:abstractNumId w:val="8"/>
  </w:num>
  <w:num w:numId="30">
    <w:abstractNumId w:val="32"/>
  </w:num>
  <w:num w:numId="31">
    <w:abstractNumId w:val="26"/>
  </w:num>
  <w:num w:numId="32">
    <w:abstractNumId w:val="17"/>
  </w:num>
  <w:num w:numId="33">
    <w:abstractNumId w:val="1"/>
  </w:num>
  <w:num w:numId="34">
    <w:abstractNumId w:val="1"/>
  </w:num>
  <w:num w:numId="35">
    <w:abstractNumId w:val="35"/>
  </w:num>
  <w:num w:numId="36">
    <w:abstractNumId w:val="5"/>
  </w:num>
  <w:num w:numId="3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1F73"/>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606C"/>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1D72"/>
    <w:rsid w:val="00370B67"/>
    <w:rsid w:val="00370E47"/>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6F6A"/>
    <w:rsid w:val="004B7C0C"/>
    <w:rsid w:val="004C101C"/>
    <w:rsid w:val="004C3898"/>
    <w:rsid w:val="004C4CCD"/>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038A"/>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0D54"/>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37D9"/>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DB3"/>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64A"/>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A51C7-3623-4945-B39A-E262749FFFDF}">
  <ds:schemaRefs>
    <ds:schemaRef ds:uri="http://schemas.openxmlformats.org/officeDocument/2006/bibliography"/>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26</TotalTime>
  <Pages>6</Pages>
  <Words>2857</Words>
  <Characters>16286</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19105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Karri</cp:lastModifiedBy>
  <cp:revision>3</cp:revision>
  <cp:lastPrinted>2008-01-31T07:09:00Z</cp:lastPrinted>
  <dcterms:created xsi:type="dcterms:W3CDTF">2021-10-13T14:14:00Z</dcterms:created>
  <dcterms:modified xsi:type="dcterms:W3CDTF">2021-10-13T14:41:00Z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6" name="_2015_ms_pID_7253431">
    <vt:lpwstr>10Lb6z5/Qy+qoVHHWT648udRHuJr8fqJXTed1h647xFy+z64hmnXBw
56a8ks+Qido+GjYsMe6ipAzCiFUvkhL4LXjGwh9rBMGAwSdIIw+817s+2aDWRGHL2unjJjI+
Iu4WWNGlUh9vEIo2jOtpfKGCVe5Ztru3/AmIuk8BU40PrHmfCR028u24BuklejGYKgA=</vt:lpwstr>
  </property>
</Properties>
</file>