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A1029" w14:textId="3BF26009" w:rsidR="005D0D3E" w:rsidRDefault="00A04E6E">
      <w:pPr>
        <w:pBdr>
          <w:top w:val="nil"/>
          <w:left w:val="nil"/>
          <w:bottom w:val="nil"/>
          <w:right w:val="nil"/>
          <w:between w:val="nil"/>
        </w:pBdr>
        <w:spacing w:line="259" w:lineRule="auto"/>
        <w:jc w:val="right"/>
        <w:rPr>
          <w:b/>
          <w:color w:val="000000"/>
          <w:sz w:val="24"/>
          <w:szCs w:val="24"/>
        </w:rPr>
      </w:pPr>
      <w:r w:rsidRPr="00A04E6E">
        <w:rPr>
          <w:b/>
          <w:sz w:val="24"/>
          <w:szCs w:val="24"/>
        </w:rPr>
        <w:t>R1-2110308</w:t>
      </w:r>
    </w:p>
    <w:p w14:paraId="461975BB" w14:textId="77777777" w:rsidR="0035601D" w:rsidRPr="00B25C20" w:rsidRDefault="0035601D" w:rsidP="0035601D">
      <w:pPr>
        <w:pBdr>
          <w:top w:val="nil"/>
          <w:left w:val="nil"/>
          <w:bottom w:val="nil"/>
          <w:right w:val="nil"/>
          <w:between w:val="nil"/>
        </w:pBdr>
        <w:spacing w:line="259" w:lineRule="auto"/>
        <w:rPr>
          <w:b/>
          <w:color w:val="000000"/>
          <w:sz w:val="24"/>
          <w:szCs w:val="24"/>
        </w:rPr>
      </w:pPr>
      <w:r w:rsidRPr="00B25C20">
        <w:rPr>
          <w:rFonts w:eastAsia="Calibri"/>
          <w:b/>
          <w:color w:val="000000"/>
          <w:sz w:val="24"/>
          <w:szCs w:val="24"/>
        </w:rPr>
        <w:t>3GPP TSG-RAN WG</w:t>
      </w:r>
      <w:r w:rsidRPr="00B25C20">
        <w:rPr>
          <w:b/>
          <w:sz w:val="24"/>
          <w:szCs w:val="24"/>
        </w:rPr>
        <w:t>1</w:t>
      </w:r>
      <w:r w:rsidRPr="00B25C20">
        <w:rPr>
          <w:rFonts w:eastAsia="Calibri"/>
          <w:b/>
          <w:color w:val="000000"/>
          <w:sz w:val="24"/>
          <w:szCs w:val="24"/>
        </w:rPr>
        <w:t xml:space="preserve"> Meeting #106</w:t>
      </w:r>
      <w:r w:rsidRPr="00B25C20">
        <w:rPr>
          <w:b/>
          <w:sz w:val="24"/>
          <w:szCs w:val="24"/>
        </w:rPr>
        <w:t>b</w:t>
      </w:r>
      <w:r>
        <w:rPr>
          <w:b/>
          <w:sz w:val="24"/>
          <w:szCs w:val="24"/>
        </w:rPr>
        <w:t>is</w:t>
      </w:r>
      <w:r w:rsidRPr="00B25C20">
        <w:rPr>
          <w:rFonts w:eastAsia="Calibri"/>
          <w:b/>
          <w:color w:val="000000"/>
          <w:sz w:val="24"/>
          <w:szCs w:val="24"/>
        </w:rPr>
        <w:t>-e</w:t>
      </w:r>
    </w:p>
    <w:p w14:paraId="435FAEAB" w14:textId="5FFB4C2F" w:rsidR="005D0D3E" w:rsidRPr="0035601D" w:rsidRDefault="0035601D">
      <w:pPr>
        <w:pBdr>
          <w:top w:val="nil"/>
          <w:left w:val="nil"/>
          <w:bottom w:val="nil"/>
          <w:right w:val="nil"/>
          <w:between w:val="nil"/>
        </w:pBdr>
        <w:spacing w:line="259" w:lineRule="auto"/>
        <w:rPr>
          <w:rFonts w:hint="eastAsia"/>
          <w:b/>
          <w:color w:val="000000"/>
          <w:sz w:val="24"/>
          <w:szCs w:val="24"/>
        </w:rPr>
      </w:pPr>
      <w:r w:rsidRPr="00A330AC">
        <w:rPr>
          <w:rFonts w:eastAsia="Calibri"/>
          <w:b/>
          <w:color w:val="000000"/>
          <w:sz w:val="24"/>
          <w:szCs w:val="24"/>
        </w:rPr>
        <w:t xml:space="preserve">Electronic Meeting, </w:t>
      </w:r>
      <w:r w:rsidRPr="00A330AC">
        <w:rPr>
          <w:b/>
          <w:sz w:val="24"/>
          <w:szCs w:val="24"/>
        </w:rPr>
        <w:t>October</w:t>
      </w:r>
      <w:r w:rsidRPr="00A330AC">
        <w:rPr>
          <w:rFonts w:eastAsia="Calibri"/>
          <w:b/>
          <w:color w:val="000000"/>
          <w:sz w:val="24"/>
          <w:szCs w:val="24"/>
        </w:rPr>
        <w:t xml:space="preserve"> </w:t>
      </w:r>
      <w:r w:rsidRPr="00A330AC">
        <w:rPr>
          <w:rFonts w:eastAsia="Calibri"/>
          <w:b/>
          <w:bCs/>
        </w:rPr>
        <w:t>11</w:t>
      </w:r>
      <w:r w:rsidRPr="00A330AC">
        <w:rPr>
          <w:rFonts w:eastAsia="Calibri"/>
          <w:b/>
          <w:bCs/>
          <w:vertAlign w:val="superscript"/>
        </w:rPr>
        <w:t>th</w:t>
      </w:r>
      <w:r w:rsidRPr="00A330AC">
        <w:rPr>
          <w:rFonts w:eastAsia="Calibri"/>
          <w:b/>
          <w:bCs/>
        </w:rPr>
        <w:t xml:space="preserve"> </w:t>
      </w:r>
      <w:r w:rsidRPr="00A330AC">
        <w:rPr>
          <w:b/>
          <w:bCs/>
        </w:rPr>
        <w:t>-</w:t>
      </w:r>
      <w:r w:rsidRPr="00A330AC">
        <w:rPr>
          <w:rFonts w:eastAsia="Calibri"/>
          <w:b/>
          <w:bCs/>
        </w:rPr>
        <w:t xml:space="preserve"> 19</w:t>
      </w:r>
      <w:r w:rsidRPr="00A330AC">
        <w:rPr>
          <w:rFonts w:eastAsia="Calibri"/>
          <w:b/>
          <w:bCs/>
          <w:vertAlign w:val="superscript"/>
        </w:rPr>
        <w:t>th</w:t>
      </w:r>
      <w:r w:rsidRPr="00A330AC">
        <w:rPr>
          <w:rFonts w:eastAsia="Calibri"/>
          <w:b/>
          <w:color w:val="000000"/>
          <w:sz w:val="24"/>
          <w:szCs w:val="24"/>
        </w:rPr>
        <w:t>, 2021</w:t>
      </w:r>
    </w:p>
    <w:p w14:paraId="48BCA000" w14:textId="77777777" w:rsidR="005D0D3E" w:rsidRDefault="00C90ADA">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r>
        <w:pict w14:anchorId="0698D1E9">
          <v:rect id="_x0000_i1025" style="width:0;height:1.5pt" o:hralign="center" o:hrstd="t" o:hr="t" fillcolor="#a0a0a0" stroked="f"/>
        </w:pict>
      </w:r>
    </w:p>
    <w:p w14:paraId="0752FD97" w14:textId="77777777" w:rsidR="005D0D3E" w:rsidRDefault="00BF74BA">
      <w:pPr>
        <w:pBdr>
          <w:top w:val="nil"/>
          <w:left w:val="nil"/>
          <w:bottom w:val="nil"/>
          <w:right w:val="nil"/>
          <w:between w:val="nil"/>
        </w:pBdr>
        <w:spacing w:line="259" w:lineRule="auto"/>
        <w:rPr>
          <w:b/>
          <w:color w:val="000000"/>
          <w:sz w:val="24"/>
          <w:szCs w:val="24"/>
        </w:rPr>
      </w:pPr>
      <w:r>
        <w:rPr>
          <w:rFonts w:eastAsia="Calibri"/>
          <w:b/>
          <w:color w:val="000000"/>
          <w:sz w:val="24"/>
          <w:szCs w:val="24"/>
        </w:rPr>
        <w:t>Source:</w:t>
      </w:r>
      <w:r>
        <w:rPr>
          <w:rFonts w:eastAsia="Calibri"/>
          <w:b/>
          <w:color w:val="000000"/>
          <w:sz w:val="24"/>
          <w:szCs w:val="24"/>
        </w:rPr>
        <w:tab/>
      </w:r>
      <w:r>
        <w:rPr>
          <w:rFonts w:eastAsia="Calibri"/>
          <w:b/>
          <w:color w:val="000000"/>
          <w:sz w:val="24"/>
          <w:szCs w:val="24"/>
        </w:rPr>
        <w:tab/>
        <w:t>SoftBank Corp.</w:t>
      </w:r>
    </w:p>
    <w:p w14:paraId="15D73850" w14:textId="77777777" w:rsidR="005D0D3E" w:rsidRDefault="00BF74BA">
      <w:pPr>
        <w:pBdr>
          <w:top w:val="nil"/>
          <w:left w:val="nil"/>
          <w:bottom w:val="nil"/>
          <w:right w:val="nil"/>
          <w:between w:val="nil"/>
        </w:pBdr>
        <w:spacing w:line="259" w:lineRule="auto"/>
        <w:rPr>
          <w:b/>
          <w:color w:val="000000"/>
          <w:sz w:val="24"/>
          <w:szCs w:val="24"/>
        </w:rPr>
      </w:pPr>
      <w:r>
        <w:rPr>
          <w:rFonts w:eastAsia="Calibri"/>
          <w:b/>
          <w:color w:val="000000"/>
          <w:sz w:val="24"/>
          <w:szCs w:val="24"/>
        </w:rPr>
        <w:t>Title:</w:t>
      </w:r>
      <w:r>
        <w:rPr>
          <w:rFonts w:eastAsia="Calibri"/>
          <w:b/>
          <w:color w:val="000000"/>
          <w:sz w:val="24"/>
          <w:szCs w:val="24"/>
        </w:rPr>
        <w:tab/>
      </w:r>
      <w:r>
        <w:rPr>
          <w:rFonts w:eastAsia="Calibri"/>
          <w:b/>
          <w:color w:val="000000"/>
          <w:sz w:val="24"/>
          <w:szCs w:val="24"/>
        </w:rPr>
        <w:tab/>
      </w:r>
      <w:r>
        <w:rPr>
          <w:rFonts w:eastAsia="Calibri"/>
          <w:b/>
          <w:color w:val="000000"/>
          <w:sz w:val="24"/>
          <w:szCs w:val="24"/>
        </w:rPr>
        <w:tab/>
        <w:t>Considerations on Rel-17 UE features for NR NTN</w:t>
      </w:r>
    </w:p>
    <w:p w14:paraId="7C982036" w14:textId="77777777" w:rsidR="005D0D3E" w:rsidRDefault="00BF74BA">
      <w:pPr>
        <w:pBdr>
          <w:top w:val="nil"/>
          <w:left w:val="nil"/>
          <w:bottom w:val="nil"/>
          <w:right w:val="nil"/>
          <w:between w:val="nil"/>
        </w:pBdr>
        <w:spacing w:line="259" w:lineRule="auto"/>
        <w:rPr>
          <w:b/>
          <w:color w:val="000000"/>
          <w:sz w:val="24"/>
          <w:szCs w:val="24"/>
        </w:rPr>
      </w:pPr>
      <w:r>
        <w:rPr>
          <w:rFonts w:eastAsia="Calibri"/>
          <w:b/>
          <w:color w:val="000000"/>
          <w:sz w:val="24"/>
          <w:szCs w:val="24"/>
        </w:rPr>
        <w:t>Type:</w:t>
      </w:r>
      <w:r>
        <w:rPr>
          <w:rFonts w:eastAsia="Calibri"/>
          <w:b/>
          <w:color w:val="000000"/>
          <w:sz w:val="24"/>
          <w:szCs w:val="24"/>
        </w:rPr>
        <w:tab/>
      </w:r>
      <w:r>
        <w:rPr>
          <w:rFonts w:eastAsia="Calibri"/>
          <w:b/>
          <w:color w:val="000000"/>
          <w:sz w:val="24"/>
          <w:szCs w:val="24"/>
        </w:rPr>
        <w:tab/>
      </w:r>
      <w:r>
        <w:rPr>
          <w:rFonts w:eastAsia="Calibri"/>
          <w:b/>
          <w:color w:val="000000"/>
          <w:sz w:val="24"/>
          <w:szCs w:val="24"/>
        </w:rPr>
        <w:tab/>
        <w:t>Discussion</w:t>
      </w:r>
    </w:p>
    <w:p w14:paraId="7318BEEF" w14:textId="77777777" w:rsidR="005D0D3E" w:rsidRDefault="00BF74BA">
      <w:pPr>
        <w:pBdr>
          <w:top w:val="nil"/>
          <w:left w:val="nil"/>
          <w:bottom w:val="nil"/>
          <w:right w:val="nil"/>
          <w:between w:val="nil"/>
        </w:pBdr>
        <w:spacing w:line="259" w:lineRule="auto"/>
        <w:rPr>
          <w:b/>
          <w:color w:val="000000"/>
          <w:sz w:val="24"/>
          <w:szCs w:val="24"/>
        </w:rPr>
      </w:pPr>
      <w:r>
        <w:rPr>
          <w:rFonts w:eastAsia="Calibri"/>
          <w:b/>
          <w:color w:val="000000"/>
          <w:sz w:val="24"/>
          <w:szCs w:val="24"/>
        </w:rPr>
        <w:t>Document for:</w:t>
      </w:r>
      <w:r>
        <w:rPr>
          <w:rFonts w:eastAsia="Calibri"/>
          <w:b/>
          <w:color w:val="000000"/>
          <w:sz w:val="24"/>
          <w:szCs w:val="24"/>
        </w:rPr>
        <w:tab/>
        <w:t>Discussion and Decision</w:t>
      </w:r>
    </w:p>
    <w:p w14:paraId="1761D8D4" w14:textId="77777777" w:rsidR="005D0D3E" w:rsidRDefault="00BF74BA">
      <w:pPr>
        <w:pBdr>
          <w:top w:val="nil"/>
          <w:left w:val="nil"/>
          <w:bottom w:val="nil"/>
          <w:right w:val="nil"/>
          <w:between w:val="nil"/>
        </w:pBdr>
        <w:spacing w:line="259" w:lineRule="auto"/>
        <w:rPr>
          <w:b/>
          <w:color w:val="000000"/>
          <w:sz w:val="24"/>
          <w:szCs w:val="24"/>
        </w:rPr>
      </w:pPr>
      <w:r>
        <w:rPr>
          <w:rFonts w:eastAsia="Calibri"/>
          <w:b/>
          <w:color w:val="000000"/>
          <w:sz w:val="24"/>
          <w:szCs w:val="24"/>
        </w:rPr>
        <w:t>Agenda Item:</w:t>
      </w:r>
      <w:r>
        <w:rPr>
          <w:rFonts w:eastAsia="Calibri"/>
          <w:b/>
          <w:color w:val="000000"/>
          <w:sz w:val="24"/>
          <w:szCs w:val="24"/>
        </w:rPr>
        <w:tab/>
      </w:r>
      <w:r>
        <w:rPr>
          <w:rFonts w:eastAsia="Calibri"/>
          <w:b/>
          <w:color w:val="000000"/>
          <w:sz w:val="24"/>
          <w:szCs w:val="24"/>
        </w:rPr>
        <w:tab/>
      </w:r>
      <w:r>
        <w:rPr>
          <w:b/>
          <w:sz w:val="24"/>
          <w:szCs w:val="24"/>
        </w:rPr>
        <w:t>8</w:t>
      </w:r>
      <w:r>
        <w:rPr>
          <w:rFonts w:eastAsia="Calibri"/>
          <w:b/>
          <w:color w:val="000000"/>
          <w:sz w:val="24"/>
          <w:szCs w:val="24"/>
        </w:rPr>
        <w:t>.1</w:t>
      </w:r>
      <w:r>
        <w:rPr>
          <w:b/>
          <w:sz w:val="24"/>
          <w:szCs w:val="24"/>
        </w:rPr>
        <w:t>7</w:t>
      </w:r>
      <w:r>
        <w:rPr>
          <w:rFonts w:eastAsia="Calibri"/>
          <w:b/>
          <w:color w:val="000000"/>
          <w:sz w:val="24"/>
          <w:szCs w:val="24"/>
        </w:rPr>
        <w:t>.</w:t>
      </w:r>
      <w:r>
        <w:rPr>
          <w:b/>
          <w:sz w:val="24"/>
          <w:szCs w:val="24"/>
        </w:rPr>
        <w:t>4</w:t>
      </w:r>
    </w:p>
    <w:p w14:paraId="1FC7F630" w14:textId="77777777" w:rsidR="005D0D3E" w:rsidRDefault="00BF74BA">
      <w:pPr>
        <w:pBdr>
          <w:top w:val="nil"/>
          <w:left w:val="nil"/>
          <w:bottom w:val="nil"/>
          <w:right w:val="nil"/>
          <w:between w:val="nil"/>
        </w:pBdr>
        <w:spacing w:line="259" w:lineRule="auto"/>
        <w:rPr>
          <w:b/>
          <w:color w:val="000000"/>
          <w:sz w:val="24"/>
          <w:szCs w:val="24"/>
        </w:rPr>
      </w:pPr>
      <w:r>
        <w:rPr>
          <w:rFonts w:eastAsia="Calibri"/>
          <w:b/>
          <w:color w:val="000000"/>
          <w:sz w:val="24"/>
          <w:szCs w:val="24"/>
        </w:rPr>
        <w:t>Release:</w:t>
      </w:r>
      <w:r>
        <w:rPr>
          <w:rFonts w:eastAsia="Calibri"/>
          <w:b/>
          <w:color w:val="000000"/>
          <w:sz w:val="24"/>
          <w:szCs w:val="24"/>
        </w:rPr>
        <w:tab/>
      </w:r>
      <w:r>
        <w:rPr>
          <w:rFonts w:eastAsia="Calibri"/>
          <w:b/>
          <w:color w:val="000000"/>
          <w:sz w:val="24"/>
          <w:szCs w:val="24"/>
        </w:rPr>
        <w:tab/>
        <w:t>Rel-17</w:t>
      </w:r>
    </w:p>
    <w:p w14:paraId="553C599E" w14:textId="77777777" w:rsidR="005D0D3E" w:rsidRDefault="005D0D3E">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p>
    <w:p w14:paraId="0746D57F" w14:textId="77777777" w:rsidR="005D0D3E" w:rsidRDefault="005D0D3E">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p>
    <w:p w14:paraId="43792D79" w14:textId="77777777" w:rsidR="005D0D3E" w:rsidRDefault="00BF74BA">
      <w:pPr>
        <w:pStyle w:val="1"/>
        <w:numPr>
          <w:ilvl w:val="0"/>
          <w:numId w:val="9"/>
        </w:numPr>
      </w:pPr>
      <w:r>
        <w:t>Introduction</w:t>
      </w:r>
    </w:p>
    <w:p w14:paraId="1011FE8C" w14:textId="1957D902" w:rsidR="005D0D3E" w:rsidRPr="009819C1" w:rsidRDefault="00BF74BA">
      <w:pPr>
        <w:rPr>
          <w:color w:val="9900FF"/>
        </w:rPr>
      </w:pPr>
      <w:r>
        <w:t>In RAN1#106-e, companies are invited to contribute on the following points in RAN1#106b-e meeting. The objective of this document is to provide our view of Rel-17 UE features for NR NTN.</w:t>
      </w:r>
    </w:p>
    <w:p w14:paraId="1D5EF04B" w14:textId="77777777" w:rsidR="005D0D3E" w:rsidRDefault="005D0D3E"/>
    <w:p w14:paraId="50B44654" w14:textId="77777777" w:rsidR="005D0D3E" w:rsidRDefault="005D0D3E"/>
    <w:p w14:paraId="2EFAF4FC" w14:textId="77777777" w:rsidR="005D0D3E" w:rsidRDefault="00BF74BA">
      <w:pPr>
        <w:pStyle w:val="1"/>
        <w:numPr>
          <w:ilvl w:val="0"/>
          <w:numId w:val="9"/>
        </w:numPr>
      </w:pPr>
      <w:r>
        <w:t>Discussion</w:t>
      </w:r>
    </w:p>
    <w:p w14:paraId="6C9533AC" w14:textId="77777777" w:rsidR="005D0D3E" w:rsidRDefault="00BF74BA">
      <w:pPr>
        <w:pStyle w:val="2"/>
        <w:ind w:right="220" w:firstLine="220"/>
      </w:pPr>
      <w:r>
        <w:t>General</w:t>
      </w:r>
    </w:p>
    <w:p w14:paraId="32EC3C4E" w14:textId="4CCADE2A" w:rsidR="005D0D3E" w:rsidRDefault="00BF74BA">
      <w:r>
        <w:t xml:space="preserve">Through the NTN WI in Rel-17, we have pointed out many times that satellite and HAPS have different characteristics and RAN1 should be careful when we use the terminologies “NTN” and/or “satellite” because it may imply </w:t>
      </w:r>
      <w:r w:rsidR="00D3563F">
        <w:t xml:space="preserve">the inclusion/exclusion of </w:t>
      </w:r>
      <w:r>
        <w:t xml:space="preserve">HAPS. </w:t>
      </w:r>
      <w:r w:rsidR="00D3563F">
        <w:t>RAN1 should make sure that the terminology is correctly used in t</w:t>
      </w:r>
      <w:r>
        <w:t xml:space="preserve">he feature list </w:t>
      </w:r>
      <w:proofErr w:type="gramStart"/>
      <w:r w:rsidR="008C76FC">
        <w:t>in order to</w:t>
      </w:r>
      <w:proofErr w:type="gramEnd"/>
      <w:r w:rsidR="008C76FC">
        <w:t xml:space="preserve"> avoid giving a wrong message </w:t>
      </w:r>
      <w:r>
        <w:t xml:space="preserve">to outside 3GPP. </w:t>
      </w:r>
    </w:p>
    <w:p w14:paraId="3D3B654C" w14:textId="77777777" w:rsidR="005D0D3E" w:rsidRDefault="005D0D3E">
      <w:bookmarkStart w:id="0" w:name="_Hlk83920164"/>
    </w:p>
    <w:bookmarkEnd w:id="0"/>
    <w:p w14:paraId="2AA9FAE3" w14:textId="15214BDC" w:rsidR="005D0D3E" w:rsidRDefault="00BF74BA">
      <w:pPr>
        <w:rPr>
          <w:b/>
        </w:rPr>
      </w:pPr>
      <w:r>
        <w:rPr>
          <w:b/>
        </w:rPr>
        <w:t>Observation 1: RAN1 should make sure that the terminology “NTN” and “satellite” are correctly used in the feature list.</w:t>
      </w:r>
    </w:p>
    <w:p w14:paraId="560AADFB" w14:textId="396806CC" w:rsidR="005D0D3E" w:rsidRDefault="00BF74BA">
      <w:pPr>
        <w:numPr>
          <w:ilvl w:val="0"/>
          <w:numId w:val="8"/>
        </w:numPr>
        <w:rPr>
          <w:b/>
        </w:rPr>
      </w:pPr>
      <w:r>
        <w:rPr>
          <w:b/>
        </w:rPr>
        <w:t>NTN includes HAPS: terminology “NTN” implies that the sentence applies to both satellite and HAPS</w:t>
      </w:r>
    </w:p>
    <w:p w14:paraId="72C15604" w14:textId="77777777" w:rsidR="005D0D3E" w:rsidRDefault="00BF74BA">
      <w:pPr>
        <w:numPr>
          <w:ilvl w:val="0"/>
          <w:numId w:val="8"/>
        </w:numPr>
        <w:rPr>
          <w:b/>
        </w:rPr>
      </w:pPr>
      <w:r>
        <w:rPr>
          <w:b/>
        </w:rPr>
        <w:t>Satellite excludes HAPS:  terminology “satellite” implies that the sentence does not apply to HAPS</w:t>
      </w:r>
    </w:p>
    <w:p w14:paraId="31D12A87" w14:textId="77777777" w:rsidR="00695012" w:rsidRDefault="00695012" w:rsidP="00695012"/>
    <w:p w14:paraId="4059480C" w14:textId="77777777" w:rsidR="00695012" w:rsidRDefault="00695012" w:rsidP="00695012"/>
    <w:p w14:paraId="2371929C" w14:textId="20094C14" w:rsidR="005D0D3E" w:rsidRDefault="00BF74BA" w:rsidP="005C62D4">
      <w:pPr>
        <w:pStyle w:val="2"/>
        <w:ind w:right="220" w:firstLine="220"/>
      </w:pPr>
      <w:r>
        <w:t>Consequence if the feature is not supported by the UE for 26-1, 26-2 and 26-3</w:t>
      </w:r>
    </w:p>
    <w:p w14:paraId="57123A9F" w14:textId="073ED4BE" w:rsidR="005D0D3E" w:rsidRDefault="00BF74BA">
      <w:r>
        <w:t xml:space="preserve">Considering the deployment of HAPS, the distance between </w:t>
      </w:r>
      <w:proofErr w:type="spellStart"/>
      <w:r>
        <w:t>gNB</w:t>
      </w:r>
      <w:proofErr w:type="spellEnd"/>
      <w:r>
        <w:t xml:space="preserve"> and UE is normally designed to </w:t>
      </w:r>
      <w:r w:rsidRPr="00CA37AE">
        <w:t>satisfy the TN NR maximum distance, i.e. less than 100km. It</w:t>
      </w:r>
      <w:r w:rsidR="00467206" w:rsidRPr="00CA37AE">
        <w:t xml:space="preserve"> is</w:t>
      </w:r>
      <w:r w:rsidRPr="00CA37AE">
        <w:t xml:space="preserve"> therefore still possible for every Release-17 UEs (and pre-release-17 UEs as well) to access the NTN (</w:t>
      </w:r>
      <w:r w:rsidR="00A806BC" w:rsidRPr="00CA37AE">
        <w:t xml:space="preserve">i.e. </w:t>
      </w:r>
      <w:r w:rsidRPr="00CA37AE">
        <w:t xml:space="preserve">HAPS) </w:t>
      </w:r>
      <w:r w:rsidR="00A806BC" w:rsidRPr="00CA37AE">
        <w:t xml:space="preserve">network </w:t>
      </w:r>
      <w:r w:rsidRPr="00CA37AE">
        <w:t xml:space="preserve">without 26-1 capability. The current sentence “Release 17 UE cannot access NTN” is not correct and the modification should be applied. </w:t>
      </w:r>
      <w:r w:rsidR="000F41D3" w:rsidRPr="00CA37AE">
        <w:t>Similarly,</w:t>
      </w:r>
      <w:r w:rsidR="006051C5" w:rsidRPr="00CA37AE">
        <w:t xml:space="preserve"> the current sentence </w:t>
      </w:r>
      <w:r w:rsidR="00A806BC" w:rsidRPr="00CA37AE">
        <w:t xml:space="preserve">for 26-3 </w:t>
      </w:r>
      <w:r w:rsidR="006051C5" w:rsidRPr="00CA37AE">
        <w:t>seems to mean that every single NTN access has a large propagation delay</w:t>
      </w:r>
      <w:r w:rsidR="00A806BC" w:rsidRPr="00CA37AE">
        <w:t>, but obviously this does not apply to HAPS</w:t>
      </w:r>
      <w:r w:rsidR="006051C5" w:rsidRPr="00CA37AE">
        <w:t xml:space="preserve">.  </w:t>
      </w:r>
    </w:p>
    <w:p w14:paraId="715FB854" w14:textId="77777777" w:rsidR="005D0D3E" w:rsidRDefault="005D0D3E"/>
    <w:p w14:paraId="37AE8F78" w14:textId="1B2F88DE" w:rsidR="005D0D3E" w:rsidRDefault="00BF74BA">
      <w:r>
        <w:t xml:space="preserve">Furthermore, the moving speed of HAPS aircraft is rather slow compared with satellites, thus the level of suffered doppler shift is almost same as TN. Therefore, it is not always required for Release </w:t>
      </w:r>
      <w:r>
        <w:lastRenderedPageBreak/>
        <w:t>17</w:t>
      </w:r>
      <w:r w:rsidR="00A806BC">
        <w:t xml:space="preserve"> UEs</w:t>
      </w:r>
      <w:r>
        <w:t xml:space="preserve"> (and even pre-release-17 UEs) to equip 26-2 for HAPS deployment scenarios.  The current sentence “Release 17 UE cannot access NTN” is not correct as well. </w:t>
      </w:r>
    </w:p>
    <w:p w14:paraId="3EC2C5D0" w14:textId="4284C470" w:rsidR="005D0D3E" w:rsidRDefault="00BF74BA">
      <w:r>
        <w:t>Given the arguments above, we propose the following</w:t>
      </w:r>
      <w:r w:rsidR="00A806BC">
        <w:t xml:space="preserve"> modifications</w:t>
      </w:r>
      <w:r>
        <w:t xml:space="preserve">: </w:t>
      </w:r>
    </w:p>
    <w:p w14:paraId="512B8EE8" w14:textId="77777777" w:rsidR="005D0D3E" w:rsidRDefault="005D0D3E"/>
    <w:p w14:paraId="0F164C07" w14:textId="09A273E9" w:rsidR="005D0D3E" w:rsidRDefault="00BF74BA">
      <w:pPr>
        <w:rPr>
          <w:b/>
        </w:rPr>
      </w:pPr>
      <w:r>
        <w:rPr>
          <w:b/>
        </w:rPr>
        <w:t xml:space="preserve">Proposal 1: </w:t>
      </w:r>
      <w:r w:rsidR="00162176">
        <w:rPr>
          <w:b/>
        </w:rPr>
        <w:t>Modify</w:t>
      </w:r>
      <w:r>
        <w:rPr>
          <w:b/>
        </w:rPr>
        <w:t xml:space="preserve"> the “Consequence if ~” column</w:t>
      </w:r>
      <w:r w:rsidR="00162176">
        <w:rPr>
          <w:b/>
        </w:rPr>
        <w:t>s</w:t>
      </w:r>
      <w:r>
        <w:rPr>
          <w:b/>
        </w:rPr>
        <w:t xml:space="preserve"> of 26-1</w:t>
      </w:r>
      <w:r w:rsidR="006051C5">
        <w:rPr>
          <w:b/>
        </w:rPr>
        <w:t xml:space="preserve"> and </w:t>
      </w:r>
      <w:r>
        <w:rPr>
          <w:b/>
        </w:rPr>
        <w:t>26-</w:t>
      </w:r>
      <w:r w:rsidR="006051C5">
        <w:rPr>
          <w:b/>
        </w:rPr>
        <w:t>2</w:t>
      </w:r>
      <w:r>
        <w:rPr>
          <w:b/>
        </w:rPr>
        <w:t xml:space="preserve"> as below.</w:t>
      </w:r>
    </w:p>
    <w:p w14:paraId="656F51AD" w14:textId="2D42ABD7" w:rsidR="005D0D3E" w:rsidRPr="00782D66" w:rsidRDefault="00BF74BA" w:rsidP="00782D66">
      <w:pPr>
        <w:pStyle w:val="ab"/>
        <w:numPr>
          <w:ilvl w:val="0"/>
          <w:numId w:val="8"/>
        </w:numPr>
        <w:ind w:leftChars="0"/>
        <w:rPr>
          <w:b/>
        </w:rPr>
      </w:pPr>
      <w:r w:rsidRPr="00782D66">
        <w:rPr>
          <w:b/>
        </w:rPr>
        <w:t xml:space="preserve">Release 17 UE cannot access </w:t>
      </w:r>
      <w:r w:rsidRPr="00782D66">
        <w:rPr>
          <w:b/>
          <w:u w:val="single"/>
        </w:rPr>
        <w:t>satellite</w:t>
      </w:r>
      <w:r w:rsidRPr="00782D66">
        <w:rPr>
          <w:b/>
        </w:rPr>
        <w:t>.</w:t>
      </w:r>
    </w:p>
    <w:p w14:paraId="7A9D4F55" w14:textId="77777777" w:rsidR="005D0D3E" w:rsidRDefault="005D0D3E"/>
    <w:p w14:paraId="164281F9" w14:textId="57C6D922" w:rsidR="006051C5" w:rsidRDefault="006051C5" w:rsidP="006051C5">
      <w:pPr>
        <w:rPr>
          <w:b/>
        </w:rPr>
      </w:pPr>
      <w:r>
        <w:rPr>
          <w:b/>
        </w:rPr>
        <w:t xml:space="preserve">Proposal 2: </w:t>
      </w:r>
      <w:r w:rsidR="00162176">
        <w:rPr>
          <w:b/>
        </w:rPr>
        <w:t>Modify</w:t>
      </w:r>
      <w:r>
        <w:rPr>
          <w:b/>
        </w:rPr>
        <w:t xml:space="preserve"> the “Consequence if ~” column of 26-3 as below.</w:t>
      </w:r>
    </w:p>
    <w:p w14:paraId="1080EFD9" w14:textId="4737C474" w:rsidR="006051C5" w:rsidRPr="00782D66" w:rsidRDefault="006051C5" w:rsidP="00782D66">
      <w:pPr>
        <w:pStyle w:val="ab"/>
        <w:numPr>
          <w:ilvl w:val="0"/>
          <w:numId w:val="8"/>
        </w:numPr>
        <w:ind w:leftChars="0"/>
        <w:rPr>
          <w:b/>
        </w:rPr>
      </w:pPr>
      <w:r w:rsidRPr="00782D66">
        <w:rPr>
          <w:b/>
        </w:rPr>
        <w:t xml:space="preserve">Due to large propagation delay in </w:t>
      </w:r>
      <w:r w:rsidRPr="00782D66">
        <w:rPr>
          <w:b/>
          <w:u w:val="single"/>
        </w:rPr>
        <w:t xml:space="preserve">some scenarios of </w:t>
      </w:r>
      <w:r w:rsidRPr="00782D66">
        <w:rPr>
          <w:b/>
        </w:rPr>
        <w:t>NTN the UE RAR is not expected within a few milliseconds like in TN. The UE does not need to monitor the PDCCH for RAN right after transmitting RA Preamble.</w:t>
      </w:r>
    </w:p>
    <w:p w14:paraId="3085E3EE" w14:textId="77777777" w:rsidR="00DD35FF" w:rsidRDefault="00DD35FF"/>
    <w:p w14:paraId="65582043" w14:textId="77777777" w:rsidR="005D0D3E" w:rsidRDefault="005D0D3E">
      <w:bookmarkStart w:id="1" w:name="_its42qf80jxr" w:colFirst="0" w:colLast="0"/>
      <w:bookmarkEnd w:id="1"/>
    </w:p>
    <w:p w14:paraId="37FA730B" w14:textId="65E30A4B" w:rsidR="005D0D3E" w:rsidRDefault="00BF74BA" w:rsidP="004774FF">
      <w:pPr>
        <w:pStyle w:val="2"/>
      </w:pPr>
      <w:bookmarkStart w:id="2" w:name="_xhvoqxbresjm" w:colFirst="0" w:colLast="0"/>
      <w:bookmarkEnd w:id="2"/>
      <w:r>
        <w:t>Mandatory/Optional for 26-1, 26-2, 26-3 and 26-6</w:t>
      </w:r>
    </w:p>
    <w:p w14:paraId="1E1C3142" w14:textId="3802119D" w:rsidR="005D0D3E" w:rsidRDefault="00BF74BA">
      <w:r>
        <w:t xml:space="preserve">It is not appropriate to define any features as Mandatory in Release-16 and later because UEs are always allowed not to implement. NTN is no exception to this rule. Furthermore, these features are not always necessary for HAPS as explained earlier. Thus, just saying “Mandatory” is a bit strong and does not address </w:t>
      </w:r>
      <w:r w:rsidR="003E2B25">
        <w:t xml:space="preserve">our </w:t>
      </w:r>
      <w:r>
        <w:t>concerns very well. We propose to apply conditional mandatory for this case, i.e. these futures can be mandatory for Release-17 UE supporting satellite access such as LEO and GEO.</w:t>
      </w:r>
    </w:p>
    <w:p w14:paraId="3A9A76A9" w14:textId="77777777" w:rsidR="005D0D3E" w:rsidRDefault="005D0D3E"/>
    <w:p w14:paraId="52C70863" w14:textId="426A790B" w:rsidR="005D0D3E" w:rsidRDefault="00BF74BA">
      <w:pPr>
        <w:rPr>
          <w:b/>
        </w:rPr>
      </w:pPr>
      <w:r>
        <w:rPr>
          <w:b/>
        </w:rPr>
        <w:t xml:space="preserve">Proposal </w:t>
      </w:r>
      <w:r w:rsidR="001D7BBD">
        <w:rPr>
          <w:b/>
        </w:rPr>
        <w:t>3</w:t>
      </w:r>
      <w:r>
        <w:rPr>
          <w:b/>
        </w:rPr>
        <w:t xml:space="preserve">: </w:t>
      </w:r>
    </w:p>
    <w:p w14:paraId="38999362" w14:textId="77777777" w:rsidR="005D0D3E" w:rsidRDefault="00BF74BA">
      <w:pPr>
        <w:numPr>
          <w:ilvl w:val="0"/>
          <w:numId w:val="5"/>
        </w:numPr>
        <w:rPr>
          <w:b/>
        </w:rPr>
      </w:pPr>
      <w:r>
        <w:rPr>
          <w:b/>
        </w:rPr>
        <w:t xml:space="preserve">Mandatory/Optional column for 26-1, 26-2 and 26-3, either Alt 1 or Alt 2 should be applied: </w:t>
      </w:r>
    </w:p>
    <w:p w14:paraId="76B7F323" w14:textId="77777777" w:rsidR="005D0D3E" w:rsidRDefault="00BF74BA">
      <w:pPr>
        <w:numPr>
          <w:ilvl w:val="1"/>
          <w:numId w:val="5"/>
        </w:numPr>
        <w:rPr>
          <w:b/>
        </w:rPr>
      </w:pPr>
      <w:r>
        <w:rPr>
          <w:b/>
        </w:rPr>
        <w:t xml:space="preserve">Alt 1: </w:t>
      </w:r>
      <w:r w:rsidRPr="00782D66">
        <w:rPr>
          <w:rFonts w:ascii="Times New Roman" w:hAnsi="Times New Roman" w:cs="Times New Roman"/>
          <w:b/>
          <w:color w:val="222222"/>
          <w:highlight w:val="white"/>
        </w:rPr>
        <w:t>Optional without capability signaling. For UE supporting</w:t>
      </w:r>
      <w:r w:rsidRPr="00782D66">
        <w:rPr>
          <w:rFonts w:ascii="Times New Roman" w:hAnsi="Times New Roman" w:cs="Times New Roman"/>
          <w:b/>
          <w:color w:val="222222"/>
          <w:highlight w:val="white"/>
          <w:u w:val="single"/>
        </w:rPr>
        <w:t xml:space="preserve"> satellite access</w:t>
      </w:r>
      <w:r w:rsidRPr="00782D66">
        <w:rPr>
          <w:rFonts w:ascii="Times New Roman" w:hAnsi="Times New Roman" w:cs="Times New Roman"/>
          <w:b/>
          <w:color w:val="222222"/>
          <w:highlight w:val="white"/>
        </w:rPr>
        <w:t>, UE shall support this FG.</w:t>
      </w:r>
    </w:p>
    <w:p w14:paraId="09F76C12" w14:textId="77777777" w:rsidR="005D0D3E" w:rsidRPr="00782D66" w:rsidRDefault="00BF74BA">
      <w:pPr>
        <w:numPr>
          <w:ilvl w:val="1"/>
          <w:numId w:val="5"/>
        </w:numPr>
        <w:rPr>
          <w:rFonts w:ascii="Times New Roman" w:hAnsi="Times New Roman" w:cs="Times New Roman"/>
          <w:b/>
        </w:rPr>
      </w:pPr>
      <w:r>
        <w:rPr>
          <w:b/>
        </w:rPr>
        <w:t xml:space="preserve">Alt 2: </w:t>
      </w:r>
      <w:r w:rsidRPr="00782D66">
        <w:rPr>
          <w:rFonts w:ascii="Times New Roman" w:hAnsi="Times New Roman" w:cs="Times New Roman"/>
          <w:b/>
          <w:color w:val="222222"/>
          <w:highlight w:val="white"/>
        </w:rPr>
        <w:t xml:space="preserve">Optional without capability signaling. For UE supporting </w:t>
      </w:r>
      <w:r w:rsidRPr="00782D66">
        <w:rPr>
          <w:rFonts w:ascii="Times New Roman" w:hAnsi="Times New Roman" w:cs="Times New Roman"/>
          <w:b/>
          <w:color w:val="222222"/>
          <w:highlight w:val="white"/>
          <w:u w:val="single"/>
        </w:rPr>
        <w:t>satellite band(s)</w:t>
      </w:r>
      <w:r w:rsidRPr="00782D66">
        <w:rPr>
          <w:rFonts w:ascii="Times New Roman" w:hAnsi="Times New Roman" w:cs="Times New Roman"/>
          <w:b/>
          <w:color w:val="222222"/>
          <w:highlight w:val="white"/>
        </w:rPr>
        <w:t>, UE shall support this FG.</w:t>
      </w:r>
    </w:p>
    <w:p w14:paraId="73F9A6CF" w14:textId="77777777" w:rsidR="005D0D3E" w:rsidRDefault="00BF74BA">
      <w:pPr>
        <w:numPr>
          <w:ilvl w:val="0"/>
          <w:numId w:val="5"/>
        </w:numPr>
        <w:rPr>
          <w:b/>
        </w:rPr>
      </w:pPr>
      <w:r>
        <w:rPr>
          <w:b/>
        </w:rPr>
        <w:t xml:space="preserve">Mandatory/Optional column for 26-6, either Alt 1 or Alt 2 should be applied: </w:t>
      </w:r>
    </w:p>
    <w:p w14:paraId="4B813CD9" w14:textId="77777777" w:rsidR="005D0D3E" w:rsidRPr="00782D66" w:rsidRDefault="00BF74BA">
      <w:pPr>
        <w:numPr>
          <w:ilvl w:val="1"/>
          <w:numId w:val="5"/>
        </w:numPr>
        <w:rPr>
          <w:rFonts w:ascii="Times New Roman" w:hAnsi="Times New Roman" w:cs="Times New Roman"/>
          <w:b/>
        </w:rPr>
      </w:pPr>
      <w:r>
        <w:rPr>
          <w:b/>
        </w:rPr>
        <w:t xml:space="preserve">Alt 1: </w:t>
      </w:r>
      <w:r w:rsidRPr="00782D66">
        <w:rPr>
          <w:rFonts w:ascii="Times New Roman" w:hAnsi="Times New Roman" w:cs="Times New Roman"/>
          <w:b/>
        </w:rPr>
        <w:t xml:space="preserve">Optional with capability signaling. For UE supporting </w:t>
      </w:r>
      <w:r w:rsidRPr="00782D66">
        <w:rPr>
          <w:rFonts w:ascii="Times New Roman" w:hAnsi="Times New Roman" w:cs="Times New Roman"/>
          <w:b/>
          <w:u w:val="single"/>
        </w:rPr>
        <w:t>satellite access</w:t>
      </w:r>
      <w:r w:rsidRPr="00782D66">
        <w:rPr>
          <w:rFonts w:ascii="Times New Roman" w:hAnsi="Times New Roman" w:cs="Times New Roman"/>
          <w:b/>
        </w:rPr>
        <w:t>, UE shall indicate this Feature Group is supported.</w:t>
      </w:r>
    </w:p>
    <w:p w14:paraId="38082F2B" w14:textId="0728EDD6" w:rsidR="005D0D3E" w:rsidRPr="00782D66" w:rsidRDefault="00BF74BA">
      <w:pPr>
        <w:numPr>
          <w:ilvl w:val="1"/>
          <w:numId w:val="5"/>
        </w:numPr>
        <w:rPr>
          <w:rFonts w:ascii="Times New Roman" w:hAnsi="Times New Roman" w:cs="Times New Roman"/>
          <w:b/>
        </w:rPr>
      </w:pPr>
      <w:r>
        <w:rPr>
          <w:b/>
        </w:rPr>
        <w:t xml:space="preserve">Alt 2: </w:t>
      </w:r>
      <w:r w:rsidRPr="00782D66">
        <w:rPr>
          <w:rFonts w:ascii="Times New Roman" w:hAnsi="Times New Roman" w:cs="Times New Roman"/>
          <w:b/>
        </w:rPr>
        <w:t xml:space="preserve">Optional with capability signaling. For UE supporting </w:t>
      </w:r>
      <w:r w:rsidRPr="00782D66">
        <w:rPr>
          <w:rFonts w:ascii="Times New Roman" w:hAnsi="Times New Roman" w:cs="Times New Roman"/>
          <w:b/>
          <w:u w:val="single"/>
        </w:rPr>
        <w:t>satellite band(s)</w:t>
      </w:r>
      <w:r w:rsidRPr="00782D66">
        <w:rPr>
          <w:rFonts w:ascii="Times New Roman" w:hAnsi="Times New Roman" w:cs="Times New Roman"/>
          <w:b/>
        </w:rPr>
        <w:t>, UE shall indicate this FG is supported.</w:t>
      </w:r>
    </w:p>
    <w:p w14:paraId="4B1EC015" w14:textId="77777777" w:rsidR="003E2B25" w:rsidRDefault="003E2B25" w:rsidP="003E2B25">
      <w:pPr>
        <w:numPr>
          <w:ilvl w:val="0"/>
          <w:numId w:val="5"/>
        </w:numPr>
        <w:rPr>
          <w:b/>
        </w:rPr>
      </w:pPr>
      <w:r>
        <w:rPr>
          <w:b/>
        </w:rPr>
        <w:t xml:space="preserve">Note: the choice of Alt may be up to other working groups, e.g. RAN4. If satellite access is completely associated with band definition, Alt 2 is a better choice. </w:t>
      </w:r>
    </w:p>
    <w:p w14:paraId="4838EE67" w14:textId="77777777" w:rsidR="003E2B25" w:rsidRDefault="003E2B25">
      <w:pPr>
        <w:numPr>
          <w:ilvl w:val="1"/>
          <w:numId w:val="5"/>
        </w:numPr>
        <w:rPr>
          <w:b/>
        </w:rPr>
      </w:pPr>
    </w:p>
    <w:p w14:paraId="6693DB5C" w14:textId="77777777" w:rsidR="005D0D3E" w:rsidRDefault="005D0D3E">
      <w:pPr>
        <w:rPr>
          <w:b/>
        </w:rPr>
      </w:pPr>
    </w:p>
    <w:p w14:paraId="51533D20" w14:textId="77777777" w:rsidR="005D0D3E" w:rsidRDefault="005D0D3E">
      <w:pPr>
        <w:rPr>
          <w:b/>
        </w:rPr>
      </w:pPr>
    </w:p>
    <w:p w14:paraId="612174A0" w14:textId="5385CF51" w:rsidR="005D0D3E" w:rsidRDefault="00BF74BA" w:rsidP="00965321">
      <w:pPr>
        <w:pStyle w:val="1"/>
        <w:numPr>
          <w:ilvl w:val="0"/>
          <w:numId w:val="9"/>
        </w:numPr>
      </w:pPr>
      <w:r>
        <w:t>Conclusion</w:t>
      </w:r>
    </w:p>
    <w:p w14:paraId="5B83FC4F" w14:textId="77777777" w:rsidR="005D0D3E" w:rsidRDefault="00BF74BA">
      <w:r>
        <w:t>Our observations and proposals are summarized below:</w:t>
      </w:r>
    </w:p>
    <w:p w14:paraId="7173545D" w14:textId="77777777" w:rsidR="005D0D3E" w:rsidRDefault="005D0D3E"/>
    <w:p w14:paraId="707862AD" w14:textId="4F6F4458" w:rsidR="005D0D3E" w:rsidRDefault="00BF74BA">
      <w:pPr>
        <w:rPr>
          <w:b/>
        </w:rPr>
      </w:pPr>
      <w:r>
        <w:rPr>
          <w:b/>
        </w:rPr>
        <w:t>Observation 1: RAN1 should make sure that the terminology “NTN” and “satellite” are correctly used in the feature list.</w:t>
      </w:r>
    </w:p>
    <w:p w14:paraId="556E8075" w14:textId="7A9DCFB6" w:rsidR="005D0D3E" w:rsidRDefault="00BF74BA">
      <w:pPr>
        <w:numPr>
          <w:ilvl w:val="0"/>
          <w:numId w:val="8"/>
        </w:numPr>
        <w:rPr>
          <w:b/>
        </w:rPr>
      </w:pPr>
      <w:r>
        <w:rPr>
          <w:b/>
        </w:rPr>
        <w:t>NTN includes HAPS: terminology “NTN” implies that the sentence applies to both satellite and HAPS</w:t>
      </w:r>
    </w:p>
    <w:p w14:paraId="0B42DADB" w14:textId="77777777" w:rsidR="005D0D3E" w:rsidRDefault="00BF74BA">
      <w:pPr>
        <w:numPr>
          <w:ilvl w:val="0"/>
          <w:numId w:val="8"/>
        </w:numPr>
        <w:rPr>
          <w:b/>
        </w:rPr>
      </w:pPr>
      <w:r>
        <w:rPr>
          <w:b/>
        </w:rPr>
        <w:t>Satellite excludes HAPS:  terminology “satellite” implies that the sentence does not apply to HAPS</w:t>
      </w:r>
    </w:p>
    <w:p w14:paraId="1ED2A893" w14:textId="77777777" w:rsidR="005D0D3E" w:rsidRDefault="005D0D3E"/>
    <w:p w14:paraId="1299DEE8" w14:textId="09B28001" w:rsidR="005D0D3E" w:rsidRDefault="00BF74BA">
      <w:pPr>
        <w:rPr>
          <w:b/>
        </w:rPr>
      </w:pPr>
      <w:r>
        <w:rPr>
          <w:b/>
        </w:rPr>
        <w:t xml:space="preserve">Proposal 1: </w:t>
      </w:r>
      <w:r w:rsidR="003E2B25">
        <w:rPr>
          <w:b/>
        </w:rPr>
        <w:t>Modify</w:t>
      </w:r>
      <w:r>
        <w:rPr>
          <w:b/>
        </w:rPr>
        <w:t xml:space="preserve"> the “Consequence if ~” column of 26-1, 2-2 and 2-3 as below.</w:t>
      </w:r>
    </w:p>
    <w:p w14:paraId="3409130B" w14:textId="3B1A115A" w:rsidR="005D0D3E" w:rsidRPr="00782D66" w:rsidRDefault="00BF74BA" w:rsidP="00782D66">
      <w:pPr>
        <w:pStyle w:val="ab"/>
        <w:numPr>
          <w:ilvl w:val="0"/>
          <w:numId w:val="8"/>
        </w:numPr>
        <w:ind w:leftChars="0"/>
        <w:rPr>
          <w:b/>
        </w:rPr>
      </w:pPr>
      <w:r w:rsidRPr="00782D66">
        <w:rPr>
          <w:b/>
        </w:rPr>
        <w:t xml:space="preserve">Release 17 UE cannot access </w:t>
      </w:r>
      <w:r w:rsidRPr="00782D66">
        <w:rPr>
          <w:b/>
          <w:u w:val="single"/>
        </w:rPr>
        <w:t>satellite</w:t>
      </w:r>
      <w:r w:rsidRPr="00782D66">
        <w:rPr>
          <w:b/>
        </w:rPr>
        <w:t>.</w:t>
      </w:r>
    </w:p>
    <w:p w14:paraId="7F577EA1" w14:textId="5AA1E0D8" w:rsidR="00CF3316" w:rsidRDefault="00CF3316" w:rsidP="00CF3316">
      <w:pPr>
        <w:rPr>
          <w:b/>
        </w:rPr>
      </w:pPr>
    </w:p>
    <w:p w14:paraId="7FE0F73E" w14:textId="1FE55426" w:rsidR="00CF3316" w:rsidRDefault="00CF3316" w:rsidP="00CF3316">
      <w:pPr>
        <w:rPr>
          <w:b/>
        </w:rPr>
      </w:pPr>
      <w:r>
        <w:rPr>
          <w:b/>
        </w:rPr>
        <w:t xml:space="preserve">Proposal </w:t>
      </w:r>
      <w:proofErr w:type="gramStart"/>
      <w:r>
        <w:rPr>
          <w:b/>
        </w:rPr>
        <w:t>2:</w:t>
      </w:r>
      <w:r w:rsidR="003E2B25">
        <w:rPr>
          <w:b/>
        </w:rPr>
        <w:t>Modify</w:t>
      </w:r>
      <w:proofErr w:type="gramEnd"/>
      <w:r>
        <w:rPr>
          <w:b/>
        </w:rPr>
        <w:t xml:space="preserve"> the “Consequence if ~” column of 26-3 as below.</w:t>
      </w:r>
    </w:p>
    <w:p w14:paraId="0F3BB023" w14:textId="101A4474" w:rsidR="00CF3316" w:rsidRPr="00782D66" w:rsidRDefault="00CF3316" w:rsidP="00782D66">
      <w:pPr>
        <w:pStyle w:val="ab"/>
        <w:numPr>
          <w:ilvl w:val="0"/>
          <w:numId w:val="8"/>
        </w:numPr>
        <w:ind w:leftChars="0"/>
        <w:rPr>
          <w:b/>
        </w:rPr>
      </w:pPr>
      <w:r w:rsidRPr="00782D66">
        <w:rPr>
          <w:b/>
        </w:rPr>
        <w:t xml:space="preserve">Due to large propagation delay in </w:t>
      </w:r>
      <w:r w:rsidRPr="00782D66">
        <w:rPr>
          <w:b/>
          <w:u w:val="single"/>
        </w:rPr>
        <w:t xml:space="preserve">some scenarios of </w:t>
      </w:r>
      <w:r w:rsidRPr="00782D66">
        <w:rPr>
          <w:b/>
        </w:rPr>
        <w:t>NTN the UE RAR is not expected within a few milliseconds like in TN. The UE does not need to monitor the PDCCH for RAN right after transmitting RA Preamble.</w:t>
      </w:r>
    </w:p>
    <w:p w14:paraId="5B2C5FA4" w14:textId="77777777" w:rsidR="005D0D3E" w:rsidRDefault="005D0D3E"/>
    <w:p w14:paraId="413989E2" w14:textId="6DD59E84" w:rsidR="005D0D3E" w:rsidRDefault="00BF74BA">
      <w:pPr>
        <w:rPr>
          <w:b/>
        </w:rPr>
      </w:pPr>
      <w:r>
        <w:rPr>
          <w:b/>
        </w:rPr>
        <w:t xml:space="preserve">Proposal </w:t>
      </w:r>
      <w:r w:rsidR="001D7BBD">
        <w:rPr>
          <w:rFonts w:hint="eastAsia"/>
          <w:b/>
        </w:rPr>
        <w:t>3</w:t>
      </w:r>
      <w:r>
        <w:rPr>
          <w:b/>
        </w:rPr>
        <w:t xml:space="preserve">: </w:t>
      </w:r>
    </w:p>
    <w:p w14:paraId="576B74EC" w14:textId="77777777" w:rsidR="005D0D3E" w:rsidRDefault="00BF74BA">
      <w:pPr>
        <w:numPr>
          <w:ilvl w:val="0"/>
          <w:numId w:val="5"/>
        </w:numPr>
        <w:rPr>
          <w:b/>
        </w:rPr>
      </w:pPr>
      <w:r>
        <w:rPr>
          <w:b/>
        </w:rPr>
        <w:t xml:space="preserve">Mandatory/Optional column for 26-1, 26-2 and 26-3, either Alt 1 or Alt 2 should be applied: </w:t>
      </w:r>
    </w:p>
    <w:p w14:paraId="5071690F" w14:textId="77777777" w:rsidR="005D0D3E" w:rsidRDefault="00BF74BA">
      <w:pPr>
        <w:numPr>
          <w:ilvl w:val="1"/>
          <w:numId w:val="5"/>
        </w:numPr>
        <w:rPr>
          <w:b/>
        </w:rPr>
      </w:pPr>
      <w:r>
        <w:rPr>
          <w:b/>
        </w:rPr>
        <w:t xml:space="preserve">Alt 1: </w:t>
      </w:r>
      <w:r>
        <w:rPr>
          <w:b/>
          <w:color w:val="222222"/>
          <w:highlight w:val="white"/>
        </w:rPr>
        <w:t>Optional without capability signaling. For UE supporting</w:t>
      </w:r>
      <w:r>
        <w:rPr>
          <w:b/>
          <w:color w:val="222222"/>
          <w:highlight w:val="white"/>
          <w:u w:val="single"/>
        </w:rPr>
        <w:t xml:space="preserve"> satellite access</w:t>
      </w:r>
      <w:r>
        <w:rPr>
          <w:b/>
          <w:color w:val="222222"/>
          <w:highlight w:val="white"/>
        </w:rPr>
        <w:t>, UE shall support this FG.</w:t>
      </w:r>
    </w:p>
    <w:p w14:paraId="29D850CC" w14:textId="77777777" w:rsidR="005D0D3E" w:rsidRDefault="00BF74BA">
      <w:pPr>
        <w:numPr>
          <w:ilvl w:val="1"/>
          <w:numId w:val="5"/>
        </w:numPr>
        <w:rPr>
          <w:b/>
        </w:rPr>
      </w:pPr>
      <w:r>
        <w:rPr>
          <w:b/>
        </w:rPr>
        <w:t xml:space="preserve">Alt 2: </w:t>
      </w:r>
      <w:r>
        <w:rPr>
          <w:b/>
          <w:color w:val="222222"/>
          <w:highlight w:val="white"/>
        </w:rPr>
        <w:t xml:space="preserve">Optional without capability signaling. For UE supporting </w:t>
      </w:r>
      <w:r>
        <w:rPr>
          <w:b/>
          <w:color w:val="222222"/>
          <w:highlight w:val="white"/>
          <w:u w:val="single"/>
        </w:rPr>
        <w:t>satellite band(s)</w:t>
      </w:r>
      <w:r>
        <w:rPr>
          <w:b/>
          <w:color w:val="222222"/>
          <w:highlight w:val="white"/>
        </w:rPr>
        <w:t>, UE shall support this FG.</w:t>
      </w:r>
    </w:p>
    <w:p w14:paraId="6AA06E9C" w14:textId="77777777" w:rsidR="005D0D3E" w:rsidRDefault="00BF74BA">
      <w:pPr>
        <w:numPr>
          <w:ilvl w:val="0"/>
          <w:numId w:val="5"/>
        </w:numPr>
        <w:rPr>
          <w:b/>
        </w:rPr>
      </w:pPr>
      <w:r>
        <w:rPr>
          <w:b/>
        </w:rPr>
        <w:t xml:space="preserve">Mandatory/Optional column for 26-6, either Alt 1 or Alt 2 should be applied: </w:t>
      </w:r>
    </w:p>
    <w:p w14:paraId="27C041F9" w14:textId="77777777" w:rsidR="005D0D3E" w:rsidRDefault="00BF74BA">
      <w:pPr>
        <w:numPr>
          <w:ilvl w:val="1"/>
          <w:numId w:val="5"/>
        </w:numPr>
        <w:rPr>
          <w:b/>
        </w:rPr>
      </w:pPr>
      <w:r>
        <w:rPr>
          <w:b/>
        </w:rPr>
        <w:t xml:space="preserve">Alt 1: Optional with capability signaling. For UE supporting </w:t>
      </w:r>
      <w:r>
        <w:rPr>
          <w:b/>
          <w:u w:val="single"/>
        </w:rPr>
        <w:t>satellite access</w:t>
      </w:r>
      <w:r>
        <w:rPr>
          <w:b/>
        </w:rPr>
        <w:t>, UE shall indicate this Feature Group is supported.</w:t>
      </w:r>
    </w:p>
    <w:p w14:paraId="15AFA522" w14:textId="77777777" w:rsidR="005D0D3E" w:rsidRDefault="00BF74BA">
      <w:pPr>
        <w:numPr>
          <w:ilvl w:val="1"/>
          <w:numId w:val="5"/>
        </w:numPr>
        <w:rPr>
          <w:b/>
        </w:rPr>
      </w:pPr>
      <w:r>
        <w:rPr>
          <w:b/>
        </w:rPr>
        <w:t xml:space="preserve">Alt 2: Optional with capability signaling. For UE supporting </w:t>
      </w:r>
      <w:r>
        <w:rPr>
          <w:b/>
          <w:u w:val="single"/>
        </w:rPr>
        <w:t>satellite band(s)</w:t>
      </w:r>
      <w:r>
        <w:rPr>
          <w:b/>
        </w:rPr>
        <w:t>, UE shall indicate this FG is supported.</w:t>
      </w:r>
    </w:p>
    <w:p w14:paraId="0E5EBB42" w14:textId="77777777" w:rsidR="005D0D3E" w:rsidRDefault="00BF74BA">
      <w:pPr>
        <w:numPr>
          <w:ilvl w:val="0"/>
          <w:numId w:val="5"/>
        </w:numPr>
        <w:rPr>
          <w:b/>
        </w:rPr>
      </w:pPr>
      <w:r>
        <w:rPr>
          <w:b/>
        </w:rPr>
        <w:t xml:space="preserve">Note: the choice of Alt may be up to other working groups, e.g. RAN4. If satellite access is completely associated with band definition, Alt 2 is a better choice. </w:t>
      </w:r>
    </w:p>
    <w:p w14:paraId="63428567" w14:textId="77777777" w:rsidR="005D0D3E" w:rsidRDefault="005D0D3E"/>
    <w:p w14:paraId="0A04A3A0" w14:textId="77777777" w:rsidR="005D0D3E" w:rsidRDefault="00BF74BA">
      <w:r>
        <w:t>In addition, the modified UE feature table is captured in the following pages for your reference.</w:t>
      </w:r>
    </w:p>
    <w:p w14:paraId="6F05F77B" w14:textId="77777777" w:rsidR="005D0D3E" w:rsidRDefault="005D0D3E">
      <w:pPr>
        <w:widowControl/>
        <w:rPr>
          <w:rFonts w:ascii="Times New Roman" w:eastAsia="Times New Roman" w:hAnsi="Times New Roman" w:cs="Times New Roman"/>
          <w:b/>
          <w:sz w:val="24"/>
          <w:szCs w:val="24"/>
        </w:rPr>
        <w:sectPr w:rsidR="005D0D3E">
          <w:pgSz w:w="11906" w:h="16838"/>
          <w:pgMar w:top="1418" w:right="1418" w:bottom="1418" w:left="1418" w:header="709" w:footer="709" w:gutter="0"/>
          <w:pgNumType w:start="1"/>
          <w:cols w:space="720"/>
        </w:sectPr>
      </w:pPr>
    </w:p>
    <w:p w14:paraId="0015A7EA" w14:textId="0D40FFB7" w:rsidR="00A03BD6" w:rsidRPr="00A03BD6" w:rsidRDefault="00BF74BA">
      <w:pPr>
        <w:keepNext/>
        <w:keepLines/>
        <w:widowControl/>
        <w:tabs>
          <w:tab w:val="left" w:pos="426"/>
        </w:tabs>
        <w:spacing w:after="120"/>
        <w:jc w:val="both"/>
        <w:rPr>
          <w:rFonts w:ascii="Arial" w:hAnsi="Arial" w:cs="Arial"/>
          <w:sz w:val="32"/>
          <w:szCs w:val="32"/>
        </w:rPr>
      </w:pPr>
      <w:r>
        <w:rPr>
          <w:rFonts w:ascii="Arial" w:eastAsia="Arial" w:hAnsi="Arial" w:cs="Arial"/>
          <w:sz w:val="32"/>
          <w:szCs w:val="32"/>
        </w:rPr>
        <w:lastRenderedPageBreak/>
        <w:t xml:space="preserve">26. </w:t>
      </w:r>
      <w:proofErr w:type="spellStart"/>
      <w:r>
        <w:rPr>
          <w:rFonts w:ascii="Arial" w:eastAsia="Arial" w:hAnsi="Arial" w:cs="Arial"/>
          <w:sz w:val="32"/>
          <w:szCs w:val="32"/>
        </w:rPr>
        <w:t>NR_NTN_solutions</w:t>
      </w:r>
      <w:proofErr w:type="spellEnd"/>
    </w:p>
    <w:tbl>
      <w:tblPr>
        <w:tblStyle w:val="a5"/>
        <w:tblW w:w="2210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709"/>
        <w:gridCol w:w="1559"/>
        <w:gridCol w:w="6379"/>
        <w:gridCol w:w="1276"/>
        <w:gridCol w:w="850"/>
        <w:gridCol w:w="851"/>
        <w:gridCol w:w="1276"/>
        <w:gridCol w:w="1417"/>
        <w:gridCol w:w="992"/>
        <w:gridCol w:w="993"/>
        <w:gridCol w:w="992"/>
        <w:gridCol w:w="1843"/>
        <w:gridCol w:w="1842"/>
      </w:tblGrid>
      <w:tr w:rsidR="00A03BD6" w14:paraId="7201F08D" w14:textId="77777777" w:rsidTr="00765287">
        <w:trPr>
          <w:trHeight w:val="20"/>
        </w:trPr>
        <w:tc>
          <w:tcPr>
            <w:tcW w:w="1129" w:type="dxa"/>
            <w:tcBorders>
              <w:top w:val="single" w:sz="4" w:space="0" w:color="000000"/>
              <w:left w:val="single" w:sz="4" w:space="0" w:color="000000"/>
              <w:bottom w:val="single" w:sz="4" w:space="0" w:color="000000"/>
              <w:right w:val="single" w:sz="4" w:space="0" w:color="000000"/>
            </w:tcBorders>
          </w:tcPr>
          <w:p w14:paraId="7970F862" w14:textId="77777777" w:rsidR="005D0D3E" w:rsidRDefault="00BF74BA" w:rsidP="00A03BD6">
            <w:pPr>
              <w:keepNext/>
              <w:keepLines/>
              <w:widowControl/>
              <w:rPr>
                <w:rFonts w:ascii="Arial" w:eastAsia="Arial" w:hAnsi="Arial" w:cs="Arial"/>
                <w:b/>
                <w:sz w:val="18"/>
                <w:szCs w:val="18"/>
              </w:rPr>
            </w:pPr>
            <w:r>
              <w:rPr>
                <w:rFonts w:ascii="Arial" w:eastAsia="Arial" w:hAnsi="Arial" w:cs="Arial"/>
                <w:b/>
                <w:sz w:val="18"/>
                <w:szCs w:val="18"/>
              </w:rPr>
              <w:lastRenderedPageBreak/>
              <w:t>Features</w:t>
            </w:r>
          </w:p>
        </w:tc>
        <w:tc>
          <w:tcPr>
            <w:tcW w:w="709" w:type="dxa"/>
            <w:tcBorders>
              <w:top w:val="single" w:sz="4" w:space="0" w:color="000000"/>
              <w:left w:val="single" w:sz="4" w:space="0" w:color="000000"/>
              <w:bottom w:val="single" w:sz="4" w:space="0" w:color="000000"/>
              <w:right w:val="single" w:sz="4" w:space="0" w:color="000000"/>
            </w:tcBorders>
          </w:tcPr>
          <w:p w14:paraId="7DF5B571"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Index</w:t>
            </w:r>
          </w:p>
        </w:tc>
        <w:tc>
          <w:tcPr>
            <w:tcW w:w="1559" w:type="dxa"/>
            <w:tcBorders>
              <w:top w:val="single" w:sz="4" w:space="0" w:color="000000"/>
              <w:left w:val="single" w:sz="4" w:space="0" w:color="000000"/>
              <w:bottom w:val="single" w:sz="4" w:space="0" w:color="000000"/>
              <w:right w:val="single" w:sz="4" w:space="0" w:color="000000"/>
            </w:tcBorders>
          </w:tcPr>
          <w:p w14:paraId="563EBB57"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Feature group</w:t>
            </w:r>
          </w:p>
        </w:tc>
        <w:tc>
          <w:tcPr>
            <w:tcW w:w="6379" w:type="dxa"/>
            <w:tcBorders>
              <w:top w:val="single" w:sz="4" w:space="0" w:color="000000"/>
              <w:left w:val="single" w:sz="4" w:space="0" w:color="000000"/>
              <w:bottom w:val="single" w:sz="4" w:space="0" w:color="000000"/>
              <w:right w:val="single" w:sz="4" w:space="0" w:color="000000"/>
            </w:tcBorders>
          </w:tcPr>
          <w:p w14:paraId="3FA5EC38"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Components</w:t>
            </w:r>
          </w:p>
        </w:tc>
        <w:tc>
          <w:tcPr>
            <w:tcW w:w="1276" w:type="dxa"/>
            <w:tcBorders>
              <w:top w:val="single" w:sz="4" w:space="0" w:color="000000"/>
              <w:left w:val="single" w:sz="4" w:space="0" w:color="000000"/>
              <w:bottom w:val="single" w:sz="4" w:space="0" w:color="000000"/>
              <w:right w:val="single" w:sz="4" w:space="0" w:color="000000"/>
            </w:tcBorders>
          </w:tcPr>
          <w:p w14:paraId="5B640499"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Prerequisite feature groups</w:t>
            </w:r>
          </w:p>
        </w:tc>
        <w:tc>
          <w:tcPr>
            <w:tcW w:w="850" w:type="dxa"/>
            <w:tcBorders>
              <w:top w:val="single" w:sz="4" w:space="0" w:color="000000"/>
              <w:left w:val="single" w:sz="4" w:space="0" w:color="000000"/>
              <w:bottom w:val="single" w:sz="4" w:space="0" w:color="000000"/>
              <w:right w:val="single" w:sz="4" w:space="0" w:color="000000"/>
            </w:tcBorders>
          </w:tcPr>
          <w:p w14:paraId="27113CC6"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 xml:space="preserve">Need for the </w:t>
            </w:r>
            <w:proofErr w:type="spellStart"/>
            <w:r>
              <w:rPr>
                <w:rFonts w:ascii="Arial" w:eastAsia="Arial" w:hAnsi="Arial" w:cs="Arial"/>
                <w:b/>
                <w:sz w:val="18"/>
                <w:szCs w:val="18"/>
              </w:rPr>
              <w:t>gNB</w:t>
            </w:r>
            <w:proofErr w:type="spellEnd"/>
            <w:r>
              <w:rPr>
                <w:rFonts w:ascii="Arial" w:eastAsia="Arial" w:hAnsi="Arial" w:cs="Arial"/>
                <w:b/>
                <w:sz w:val="18"/>
                <w:szCs w:val="18"/>
              </w:rPr>
              <w:t xml:space="preserve"> to know if the feature is supported</w:t>
            </w:r>
          </w:p>
        </w:tc>
        <w:tc>
          <w:tcPr>
            <w:tcW w:w="851" w:type="dxa"/>
            <w:tcBorders>
              <w:top w:val="single" w:sz="4" w:space="0" w:color="000000"/>
              <w:left w:val="single" w:sz="4" w:space="0" w:color="000000"/>
              <w:bottom w:val="single" w:sz="4" w:space="0" w:color="000000"/>
              <w:right w:val="single" w:sz="4" w:space="0" w:color="000000"/>
            </w:tcBorders>
          </w:tcPr>
          <w:p w14:paraId="5B552D94"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 xml:space="preserve">Applicable to the capability </w:t>
            </w:r>
            <w:proofErr w:type="spellStart"/>
            <w:r>
              <w:rPr>
                <w:rFonts w:ascii="Arial" w:eastAsia="Arial" w:hAnsi="Arial" w:cs="Arial"/>
                <w:b/>
                <w:sz w:val="18"/>
                <w:szCs w:val="18"/>
              </w:rPr>
              <w:t>signalling</w:t>
            </w:r>
            <w:proofErr w:type="spellEnd"/>
            <w:r>
              <w:rPr>
                <w:rFonts w:ascii="Arial" w:eastAsia="Arial" w:hAnsi="Arial" w:cs="Arial"/>
                <w:b/>
                <w:sz w:val="18"/>
                <w:szCs w:val="18"/>
              </w:rPr>
              <w:t xml:space="preserve"> exchange between UEs (</w:t>
            </w:r>
            <w:proofErr w:type="spellStart"/>
            <w:r>
              <w:rPr>
                <w:rFonts w:ascii="Arial" w:eastAsia="Arial" w:hAnsi="Arial" w:cs="Arial"/>
                <w:b/>
                <w:sz w:val="18"/>
                <w:szCs w:val="18"/>
              </w:rPr>
              <w:t>Sidelink</w:t>
            </w:r>
            <w:proofErr w:type="spellEnd"/>
            <w:r>
              <w:rPr>
                <w:rFonts w:ascii="Arial" w:eastAsia="Arial" w:hAnsi="Arial" w:cs="Arial"/>
                <w:b/>
                <w:sz w:val="18"/>
                <w:szCs w:val="18"/>
              </w:rPr>
              <w:t xml:space="preserve"> WI only)”.</w:t>
            </w:r>
          </w:p>
        </w:tc>
        <w:tc>
          <w:tcPr>
            <w:tcW w:w="1276" w:type="dxa"/>
            <w:tcBorders>
              <w:top w:val="single" w:sz="4" w:space="0" w:color="000000"/>
              <w:left w:val="single" w:sz="4" w:space="0" w:color="000000"/>
              <w:bottom w:val="single" w:sz="4" w:space="0" w:color="000000"/>
              <w:right w:val="single" w:sz="4" w:space="0" w:color="000000"/>
            </w:tcBorders>
          </w:tcPr>
          <w:p w14:paraId="6DC262B3" w14:textId="77777777" w:rsidR="005D0D3E" w:rsidRDefault="00BF74BA">
            <w:pPr>
              <w:keepNext/>
              <w:keepLines/>
              <w:widowControl/>
              <w:rPr>
                <w:rFonts w:ascii="Arial" w:eastAsia="Arial" w:hAnsi="Arial" w:cs="Arial"/>
                <w:b/>
                <w:sz w:val="18"/>
                <w:szCs w:val="18"/>
              </w:rPr>
            </w:pPr>
            <w:r>
              <w:rPr>
                <w:rFonts w:ascii="Arial" w:eastAsia="Arial" w:hAnsi="Arial" w:cs="Arial"/>
                <w:b/>
                <w:sz w:val="18"/>
                <w:szCs w:val="18"/>
              </w:rPr>
              <w:t>Consequence if the feature is not supported by the UE</w:t>
            </w:r>
          </w:p>
        </w:tc>
        <w:tc>
          <w:tcPr>
            <w:tcW w:w="1417" w:type="dxa"/>
            <w:tcBorders>
              <w:top w:val="single" w:sz="4" w:space="0" w:color="000000"/>
              <w:left w:val="single" w:sz="4" w:space="0" w:color="000000"/>
              <w:bottom w:val="single" w:sz="4" w:space="0" w:color="000000"/>
              <w:right w:val="single" w:sz="4" w:space="0" w:color="000000"/>
            </w:tcBorders>
          </w:tcPr>
          <w:p w14:paraId="5551685C" w14:textId="77777777" w:rsidR="005D0D3E" w:rsidRDefault="00BF74BA">
            <w:pPr>
              <w:keepNext/>
              <w:keepLines/>
              <w:widowControl/>
              <w:rPr>
                <w:rFonts w:ascii="Arial" w:eastAsia="Arial" w:hAnsi="Arial" w:cs="Arial"/>
                <w:b/>
                <w:sz w:val="18"/>
                <w:szCs w:val="18"/>
              </w:rPr>
            </w:pPr>
            <w:r>
              <w:rPr>
                <w:rFonts w:ascii="Arial" w:eastAsia="Arial" w:hAnsi="Arial" w:cs="Arial"/>
                <w:b/>
                <w:sz w:val="18"/>
                <w:szCs w:val="18"/>
              </w:rPr>
              <w:t>Type</w:t>
            </w:r>
          </w:p>
          <w:p w14:paraId="2F1D6AAA" w14:textId="77777777" w:rsidR="005D0D3E" w:rsidRDefault="00BF74BA">
            <w:pPr>
              <w:keepNext/>
              <w:keepLines/>
              <w:widowControl/>
              <w:rPr>
                <w:rFonts w:ascii="Arial" w:eastAsia="Arial" w:hAnsi="Arial" w:cs="Arial"/>
                <w:b/>
                <w:sz w:val="18"/>
                <w:szCs w:val="18"/>
              </w:rPr>
            </w:pPr>
            <w:r>
              <w:rPr>
                <w:rFonts w:ascii="Arial" w:eastAsia="Arial" w:hAnsi="Arial" w:cs="Arial"/>
                <w:b/>
                <w:sz w:val="18"/>
                <w:szCs w:val="18"/>
              </w:rPr>
              <w:t>(the ‘type’ definition from UE features should be based on the granularity of 1) Per UE or 2) Per Band or 3) Per BC or 4) Per FS or 5) Per FSPC)</w:t>
            </w:r>
          </w:p>
        </w:tc>
        <w:tc>
          <w:tcPr>
            <w:tcW w:w="992" w:type="dxa"/>
            <w:tcBorders>
              <w:top w:val="single" w:sz="4" w:space="0" w:color="000000"/>
              <w:left w:val="single" w:sz="4" w:space="0" w:color="000000"/>
              <w:bottom w:val="single" w:sz="4" w:space="0" w:color="000000"/>
              <w:right w:val="single" w:sz="4" w:space="0" w:color="000000"/>
            </w:tcBorders>
          </w:tcPr>
          <w:p w14:paraId="1691BC0D"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Need of FDD/TDD differentiation</w:t>
            </w:r>
          </w:p>
        </w:tc>
        <w:tc>
          <w:tcPr>
            <w:tcW w:w="993" w:type="dxa"/>
            <w:tcBorders>
              <w:top w:val="single" w:sz="4" w:space="0" w:color="000000"/>
              <w:left w:val="single" w:sz="4" w:space="0" w:color="000000"/>
              <w:bottom w:val="single" w:sz="4" w:space="0" w:color="000000"/>
              <w:right w:val="single" w:sz="4" w:space="0" w:color="000000"/>
            </w:tcBorders>
          </w:tcPr>
          <w:p w14:paraId="6FE7EC5A"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Need of FR1/FR2 differentiation</w:t>
            </w:r>
          </w:p>
        </w:tc>
        <w:tc>
          <w:tcPr>
            <w:tcW w:w="992" w:type="dxa"/>
            <w:tcBorders>
              <w:top w:val="single" w:sz="4" w:space="0" w:color="000000"/>
              <w:left w:val="single" w:sz="4" w:space="0" w:color="000000"/>
              <w:bottom w:val="single" w:sz="4" w:space="0" w:color="000000"/>
              <w:right w:val="single" w:sz="4" w:space="0" w:color="000000"/>
            </w:tcBorders>
          </w:tcPr>
          <w:p w14:paraId="2F632A4A"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Capability interpretation for mixture of FDD/TDD and/or FR1/FR2</w:t>
            </w:r>
          </w:p>
        </w:tc>
        <w:tc>
          <w:tcPr>
            <w:tcW w:w="1843" w:type="dxa"/>
            <w:tcBorders>
              <w:top w:val="single" w:sz="4" w:space="0" w:color="000000"/>
              <w:left w:val="single" w:sz="4" w:space="0" w:color="000000"/>
              <w:bottom w:val="single" w:sz="4" w:space="0" w:color="000000"/>
              <w:right w:val="single" w:sz="4" w:space="0" w:color="000000"/>
            </w:tcBorders>
          </w:tcPr>
          <w:p w14:paraId="0A5A1A73"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Note</w:t>
            </w:r>
          </w:p>
        </w:tc>
        <w:tc>
          <w:tcPr>
            <w:tcW w:w="1842" w:type="dxa"/>
            <w:tcBorders>
              <w:top w:val="single" w:sz="4" w:space="0" w:color="000000"/>
              <w:left w:val="single" w:sz="4" w:space="0" w:color="000000"/>
              <w:bottom w:val="single" w:sz="4" w:space="0" w:color="000000"/>
              <w:right w:val="single" w:sz="4" w:space="0" w:color="000000"/>
            </w:tcBorders>
          </w:tcPr>
          <w:p w14:paraId="3DB55EC8" w14:textId="77777777" w:rsidR="005D0D3E" w:rsidRDefault="00BF74BA">
            <w:pPr>
              <w:keepNext/>
              <w:keepLines/>
              <w:widowControl/>
              <w:jc w:val="center"/>
              <w:rPr>
                <w:rFonts w:ascii="Arial" w:eastAsia="Arial" w:hAnsi="Arial" w:cs="Arial"/>
                <w:b/>
                <w:sz w:val="18"/>
                <w:szCs w:val="18"/>
              </w:rPr>
            </w:pPr>
            <w:r>
              <w:rPr>
                <w:rFonts w:ascii="Arial" w:eastAsia="Arial" w:hAnsi="Arial" w:cs="Arial"/>
                <w:b/>
                <w:sz w:val="18"/>
                <w:szCs w:val="18"/>
              </w:rPr>
              <w:t>Mandatory/Optional</w:t>
            </w:r>
          </w:p>
        </w:tc>
      </w:tr>
      <w:tr w:rsidR="00A03BD6" w14:paraId="13513802" w14:textId="77777777" w:rsidTr="00765287">
        <w:trPr>
          <w:trHeight w:val="20"/>
        </w:trPr>
        <w:tc>
          <w:tcPr>
            <w:tcW w:w="1129" w:type="dxa"/>
            <w:tcBorders>
              <w:top w:val="single" w:sz="4" w:space="0" w:color="000000"/>
              <w:left w:val="single" w:sz="4" w:space="0" w:color="000000"/>
              <w:bottom w:val="single" w:sz="4" w:space="0" w:color="000000"/>
              <w:right w:val="single" w:sz="4" w:space="0" w:color="000000"/>
            </w:tcBorders>
          </w:tcPr>
          <w:p w14:paraId="4F763F84"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 xml:space="preserve"> 26. </w:t>
            </w:r>
            <w:proofErr w:type="spellStart"/>
            <w:r>
              <w:rPr>
                <w:rFonts w:ascii="Arial" w:eastAsia="Arial" w:hAnsi="Arial" w:cs="Arial"/>
                <w:sz w:val="18"/>
                <w:szCs w:val="18"/>
              </w:rPr>
              <w:t>NR_NTN_solutions</w:t>
            </w:r>
            <w:proofErr w:type="spellEnd"/>
          </w:p>
        </w:tc>
        <w:tc>
          <w:tcPr>
            <w:tcW w:w="709" w:type="dxa"/>
            <w:tcBorders>
              <w:top w:val="single" w:sz="4" w:space="0" w:color="000000"/>
              <w:left w:val="single" w:sz="4" w:space="0" w:color="000000"/>
              <w:bottom w:val="single" w:sz="4" w:space="0" w:color="000000"/>
              <w:right w:val="single" w:sz="4" w:space="0" w:color="000000"/>
            </w:tcBorders>
          </w:tcPr>
          <w:p w14:paraId="066F932F"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26-1</w:t>
            </w:r>
          </w:p>
        </w:tc>
        <w:tc>
          <w:tcPr>
            <w:tcW w:w="1559" w:type="dxa"/>
            <w:tcBorders>
              <w:top w:val="single" w:sz="4" w:space="0" w:color="000000"/>
              <w:left w:val="single" w:sz="4" w:space="0" w:color="000000"/>
              <w:bottom w:val="single" w:sz="4" w:space="0" w:color="000000"/>
              <w:right w:val="single" w:sz="4" w:space="0" w:color="000000"/>
            </w:tcBorders>
          </w:tcPr>
          <w:p w14:paraId="016E1897"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Uplink Time pre-compensation</w:t>
            </w:r>
          </w:p>
        </w:tc>
        <w:tc>
          <w:tcPr>
            <w:tcW w:w="6379" w:type="dxa"/>
            <w:tcBorders>
              <w:top w:val="single" w:sz="4" w:space="0" w:color="000000"/>
              <w:left w:val="single" w:sz="4" w:space="0" w:color="000000"/>
              <w:bottom w:val="single" w:sz="4" w:space="0" w:color="000000"/>
              <w:right w:val="single" w:sz="4" w:space="0" w:color="000000"/>
            </w:tcBorders>
          </w:tcPr>
          <w:p w14:paraId="77B21A44" w14:textId="2B64D9C5" w:rsidR="005D0D3E" w:rsidRPr="00CA37AE" w:rsidRDefault="00BF74BA">
            <w:pPr>
              <w:widowControl/>
              <w:numPr>
                <w:ilvl w:val="0"/>
                <w:numId w:val="7"/>
              </w:numPr>
              <w:ind w:left="425" w:right="-91" w:hanging="425"/>
              <w:rPr>
                <w:rFonts w:ascii="Arial" w:eastAsia="Arial" w:hAnsi="Arial" w:cs="Arial"/>
                <w:sz w:val="18"/>
                <w:szCs w:val="18"/>
              </w:rPr>
            </w:pPr>
            <w:r w:rsidRPr="00CA37AE">
              <w:rPr>
                <w:rFonts w:ascii="Arial" w:eastAsia="Arial" w:hAnsi="Arial" w:cs="Arial"/>
                <w:sz w:val="18"/>
                <w:szCs w:val="18"/>
              </w:rPr>
              <w:t>UE specific TA calculation in RRC_IDLE and RRC_INACTIVE states based on its GNSS-acquired position and the serving satellite</w:t>
            </w:r>
            <w:r w:rsidR="001D7BBD" w:rsidRPr="00CA37AE">
              <w:rPr>
                <w:rFonts w:ascii="Arial" w:eastAsia="Arial" w:hAnsi="Arial" w:cs="Arial"/>
                <w:sz w:val="18"/>
                <w:szCs w:val="18"/>
              </w:rPr>
              <w:t xml:space="preserve"> </w:t>
            </w:r>
            <w:r w:rsidRPr="00CA37AE">
              <w:rPr>
                <w:rFonts w:ascii="Arial" w:eastAsia="Arial" w:hAnsi="Arial" w:cs="Arial"/>
                <w:sz w:val="18"/>
                <w:szCs w:val="18"/>
              </w:rPr>
              <w:t>ephemeris.</w:t>
            </w:r>
          </w:p>
          <w:p w14:paraId="06A69280" w14:textId="1177739E" w:rsidR="005D0D3E" w:rsidRPr="00CA37AE" w:rsidRDefault="00BF74BA">
            <w:pPr>
              <w:widowControl/>
              <w:numPr>
                <w:ilvl w:val="0"/>
                <w:numId w:val="7"/>
              </w:numPr>
              <w:ind w:left="425" w:hanging="425"/>
              <w:rPr>
                <w:rFonts w:ascii="Arial" w:eastAsia="Arial" w:hAnsi="Arial" w:cs="Arial"/>
                <w:sz w:val="18"/>
                <w:szCs w:val="18"/>
              </w:rPr>
            </w:pPr>
            <w:r w:rsidRPr="00CA37AE">
              <w:rPr>
                <w:rFonts w:ascii="Arial" w:eastAsia="Arial" w:hAnsi="Arial" w:cs="Arial"/>
                <w:sz w:val="18"/>
                <w:szCs w:val="18"/>
              </w:rPr>
              <w:t xml:space="preserve">UE specific TA calculation in RRC_CONNECTED state based on its GNSS-acquired position and the </w:t>
            </w:r>
            <w:r w:rsidR="001D7BBD" w:rsidRPr="00CA37AE">
              <w:rPr>
                <w:rFonts w:ascii="Arial" w:eastAsia="Arial" w:hAnsi="Arial" w:cs="Arial"/>
                <w:sz w:val="18"/>
                <w:szCs w:val="18"/>
              </w:rPr>
              <w:t xml:space="preserve">serving satellite </w:t>
            </w:r>
            <w:proofErr w:type="gramStart"/>
            <w:r w:rsidR="001D7BBD" w:rsidRPr="00CA37AE">
              <w:rPr>
                <w:rFonts w:ascii="Arial" w:eastAsia="Arial" w:hAnsi="Arial" w:cs="Arial"/>
                <w:sz w:val="18"/>
                <w:szCs w:val="18"/>
              </w:rPr>
              <w:t>ephemeris.</w:t>
            </w:r>
            <w:r w:rsidRPr="00CA37AE">
              <w:rPr>
                <w:rFonts w:ascii="Arial" w:eastAsia="Arial" w:hAnsi="Arial" w:cs="Arial"/>
                <w:sz w:val="18"/>
                <w:szCs w:val="18"/>
              </w:rPr>
              <w:t>.</w:t>
            </w:r>
            <w:proofErr w:type="gramEnd"/>
          </w:p>
          <w:p w14:paraId="3F4EF7D1" w14:textId="77777777" w:rsidR="005D0D3E" w:rsidRPr="00CA37AE" w:rsidRDefault="00BF74BA">
            <w:pPr>
              <w:widowControl/>
              <w:numPr>
                <w:ilvl w:val="0"/>
                <w:numId w:val="7"/>
              </w:numPr>
              <w:ind w:left="425" w:hanging="425"/>
              <w:rPr>
                <w:rFonts w:ascii="Arial" w:eastAsia="Arial" w:hAnsi="Arial" w:cs="Arial"/>
                <w:sz w:val="18"/>
                <w:szCs w:val="18"/>
              </w:rPr>
            </w:pPr>
            <w:r w:rsidRPr="00CA37AE">
              <w:rPr>
                <w:rFonts w:ascii="Arial" w:eastAsia="Arial" w:hAnsi="Arial" w:cs="Arial"/>
                <w:sz w:val="18"/>
                <w:szCs w:val="18"/>
              </w:rPr>
              <w:t>UE applies common TA according to the parameters provided by the network (if any)</w:t>
            </w:r>
          </w:p>
          <w:p w14:paraId="5385D30F" w14:textId="77777777" w:rsidR="005D0D3E" w:rsidRPr="00CA37AE" w:rsidRDefault="00BF74BA">
            <w:pPr>
              <w:widowControl/>
              <w:numPr>
                <w:ilvl w:val="0"/>
                <w:numId w:val="7"/>
              </w:numPr>
              <w:ind w:left="425" w:hanging="425"/>
              <w:rPr>
                <w:rFonts w:ascii="Arial" w:eastAsia="Arial" w:hAnsi="Arial" w:cs="Arial"/>
                <w:sz w:val="18"/>
                <w:szCs w:val="18"/>
              </w:rPr>
            </w:pPr>
            <w:r w:rsidRPr="00CA37AE">
              <w:rPr>
                <w:rFonts w:ascii="Arial" w:eastAsia="Arial" w:hAnsi="Arial" w:cs="Arial"/>
                <w:sz w:val="18"/>
                <w:szCs w:val="18"/>
              </w:rPr>
              <w:t>For TA update in RRC_CONNECTED state, combination of both open (i.e. UE autonomous TA estimation, and common TA estimation) and closed (i.e., received TA commands) control loops</w:t>
            </w:r>
          </w:p>
        </w:tc>
        <w:tc>
          <w:tcPr>
            <w:tcW w:w="1276" w:type="dxa"/>
            <w:tcBorders>
              <w:top w:val="single" w:sz="4" w:space="0" w:color="000000"/>
              <w:left w:val="single" w:sz="4" w:space="0" w:color="000000"/>
              <w:bottom w:val="single" w:sz="4" w:space="0" w:color="000000"/>
              <w:right w:val="single" w:sz="4" w:space="0" w:color="000000"/>
            </w:tcBorders>
          </w:tcPr>
          <w:p w14:paraId="4FFEC0E3" w14:textId="77777777" w:rsidR="005D0D3E" w:rsidRPr="00CA37AE" w:rsidRDefault="005D0D3E">
            <w:pPr>
              <w:keepNext/>
              <w:keepLines/>
              <w:widowControl/>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B3AA784"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851" w:type="dxa"/>
            <w:tcBorders>
              <w:top w:val="single" w:sz="4" w:space="0" w:color="000000"/>
              <w:left w:val="single" w:sz="4" w:space="0" w:color="000000"/>
              <w:bottom w:val="single" w:sz="4" w:space="0" w:color="000000"/>
              <w:right w:val="single" w:sz="4" w:space="0" w:color="000000"/>
            </w:tcBorders>
          </w:tcPr>
          <w:p w14:paraId="1439781B"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tcPr>
          <w:p w14:paraId="7BC14EBD"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 xml:space="preserve">Release 17 UE cannot access </w:t>
            </w:r>
            <w:r w:rsidRPr="00CA37AE">
              <w:rPr>
                <w:rFonts w:ascii="Arial" w:eastAsia="Arial" w:hAnsi="Arial" w:cs="Arial"/>
                <w:strike/>
                <w:color w:val="FF0000"/>
                <w:sz w:val="18"/>
                <w:szCs w:val="18"/>
              </w:rPr>
              <w:t>NTN</w:t>
            </w:r>
            <w:r w:rsidRPr="00CA37AE">
              <w:rPr>
                <w:rFonts w:ascii="Arial" w:eastAsia="Arial" w:hAnsi="Arial" w:cs="Arial"/>
                <w:color w:val="FF0000"/>
                <w:sz w:val="18"/>
                <w:szCs w:val="18"/>
              </w:rPr>
              <w:t xml:space="preserve"> satellite</w:t>
            </w:r>
          </w:p>
        </w:tc>
        <w:tc>
          <w:tcPr>
            <w:tcW w:w="1417" w:type="dxa"/>
            <w:tcBorders>
              <w:top w:val="single" w:sz="4" w:space="0" w:color="000000"/>
              <w:left w:val="single" w:sz="4" w:space="0" w:color="000000"/>
              <w:bottom w:val="single" w:sz="4" w:space="0" w:color="000000"/>
              <w:right w:val="single" w:sz="4" w:space="0" w:color="000000"/>
            </w:tcBorders>
          </w:tcPr>
          <w:p w14:paraId="41F6ABEF" w14:textId="77777777" w:rsidR="005D0D3E" w:rsidRPr="00CA37AE" w:rsidRDefault="005D0D3E">
            <w:pPr>
              <w:keepNext/>
              <w:keepLines/>
              <w:widowControl/>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2F2ED2A8"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3" w:type="dxa"/>
            <w:tcBorders>
              <w:top w:val="single" w:sz="4" w:space="0" w:color="000000"/>
              <w:left w:val="single" w:sz="4" w:space="0" w:color="000000"/>
              <w:bottom w:val="single" w:sz="4" w:space="0" w:color="000000"/>
              <w:right w:val="single" w:sz="4" w:space="0" w:color="000000"/>
            </w:tcBorders>
          </w:tcPr>
          <w:p w14:paraId="325440E9"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2" w:type="dxa"/>
            <w:tcBorders>
              <w:top w:val="single" w:sz="4" w:space="0" w:color="000000"/>
              <w:left w:val="single" w:sz="4" w:space="0" w:color="000000"/>
              <w:bottom w:val="single" w:sz="4" w:space="0" w:color="000000"/>
              <w:right w:val="single" w:sz="4" w:space="0" w:color="000000"/>
            </w:tcBorders>
          </w:tcPr>
          <w:p w14:paraId="654B083A"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support mixture of FDD/TDD (for HAPS) and/or FR1/FR2 </w:t>
            </w:r>
          </w:p>
        </w:tc>
        <w:tc>
          <w:tcPr>
            <w:tcW w:w="1843" w:type="dxa"/>
            <w:tcBorders>
              <w:top w:val="single" w:sz="4" w:space="0" w:color="000000"/>
              <w:left w:val="single" w:sz="4" w:space="0" w:color="000000"/>
              <w:bottom w:val="single" w:sz="4" w:space="0" w:color="000000"/>
              <w:right w:val="single" w:sz="4" w:space="0" w:color="000000"/>
            </w:tcBorders>
          </w:tcPr>
          <w:p w14:paraId="0A879442" w14:textId="123E542D"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 xml:space="preserve">An NTN UE is required to at least support UE specific TA calculation based at least on its GNSS-acquired position and the </w:t>
            </w:r>
            <w:r w:rsidR="001D7BBD" w:rsidRPr="00CA37AE">
              <w:rPr>
                <w:rFonts w:ascii="Arial" w:eastAsia="Arial" w:hAnsi="Arial" w:cs="Arial"/>
                <w:sz w:val="18"/>
                <w:szCs w:val="18"/>
              </w:rPr>
              <w:t xml:space="preserve">serving satellite </w:t>
            </w:r>
            <w:proofErr w:type="gramStart"/>
            <w:r w:rsidR="001D7BBD" w:rsidRPr="00CA37AE">
              <w:rPr>
                <w:rFonts w:ascii="Arial" w:eastAsia="Arial" w:hAnsi="Arial" w:cs="Arial"/>
                <w:sz w:val="18"/>
                <w:szCs w:val="18"/>
              </w:rPr>
              <w:t>ephemeris.</w:t>
            </w:r>
            <w:r w:rsidRPr="00CA37AE">
              <w:rPr>
                <w:rFonts w:ascii="Arial" w:eastAsia="Arial" w:hAnsi="Arial" w:cs="Arial"/>
                <w:sz w:val="18"/>
                <w:szCs w:val="18"/>
              </w:rPr>
              <w:t>.</w:t>
            </w:r>
            <w:proofErr w:type="gramEnd"/>
          </w:p>
        </w:tc>
        <w:tc>
          <w:tcPr>
            <w:tcW w:w="1842" w:type="dxa"/>
            <w:tcBorders>
              <w:top w:val="single" w:sz="4" w:space="0" w:color="000000"/>
              <w:left w:val="single" w:sz="4" w:space="0" w:color="000000"/>
              <w:bottom w:val="single" w:sz="4" w:space="0" w:color="000000"/>
              <w:right w:val="single" w:sz="4" w:space="0" w:color="000000"/>
            </w:tcBorders>
          </w:tcPr>
          <w:p w14:paraId="0E4F4CC5" w14:textId="77777777" w:rsidR="005D0D3E" w:rsidRPr="00CA37AE" w:rsidRDefault="00BF74BA">
            <w:pPr>
              <w:keepNext/>
              <w:keepLines/>
              <w:widowControl/>
              <w:rPr>
                <w:rFonts w:ascii="Arial" w:eastAsia="Arial" w:hAnsi="Arial" w:cs="Arial"/>
                <w:strike/>
                <w:color w:val="FF0000"/>
                <w:sz w:val="18"/>
                <w:szCs w:val="18"/>
              </w:rPr>
            </w:pPr>
            <w:r w:rsidRPr="00CA37AE">
              <w:rPr>
                <w:rFonts w:ascii="Arial" w:eastAsia="Arial" w:hAnsi="Arial" w:cs="Arial"/>
                <w:strike/>
                <w:sz w:val="18"/>
                <w:szCs w:val="18"/>
              </w:rPr>
              <w:t>Mandatory</w:t>
            </w:r>
            <w:r w:rsidRPr="00CA37AE">
              <w:rPr>
                <w:rFonts w:ascii="Arial" w:eastAsia="Arial" w:hAnsi="Arial" w:cs="Arial"/>
                <w:strike/>
                <w:color w:val="FF0000"/>
                <w:sz w:val="18"/>
                <w:szCs w:val="18"/>
              </w:rPr>
              <w:t xml:space="preserve"> </w:t>
            </w:r>
          </w:p>
          <w:p w14:paraId="1340DC2A" w14:textId="77777777" w:rsidR="005D0D3E" w:rsidRPr="00CA37AE" w:rsidRDefault="005D0D3E">
            <w:pPr>
              <w:keepNext/>
              <w:keepLines/>
              <w:widowControl/>
              <w:rPr>
                <w:rFonts w:ascii="Arial" w:eastAsia="Arial" w:hAnsi="Arial" w:cs="Arial"/>
                <w:strike/>
                <w:color w:val="FF0000"/>
                <w:sz w:val="18"/>
                <w:szCs w:val="18"/>
              </w:rPr>
            </w:pPr>
          </w:p>
          <w:p w14:paraId="3A4AEC62" w14:textId="77777777" w:rsidR="005D0D3E" w:rsidRPr="00CA37AE" w:rsidRDefault="00BF74BA">
            <w:pPr>
              <w:keepNext/>
              <w:keepLines/>
              <w:widowControl/>
              <w:rPr>
                <w:rFonts w:ascii="Arial" w:eastAsia="Arial" w:hAnsi="Arial" w:cs="Arial"/>
                <w:color w:val="FF0000"/>
                <w:sz w:val="18"/>
                <w:szCs w:val="18"/>
              </w:rPr>
            </w:pPr>
            <w:r w:rsidRPr="00CA37AE">
              <w:rPr>
                <w:rFonts w:ascii="Arial" w:eastAsia="Arial" w:hAnsi="Arial" w:cs="Arial"/>
                <w:color w:val="FF0000"/>
                <w:sz w:val="18"/>
                <w:szCs w:val="18"/>
              </w:rPr>
              <w:t>[Alt 1: Optional without capability signaling. For UE supporting satellite access, UE shall support this FG.</w:t>
            </w:r>
          </w:p>
          <w:p w14:paraId="675B3D1F" w14:textId="77777777" w:rsidR="005D0D3E" w:rsidRPr="00CA37AE" w:rsidRDefault="005D0D3E">
            <w:pPr>
              <w:keepNext/>
              <w:keepLines/>
              <w:widowControl/>
              <w:rPr>
                <w:rFonts w:ascii="Arial" w:eastAsia="Arial" w:hAnsi="Arial" w:cs="Arial"/>
                <w:color w:val="FF0000"/>
                <w:sz w:val="18"/>
                <w:szCs w:val="18"/>
              </w:rPr>
            </w:pPr>
          </w:p>
          <w:p w14:paraId="3244C014" w14:textId="77777777" w:rsidR="005D0D3E" w:rsidRPr="00CA37AE" w:rsidRDefault="00BF74BA">
            <w:pPr>
              <w:keepNext/>
              <w:keepLines/>
              <w:widowControl/>
              <w:rPr>
                <w:rFonts w:ascii="Arial" w:eastAsia="Arial" w:hAnsi="Arial" w:cs="Arial"/>
                <w:color w:val="FF0000"/>
                <w:sz w:val="18"/>
                <w:szCs w:val="18"/>
              </w:rPr>
            </w:pPr>
            <w:r w:rsidRPr="00CA37AE">
              <w:rPr>
                <w:rFonts w:ascii="Arial" w:eastAsia="Arial" w:hAnsi="Arial" w:cs="Arial"/>
                <w:color w:val="FF0000"/>
                <w:sz w:val="18"/>
                <w:szCs w:val="18"/>
              </w:rPr>
              <w:t>Alt 2: Optional without capability signaling. For UE supporting satellite band(s), UE shall support this FG.]</w:t>
            </w:r>
          </w:p>
          <w:p w14:paraId="59AB14FE" w14:textId="77777777" w:rsidR="005D0D3E" w:rsidRPr="00CA37AE" w:rsidRDefault="005D0D3E">
            <w:pPr>
              <w:keepNext/>
              <w:keepLines/>
              <w:widowControl/>
              <w:rPr>
                <w:rFonts w:ascii="Arial" w:hAnsi="Arial" w:cs="Arial"/>
                <w:color w:val="FF0000"/>
                <w:sz w:val="18"/>
                <w:szCs w:val="18"/>
              </w:rPr>
            </w:pPr>
          </w:p>
        </w:tc>
      </w:tr>
      <w:tr w:rsidR="00A03BD6" w14:paraId="59BC04F2" w14:textId="77777777" w:rsidTr="00765287">
        <w:trPr>
          <w:trHeight w:val="20"/>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2DDE4F23"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 xml:space="preserve"> 26. </w:t>
            </w:r>
            <w:proofErr w:type="spellStart"/>
            <w:r>
              <w:rPr>
                <w:rFonts w:ascii="Arial" w:eastAsia="Arial" w:hAnsi="Arial" w:cs="Arial"/>
                <w:sz w:val="18"/>
                <w:szCs w:val="18"/>
              </w:rPr>
              <w:t>NR_NTN_solutions</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8EC436"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26-2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0A24EF"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Uplink Frequency/Doppler pre-compensation</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0437AC16" w14:textId="77777777" w:rsidR="005D0D3E" w:rsidRPr="00CA37AE" w:rsidRDefault="00BF74BA">
            <w:pPr>
              <w:widowControl/>
              <w:numPr>
                <w:ilvl w:val="0"/>
                <w:numId w:val="10"/>
              </w:numPr>
              <w:ind w:left="425" w:hanging="425"/>
              <w:rPr>
                <w:rFonts w:ascii="Arial" w:eastAsia="Arial" w:hAnsi="Arial" w:cs="Arial"/>
                <w:sz w:val="18"/>
                <w:szCs w:val="18"/>
              </w:rPr>
            </w:pPr>
            <w:r w:rsidRPr="00CA37AE">
              <w:rPr>
                <w:rFonts w:ascii="Arial" w:eastAsia="Arial" w:hAnsi="Arial" w:cs="Arial"/>
                <w:sz w:val="18"/>
                <w:szCs w:val="18"/>
              </w:rPr>
              <w:t>In RRC_IDLE and RRC_INACTIVE states calculate frequency pre-compensation to counter shift the Doppler experienced on the service link.</w:t>
            </w:r>
          </w:p>
          <w:p w14:paraId="66D17180" w14:textId="77777777" w:rsidR="005D0D3E" w:rsidRPr="00CA37AE" w:rsidRDefault="00BF74BA">
            <w:pPr>
              <w:widowControl/>
              <w:numPr>
                <w:ilvl w:val="0"/>
                <w:numId w:val="10"/>
              </w:numPr>
              <w:spacing w:after="120"/>
              <w:ind w:left="425" w:hanging="425"/>
              <w:rPr>
                <w:rFonts w:ascii="Arial" w:eastAsia="Arial" w:hAnsi="Arial" w:cs="Arial"/>
                <w:sz w:val="18"/>
                <w:szCs w:val="18"/>
              </w:rPr>
            </w:pPr>
            <w:r w:rsidRPr="00CA37AE">
              <w:rPr>
                <w:rFonts w:ascii="Arial" w:eastAsia="Arial" w:hAnsi="Arial" w:cs="Arial"/>
                <w:sz w:val="18"/>
                <w:szCs w:val="18"/>
              </w:rPr>
              <w:t>in RRC_CONNECTED states, calculate frequency pre-compensation to counter shift the Doppler experienced on the service link.</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BFC2D78" w14:textId="77777777" w:rsidR="005D0D3E" w:rsidRPr="00CA37AE" w:rsidRDefault="005D0D3E">
            <w:pPr>
              <w:keepNext/>
              <w:keepLines/>
              <w:widowControl/>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46912A2"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DFCB9FA"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3777F97"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 xml:space="preserve">Release 17 UE cannot access </w:t>
            </w:r>
            <w:r w:rsidRPr="00CA37AE">
              <w:rPr>
                <w:rFonts w:ascii="Arial" w:eastAsia="Arial" w:hAnsi="Arial" w:cs="Arial"/>
                <w:strike/>
                <w:color w:val="FF0000"/>
                <w:sz w:val="18"/>
                <w:szCs w:val="18"/>
              </w:rPr>
              <w:t>NTN</w:t>
            </w:r>
            <w:r w:rsidRPr="00CA37AE">
              <w:rPr>
                <w:rFonts w:ascii="Arial" w:eastAsia="Arial" w:hAnsi="Arial" w:cs="Arial"/>
                <w:color w:val="FF0000"/>
                <w:sz w:val="18"/>
                <w:szCs w:val="18"/>
              </w:rPr>
              <w:t xml:space="preserve"> satellite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A66A08B" w14:textId="77777777" w:rsidR="005D0D3E" w:rsidRPr="00CA37AE" w:rsidRDefault="005D0D3E">
            <w:pPr>
              <w:keepNext/>
              <w:keepLines/>
              <w:widowControl/>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29C26C"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3147F7A"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46B47C9"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support mixture of FDD/TDD (for HAPS) and/or FR1/FR2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2ADA30A" w14:textId="7C2FFD50"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An NR NTN UE shall be capable of at least using its acquired GNSS position and satellite ephemeris to calculate frequency pre-compensation to counter shift the Doppler experienced on the service link.</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54993E" w14:textId="77777777" w:rsidR="005D0D3E" w:rsidRPr="00CA37AE" w:rsidRDefault="00BF74BA">
            <w:pPr>
              <w:keepNext/>
              <w:keepLines/>
              <w:widowControl/>
              <w:rPr>
                <w:rFonts w:ascii="Arial" w:eastAsia="Arial" w:hAnsi="Arial" w:cs="Arial"/>
                <w:strike/>
                <w:color w:val="FF0000"/>
                <w:sz w:val="18"/>
                <w:szCs w:val="18"/>
              </w:rPr>
            </w:pPr>
            <w:r w:rsidRPr="00CA37AE">
              <w:rPr>
                <w:rFonts w:ascii="Arial" w:eastAsia="Arial" w:hAnsi="Arial" w:cs="Arial"/>
                <w:strike/>
                <w:sz w:val="18"/>
                <w:szCs w:val="18"/>
              </w:rPr>
              <w:t>Mandatory</w:t>
            </w:r>
            <w:r w:rsidRPr="00CA37AE">
              <w:rPr>
                <w:rFonts w:ascii="Arial" w:eastAsia="Arial" w:hAnsi="Arial" w:cs="Arial"/>
                <w:strike/>
                <w:color w:val="FF0000"/>
                <w:sz w:val="18"/>
                <w:szCs w:val="18"/>
              </w:rPr>
              <w:t xml:space="preserve"> </w:t>
            </w:r>
          </w:p>
          <w:p w14:paraId="3A879480" w14:textId="77777777" w:rsidR="005D0D3E" w:rsidRPr="00CA37AE" w:rsidRDefault="005D0D3E">
            <w:pPr>
              <w:keepNext/>
              <w:keepLines/>
              <w:widowControl/>
              <w:rPr>
                <w:rFonts w:ascii="Arial" w:eastAsia="Arial" w:hAnsi="Arial" w:cs="Arial"/>
                <w:strike/>
                <w:color w:val="FF0000"/>
                <w:sz w:val="18"/>
                <w:szCs w:val="18"/>
              </w:rPr>
            </w:pPr>
          </w:p>
          <w:p w14:paraId="7E58B615" w14:textId="77777777" w:rsidR="005D0D3E" w:rsidRPr="00CA37AE" w:rsidRDefault="00BF74BA">
            <w:pPr>
              <w:keepNext/>
              <w:keepLines/>
              <w:widowControl/>
              <w:rPr>
                <w:rFonts w:ascii="Arial" w:eastAsia="Arial" w:hAnsi="Arial" w:cs="Arial"/>
                <w:color w:val="FF0000"/>
                <w:sz w:val="18"/>
                <w:szCs w:val="18"/>
              </w:rPr>
            </w:pPr>
            <w:r w:rsidRPr="00CA37AE">
              <w:rPr>
                <w:rFonts w:ascii="Arial" w:eastAsia="Arial" w:hAnsi="Arial" w:cs="Arial"/>
                <w:color w:val="FF0000"/>
                <w:sz w:val="18"/>
                <w:szCs w:val="18"/>
              </w:rPr>
              <w:t>[Alt 1: Optional without capability signaling. For UE supporting satellite access, UE shall support this FG.</w:t>
            </w:r>
          </w:p>
          <w:p w14:paraId="2C4E3DB0" w14:textId="77777777" w:rsidR="005D0D3E" w:rsidRPr="00CA37AE" w:rsidRDefault="005D0D3E">
            <w:pPr>
              <w:keepNext/>
              <w:keepLines/>
              <w:widowControl/>
              <w:rPr>
                <w:rFonts w:ascii="Arial" w:eastAsia="Arial" w:hAnsi="Arial" w:cs="Arial"/>
                <w:color w:val="FF0000"/>
                <w:sz w:val="18"/>
                <w:szCs w:val="18"/>
              </w:rPr>
            </w:pPr>
          </w:p>
          <w:p w14:paraId="50A15EBB"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color w:val="FF0000"/>
                <w:sz w:val="18"/>
                <w:szCs w:val="18"/>
              </w:rPr>
              <w:t>Alt 2: Optional without capability signaling. For UE supporting satellite band(s), UE shall support this FG.]</w:t>
            </w:r>
          </w:p>
        </w:tc>
      </w:tr>
      <w:tr w:rsidR="00A03BD6" w14:paraId="5851A4C5" w14:textId="77777777" w:rsidTr="00765287">
        <w:trPr>
          <w:trHeight w:val="20"/>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1D16B007"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 xml:space="preserve"> 26. </w:t>
            </w:r>
            <w:proofErr w:type="spellStart"/>
            <w:r>
              <w:rPr>
                <w:rFonts w:ascii="Arial" w:eastAsia="Arial" w:hAnsi="Arial" w:cs="Arial"/>
                <w:sz w:val="18"/>
                <w:szCs w:val="18"/>
              </w:rPr>
              <w:t>NR_NTN_solutions</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A6BB68B"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26-3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46963C"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Start of RAR window</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6BFE6E49" w14:textId="77777777" w:rsidR="005D0D3E" w:rsidRPr="00CA37AE" w:rsidRDefault="00BF74BA">
            <w:pPr>
              <w:widowControl/>
              <w:numPr>
                <w:ilvl w:val="0"/>
                <w:numId w:val="2"/>
              </w:numPr>
              <w:ind w:left="425" w:hanging="425"/>
              <w:rPr>
                <w:rFonts w:ascii="Arial" w:eastAsia="Arial" w:hAnsi="Arial" w:cs="Arial"/>
                <w:sz w:val="18"/>
                <w:szCs w:val="18"/>
              </w:rPr>
            </w:pPr>
            <w:r w:rsidRPr="00CA37AE">
              <w:rPr>
                <w:rFonts w:ascii="Arial" w:eastAsia="Arial" w:hAnsi="Arial" w:cs="Arial"/>
                <w:sz w:val="18"/>
                <w:szCs w:val="18"/>
              </w:rPr>
              <w:t>estimate of UE-</w:t>
            </w:r>
            <w:proofErr w:type="spellStart"/>
            <w:r w:rsidRPr="00CA37AE">
              <w:rPr>
                <w:rFonts w:ascii="Arial" w:eastAsia="Arial" w:hAnsi="Arial" w:cs="Arial"/>
                <w:sz w:val="18"/>
                <w:szCs w:val="18"/>
              </w:rPr>
              <w:t>gNB</w:t>
            </w:r>
            <w:proofErr w:type="spellEnd"/>
            <w:r w:rsidRPr="00CA37AE">
              <w:rPr>
                <w:rFonts w:ascii="Arial" w:eastAsia="Arial" w:hAnsi="Arial" w:cs="Arial"/>
                <w:sz w:val="18"/>
                <w:szCs w:val="18"/>
              </w:rPr>
              <w:t xml:space="preserve"> RTT</w:t>
            </w:r>
          </w:p>
          <w:p w14:paraId="1AD9D557" w14:textId="77777777" w:rsidR="005D0D3E" w:rsidRPr="00CA37AE" w:rsidRDefault="00BF74BA">
            <w:pPr>
              <w:widowControl/>
              <w:numPr>
                <w:ilvl w:val="0"/>
                <w:numId w:val="2"/>
              </w:numPr>
              <w:ind w:left="425" w:hanging="425"/>
              <w:rPr>
                <w:rFonts w:ascii="Arial" w:eastAsia="Arial" w:hAnsi="Arial" w:cs="Arial"/>
                <w:sz w:val="18"/>
                <w:szCs w:val="18"/>
              </w:rPr>
            </w:pPr>
            <w:r w:rsidRPr="00CA37AE">
              <w:rPr>
                <w:rFonts w:ascii="Arial" w:eastAsia="Arial" w:hAnsi="Arial" w:cs="Arial"/>
                <w:sz w:val="18"/>
                <w:szCs w:val="18"/>
              </w:rPr>
              <w:t>delaying the start of ra-</w:t>
            </w:r>
            <w:proofErr w:type="spellStart"/>
            <w:r w:rsidRPr="00CA37AE">
              <w:rPr>
                <w:rFonts w:ascii="Arial" w:eastAsia="Arial" w:hAnsi="Arial" w:cs="Arial"/>
                <w:sz w:val="18"/>
                <w:szCs w:val="18"/>
              </w:rPr>
              <w:t>ResponseWindow</w:t>
            </w:r>
            <w:proofErr w:type="spellEnd"/>
            <w:r w:rsidRPr="00CA37AE">
              <w:rPr>
                <w:rFonts w:ascii="Arial" w:eastAsia="Arial" w:hAnsi="Arial" w:cs="Arial"/>
                <w:sz w:val="18"/>
                <w:szCs w:val="18"/>
              </w:rPr>
              <w:t xml:space="preserve"> </w:t>
            </w:r>
          </w:p>
          <w:p w14:paraId="31DA36F5" w14:textId="77777777" w:rsidR="005D0D3E" w:rsidRPr="00CA37AE" w:rsidRDefault="00BF74BA">
            <w:pPr>
              <w:widowControl/>
              <w:numPr>
                <w:ilvl w:val="0"/>
                <w:numId w:val="2"/>
              </w:numPr>
              <w:ind w:left="425" w:hanging="425"/>
              <w:rPr>
                <w:rFonts w:ascii="Arial" w:eastAsia="Arial" w:hAnsi="Arial" w:cs="Arial"/>
                <w:sz w:val="18"/>
                <w:szCs w:val="18"/>
              </w:rPr>
            </w:pPr>
            <w:r w:rsidRPr="00CA37AE">
              <w:rPr>
                <w:rFonts w:ascii="Arial" w:eastAsia="Arial" w:hAnsi="Arial" w:cs="Arial"/>
                <w:sz w:val="18"/>
                <w:szCs w:val="18"/>
              </w:rPr>
              <w:t xml:space="preserve">delaying the start of </w:t>
            </w:r>
            <w:proofErr w:type="spellStart"/>
            <w:r w:rsidRPr="00CA37AE">
              <w:rPr>
                <w:rFonts w:ascii="Arial" w:eastAsia="Arial" w:hAnsi="Arial" w:cs="Arial"/>
                <w:sz w:val="18"/>
                <w:szCs w:val="18"/>
              </w:rPr>
              <w:t>msgB-ResponseWindow</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B7B325E"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26-2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0480010"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373D54"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3389F59" w14:textId="39417537" w:rsidR="005D0D3E" w:rsidRPr="00CA37AE" w:rsidRDefault="00BF74BA">
            <w:pPr>
              <w:keepNext/>
              <w:keepLines/>
              <w:widowControl/>
              <w:rPr>
                <w:rFonts w:ascii="Arial" w:eastAsia="Arial" w:hAnsi="Arial" w:cs="Arial"/>
                <w:sz w:val="18"/>
                <w:szCs w:val="18"/>
              </w:rPr>
            </w:pPr>
            <w:bookmarkStart w:id="3" w:name="_Hlk83921424"/>
            <w:r w:rsidRPr="00CA37AE">
              <w:rPr>
                <w:rFonts w:ascii="Arial" w:eastAsia="Arial" w:hAnsi="Arial" w:cs="Arial"/>
                <w:sz w:val="18"/>
                <w:szCs w:val="18"/>
              </w:rPr>
              <w:t xml:space="preserve">Due to large propagation delay </w:t>
            </w:r>
            <w:r w:rsidR="00F25729" w:rsidRPr="00CA37AE">
              <w:rPr>
                <w:rFonts w:ascii="Arial" w:eastAsia="Arial" w:hAnsi="Arial" w:cs="Arial"/>
                <w:sz w:val="18"/>
                <w:szCs w:val="18"/>
              </w:rPr>
              <w:t xml:space="preserve">in </w:t>
            </w:r>
            <w:r w:rsidR="00F25729" w:rsidRPr="00CA37AE">
              <w:rPr>
                <w:rFonts w:ascii="Arial" w:eastAsia="Arial" w:hAnsi="Arial" w:cs="Arial"/>
                <w:color w:val="FF0000"/>
                <w:sz w:val="18"/>
                <w:szCs w:val="18"/>
              </w:rPr>
              <w:t xml:space="preserve">some scenarios of </w:t>
            </w:r>
            <w:r w:rsidR="00F25729" w:rsidRPr="00CA37AE">
              <w:rPr>
                <w:rFonts w:ascii="Arial" w:eastAsia="Arial" w:hAnsi="Arial" w:cs="Arial"/>
                <w:sz w:val="18"/>
                <w:szCs w:val="18"/>
              </w:rPr>
              <w:t>NTN</w:t>
            </w:r>
            <w:r w:rsidRPr="00CA37AE">
              <w:rPr>
                <w:rFonts w:ascii="Arial" w:eastAsia="Arial" w:hAnsi="Arial" w:cs="Arial"/>
                <w:sz w:val="18"/>
                <w:szCs w:val="18"/>
              </w:rPr>
              <w:t xml:space="preserve"> the UE RAR is not expected within a few milliseconds like in TN. The UE does not need </w:t>
            </w:r>
            <w:proofErr w:type="gramStart"/>
            <w:r w:rsidRPr="00CA37AE">
              <w:rPr>
                <w:rFonts w:ascii="Arial" w:eastAsia="Arial" w:hAnsi="Arial" w:cs="Arial"/>
                <w:sz w:val="18"/>
                <w:szCs w:val="18"/>
              </w:rPr>
              <w:t>to  monitor</w:t>
            </w:r>
            <w:proofErr w:type="gramEnd"/>
            <w:r w:rsidRPr="00CA37AE">
              <w:rPr>
                <w:rFonts w:ascii="Arial" w:eastAsia="Arial" w:hAnsi="Arial" w:cs="Arial"/>
                <w:sz w:val="18"/>
                <w:szCs w:val="18"/>
              </w:rPr>
              <w:t xml:space="preserve"> the PDCCH for RAN right after transmitting RA Preamble.</w:t>
            </w:r>
            <w:bookmarkEnd w:id="3"/>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E45FF62" w14:textId="77777777" w:rsidR="005D0D3E" w:rsidRPr="00CA37AE" w:rsidRDefault="005D0D3E">
            <w:pPr>
              <w:keepNext/>
              <w:keepLines/>
              <w:widowControl/>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633BBA"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FF72256"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ED404B"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support mixture of FDD/TDD (for HAPS) and/or FR1/FR2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6C84B40" w14:textId="77777777" w:rsidR="005D0D3E" w:rsidRPr="00CA37AE" w:rsidRDefault="005D0D3E">
            <w:pPr>
              <w:keepNext/>
              <w:keepLines/>
              <w:widowControl/>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CFB8D1A" w14:textId="77777777" w:rsidR="005D0D3E" w:rsidRPr="00CA37AE" w:rsidRDefault="00BF74BA">
            <w:pPr>
              <w:keepNext/>
              <w:keepLines/>
              <w:widowControl/>
              <w:rPr>
                <w:rFonts w:ascii="Arial" w:eastAsia="Arial" w:hAnsi="Arial" w:cs="Arial"/>
                <w:strike/>
                <w:color w:val="FF0000"/>
                <w:sz w:val="18"/>
                <w:szCs w:val="18"/>
              </w:rPr>
            </w:pPr>
            <w:r w:rsidRPr="00CA37AE">
              <w:rPr>
                <w:rFonts w:ascii="Arial" w:eastAsia="Arial" w:hAnsi="Arial" w:cs="Arial"/>
                <w:strike/>
                <w:sz w:val="18"/>
                <w:szCs w:val="18"/>
              </w:rPr>
              <w:t>Mandatory</w:t>
            </w:r>
            <w:r w:rsidRPr="00CA37AE">
              <w:rPr>
                <w:rFonts w:ascii="Arial" w:eastAsia="Arial" w:hAnsi="Arial" w:cs="Arial"/>
                <w:strike/>
                <w:color w:val="FF0000"/>
                <w:sz w:val="18"/>
                <w:szCs w:val="18"/>
              </w:rPr>
              <w:t xml:space="preserve"> </w:t>
            </w:r>
          </w:p>
          <w:p w14:paraId="7960D06B" w14:textId="77777777" w:rsidR="005D0D3E" w:rsidRPr="00CA37AE" w:rsidRDefault="005D0D3E">
            <w:pPr>
              <w:keepNext/>
              <w:keepLines/>
              <w:widowControl/>
              <w:rPr>
                <w:rFonts w:ascii="Arial" w:eastAsia="Arial" w:hAnsi="Arial" w:cs="Arial"/>
                <w:strike/>
                <w:color w:val="FF0000"/>
                <w:sz w:val="18"/>
                <w:szCs w:val="18"/>
              </w:rPr>
            </w:pPr>
          </w:p>
          <w:p w14:paraId="12289EFF" w14:textId="77777777" w:rsidR="005D0D3E" w:rsidRPr="00CA37AE" w:rsidRDefault="00BF74BA">
            <w:pPr>
              <w:keepNext/>
              <w:keepLines/>
              <w:widowControl/>
              <w:rPr>
                <w:rFonts w:ascii="Arial" w:eastAsia="Arial" w:hAnsi="Arial" w:cs="Arial"/>
                <w:color w:val="FF0000"/>
                <w:sz w:val="18"/>
                <w:szCs w:val="18"/>
              </w:rPr>
            </w:pPr>
            <w:r w:rsidRPr="00CA37AE">
              <w:rPr>
                <w:rFonts w:ascii="Arial" w:eastAsia="Arial" w:hAnsi="Arial" w:cs="Arial"/>
                <w:color w:val="FF0000"/>
                <w:sz w:val="18"/>
                <w:szCs w:val="18"/>
              </w:rPr>
              <w:t>[Alt 1: Optional without capability signaling. For UE supporting satellite access, UE shall support this FG.</w:t>
            </w:r>
          </w:p>
          <w:p w14:paraId="3B685582" w14:textId="77777777" w:rsidR="005D0D3E" w:rsidRPr="00CA37AE" w:rsidRDefault="005D0D3E">
            <w:pPr>
              <w:keepNext/>
              <w:keepLines/>
              <w:widowControl/>
              <w:rPr>
                <w:rFonts w:ascii="Arial" w:eastAsia="Arial" w:hAnsi="Arial" w:cs="Arial"/>
                <w:color w:val="FF0000"/>
                <w:sz w:val="18"/>
                <w:szCs w:val="18"/>
              </w:rPr>
            </w:pPr>
          </w:p>
          <w:p w14:paraId="2CA530E6"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color w:val="FF0000"/>
                <w:sz w:val="18"/>
                <w:szCs w:val="18"/>
              </w:rPr>
              <w:t>Alt 2: Optional without capability signaling. For UE supporting satellite band(s), UE shall support this FG.]</w:t>
            </w:r>
          </w:p>
        </w:tc>
      </w:tr>
      <w:tr w:rsidR="00A03BD6" w14:paraId="5161B988" w14:textId="77777777" w:rsidTr="00765287">
        <w:trPr>
          <w:trHeight w:val="20"/>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4F2B02C4"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lastRenderedPageBreak/>
              <w:t xml:space="preserve"> 26. </w:t>
            </w:r>
            <w:proofErr w:type="spellStart"/>
            <w:r>
              <w:rPr>
                <w:rFonts w:ascii="Arial" w:eastAsia="Arial" w:hAnsi="Arial" w:cs="Arial"/>
                <w:sz w:val="18"/>
                <w:szCs w:val="18"/>
              </w:rPr>
              <w:t>NR_NTN_solutions</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15F3F1"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26-4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3C3D1E"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UE reporting of information about the UE specific TA pre-compensation</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13017634" w14:textId="77777777" w:rsidR="005D0D3E" w:rsidRPr="00CA37AE" w:rsidRDefault="00BF74BA">
            <w:pPr>
              <w:widowControl/>
              <w:numPr>
                <w:ilvl w:val="0"/>
                <w:numId w:val="3"/>
              </w:numPr>
              <w:ind w:left="425" w:hanging="425"/>
              <w:rPr>
                <w:rFonts w:ascii="Arial" w:eastAsia="Arial" w:hAnsi="Arial" w:cs="Arial"/>
                <w:sz w:val="18"/>
                <w:szCs w:val="18"/>
              </w:rPr>
            </w:pPr>
            <w:r w:rsidRPr="00CA37AE">
              <w:rPr>
                <w:rFonts w:ascii="Arial" w:eastAsia="Arial" w:hAnsi="Arial" w:cs="Arial"/>
                <w:sz w:val="18"/>
                <w:szCs w:val="18"/>
              </w:rPr>
              <w:t>The exact content of UE reporting of information about the UE specific TA pre-compensation</w:t>
            </w:r>
          </w:p>
          <w:p w14:paraId="3A205540" w14:textId="77777777" w:rsidR="005D0D3E" w:rsidRPr="00CA37AE" w:rsidRDefault="00BF74BA">
            <w:pPr>
              <w:widowControl/>
              <w:numPr>
                <w:ilvl w:val="0"/>
                <w:numId w:val="3"/>
              </w:numPr>
              <w:ind w:left="425" w:hanging="425"/>
              <w:rPr>
                <w:rFonts w:ascii="Arial" w:eastAsia="Arial" w:hAnsi="Arial" w:cs="Arial"/>
                <w:sz w:val="18"/>
                <w:szCs w:val="18"/>
              </w:rPr>
            </w:pPr>
            <w:r w:rsidRPr="00CA37AE">
              <w:rPr>
                <w:rFonts w:ascii="Arial" w:eastAsia="Arial" w:hAnsi="Arial" w:cs="Arial"/>
                <w:sz w:val="18"/>
                <w:szCs w:val="18"/>
              </w:rPr>
              <w:t>frequency of the reports</w:t>
            </w:r>
          </w:p>
          <w:p w14:paraId="0573401C" w14:textId="77777777" w:rsidR="005D0D3E" w:rsidRPr="00CA37AE" w:rsidRDefault="00BF74BA">
            <w:pPr>
              <w:widowControl/>
              <w:numPr>
                <w:ilvl w:val="0"/>
                <w:numId w:val="2"/>
              </w:numPr>
              <w:spacing w:after="120"/>
              <w:ind w:left="425" w:hanging="425"/>
              <w:rPr>
                <w:rFonts w:ascii="Arial" w:eastAsia="Arial" w:hAnsi="Arial" w:cs="Arial"/>
                <w:sz w:val="18"/>
                <w:szCs w:val="18"/>
              </w:rPr>
            </w:pPr>
            <w:r w:rsidRPr="00CA37AE">
              <w:rPr>
                <w:rFonts w:ascii="Arial" w:eastAsia="Arial" w:hAnsi="Arial" w:cs="Arial"/>
                <w:sz w:val="18"/>
                <w:szCs w:val="18"/>
              </w:rPr>
              <w:t>granularity of the reported content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16F2D11"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26-2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120B62D"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Yes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EF99D63"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917ABEB" w14:textId="77777777" w:rsidR="005D0D3E" w:rsidRPr="00CA37AE" w:rsidRDefault="005D0D3E">
            <w:pPr>
              <w:keepNext/>
              <w:keepLines/>
              <w:widowControl/>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C2B1EC0" w14:textId="77777777" w:rsidR="005D0D3E" w:rsidRPr="00CA37AE" w:rsidRDefault="005D0D3E">
            <w:pPr>
              <w:keepNext/>
              <w:keepLines/>
              <w:widowControl/>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47976B"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E88E4C0"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4BC5D6A"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support mixture of FDD/TDD (for HAPS) and/or FR1/FR2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9585FCE" w14:textId="77777777" w:rsidR="005D0D3E" w:rsidRPr="00CA37AE" w:rsidRDefault="005D0D3E">
            <w:pPr>
              <w:keepNext/>
              <w:keepLines/>
              <w:widowControl/>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E6059CB"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[Optional]</w:t>
            </w:r>
          </w:p>
        </w:tc>
      </w:tr>
      <w:tr w:rsidR="00A03BD6" w14:paraId="03A2C9BE" w14:textId="77777777" w:rsidTr="00765287">
        <w:trPr>
          <w:trHeight w:val="20"/>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2D1768C1"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 xml:space="preserve"> 26. </w:t>
            </w:r>
            <w:proofErr w:type="spellStart"/>
            <w:r>
              <w:rPr>
                <w:rFonts w:ascii="Arial" w:eastAsia="Arial" w:hAnsi="Arial" w:cs="Arial"/>
                <w:sz w:val="18"/>
                <w:szCs w:val="18"/>
              </w:rPr>
              <w:t>NR_NTN_solutions</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61A7F7D"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26-5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99D445"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Increasing the number of HARQ processes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357150A1" w14:textId="77777777" w:rsidR="005D0D3E" w:rsidRPr="00CA37AE" w:rsidRDefault="00BF74BA">
            <w:pPr>
              <w:widowControl/>
              <w:numPr>
                <w:ilvl w:val="0"/>
                <w:numId w:val="4"/>
              </w:numPr>
              <w:ind w:left="425" w:hanging="425"/>
              <w:rPr>
                <w:rFonts w:ascii="Arial" w:eastAsia="Arial" w:hAnsi="Arial" w:cs="Arial"/>
                <w:sz w:val="18"/>
                <w:szCs w:val="18"/>
              </w:rPr>
            </w:pPr>
            <w:r w:rsidRPr="00CA37AE">
              <w:rPr>
                <w:rFonts w:ascii="Arial" w:eastAsia="Arial" w:hAnsi="Arial" w:cs="Arial"/>
                <w:sz w:val="18"/>
                <w:szCs w:val="18"/>
              </w:rPr>
              <w:t>The maximal supported HARQ process number is 32 for both UL and DL</w:t>
            </w:r>
          </w:p>
          <w:p w14:paraId="572F0A2D" w14:textId="77777777" w:rsidR="005D0D3E" w:rsidRPr="00CA37AE" w:rsidRDefault="00BF74BA">
            <w:pPr>
              <w:widowControl/>
              <w:numPr>
                <w:ilvl w:val="0"/>
                <w:numId w:val="4"/>
              </w:numPr>
              <w:spacing w:after="120"/>
              <w:ind w:left="425" w:hanging="425"/>
              <w:rPr>
                <w:rFonts w:ascii="Arial" w:eastAsia="Arial" w:hAnsi="Arial" w:cs="Arial"/>
                <w:sz w:val="18"/>
                <w:szCs w:val="18"/>
              </w:rPr>
            </w:pPr>
            <w:r w:rsidRPr="00CA37AE">
              <w:rPr>
                <w:rFonts w:ascii="Arial" w:eastAsia="Arial" w:hAnsi="Arial" w:cs="Arial"/>
                <w:sz w:val="18"/>
                <w:szCs w:val="18"/>
              </w:rPr>
              <w:t>Support on the maximal HARQ process number is up to UE capability</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2A64A72" w14:textId="77777777" w:rsidR="005D0D3E" w:rsidRPr="00CA37AE" w:rsidRDefault="005D0D3E">
            <w:pPr>
              <w:keepNext/>
              <w:keepLines/>
              <w:widowControl/>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082D90D"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Yes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6CD6ED6"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221DA8B"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 xml:space="preserve">Increasing the number of HARQ processes avoids HARQ stalling,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7C9BA6B" w14:textId="77777777" w:rsidR="005D0D3E" w:rsidRPr="00CA37AE" w:rsidRDefault="005D0D3E">
            <w:pPr>
              <w:keepNext/>
              <w:keepLines/>
              <w:widowControl/>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01965B"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4F1F8B9"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DFBEFB"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support mixture of FDD/TDD (for HAPS) and/or FR1/FR2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FAE5AB4" w14:textId="77777777" w:rsidR="005D0D3E" w:rsidRPr="00CA37AE" w:rsidRDefault="005D0D3E">
            <w:pPr>
              <w:keepNext/>
              <w:keepLines/>
              <w:widowControl/>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EDA9C15"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Optional</w:t>
            </w:r>
          </w:p>
        </w:tc>
      </w:tr>
      <w:tr w:rsidR="00A03BD6" w14:paraId="4A9045AF" w14:textId="77777777" w:rsidTr="00765287">
        <w:trPr>
          <w:trHeight w:val="20"/>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17223805"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 xml:space="preserve"> 26. </w:t>
            </w:r>
            <w:proofErr w:type="spellStart"/>
            <w:r>
              <w:rPr>
                <w:rFonts w:ascii="Arial" w:eastAsia="Arial" w:hAnsi="Arial" w:cs="Arial"/>
                <w:sz w:val="18"/>
                <w:szCs w:val="18"/>
              </w:rPr>
              <w:t>NR_NTN_solutions</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6CBE1EC"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26-6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A6E6DD"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HARQ CODEBOOK Enhancement</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6BF374BD" w14:textId="77777777" w:rsidR="005D0D3E" w:rsidRPr="00CA37AE" w:rsidRDefault="00BF74BA">
            <w:pPr>
              <w:widowControl/>
              <w:numPr>
                <w:ilvl w:val="0"/>
                <w:numId w:val="6"/>
              </w:numPr>
              <w:ind w:left="425" w:hanging="425"/>
              <w:rPr>
                <w:rFonts w:ascii="Arial" w:eastAsia="Arial" w:hAnsi="Arial" w:cs="Arial"/>
                <w:sz w:val="18"/>
                <w:szCs w:val="18"/>
              </w:rPr>
            </w:pPr>
            <w:r w:rsidRPr="00CA37AE">
              <w:rPr>
                <w:rFonts w:ascii="Arial" w:eastAsia="Arial" w:hAnsi="Arial" w:cs="Arial"/>
                <w:sz w:val="18"/>
                <w:szCs w:val="18"/>
              </w:rPr>
              <w:t>Enhancement on Type-2 HARQ codebook in NTN</w:t>
            </w:r>
          </w:p>
          <w:p w14:paraId="75D2694C" w14:textId="77777777" w:rsidR="005D0D3E" w:rsidRPr="00CA37AE" w:rsidRDefault="00BF74BA">
            <w:pPr>
              <w:widowControl/>
              <w:numPr>
                <w:ilvl w:val="0"/>
                <w:numId w:val="6"/>
              </w:numPr>
              <w:spacing w:after="120"/>
              <w:ind w:left="425" w:hanging="425"/>
              <w:rPr>
                <w:rFonts w:ascii="Arial" w:eastAsia="Arial" w:hAnsi="Arial" w:cs="Arial"/>
                <w:sz w:val="18"/>
                <w:szCs w:val="18"/>
              </w:rPr>
            </w:pPr>
            <w:r w:rsidRPr="00CA37AE">
              <w:rPr>
                <w:rFonts w:ascii="Arial" w:eastAsia="Arial" w:hAnsi="Arial" w:cs="Arial"/>
                <w:sz w:val="18"/>
                <w:szCs w:val="18"/>
              </w:rPr>
              <w:t>Enhancement on Type-1 HARQ codebook in NTN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41E8584" w14:textId="77777777" w:rsidR="005D0D3E" w:rsidRPr="00CA37AE" w:rsidRDefault="005D0D3E">
            <w:pPr>
              <w:keepNext/>
              <w:keepLines/>
              <w:widowControl/>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1F4EB00"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Yes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BE834DE"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4108A2" w14:textId="77777777" w:rsidR="005D0D3E" w:rsidRPr="00CA37AE" w:rsidRDefault="005D0D3E">
            <w:pPr>
              <w:keepNext/>
              <w:keepLines/>
              <w:widowControl/>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7F4FC8D" w14:textId="77777777" w:rsidR="005D0D3E" w:rsidRPr="00CA37AE" w:rsidRDefault="005D0D3E">
            <w:pPr>
              <w:keepNext/>
              <w:keepLines/>
              <w:widowControl/>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8994ED"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5230A8F"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58EE36"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support mixture of FDD/TDD (for HAPS) and/or FR1/FR2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AB7546D" w14:textId="77777777" w:rsidR="005D0D3E" w:rsidRPr="00CA37AE" w:rsidRDefault="005D0D3E">
            <w:pPr>
              <w:keepNext/>
              <w:keepLines/>
              <w:widowControl/>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62EA606" w14:textId="77777777" w:rsidR="005D0D3E" w:rsidRPr="00CA37AE" w:rsidRDefault="00BF74BA">
            <w:pPr>
              <w:keepNext/>
              <w:keepLines/>
              <w:widowControl/>
              <w:rPr>
                <w:rFonts w:ascii="Arial" w:eastAsia="Arial" w:hAnsi="Arial" w:cs="Arial"/>
                <w:strike/>
                <w:color w:val="FF0000"/>
                <w:sz w:val="18"/>
                <w:szCs w:val="18"/>
              </w:rPr>
            </w:pPr>
            <w:r w:rsidRPr="00CA37AE">
              <w:rPr>
                <w:rFonts w:ascii="Arial" w:eastAsia="Arial" w:hAnsi="Arial" w:cs="Arial"/>
                <w:strike/>
                <w:sz w:val="18"/>
                <w:szCs w:val="18"/>
              </w:rPr>
              <w:t xml:space="preserve">Mandatory </w:t>
            </w:r>
          </w:p>
          <w:p w14:paraId="76A41881" w14:textId="77777777" w:rsidR="005D0D3E" w:rsidRPr="00CA37AE" w:rsidRDefault="005D0D3E">
            <w:pPr>
              <w:keepNext/>
              <w:keepLines/>
              <w:widowControl/>
              <w:rPr>
                <w:rFonts w:ascii="Arial" w:eastAsia="Arial" w:hAnsi="Arial" w:cs="Arial"/>
                <w:color w:val="FF0000"/>
                <w:sz w:val="18"/>
                <w:szCs w:val="18"/>
              </w:rPr>
            </w:pPr>
          </w:p>
          <w:p w14:paraId="104D1576" w14:textId="77777777" w:rsidR="005D0D3E" w:rsidRPr="00CA37AE" w:rsidRDefault="00BF74BA">
            <w:pPr>
              <w:keepNext/>
              <w:keepLines/>
              <w:widowControl/>
              <w:rPr>
                <w:rFonts w:ascii="Arial" w:eastAsia="Arial" w:hAnsi="Arial" w:cs="Arial"/>
                <w:color w:val="FF0000"/>
                <w:sz w:val="18"/>
                <w:szCs w:val="18"/>
              </w:rPr>
            </w:pPr>
            <w:r w:rsidRPr="00CA37AE">
              <w:rPr>
                <w:rFonts w:ascii="Arial" w:eastAsia="Arial" w:hAnsi="Arial" w:cs="Arial"/>
                <w:color w:val="FF0000"/>
                <w:sz w:val="18"/>
                <w:szCs w:val="18"/>
              </w:rPr>
              <w:t>[Alt 1: Optional with capability signaling. For UE supporting satellite access, UE shall indicate this Feature Group is supported.</w:t>
            </w:r>
          </w:p>
          <w:p w14:paraId="783D086F" w14:textId="77777777" w:rsidR="005D0D3E" w:rsidRPr="00CA37AE" w:rsidRDefault="005D0D3E">
            <w:pPr>
              <w:keepNext/>
              <w:keepLines/>
              <w:widowControl/>
              <w:rPr>
                <w:rFonts w:ascii="Arial" w:eastAsia="Arial" w:hAnsi="Arial" w:cs="Arial"/>
                <w:color w:val="FF0000"/>
                <w:sz w:val="18"/>
                <w:szCs w:val="18"/>
              </w:rPr>
            </w:pPr>
          </w:p>
          <w:p w14:paraId="58798FD8" w14:textId="77777777" w:rsidR="005D0D3E" w:rsidRPr="00CA37AE" w:rsidRDefault="00BF74BA">
            <w:pPr>
              <w:keepNext/>
              <w:keepLines/>
              <w:widowControl/>
              <w:rPr>
                <w:rFonts w:ascii="Arial" w:eastAsia="Arial" w:hAnsi="Arial" w:cs="Arial"/>
                <w:color w:val="FF0000"/>
                <w:sz w:val="18"/>
                <w:szCs w:val="18"/>
              </w:rPr>
            </w:pPr>
            <w:r w:rsidRPr="00CA37AE">
              <w:rPr>
                <w:rFonts w:ascii="Arial" w:eastAsia="Arial" w:hAnsi="Arial" w:cs="Arial"/>
                <w:color w:val="FF0000"/>
                <w:sz w:val="18"/>
                <w:szCs w:val="18"/>
              </w:rPr>
              <w:t>Alt 2: Optional with capability signaling. For UE supporting satellite band(s), UE shall indicate this FG is supported.]</w:t>
            </w:r>
          </w:p>
        </w:tc>
      </w:tr>
      <w:tr w:rsidR="00A03BD6" w14:paraId="650CF195" w14:textId="77777777" w:rsidTr="00765287">
        <w:trPr>
          <w:trHeight w:val="20"/>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1BCE19DA"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 xml:space="preserve"> 26. </w:t>
            </w:r>
            <w:proofErr w:type="spellStart"/>
            <w:r>
              <w:rPr>
                <w:rFonts w:ascii="Arial" w:eastAsia="Arial" w:hAnsi="Arial" w:cs="Arial"/>
                <w:sz w:val="18"/>
                <w:szCs w:val="18"/>
              </w:rPr>
              <w:t>NR_NTN_solutions</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CC27A6A"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26-7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DF1384"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NTN Performance enhancement</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17FC9515" w14:textId="77777777" w:rsidR="005D0D3E" w:rsidRPr="00CA37AE" w:rsidRDefault="00BF74BA">
            <w:pPr>
              <w:widowControl/>
              <w:numPr>
                <w:ilvl w:val="0"/>
                <w:numId w:val="11"/>
              </w:numPr>
              <w:ind w:left="425" w:hanging="425"/>
              <w:rPr>
                <w:rFonts w:ascii="Arial" w:eastAsia="Arial" w:hAnsi="Arial" w:cs="Arial"/>
                <w:sz w:val="18"/>
                <w:szCs w:val="18"/>
              </w:rPr>
            </w:pPr>
            <w:r w:rsidRPr="00CA37AE">
              <w:rPr>
                <w:rFonts w:ascii="Arial" w:eastAsia="Arial" w:hAnsi="Arial" w:cs="Arial"/>
                <w:sz w:val="18"/>
                <w:szCs w:val="18"/>
              </w:rPr>
              <w:t xml:space="preserve">The maximum number of supported aggregation factor (i.e., </w:t>
            </w:r>
            <w:proofErr w:type="spellStart"/>
            <w:r w:rsidRPr="00CA37AE">
              <w:rPr>
                <w:rFonts w:ascii="Arial" w:eastAsia="Arial" w:hAnsi="Arial" w:cs="Arial"/>
                <w:sz w:val="18"/>
                <w:szCs w:val="18"/>
              </w:rPr>
              <w:t>pdsch-AggregationFactor</w:t>
            </w:r>
            <w:proofErr w:type="spellEnd"/>
            <w:r w:rsidRPr="00CA37AE">
              <w:rPr>
                <w:rFonts w:ascii="Arial" w:eastAsia="Arial" w:hAnsi="Arial" w:cs="Arial"/>
                <w:sz w:val="18"/>
                <w:szCs w:val="18"/>
              </w:rPr>
              <w:t>) for DL PDSCH is [X]</w:t>
            </w:r>
          </w:p>
          <w:p w14:paraId="4FF01035" w14:textId="77777777" w:rsidR="005D0D3E" w:rsidRPr="00CA37AE" w:rsidRDefault="00BF74BA">
            <w:pPr>
              <w:widowControl/>
              <w:spacing w:after="120"/>
              <w:ind w:left="425" w:hanging="425"/>
              <w:rPr>
                <w:rFonts w:ascii="Arial" w:eastAsia="Arial" w:hAnsi="Arial" w:cs="Arial"/>
                <w:sz w:val="18"/>
                <w:szCs w:val="18"/>
              </w:rPr>
            </w:pPr>
            <w:r w:rsidRPr="00CA37AE">
              <w:rPr>
                <w:rFonts w:ascii="Arial" w:eastAsia="Arial" w:hAnsi="Arial" w:cs="Arial"/>
                <w:sz w:val="18"/>
                <w:szCs w:val="18"/>
              </w:rPr>
              <w:t>FFS: X = 8, 16 or 32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7AAA954" w14:textId="77777777" w:rsidR="005D0D3E" w:rsidRPr="00CA37AE" w:rsidRDefault="005D0D3E">
            <w:pPr>
              <w:keepNext/>
              <w:keepLines/>
              <w:widowControl/>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92EE0D1"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Yes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673A1F2"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1889AB"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 xml:space="preserve">Particularly </w:t>
            </w:r>
            <w:proofErr w:type="gramStart"/>
            <w:r w:rsidRPr="00CA37AE">
              <w:rPr>
                <w:rFonts w:ascii="Arial" w:eastAsia="Arial" w:hAnsi="Arial" w:cs="Arial"/>
                <w:sz w:val="18"/>
                <w:szCs w:val="18"/>
              </w:rPr>
              <w:t>beneficial  in</w:t>
            </w:r>
            <w:proofErr w:type="gramEnd"/>
            <w:r w:rsidRPr="00CA37AE">
              <w:rPr>
                <w:rFonts w:ascii="Arial" w:eastAsia="Arial" w:hAnsi="Arial" w:cs="Arial"/>
                <w:sz w:val="18"/>
                <w:szCs w:val="18"/>
              </w:rPr>
              <w:t xml:space="preserve"> case HARQ feedback is disabled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1664D45" w14:textId="77777777" w:rsidR="005D0D3E" w:rsidRPr="00CA37AE" w:rsidRDefault="005D0D3E">
            <w:pPr>
              <w:keepNext/>
              <w:keepLines/>
              <w:widowControl/>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AF3C7D"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9B05AE1"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9B50EA"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support mixture of FDD/TDD (for HAPS) and/or FR1/FR2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A7BFF6B" w14:textId="77777777" w:rsidR="005D0D3E" w:rsidRPr="00CA37AE" w:rsidRDefault="005D0D3E">
            <w:pPr>
              <w:keepNext/>
              <w:keepLines/>
              <w:widowControl/>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202809D"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Optional</w:t>
            </w:r>
          </w:p>
        </w:tc>
      </w:tr>
      <w:tr w:rsidR="00A03BD6" w14:paraId="35A15977" w14:textId="77777777" w:rsidTr="00765287">
        <w:trPr>
          <w:trHeight w:val="20"/>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3C9CC65C"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 xml:space="preserve"> 26. </w:t>
            </w:r>
            <w:proofErr w:type="spellStart"/>
            <w:r>
              <w:rPr>
                <w:rFonts w:ascii="Arial" w:eastAsia="Arial" w:hAnsi="Arial" w:cs="Arial"/>
                <w:sz w:val="18"/>
                <w:szCs w:val="18"/>
              </w:rPr>
              <w:t>NR_NTN_solutions</w:t>
            </w:r>
            <w:proofErr w:type="spell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5727A1B" w14:textId="77777777" w:rsidR="005D0D3E" w:rsidRDefault="00BF74BA">
            <w:pPr>
              <w:keepNext/>
              <w:keepLines/>
              <w:widowControl/>
              <w:rPr>
                <w:rFonts w:ascii="Arial" w:eastAsia="Arial" w:hAnsi="Arial" w:cs="Arial"/>
                <w:sz w:val="18"/>
                <w:szCs w:val="18"/>
              </w:rPr>
            </w:pPr>
            <w:r>
              <w:rPr>
                <w:rFonts w:ascii="Arial" w:eastAsia="Arial" w:hAnsi="Arial" w:cs="Arial"/>
                <w:sz w:val="18"/>
                <w:szCs w:val="18"/>
              </w:rPr>
              <w:t>26-8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C350F8"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 xml:space="preserve">Support of polarization </w:t>
            </w:r>
            <w:proofErr w:type="spellStart"/>
            <w:r w:rsidRPr="00CA37AE">
              <w:rPr>
                <w:rFonts w:ascii="Arial" w:eastAsia="Arial" w:hAnsi="Arial" w:cs="Arial"/>
                <w:sz w:val="18"/>
                <w:szCs w:val="18"/>
              </w:rPr>
              <w:t>signalling</w:t>
            </w:r>
            <w:proofErr w:type="spellEnd"/>
            <w:r w:rsidRPr="00CA37AE">
              <w:rPr>
                <w:rFonts w:ascii="Arial" w:eastAsia="Arial" w:hAnsi="Arial" w:cs="Arial"/>
                <w:sz w:val="18"/>
                <w:szCs w:val="18"/>
              </w:rPr>
              <w:t xml:space="preserve"> in NR NTN</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7064144" w14:textId="77777777" w:rsidR="005D0D3E" w:rsidRPr="00CA37AE" w:rsidRDefault="00BF74BA">
            <w:pPr>
              <w:widowControl/>
              <w:numPr>
                <w:ilvl w:val="0"/>
                <w:numId w:val="1"/>
              </w:numPr>
              <w:ind w:left="425" w:hanging="425"/>
              <w:rPr>
                <w:rFonts w:ascii="Arial" w:eastAsia="Arial" w:hAnsi="Arial" w:cs="Arial"/>
                <w:sz w:val="18"/>
                <w:szCs w:val="18"/>
              </w:rPr>
            </w:pPr>
            <w:r w:rsidRPr="00CA37AE">
              <w:rPr>
                <w:rFonts w:ascii="Arial" w:eastAsia="Arial" w:hAnsi="Arial" w:cs="Arial"/>
                <w:sz w:val="18"/>
                <w:szCs w:val="18"/>
              </w:rPr>
              <w:t>UE polarization capability (RHCP, LHCP, Linear)</w:t>
            </w:r>
          </w:p>
          <w:p w14:paraId="36029B41" w14:textId="77777777" w:rsidR="005D0D3E" w:rsidRPr="00CA37AE" w:rsidRDefault="00BF74BA">
            <w:pPr>
              <w:widowControl/>
              <w:numPr>
                <w:ilvl w:val="0"/>
                <w:numId w:val="1"/>
              </w:numPr>
              <w:ind w:left="425" w:hanging="425"/>
              <w:rPr>
                <w:rFonts w:ascii="Arial" w:eastAsia="Arial" w:hAnsi="Arial" w:cs="Arial"/>
                <w:sz w:val="18"/>
                <w:szCs w:val="18"/>
              </w:rPr>
            </w:pPr>
            <w:r w:rsidRPr="00CA37AE">
              <w:rPr>
                <w:rFonts w:ascii="Arial" w:eastAsia="Arial" w:hAnsi="Arial" w:cs="Arial"/>
                <w:sz w:val="18"/>
                <w:szCs w:val="18"/>
              </w:rPr>
              <w:t>Polarization information for UL may be indicated in SIB by the network</w:t>
            </w:r>
          </w:p>
          <w:p w14:paraId="1D0AE661" w14:textId="77777777" w:rsidR="005D0D3E" w:rsidRPr="00CA37AE" w:rsidRDefault="00BF74BA">
            <w:pPr>
              <w:widowControl/>
              <w:numPr>
                <w:ilvl w:val="0"/>
                <w:numId w:val="1"/>
              </w:numPr>
              <w:ind w:left="425" w:hanging="425"/>
              <w:rPr>
                <w:rFonts w:ascii="Arial" w:eastAsia="Arial" w:hAnsi="Arial" w:cs="Arial"/>
                <w:sz w:val="18"/>
                <w:szCs w:val="18"/>
              </w:rPr>
            </w:pPr>
            <w:r w:rsidRPr="00CA37AE">
              <w:rPr>
                <w:rFonts w:ascii="Arial" w:eastAsia="Arial" w:hAnsi="Arial" w:cs="Arial"/>
                <w:sz w:val="18"/>
                <w:szCs w:val="18"/>
              </w:rPr>
              <w:t>UE assumes a same polarization for UL and DL, when the UL polarization information is absent.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34E1F1" w14:textId="77777777" w:rsidR="005D0D3E" w:rsidRPr="00CA37AE" w:rsidRDefault="005D0D3E">
            <w:pPr>
              <w:keepNext/>
              <w:keepLines/>
              <w:widowControl/>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CCB80F"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9BE0BAA"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AD2481C" w14:textId="77777777" w:rsidR="005D0D3E" w:rsidRPr="00CA37AE" w:rsidRDefault="005D0D3E">
            <w:pPr>
              <w:keepNext/>
              <w:keepLines/>
              <w:widowControl/>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0251B5D" w14:textId="77777777" w:rsidR="005D0D3E" w:rsidRPr="00CA37AE" w:rsidRDefault="005D0D3E">
            <w:pPr>
              <w:keepNext/>
              <w:keepLines/>
              <w:widowControl/>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97734F"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F2F8434"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No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EF84F2"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support mixture of FDD/TDD (for HAPS) and/or FR1/FR2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BCC31C0" w14:textId="77777777" w:rsidR="005D0D3E" w:rsidRPr="00CA37AE" w:rsidRDefault="005D0D3E">
            <w:pPr>
              <w:keepNext/>
              <w:keepLines/>
              <w:widowControl/>
              <w:rPr>
                <w:rFonts w:ascii="Arial" w:eastAsia="Arial" w:hAnsi="Arial" w:cs="Arial"/>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39D53B7" w14:textId="77777777" w:rsidR="005D0D3E" w:rsidRPr="00CA37AE" w:rsidRDefault="00BF74BA">
            <w:pPr>
              <w:keepNext/>
              <w:keepLines/>
              <w:widowControl/>
              <w:rPr>
                <w:rFonts w:ascii="Arial" w:eastAsia="Arial" w:hAnsi="Arial" w:cs="Arial"/>
                <w:sz w:val="18"/>
                <w:szCs w:val="18"/>
              </w:rPr>
            </w:pPr>
            <w:r w:rsidRPr="00CA37AE">
              <w:rPr>
                <w:rFonts w:ascii="Arial" w:eastAsia="Arial" w:hAnsi="Arial" w:cs="Arial"/>
                <w:sz w:val="18"/>
                <w:szCs w:val="18"/>
              </w:rPr>
              <w:t>Optional</w:t>
            </w:r>
          </w:p>
        </w:tc>
      </w:tr>
    </w:tbl>
    <w:p w14:paraId="09F1F6BC" w14:textId="77777777" w:rsidR="005D0D3E" w:rsidRDefault="005D0D3E">
      <w:pPr>
        <w:sectPr w:rsidR="005D0D3E" w:rsidSect="00A03BD6">
          <w:pgSz w:w="23811" w:h="16838" w:orient="landscape" w:code="8"/>
          <w:pgMar w:top="1133" w:right="850" w:bottom="1133" w:left="566" w:header="720" w:footer="720" w:gutter="0"/>
          <w:cols w:space="720"/>
          <w:docGrid w:linePitch="299"/>
        </w:sectPr>
      </w:pPr>
    </w:p>
    <w:p w14:paraId="22126E8D" w14:textId="77777777" w:rsidR="001C58E0" w:rsidRDefault="001C58E0" w:rsidP="001C58E0"/>
    <w:p w14:paraId="3827CD8C" w14:textId="77777777" w:rsidR="001C58E0" w:rsidRDefault="001C58E0" w:rsidP="001C58E0">
      <w:pPr>
        <w:jc w:val="center"/>
        <w:rPr>
          <w:b/>
          <w:i/>
        </w:rPr>
      </w:pPr>
      <w:r>
        <w:rPr>
          <w:b/>
          <w:i/>
        </w:rPr>
        <w:t>END</w:t>
      </w:r>
    </w:p>
    <w:p w14:paraId="24A26F69" w14:textId="2EA4D9A4" w:rsidR="005D0D3E" w:rsidRDefault="005D0D3E">
      <w:pPr>
        <w:jc w:val="center"/>
        <w:rPr>
          <w:b/>
          <w:i/>
        </w:rPr>
      </w:pPr>
    </w:p>
    <w:sectPr w:rsidR="005D0D3E" w:rsidSect="00A03BD6">
      <w:pgSz w:w="11906" w:h="16838"/>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1F514" w14:textId="77777777" w:rsidR="00C90ADA" w:rsidRDefault="00C90ADA" w:rsidP="001D7BBD">
      <w:r>
        <w:separator/>
      </w:r>
    </w:p>
  </w:endnote>
  <w:endnote w:type="continuationSeparator" w:id="0">
    <w:p w14:paraId="0B055E2C" w14:textId="77777777" w:rsidR="00C90ADA" w:rsidRDefault="00C90ADA" w:rsidP="001D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UI Semibold">
    <w:panose1 w:val="020B07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D44C6" w14:textId="77777777" w:rsidR="00C90ADA" w:rsidRDefault="00C90ADA" w:rsidP="001D7BBD">
      <w:r>
        <w:separator/>
      </w:r>
    </w:p>
  </w:footnote>
  <w:footnote w:type="continuationSeparator" w:id="0">
    <w:p w14:paraId="6E286A7F" w14:textId="77777777" w:rsidR="00C90ADA" w:rsidRDefault="00C90ADA" w:rsidP="001D7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EA5C52"/>
    <w:multiLevelType w:val="multilevel"/>
    <w:tmpl w:val="065E7FF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286CD3"/>
    <w:multiLevelType w:val="multilevel"/>
    <w:tmpl w:val="6A3871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4012902"/>
    <w:multiLevelType w:val="multilevel"/>
    <w:tmpl w:val="B2C0F49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360EEE"/>
    <w:multiLevelType w:val="multilevel"/>
    <w:tmpl w:val="C1E40452"/>
    <w:lvl w:ilvl="0">
      <w:start w:val="1"/>
      <w:numFmt w:val="decimal"/>
      <w:lvlText w:val="%1."/>
      <w:lvlJc w:val="left"/>
      <w:pPr>
        <w:ind w:left="420" w:hanging="420"/>
      </w:pPr>
    </w:lvl>
    <w:lvl w:ilvl="1">
      <w:start w:val="1"/>
      <w:numFmt w:val="decimal"/>
      <w:lvlText w:val="%1.%2"/>
      <w:lvlJc w:val="left"/>
      <w:pPr>
        <w:ind w:left="940" w:hanging="720"/>
      </w:pPr>
    </w:lvl>
    <w:lvl w:ilvl="2">
      <w:start w:val="1"/>
      <w:numFmt w:val="decimal"/>
      <w:lvlText w:val="%1.%2.%3"/>
      <w:lvlJc w:val="left"/>
      <w:pPr>
        <w:ind w:left="1160" w:hanging="720"/>
      </w:pPr>
    </w:lvl>
    <w:lvl w:ilvl="3">
      <w:start w:val="1"/>
      <w:numFmt w:val="decimal"/>
      <w:lvlText w:val="%1.%2.%3.%4"/>
      <w:lvlJc w:val="left"/>
      <w:pPr>
        <w:ind w:left="1740" w:hanging="1080"/>
      </w:pPr>
    </w:lvl>
    <w:lvl w:ilvl="4">
      <w:start w:val="1"/>
      <w:numFmt w:val="decimal"/>
      <w:lvlText w:val="%1.%2.%3.%4.%5"/>
      <w:lvlJc w:val="left"/>
      <w:pPr>
        <w:ind w:left="2320" w:hanging="1440"/>
      </w:pPr>
    </w:lvl>
    <w:lvl w:ilvl="5">
      <w:start w:val="1"/>
      <w:numFmt w:val="decimal"/>
      <w:lvlText w:val="%1.%2.%3.%4.%5.%6"/>
      <w:lvlJc w:val="left"/>
      <w:pPr>
        <w:ind w:left="2540" w:hanging="1440"/>
      </w:pPr>
    </w:lvl>
    <w:lvl w:ilvl="6">
      <w:start w:val="1"/>
      <w:numFmt w:val="decimal"/>
      <w:lvlText w:val="%1.%2.%3.%4.%5.%6.%7"/>
      <w:lvlJc w:val="left"/>
      <w:pPr>
        <w:ind w:left="3120" w:hanging="1800"/>
      </w:pPr>
    </w:lvl>
    <w:lvl w:ilvl="7">
      <w:start w:val="1"/>
      <w:numFmt w:val="decimal"/>
      <w:lvlText w:val="%1.%2.%3.%4.%5.%6.%7.%8"/>
      <w:lvlJc w:val="left"/>
      <w:pPr>
        <w:ind w:left="3700" w:hanging="2160"/>
      </w:pPr>
    </w:lvl>
    <w:lvl w:ilvl="8">
      <w:start w:val="1"/>
      <w:numFmt w:val="decimal"/>
      <w:lvlText w:val="%1.%2.%3.%4.%5.%6.%7.%8.%9"/>
      <w:lvlJc w:val="left"/>
      <w:pPr>
        <w:ind w:left="3920" w:hanging="2160"/>
      </w:pPr>
    </w:lvl>
  </w:abstractNum>
  <w:abstractNum w:abstractNumId="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5" w15:restartNumberingAfterBreak="0">
    <w:nsid w:val="36801D9B"/>
    <w:multiLevelType w:val="multilevel"/>
    <w:tmpl w:val="005C0A8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DB6AF3"/>
    <w:multiLevelType w:val="multilevel"/>
    <w:tmpl w:val="66A08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98708E1"/>
    <w:multiLevelType w:val="multilevel"/>
    <w:tmpl w:val="ABDE0CD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F33BD2"/>
    <w:multiLevelType w:val="multilevel"/>
    <w:tmpl w:val="5706089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CBF2826"/>
    <w:multiLevelType w:val="multilevel"/>
    <w:tmpl w:val="F2867E5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C306F4"/>
    <w:multiLevelType w:val="multilevel"/>
    <w:tmpl w:val="F6F0EA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6A56034"/>
    <w:multiLevelType w:val="multilevel"/>
    <w:tmpl w:val="0C8A73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0"/>
  </w:num>
  <w:num w:numId="3">
    <w:abstractNumId w:val="7"/>
  </w:num>
  <w:num w:numId="4">
    <w:abstractNumId w:val="8"/>
  </w:num>
  <w:num w:numId="5">
    <w:abstractNumId w:val="10"/>
  </w:num>
  <w:num w:numId="6">
    <w:abstractNumId w:val="9"/>
  </w:num>
  <w:num w:numId="7">
    <w:abstractNumId w:val="11"/>
  </w:num>
  <w:num w:numId="8">
    <w:abstractNumId w:val="6"/>
  </w:num>
  <w:num w:numId="9">
    <w:abstractNumId w:val="3"/>
  </w:num>
  <w:num w:numId="10">
    <w:abstractNumId w:val="1"/>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D3E"/>
    <w:rsid w:val="000F41D3"/>
    <w:rsid w:val="00100863"/>
    <w:rsid w:val="00160746"/>
    <w:rsid w:val="00162176"/>
    <w:rsid w:val="001C58E0"/>
    <w:rsid w:val="001D7BBD"/>
    <w:rsid w:val="00307A6E"/>
    <w:rsid w:val="0035601D"/>
    <w:rsid w:val="003A4979"/>
    <w:rsid w:val="003E2B25"/>
    <w:rsid w:val="00467206"/>
    <w:rsid w:val="004774FF"/>
    <w:rsid w:val="004E3B14"/>
    <w:rsid w:val="005C62D4"/>
    <w:rsid w:val="005D0D3E"/>
    <w:rsid w:val="00600A95"/>
    <w:rsid w:val="006051C5"/>
    <w:rsid w:val="00612D58"/>
    <w:rsid w:val="00693546"/>
    <w:rsid w:val="00695012"/>
    <w:rsid w:val="00765287"/>
    <w:rsid w:val="00782D66"/>
    <w:rsid w:val="007C0575"/>
    <w:rsid w:val="008C76FC"/>
    <w:rsid w:val="00965321"/>
    <w:rsid w:val="009819C1"/>
    <w:rsid w:val="009D0EB6"/>
    <w:rsid w:val="00A03BD6"/>
    <w:rsid w:val="00A04E6E"/>
    <w:rsid w:val="00A77057"/>
    <w:rsid w:val="00A806BC"/>
    <w:rsid w:val="00A85BEC"/>
    <w:rsid w:val="00B21942"/>
    <w:rsid w:val="00BF74BA"/>
    <w:rsid w:val="00C90ADA"/>
    <w:rsid w:val="00CA37AE"/>
    <w:rsid w:val="00CF3316"/>
    <w:rsid w:val="00D3563F"/>
    <w:rsid w:val="00DD35FF"/>
    <w:rsid w:val="00DF0D13"/>
    <w:rsid w:val="00F25729"/>
    <w:rsid w:val="00FC6B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2A6350"/>
  <w15:docId w15:val="{91BE088C-E225-4CD7-920C-8D3BF42B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Calibri"/>
        <w:sz w:val="22"/>
        <w:szCs w:val="22"/>
        <w:lang w:val="en-US"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pBdr>
        <w:top w:val="single" w:sz="4" w:space="1" w:color="000000"/>
      </w:pBdr>
      <w:spacing w:after="160" w:line="259" w:lineRule="auto"/>
      <w:outlineLvl w:val="0"/>
    </w:pPr>
    <w:rPr>
      <w:b/>
      <w:sz w:val="36"/>
      <w:szCs w:val="36"/>
    </w:rPr>
  </w:style>
  <w:style w:type="paragraph" w:styleId="2">
    <w:name w:val="heading 2"/>
    <w:basedOn w:val="a"/>
    <w:next w:val="a"/>
    <w:uiPriority w:val="9"/>
    <w:unhideWhenUsed/>
    <w:qFormat/>
    <w:pPr>
      <w:keepNext/>
      <w:pBdr>
        <w:top w:val="none" w:sz="0" w:space="0" w:color="000000"/>
      </w:pBdr>
      <w:spacing w:after="160" w:line="259" w:lineRule="auto"/>
      <w:ind w:left="220" w:right="100"/>
      <w:outlineLvl w:val="1"/>
    </w:pPr>
    <w:rPr>
      <w:sz w:val="32"/>
      <w:szCs w:val="32"/>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paragraph" w:styleId="a6">
    <w:name w:val="annotation text"/>
    <w:basedOn w:val="a"/>
    <w:link w:val="a7"/>
    <w:uiPriority w:val="99"/>
    <w:semiHidden/>
    <w:unhideWhenUsed/>
  </w:style>
  <w:style w:type="character" w:customStyle="1" w:styleId="a7">
    <w:name w:val="コメント文字列 (文字)"/>
    <w:basedOn w:val="a0"/>
    <w:link w:val="a6"/>
    <w:uiPriority w:val="99"/>
    <w:semiHidden/>
  </w:style>
  <w:style w:type="character" w:styleId="a8">
    <w:name w:val="annotation reference"/>
    <w:basedOn w:val="a0"/>
    <w:uiPriority w:val="99"/>
    <w:semiHidden/>
    <w:unhideWhenUsed/>
    <w:rPr>
      <w:sz w:val="18"/>
      <w:szCs w:val="18"/>
    </w:rPr>
  </w:style>
  <w:style w:type="paragraph" w:styleId="a9">
    <w:name w:val="Balloon Text"/>
    <w:basedOn w:val="a"/>
    <w:link w:val="aa"/>
    <w:uiPriority w:val="99"/>
    <w:semiHidden/>
    <w:unhideWhenUsed/>
    <w:rsid w:val="009819C1"/>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819C1"/>
    <w:rPr>
      <w:rFonts w:asciiTheme="majorHAnsi" w:eastAsiaTheme="majorEastAsia" w:hAnsiTheme="majorHAnsi" w:cstheme="majorBidi"/>
      <w:sz w:val="18"/>
      <w:szCs w:val="18"/>
    </w:rPr>
  </w:style>
  <w:style w:type="paragraph" w:customStyle="1" w:styleId="TAH">
    <w:name w:val="TAH"/>
    <w:basedOn w:val="a"/>
    <w:link w:val="TAHCar"/>
    <w:qFormat/>
    <w:rsid w:val="00A03BD6"/>
    <w:pPr>
      <w:keepNext/>
      <w:keepLines/>
      <w:widowControl/>
      <w:overflowPunct w:val="0"/>
      <w:autoSpaceDE w:val="0"/>
      <w:autoSpaceDN w:val="0"/>
      <w:adjustRightInd w:val="0"/>
      <w:jc w:val="center"/>
      <w:textAlignment w:val="baseline"/>
    </w:pPr>
    <w:rPr>
      <w:rFonts w:ascii="Arial" w:eastAsia="Times New Roman" w:hAnsi="Arial" w:cs="Times New Roman"/>
      <w:b/>
      <w:sz w:val="18"/>
      <w:szCs w:val="20"/>
      <w:lang w:val="en-GB"/>
    </w:rPr>
  </w:style>
  <w:style w:type="character" w:customStyle="1" w:styleId="TAHCar">
    <w:name w:val="TAH Car"/>
    <w:link w:val="TAH"/>
    <w:qFormat/>
    <w:rsid w:val="00A03BD6"/>
    <w:rPr>
      <w:rFonts w:ascii="Arial" w:eastAsia="Times New Roman" w:hAnsi="Arial" w:cs="Times New Roman"/>
      <w:b/>
      <w:sz w:val="18"/>
      <w:szCs w:val="20"/>
      <w:lang w:val="en-GB"/>
    </w:r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
    <w:link w:val="ac"/>
    <w:uiPriority w:val="34"/>
    <w:qFormat/>
    <w:rsid w:val="00A03BD6"/>
    <w:pPr>
      <w:widowControl/>
      <w:ind w:leftChars="400" w:left="840"/>
    </w:pPr>
    <w:rPr>
      <w:rFonts w:ascii="Times New Roman" w:eastAsia="ＭＳ ゴシック" w:hAnsi="Times New Roman" w:cs="Times New Roman"/>
      <w:sz w:val="24"/>
      <w:szCs w:val="20"/>
      <w:lang w:val="en-GB"/>
    </w:r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locked/>
    <w:rsid w:val="00A03BD6"/>
    <w:rPr>
      <w:rFonts w:ascii="Times New Roman" w:eastAsia="ＭＳ ゴシック" w:hAnsi="Times New Roman" w:cs="Times New Roman"/>
      <w:sz w:val="24"/>
      <w:szCs w:val="20"/>
      <w:lang w:val="en-GB"/>
    </w:rPr>
  </w:style>
  <w:style w:type="paragraph" w:customStyle="1" w:styleId="TAL">
    <w:name w:val="TAL"/>
    <w:basedOn w:val="a"/>
    <w:link w:val="TALCar"/>
    <w:qFormat/>
    <w:rsid w:val="00A03BD6"/>
    <w:pPr>
      <w:keepNext/>
      <w:keepLines/>
      <w:widowControl/>
    </w:pPr>
    <w:rPr>
      <w:rFonts w:ascii="Arial" w:hAnsi="Arial" w:cs="Times New Roman"/>
      <w:sz w:val="18"/>
      <w:szCs w:val="20"/>
      <w:lang w:val="en-GB" w:eastAsia="en-US"/>
    </w:rPr>
  </w:style>
  <w:style w:type="paragraph" w:customStyle="1" w:styleId="TAN">
    <w:name w:val="TAN"/>
    <w:basedOn w:val="TAL"/>
    <w:qFormat/>
    <w:rsid w:val="00A03BD6"/>
    <w:pPr>
      <w:ind w:left="851" w:hanging="851"/>
    </w:pPr>
  </w:style>
  <w:style w:type="character" w:customStyle="1" w:styleId="TALCar">
    <w:name w:val="TAL Car"/>
    <w:basedOn w:val="a0"/>
    <w:link w:val="TAL"/>
    <w:qFormat/>
    <w:locked/>
    <w:rsid w:val="00A03BD6"/>
    <w:rPr>
      <w:rFonts w:ascii="Arial" w:hAnsi="Arial" w:cs="Times New Roman"/>
      <w:sz w:val="18"/>
      <w:szCs w:val="20"/>
      <w:lang w:val="en-GB" w:eastAsia="en-US"/>
    </w:rPr>
  </w:style>
  <w:style w:type="paragraph" w:styleId="ad">
    <w:name w:val="annotation subject"/>
    <w:basedOn w:val="a6"/>
    <w:next w:val="a6"/>
    <w:link w:val="ae"/>
    <w:uiPriority w:val="99"/>
    <w:semiHidden/>
    <w:unhideWhenUsed/>
    <w:rsid w:val="00100863"/>
    <w:rPr>
      <w:b/>
      <w:bCs/>
    </w:rPr>
  </w:style>
  <w:style w:type="character" w:customStyle="1" w:styleId="ae">
    <w:name w:val="コメント内容 (文字)"/>
    <w:basedOn w:val="a7"/>
    <w:link w:val="ad"/>
    <w:uiPriority w:val="99"/>
    <w:semiHidden/>
    <w:rsid w:val="00100863"/>
    <w:rPr>
      <w:b/>
      <w:bCs/>
    </w:rPr>
  </w:style>
  <w:style w:type="paragraph" w:styleId="af">
    <w:name w:val="header"/>
    <w:basedOn w:val="a"/>
    <w:link w:val="af0"/>
    <w:uiPriority w:val="99"/>
    <w:unhideWhenUsed/>
    <w:rsid w:val="001D7BBD"/>
    <w:pPr>
      <w:tabs>
        <w:tab w:val="center" w:pos="4252"/>
        <w:tab w:val="right" w:pos="8504"/>
      </w:tabs>
      <w:snapToGrid w:val="0"/>
    </w:pPr>
  </w:style>
  <w:style w:type="character" w:customStyle="1" w:styleId="af0">
    <w:name w:val="ヘッダー (文字)"/>
    <w:basedOn w:val="a0"/>
    <w:link w:val="af"/>
    <w:uiPriority w:val="99"/>
    <w:rsid w:val="001D7BBD"/>
  </w:style>
  <w:style w:type="paragraph" w:styleId="af1">
    <w:name w:val="footer"/>
    <w:basedOn w:val="a"/>
    <w:link w:val="af2"/>
    <w:uiPriority w:val="99"/>
    <w:unhideWhenUsed/>
    <w:rsid w:val="001D7BBD"/>
    <w:pPr>
      <w:tabs>
        <w:tab w:val="center" w:pos="4252"/>
        <w:tab w:val="right" w:pos="8504"/>
      </w:tabs>
      <w:snapToGrid w:val="0"/>
    </w:pPr>
  </w:style>
  <w:style w:type="character" w:customStyle="1" w:styleId="af2">
    <w:name w:val="フッター (文字)"/>
    <w:basedOn w:val="a0"/>
    <w:link w:val="af1"/>
    <w:uiPriority w:val="99"/>
    <w:rsid w:val="001D7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7</Pages>
  <Words>1609</Words>
  <Characters>9175</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SoftBank</dc:creator>
  <cp:lastModifiedBy>Softbank</cp:lastModifiedBy>
  <cp:revision>32</cp:revision>
  <dcterms:created xsi:type="dcterms:W3CDTF">2021-09-30T08:50:00Z</dcterms:created>
  <dcterms:modified xsi:type="dcterms:W3CDTF">2021-10-01T09:00:00Z</dcterms:modified>
</cp:coreProperties>
</file>