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3CACA" w14:textId="19476A2D" w:rsidR="00565C16" w:rsidRPr="00B35205" w:rsidRDefault="00565C16" w:rsidP="00565C16">
      <w:pPr>
        <w:pStyle w:val="3GPPHeader"/>
        <w:spacing w:after="60"/>
        <w:rPr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A4465B">
        <w:rPr>
          <w:rFonts w:ascii="Arial" w:hAnsi="Arial" w:cs="Arial"/>
          <w:bCs/>
          <w:sz w:val="28"/>
          <w:szCs w:val="28"/>
        </w:rPr>
        <w:t>6</w:t>
      </w:r>
      <w:r w:rsidR="0088150E">
        <w:rPr>
          <w:rFonts w:ascii="Arial" w:hAnsi="Arial" w:cs="Arial"/>
          <w:bCs/>
          <w:sz w:val="28"/>
          <w:szCs w:val="28"/>
        </w:rPr>
        <w:t>bis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410D2D" w:rsidRPr="00410D2D">
        <w:t xml:space="preserve"> </w:t>
      </w:r>
      <w:r w:rsidR="00931E5D" w:rsidRPr="00931E5D">
        <w:rPr>
          <w:rFonts w:ascii="Arial" w:hAnsi="Arial" w:cs="Arial"/>
          <w:bCs/>
          <w:sz w:val="28"/>
          <w:szCs w:val="28"/>
        </w:rPr>
        <w:t>211005</w:t>
      </w:r>
      <w:r w:rsidR="00931E5D">
        <w:rPr>
          <w:rFonts w:ascii="Arial" w:hAnsi="Arial" w:cs="Arial"/>
          <w:bCs/>
          <w:sz w:val="28"/>
          <w:szCs w:val="28"/>
        </w:rPr>
        <w:t>2</w:t>
      </w:r>
    </w:p>
    <w:p w14:paraId="3ED772E9" w14:textId="374E2B19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88150E">
        <w:rPr>
          <w:rFonts w:ascii="Arial" w:eastAsia="MS Mincho" w:hAnsi="Arial" w:cs="Arial"/>
          <w:b/>
          <w:bCs/>
          <w:sz w:val="28"/>
          <w:lang w:eastAsia="ja-JP"/>
        </w:rPr>
        <w:t>October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88150E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88150E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435B41A7" w:rsidR="00E90E49" w:rsidRPr="009E7B88" w:rsidRDefault="00E90E49" w:rsidP="00311702">
      <w:pPr>
        <w:pStyle w:val="3GPPHeader"/>
        <w:rPr>
          <w:rFonts w:ascii="Arial" w:hAnsi="Arial" w:cs="Arial"/>
          <w:sz w:val="22"/>
          <w:szCs w:val="22"/>
        </w:rPr>
      </w:pPr>
      <w:r w:rsidRPr="009E7B88">
        <w:rPr>
          <w:rFonts w:ascii="Arial" w:hAnsi="Arial" w:cs="Arial"/>
          <w:sz w:val="22"/>
          <w:szCs w:val="22"/>
        </w:rPr>
        <w:t>Agenda Item:</w:t>
      </w:r>
      <w:r w:rsidRPr="009E7B88">
        <w:rPr>
          <w:rFonts w:ascii="Arial" w:hAnsi="Arial" w:cs="Arial"/>
          <w:sz w:val="22"/>
          <w:szCs w:val="22"/>
        </w:rPr>
        <w:tab/>
      </w:r>
      <w:r w:rsidR="002E78A1" w:rsidRPr="009E7B88">
        <w:rPr>
          <w:rFonts w:ascii="Arial" w:hAnsi="Arial" w:cs="Arial"/>
          <w:sz w:val="22"/>
          <w:szCs w:val="22"/>
        </w:rPr>
        <w:t>8.</w:t>
      </w:r>
      <w:r w:rsidR="005320E9" w:rsidRPr="009E7B88">
        <w:rPr>
          <w:rFonts w:ascii="Arial" w:hAnsi="Arial" w:cs="Arial"/>
          <w:sz w:val="22"/>
          <w:szCs w:val="22"/>
        </w:rPr>
        <w:t>10</w:t>
      </w:r>
      <w:r w:rsidR="002E78A1" w:rsidRPr="009E7B88">
        <w:rPr>
          <w:rFonts w:ascii="Arial" w:hAnsi="Arial" w:cs="Arial"/>
          <w:sz w:val="22"/>
          <w:szCs w:val="22"/>
        </w:rPr>
        <w:t>.</w:t>
      </w:r>
      <w:r w:rsidR="000A2BA4" w:rsidRPr="009E7B88">
        <w:rPr>
          <w:rFonts w:ascii="Arial" w:hAnsi="Arial" w:cs="Arial"/>
          <w:sz w:val="22"/>
          <w:szCs w:val="22"/>
        </w:rPr>
        <w:t>2</w:t>
      </w:r>
    </w:p>
    <w:p w14:paraId="3D5AB017" w14:textId="77777777" w:rsidR="00E90E49" w:rsidRPr="009E7B88" w:rsidRDefault="003D3C45" w:rsidP="00F64C2B">
      <w:pPr>
        <w:pStyle w:val="3GPPHeader"/>
        <w:rPr>
          <w:rFonts w:ascii="Arial" w:hAnsi="Arial" w:cs="Arial"/>
          <w:sz w:val="22"/>
          <w:szCs w:val="22"/>
        </w:rPr>
      </w:pPr>
      <w:r w:rsidRPr="009E7B88">
        <w:rPr>
          <w:rFonts w:ascii="Arial" w:hAnsi="Arial" w:cs="Arial"/>
          <w:sz w:val="22"/>
          <w:szCs w:val="22"/>
        </w:rPr>
        <w:t>Source:</w:t>
      </w:r>
      <w:r w:rsidR="00E90E49" w:rsidRPr="009E7B88">
        <w:rPr>
          <w:rFonts w:ascii="Arial" w:hAnsi="Arial" w:cs="Arial"/>
          <w:sz w:val="22"/>
          <w:szCs w:val="22"/>
        </w:rPr>
        <w:tab/>
      </w:r>
      <w:r w:rsidR="00F12DE8" w:rsidRPr="009E7B88">
        <w:rPr>
          <w:rFonts w:ascii="Arial" w:hAnsi="Arial" w:cs="Arial"/>
          <w:sz w:val="22"/>
          <w:szCs w:val="22"/>
        </w:rPr>
        <w:t>Apple</w:t>
      </w:r>
      <w:r w:rsidR="009A524B" w:rsidRPr="009E7B88">
        <w:rPr>
          <w:rFonts w:ascii="Arial" w:hAnsi="Arial" w:cs="Arial"/>
          <w:sz w:val="22"/>
          <w:szCs w:val="22"/>
        </w:rPr>
        <w:t xml:space="preserve"> </w:t>
      </w:r>
      <w:r w:rsidR="00A20E07" w:rsidRPr="009E7B88">
        <w:rPr>
          <w:rFonts w:ascii="Arial" w:hAnsi="Arial" w:cs="Arial"/>
          <w:sz w:val="22"/>
          <w:szCs w:val="22"/>
        </w:rPr>
        <w:t>Inc.</w:t>
      </w:r>
    </w:p>
    <w:p w14:paraId="5B22300E" w14:textId="69A4C8E3" w:rsidR="00E90E49" w:rsidRPr="009E7B88" w:rsidRDefault="003D3C45" w:rsidP="00311702">
      <w:pPr>
        <w:pStyle w:val="3GPPHeader"/>
        <w:rPr>
          <w:rFonts w:ascii="Arial" w:hAnsi="Arial" w:cs="Arial"/>
          <w:sz w:val="22"/>
          <w:szCs w:val="22"/>
        </w:rPr>
      </w:pPr>
      <w:r w:rsidRPr="009E7B88">
        <w:rPr>
          <w:rFonts w:ascii="Arial" w:hAnsi="Arial" w:cs="Arial"/>
          <w:sz w:val="22"/>
          <w:szCs w:val="22"/>
        </w:rPr>
        <w:t>Title:</w:t>
      </w:r>
      <w:r w:rsidR="00193533" w:rsidRPr="009E7B88">
        <w:rPr>
          <w:rFonts w:ascii="Arial" w:hAnsi="Arial" w:cs="Arial"/>
          <w:sz w:val="22"/>
          <w:szCs w:val="22"/>
        </w:rPr>
        <w:tab/>
      </w:r>
      <w:r w:rsidR="000A2BA4" w:rsidRPr="009E7B88">
        <w:rPr>
          <w:rFonts w:ascii="Arial" w:hAnsi="Arial" w:cs="Arial"/>
          <w:sz w:val="22"/>
          <w:szCs w:val="22"/>
        </w:rPr>
        <w:t>Other enhancements for simultaneous operation of an IAB node's links</w:t>
      </w:r>
    </w:p>
    <w:p w14:paraId="499A70C9" w14:textId="77777777" w:rsidR="00E90E49" w:rsidRPr="009E7B88" w:rsidRDefault="00E90E49" w:rsidP="00396685">
      <w:pPr>
        <w:pStyle w:val="3GPPHeader"/>
        <w:rPr>
          <w:rFonts w:ascii="Arial" w:hAnsi="Arial" w:cs="Arial"/>
          <w:sz w:val="22"/>
          <w:szCs w:val="22"/>
        </w:rPr>
      </w:pPr>
      <w:r w:rsidRPr="009E7B88">
        <w:rPr>
          <w:rFonts w:ascii="Arial" w:hAnsi="Arial" w:cs="Arial"/>
          <w:sz w:val="22"/>
          <w:szCs w:val="22"/>
        </w:rPr>
        <w:t>Document for:</w:t>
      </w:r>
      <w:r w:rsidRPr="009E7B88">
        <w:rPr>
          <w:rFonts w:ascii="Arial" w:hAnsi="Arial" w:cs="Arial"/>
          <w:sz w:val="22"/>
          <w:szCs w:val="22"/>
        </w:rPr>
        <w:tab/>
        <w:t>Discussion, Decision</w:t>
      </w:r>
    </w:p>
    <w:p w14:paraId="7C1A2FA9" w14:textId="39155F8B" w:rsidR="004D0D84" w:rsidRPr="009E7B88" w:rsidRDefault="00E90E49" w:rsidP="002050A6">
      <w:pPr>
        <w:pStyle w:val="Heading1"/>
        <w:rPr>
          <w:rFonts w:ascii="Arial" w:hAnsi="Arial" w:cs="Arial"/>
          <w:b/>
          <w:bCs/>
          <w:sz w:val="32"/>
          <w:szCs w:val="32"/>
        </w:rPr>
      </w:pPr>
      <w:bookmarkStart w:id="0" w:name="_Ref4510574"/>
      <w:r w:rsidRPr="009E7B88">
        <w:rPr>
          <w:rFonts w:ascii="Arial" w:hAnsi="Arial" w:cs="Arial"/>
          <w:b/>
          <w:bCs/>
          <w:sz w:val="32"/>
          <w:szCs w:val="32"/>
        </w:rPr>
        <w:t>Introduction</w:t>
      </w:r>
      <w:bookmarkEnd w:id="0"/>
    </w:p>
    <w:p w14:paraId="439E3C9B" w14:textId="27F8AD6D" w:rsidR="00941E13" w:rsidRDefault="00797E71" w:rsidP="00F838FC">
      <w:pPr>
        <w:jc w:val="both"/>
        <w:rPr>
          <w:sz w:val="20"/>
          <w:szCs w:val="20"/>
        </w:rPr>
      </w:pPr>
      <w:r>
        <w:rPr>
          <w:sz w:val="20"/>
          <w:szCs w:val="20"/>
        </w:rPr>
        <w:t>Rel-17</w:t>
      </w:r>
      <w:r w:rsidR="00941E13">
        <w:rPr>
          <w:sz w:val="20"/>
          <w:szCs w:val="20"/>
        </w:rPr>
        <w:t xml:space="preserve"> WI to enhance integrated access and backhaul (IAB)</w:t>
      </w:r>
      <w:r w:rsidR="002516D5">
        <w:rPr>
          <w:sz w:val="20"/>
          <w:szCs w:val="20"/>
        </w:rPr>
        <w:t xml:space="preserve"> </w:t>
      </w:r>
      <w:r w:rsidR="00941E13">
        <w:rPr>
          <w:sz w:val="20"/>
          <w:szCs w:val="20"/>
        </w:rPr>
        <w:t>aims the following RAN1-led objectives, related to duplexing enhancements</w:t>
      </w:r>
      <w:r w:rsidR="002516D5">
        <w:rPr>
          <w:sz w:val="20"/>
          <w:szCs w:val="20"/>
        </w:rPr>
        <w:t xml:space="preserve"> </w:t>
      </w:r>
      <w:r w:rsidR="00941E13">
        <w:rPr>
          <w:sz w:val="20"/>
          <w:szCs w:val="20"/>
        </w:rPr>
        <w:t>[1]:</w:t>
      </w:r>
    </w:p>
    <w:p w14:paraId="2E804EE7" w14:textId="77777777" w:rsidR="00941E13" w:rsidRPr="00941E13" w:rsidRDefault="00941E13" w:rsidP="00941E13">
      <w:pPr>
        <w:numPr>
          <w:ilvl w:val="0"/>
          <w:numId w:val="23"/>
        </w:numPr>
        <w:jc w:val="both"/>
        <w:rPr>
          <w:sz w:val="20"/>
          <w:szCs w:val="20"/>
        </w:rPr>
      </w:pPr>
      <w:r w:rsidRPr="00941E13">
        <w:rPr>
          <w:sz w:val="20"/>
          <w:szCs w:val="20"/>
          <w:lang w:val="en-GB"/>
        </w:rPr>
        <w:t>Specification of enhancements to the resource multiplexing between child and parent links of an IAB node, including:</w:t>
      </w:r>
    </w:p>
    <w:p w14:paraId="0B5FCC1D" w14:textId="77777777" w:rsidR="00941E13" w:rsidRPr="00941E13" w:rsidRDefault="00941E13" w:rsidP="00941E13">
      <w:pPr>
        <w:numPr>
          <w:ilvl w:val="1"/>
          <w:numId w:val="23"/>
        </w:numPr>
        <w:jc w:val="both"/>
        <w:rPr>
          <w:sz w:val="20"/>
          <w:szCs w:val="20"/>
          <w:lang w:val="en-GB"/>
        </w:rPr>
      </w:pPr>
      <w:bookmarkStart w:id="1" w:name="_Hlk26193173"/>
      <w:r w:rsidRPr="00941E13">
        <w:rPr>
          <w:sz w:val="20"/>
          <w:szCs w:val="20"/>
          <w:lang w:val="en-GB"/>
        </w:rPr>
        <w:t>Support of simultaneous operation (transmission and/or reception) of IAB-node’s child and parent links (i.e., MT Tx/DU Tx, MT Tx/DU Rx, MT Rx/DU Tx, MT Rx/DU Rx).</w:t>
      </w:r>
    </w:p>
    <w:p w14:paraId="75261FFE" w14:textId="77777777" w:rsidR="00941E13" w:rsidRPr="00941E13" w:rsidRDefault="00941E13" w:rsidP="00941E13">
      <w:pPr>
        <w:numPr>
          <w:ilvl w:val="1"/>
          <w:numId w:val="23"/>
        </w:numPr>
        <w:jc w:val="both"/>
        <w:rPr>
          <w:sz w:val="20"/>
          <w:szCs w:val="20"/>
          <w:lang w:val="en-GB"/>
        </w:rPr>
      </w:pPr>
      <w:r w:rsidRPr="00941E13">
        <w:rPr>
          <w:sz w:val="20"/>
          <w:szCs w:val="20"/>
          <w:lang w:val="en-GB"/>
        </w:rPr>
        <w:t>Support for dual-connectivity scenarios defined by RAN2/RAN3 in the context of topology redundancy for improved robustness and load balancing.</w:t>
      </w:r>
    </w:p>
    <w:bookmarkEnd w:id="1"/>
    <w:p w14:paraId="52A63A99" w14:textId="77777777" w:rsidR="00941E13" w:rsidRPr="00941E13" w:rsidRDefault="00941E13" w:rsidP="00941E13">
      <w:pPr>
        <w:numPr>
          <w:ilvl w:val="0"/>
          <w:numId w:val="23"/>
        </w:numPr>
        <w:jc w:val="both"/>
        <w:rPr>
          <w:sz w:val="20"/>
          <w:szCs w:val="20"/>
          <w:lang w:val="en-GB"/>
        </w:rPr>
      </w:pPr>
      <w:r w:rsidRPr="00941E13">
        <w:rPr>
          <w:sz w:val="20"/>
          <w:szCs w:val="20"/>
          <w:lang w:val="en-GB"/>
        </w:rPr>
        <w:t>Specification of IAB-node timing mode(s), extensions for DL/UL power control, and CLI and interference measurements of BH links, as needed, to support simultaneous operation (transmission and/or reception) by IAB-node’s child and parent links.</w:t>
      </w:r>
    </w:p>
    <w:p w14:paraId="5C1BB757" w14:textId="77777777" w:rsidR="00941E13" w:rsidRDefault="00941E13" w:rsidP="00F838FC">
      <w:pPr>
        <w:jc w:val="both"/>
        <w:rPr>
          <w:sz w:val="20"/>
          <w:szCs w:val="20"/>
        </w:rPr>
      </w:pP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56BEE1FA" w14:textId="7975EF7F" w:rsidR="005B1FBD" w:rsidRDefault="00F838FC" w:rsidP="000D07AC">
      <w:pPr>
        <w:jc w:val="both"/>
        <w:rPr>
          <w:sz w:val="20"/>
          <w:szCs w:val="20"/>
          <w:lang w:val="en-GB"/>
        </w:rPr>
      </w:pPr>
      <w:r w:rsidRPr="00F838FC">
        <w:rPr>
          <w:sz w:val="20"/>
          <w:szCs w:val="20"/>
        </w:rPr>
        <w:t xml:space="preserve">In </w:t>
      </w:r>
      <w:r w:rsidR="005E2098">
        <w:rPr>
          <w:sz w:val="20"/>
          <w:szCs w:val="20"/>
        </w:rPr>
        <w:t>our companion paper [2]</w:t>
      </w:r>
      <w:r w:rsidRPr="00F838FC">
        <w:rPr>
          <w:sz w:val="20"/>
          <w:szCs w:val="20"/>
        </w:rPr>
        <w:t xml:space="preserve">, </w:t>
      </w:r>
      <w:r w:rsidRPr="00F838FC">
        <w:rPr>
          <w:sz w:val="20"/>
          <w:szCs w:val="20"/>
          <w:lang w:val="en-GB"/>
        </w:rPr>
        <w:t>we present our views on potential techniques</w:t>
      </w:r>
      <w:r w:rsidR="001B1922">
        <w:rPr>
          <w:sz w:val="20"/>
          <w:szCs w:val="20"/>
          <w:lang w:val="en-GB"/>
        </w:rPr>
        <w:t xml:space="preserve"> and required signalling</w:t>
      </w:r>
      <w:r w:rsidRPr="00F838FC">
        <w:rPr>
          <w:sz w:val="20"/>
          <w:szCs w:val="20"/>
          <w:lang w:val="en-GB"/>
        </w:rPr>
        <w:t xml:space="preserve"> to enhance </w:t>
      </w:r>
      <w:r w:rsidR="00D12C2E">
        <w:rPr>
          <w:sz w:val="20"/>
          <w:szCs w:val="20"/>
          <w:lang w:val="en-GB"/>
        </w:rPr>
        <w:t xml:space="preserve">resource </w:t>
      </w:r>
      <w:r w:rsidR="008C2B48">
        <w:rPr>
          <w:sz w:val="20"/>
          <w:szCs w:val="20"/>
          <w:lang w:val="en-GB"/>
        </w:rPr>
        <w:t>multiplexing</w:t>
      </w:r>
      <w:r w:rsidR="001B1922">
        <w:rPr>
          <w:sz w:val="20"/>
          <w:szCs w:val="20"/>
          <w:lang w:val="en-GB"/>
        </w:rPr>
        <w:t xml:space="preserve"> </w:t>
      </w:r>
      <w:r w:rsidR="008C2B48">
        <w:rPr>
          <w:sz w:val="20"/>
          <w:szCs w:val="20"/>
          <w:lang w:val="en-GB"/>
        </w:rPr>
        <w:t>between IAB node’s child and parent links</w:t>
      </w:r>
      <w:r w:rsidR="001B1922">
        <w:rPr>
          <w:sz w:val="20"/>
          <w:szCs w:val="20"/>
          <w:lang w:val="en-GB"/>
        </w:rPr>
        <w:t>.</w:t>
      </w:r>
      <w:r w:rsidR="005E2098">
        <w:rPr>
          <w:sz w:val="20"/>
          <w:szCs w:val="20"/>
          <w:lang w:val="en-GB"/>
        </w:rPr>
        <w:t xml:space="preserve"> In this contribution, we </w:t>
      </w:r>
      <w:r w:rsidR="000F3056">
        <w:rPr>
          <w:sz w:val="20"/>
          <w:szCs w:val="20"/>
          <w:lang w:val="en-GB"/>
        </w:rPr>
        <w:t xml:space="preserve">specifically </w:t>
      </w:r>
      <w:r w:rsidR="005E2098">
        <w:rPr>
          <w:sz w:val="20"/>
          <w:szCs w:val="20"/>
          <w:lang w:val="en-GB"/>
        </w:rPr>
        <w:t>discuss</w:t>
      </w:r>
      <w:r w:rsidR="00BE6720">
        <w:rPr>
          <w:sz w:val="20"/>
          <w:szCs w:val="20"/>
          <w:lang w:val="en-GB"/>
        </w:rPr>
        <w:t xml:space="preserve"> enhancements on power control to facilitate simultaneous operation between parent and child links within an IAB node. </w:t>
      </w:r>
    </w:p>
    <w:p w14:paraId="3C71D592" w14:textId="77777777" w:rsidR="00C74C0B" w:rsidRDefault="00C74C0B" w:rsidP="000D07AC">
      <w:pPr>
        <w:jc w:val="both"/>
        <w:rPr>
          <w:sz w:val="20"/>
          <w:szCs w:val="20"/>
        </w:rPr>
      </w:pPr>
    </w:p>
    <w:p w14:paraId="38757835" w14:textId="157F2D62" w:rsidR="00987D62" w:rsidRPr="00987D62" w:rsidRDefault="00987D62" w:rsidP="00FF6C3F">
      <w:pPr>
        <w:jc w:val="both"/>
        <w:rPr>
          <w:sz w:val="20"/>
          <w:szCs w:val="20"/>
        </w:rPr>
      </w:pPr>
    </w:p>
    <w:p w14:paraId="71960519" w14:textId="77777777" w:rsidR="00B760E2" w:rsidRPr="009E7B88" w:rsidRDefault="00B760E2" w:rsidP="00B760E2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9E7B88">
        <w:rPr>
          <w:rFonts w:ascii="Arial" w:hAnsi="Arial" w:cs="Arial"/>
          <w:b/>
          <w:bCs/>
          <w:sz w:val="32"/>
          <w:szCs w:val="32"/>
        </w:rPr>
        <w:t>IAB-MT PHR for Simultaneous Operation within an IAB-node</w:t>
      </w:r>
    </w:p>
    <w:p w14:paraId="06ECB268" w14:textId="77777777" w:rsidR="00B760E2" w:rsidRPr="00B760E2" w:rsidRDefault="00B760E2" w:rsidP="00B760E2">
      <w:pPr>
        <w:rPr>
          <w:lang w:eastAsia="zh-CN"/>
        </w:rPr>
      </w:pPr>
    </w:p>
    <w:p w14:paraId="250F0C94" w14:textId="579B0128" w:rsidR="00740B09" w:rsidRPr="00740B09" w:rsidRDefault="0091063F" w:rsidP="00BC3A6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IAB specification in Rel-16 is mainly </w:t>
      </w:r>
      <w:r w:rsidR="004D377B">
        <w:rPr>
          <w:sz w:val="20"/>
          <w:szCs w:val="20"/>
        </w:rPr>
        <w:t>limited</w:t>
      </w:r>
      <w:r>
        <w:rPr>
          <w:sz w:val="20"/>
          <w:szCs w:val="20"/>
        </w:rPr>
        <w:t xml:space="preserve"> </w:t>
      </w:r>
      <w:r w:rsidR="004D377B">
        <w:rPr>
          <w:sz w:val="20"/>
          <w:szCs w:val="20"/>
        </w:rPr>
        <w:t>to</w:t>
      </w:r>
      <w:r>
        <w:rPr>
          <w:sz w:val="20"/>
          <w:szCs w:val="20"/>
        </w:rPr>
        <w:t xml:space="preserve"> TDM operation within DU and MT components of an IAB node. In Rel-17, and as part of enhanced resource multiplexing, SDM and FDM multiplexing</w:t>
      </w:r>
      <w:r w:rsidR="00773D6E">
        <w:rPr>
          <w:sz w:val="20"/>
          <w:szCs w:val="20"/>
        </w:rPr>
        <w:t xml:space="preserve"> within an IAB node</w:t>
      </w:r>
      <w:r>
        <w:rPr>
          <w:sz w:val="20"/>
          <w:szCs w:val="20"/>
        </w:rPr>
        <w:t xml:space="preserve"> is being discussed.</w:t>
      </w:r>
      <w:r w:rsidR="00436618">
        <w:rPr>
          <w:sz w:val="20"/>
          <w:szCs w:val="20"/>
        </w:rPr>
        <w:t xml:space="preserve"> To achieve simultaneous operation and manage possible interference, UL and DL power control mechanism needs to be designed or revisited. </w:t>
      </w:r>
    </w:p>
    <w:p w14:paraId="19F2FD09" w14:textId="77777777" w:rsidR="007A42D7" w:rsidRDefault="007A42D7" w:rsidP="004658F3">
      <w:pPr>
        <w:jc w:val="both"/>
        <w:rPr>
          <w:sz w:val="20"/>
          <w:szCs w:val="20"/>
        </w:rPr>
      </w:pPr>
    </w:p>
    <w:p w14:paraId="35E71E80" w14:textId="2887BF53" w:rsidR="00BC3A62" w:rsidRDefault="007A42D7" w:rsidP="00BC3A6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Rel-16 specification, IAB-MT power control is mainly treated </w:t>
      </w:r>
      <w:proofErr w:type="gramStart"/>
      <w:r>
        <w:rPr>
          <w:sz w:val="20"/>
          <w:szCs w:val="20"/>
        </w:rPr>
        <w:t>similar to</w:t>
      </w:r>
      <w:proofErr w:type="gramEnd"/>
      <w:r>
        <w:rPr>
          <w:sz w:val="20"/>
          <w:szCs w:val="20"/>
        </w:rPr>
        <w:t xml:space="preserve"> as a regular UE.</w:t>
      </w:r>
      <w:r w:rsidR="007E1152">
        <w:rPr>
          <w:sz w:val="20"/>
          <w:szCs w:val="20"/>
        </w:rPr>
        <w:t xml:space="preserve"> </w:t>
      </w:r>
      <w:r w:rsidR="00BC3A62">
        <w:rPr>
          <w:sz w:val="20"/>
          <w:szCs w:val="20"/>
        </w:rPr>
        <w:t xml:space="preserve">Similarly, for power headroom report (PHR), </w:t>
      </w:r>
      <w:r w:rsidR="007E1152">
        <w:rPr>
          <w:sz w:val="20"/>
          <w:szCs w:val="20"/>
        </w:rPr>
        <w:t xml:space="preserve">an IAB-MT </w:t>
      </w:r>
      <w:r w:rsidR="00BC3A62">
        <w:rPr>
          <w:sz w:val="20"/>
          <w:szCs w:val="20"/>
        </w:rPr>
        <w:t xml:space="preserve">in Rel-16 </w:t>
      </w:r>
      <w:r w:rsidR="007E1152">
        <w:rPr>
          <w:sz w:val="20"/>
          <w:szCs w:val="20"/>
        </w:rPr>
        <w:t xml:space="preserve">can provide to the parent IAB-DU </w:t>
      </w:r>
      <w:r w:rsidR="007E1152" w:rsidRPr="007E1152">
        <w:rPr>
          <w:sz w:val="20"/>
          <w:szCs w:val="20"/>
        </w:rPr>
        <w:t xml:space="preserve">information about the difference between the nominal </w:t>
      </w:r>
      <w:r w:rsidR="007E1152">
        <w:rPr>
          <w:sz w:val="20"/>
          <w:szCs w:val="20"/>
        </w:rPr>
        <w:t>IAB-MT</w:t>
      </w:r>
      <w:r w:rsidR="007E1152" w:rsidRPr="007E1152">
        <w:rPr>
          <w:sz w:val="20"/>
          <w:szCs w:val="20"/>
        </w:rPr>
        <w:t xml:space="preserve"> maximum transmit power and the estimated power for </w:t>
      </w:r>
      <w:r w:rsidR="007E1152">
        <w:rPr>
          <w:sz w:val="20"/>
          <w:szCs w:val="20"/>
        </w:rPr>
        <w:t>uplink</w:t>
      </w:r>
      <w:r w:rsidR="007E1152" w:rsidRPr="007E1152">
        <w:rPr>
          <w:sz w:val="20"/>
          <w:szCs w:val="20"/>
        </w:rPr>
        <w:t xml:space="preserve"> transmission. </w:t>
      </w:r>
      <w:r>
        <w:rPr>
          <w:sz w:val="20"/>
          <w:szCs w:val="20"/>
        </w:rPr>
        <w:t xml:space="preserve">For TDM operation between IAB-DU and IAB-MT within an IAB node, Rel-16 specification for power control </w:t>
      </w:r>
      <w:r w:rsidR="00BC3A62">
        <w:rPr>
          <w:sz w:val="20"/>
          <w:szCs w:val="20"/>
        </w:rPr>
        <w:t xml:space="preserve">and PHR </w:t>
      </w:r>
      <w:r>
        <w:rPr>
          <w:sz w:val="20"/>
          <w:szCs w:val="20"/>
        </w:rPr>
        <w:t xml:space="preserve">should work. Although, for simultaneous operation between the parent and child links within an IAB, </w:t>
      </w:r>
      <w:r w:rsidR="00BC3A62">
        <w:rPr>
          <w:sz w:val="20"/>
          <w:szCs w:val="20"/>
        </w:rPr>
        <w:t xml:space="preserve">as it is the focus of IAB enhancement in Rel-17, </w:t>
      </w:r>
      <w:r>
        <w:rPr>
          <w:sz w:val="20"/>
          <w:szCs w:val="20"/>
        </w:rPr>
        <w:t>transmission on IAB-MT may result large interference to other receiving nodes. For example, for simultaneous transmission of IAB-MT and IAB-DU, IAB-MT’s transmission may make interference to legacy UE’s reception on access link or the child IAB-MT’s reception on the backhaul link, as shown in Figure 1.</w:t>
      </w:r>
      <w:r w:rsidR="00BC3A62">
        <w:rPr>
          <w:sz w:val="20"/>
          <w:szCs w:val="20"/>
        </w:rPr>
        <w:t xml:space="preserve"> In that regard, it was agreed i</w:t>
      </w:r>
      <w:r w:rsidR="00BC3A62" w:rsidRPr="00F838FC">
        <w:rPr>
          <w:sz w:val="20"/>
          <w:szCs w:val="20"/>
        </w:rPr>
        <w:t>n RAN</w:t>
      </w:r>
      <w:r w:rsidR="00BC3A62">
        <w:rPr>
          <w:sz w:val="20"/>
          <w:szCs w:val="20"/>
        </w:rPr>
        <w:t>1</w:t>
      </w:r>
      <w:r w:rsidR="00BC3A62" w:rsidRPr="00F838FC">
        <w:rPr>
          <w:sz w:val="20"/>
          <w:szCs w:val="20"/>
        </w:rPr>
        <w:t>#</w:t>
      </w:r>
      <w:r w:rsidR="00BC3A62">
        <w:rPr>
          <w:sz w:val="20"/>
          <w:szCs w:val="20"/>
        </w:rPr>
        <w:t>10</w:t>
      </w:r>
      <w:r w:rsidR="009E4F1A">
        <w:rPr>
          <w:sz w:val="20"/>
          <w:szCs w:val="20"/>
        </w:rPr>
        <w:t>5</w:t>
      </w:r>
      <w:r w:rsidR="00BC3A62">
        <w:rPr>
          <w:sz w:val="20"/>
          <w:szCs w:val="20"/>
        </w:rPr>
        <w:t>-e that [</w:t>
      </w:r>
      <w:r w:rsidR="00FA42FB">
        <w:rPr>
          <w:sz w:val="20"/>
          <w:szCs w:val="20"/>
        </w:rPr>
        <w:t>3</w:t>
      </w:r>
      <w:r w:rsidR="00BC3A62">
        <w:rPr>
          <w:sz w:val="20"/>
          <w:szCs w:val="20"/>
        </w:rPr>
        <w:t>]:</w:t>
      </w:r>
    </w:p>
    <w:p w14:paraId="3B55718C" w14:textId="77777777" w:rsidR="009E4F1A" w:rsidRDefault="009E4F1A" w:rsidP="00B760E2">
      <w:pPr>
        <w:jc w:val="both"/>
        <w:rPr>
          <w:sz w:val="20"/>
          <w:szCs w:val="20"/>
        </w:rPr>
      </w:pPr>
    </w:p>
    <w:p w14:paraId="1B62EC87" w14:textId="7AC38F17" w:rsidR="00B760E2" w:rsidRPr="00B760E2" w:rsidRDefault="00B760E2" w:rsidP="00B760E2">
      <w:pPr>
        <w:jc w:val="both"/>
        <w:rPr>
          <w:b/>
          <w:bCs/>
          <w:sz w:val="20"/>
          <w:szCs w:val="20"/>
        </w:rPr>
      </w:pPr>
      <w:r w:rsidRPr="00B760E2">
        <w:rPr>
          <w:b/>
          <w:bCs/>
          <w:sz w:val="20"/>
          <w:szCs w:val="20"/>
          <w:highlight w:val="green"/>
        </w:rPr>
        <w:t>Agreement</w:t>
      </w:r>
      <w:r>
        <w:rPr>
          <w:sz w:val="20"/>
          <w:szCs w:val="20"/>
        </w:rPr>
        <w:t xml:space="preserve">: </w:t>
      </w:r>
      <w:r w:rsidRPr="00B760E2">
        <w:rPr>
          <w:sz w:val="20"/>
          <w:szCs w:val="20"/>
        </w:rPr>
        <w:t>Decide in RAN1#106-e whether to support an IAB-node indicating assistance information to help with its MT’s UL TX power control. The assistance information can be:</w:t>
      </w:r>
    </w:p>
    <w:p w14:paraId="3D18BBC1" w14:textId="77777777" w:rsidR="00B760E2" w:rsidRPr="00B760E2" w:rsidRDefault="00B760E2" w:rsidP="00B760E2">
      <w:pPr>
        <w:numPr>
          <w:ilvl w:val="0"/>
          <w:numId w:val="34"/>
        </w:numPr>
        <w:jc w:val="both"/>
        <w:rPr>
          <w:sz w:val="20"/>
          <w:szCs w:val="20"/>
        </w:rPr>
      </w:pPr>
      <w:r w:rsidRPr="00B760E2">
        <w:rPr>
          <w:sz w:val="20"/>
          <w:szCs w:val="20"/>
        </w:rPr>
        <w:t>FFS: Desired TX power</w:t>
      </w:r>
    </w:p>
    <w:p w14:paraId="78E7A43D" w14:textId="77777777" w:rsidR="00B760E2" w:rsidRPr="00B760E2" w:rsidRDefault="00B760E2" w:rsidP="00B760E2">
      <w:pPr>
        <w:numPr>
          <w:ilvl w:val="0"/>
          <w:numId w:val="34"/>
        </w:numPr>
        <w:jc w:val="both"/>
        <w:rPr>
          <w:sz w:val="20"/>
          <w:szCs w:val="20"/>
        </w:rPr>
      </w:pPr>
      <w:r w:rsidRPr="00B760E2">
        <w:rPr>
          <w:sz w:val="20"/>
          <w:szCs w:val="20"/>
        </w:rPr>
        <w:t>FFS: Offset to a baseline PHR</w:t>
      </w:r>
    </w:p>
    <w:p w14:paraId="6994C326" w14:textId="77777777" w:rsidR="00B760E2" w:rsidRPr="00B760E2" w:rsidRDefault="00B760E2" w:rsidP="00B760E2">
      <w:pPr>
        <w:numPr>
          <w:ilvl w:val="0"/>
          <w:numId w:val="34"/>
        </w:numPr>
        <w:jc w:val="both"/>
        <w:rPr>
          <w:sz w:val="20"/>
          <w:szCs w:val="20"/>
        </w:rPr>
      </w:pPr>
      <w:r w:rsidRPr="00B760E2">
        <w:rPr>
          <w:sz w:val="20"/>
          <w:szCs w:val="20"/>
        </w:rPr>
        <w:t>FFS: Desired dynamic range</w:t>
      </w:r>
    </w:p>
    <w:p w14:paraId="0B0F86EA" w14:textId="77777777" w:rsidR="00B760E2" w:rsidRPr="00B760E2" w:rsidRDefault="00B760E2" w:rsidP="00B760E2">
      <w:pPr>
        <w:jc w:val="both"/>
        <w:rPr>
          <w:sz w:val="20"/>
          <w:szCs w:val="20"/>
        </w:rPr>
      </w:pPr>
      <w:r w:rsidRPr="00B760E2">
        <w:rPr>
          <w:sz w:val="20"/>
          <w:szCs w:val="20"/>
        </w:rPr>
        <w:t>FFS: whether this information is provided to the parent-node, the CU, or both.</w:t>
      </w:r>
    </w:p>
    <w:p w14:paraId="6DB76704" w14:textId="77777777" w:rsidR="00B760E2" w:rsidRPr="00B760E2" w:rsidRDefault="00B760E2" w:rsidP="00B760E2">
      <w:pPr>
        <w:jc w:val="both"/>
        <w:rPr>
          <w:sz w:val="20"/>
          <w:szCs w:val="20"/>
        </w:rPr>
      </w:pPr>
      <w:r w:rsidRPr="00B760E2">
        <w:rPr>
          <w:sz w:val="20"/>
          <w:szCs w:val="20"/>
        </w:rPr>
        <w:lastRenderedPageBreak/>
        <w:t xml:space="preserve">FFS: whether the MT’s UL TX power control formula needs to be changed </w:t>
      </w:r>
    </w:p>
    <w:p w14:paraId="14EB27A4" w14:textId="77777777" w:rsidR="00FA42FB" w:rsidRDefault="00FA42FB" w:rsidP="004658F3">
      <w:pPr>
        <w:jc w:val="both"/>
        <w:rPr>
          <w:sz w:val="20"/>
          <w:szCs w:val="20"/>
        </w:rPr>
      </w:pPr>
    </w:p>
    <w:p w14:paraId="5772D2EA" w14:textId="77777777" w:rsidR="009E4F1A" w:rsidRDefault="009E4F1A" w:rsidP="00C4170C">
      <w:pPr>
        <w:jc w:val="both"/>
        <w:rPr>
          <w:sz w:val="20"/>
          <w:szCs w:val="20"/>
        </w:rPr>
      </w:pPr>
      <w:r>
        <w:rPr>
          <w:sz w:val="20"/>
          <w:szCs w:val="20"/>
        </w:rPr>
        <w:t>The discussion was continued in RAN1#106e, where it was agreed that [4]:</w:t>
      </w:r>
    </w:p>
    <w:p w14:paraId="5CB11686" w14:textId="77777777" w:rsidR="009E4F1A" w:rsidRPr="009E4F1A" w:rsidRDefault="009E4F1A" w:rsidP="009E4F1A">
      <w:pPr>
        <w:rPr>
          <w:rFonts w:eastAsia="Malgun Gothic"/>
          <w:b/>
          <w:bCs/>
          <w:color w:val="000000"/>
          <w:sz w:val="20"/>
          <w:szCs w:val="20"/>
        </w:rPr>
      </w:pPr>
      <w:r w:rsidRPr="009E4F1A">
        <w:rPr>
          <w:b/>
          <w:bCs/>
          <w:color w:val="000000"/>
          <w:sz w:val="20"/>
          <w:szCs w:val="20"/>
          <w:highlight w:val="green"/>
        </w:rPr>
        <w:t>Agreement</w:t>
      </w:r>
    </w:p>
    <w:p w14:paraId="10B9E960" w14:textId="77777777" w:rsidR="009E4F1A" w:rsidRPr="009E4F1A" w:rsidRDefault="009E4F1A" w:rsidP="009E4F1A">
      <w:pPr>
        <w:rPr>
          <w:bCs/>
          <w:color w:val="000000"/>
          <w:sz w:val="20"/>
          <w:szCs w:val="20"/>
        </w:rPr>
      </w:pPr>
      <w:r w:rsidRPr="009E4F1A">
        <w:rPr>
          <w:bCs/>
          <w:color w:val="000000"/>
          <w:sz w:val="20"/>
          <w:szCs w:val="20"/>
        </w:rPr>
        <w:t>Support an IAB-node indicating its desired IAB-MT PSD range to help with its MT’s UL TX power control.</w:t>
      </w:r>
    </w:p>
    <w:p w14:paraId="473AC16B" w14:textId="77777777" w:rsidR="009E4F1A" w:rsidRPr="009E4F1A" w:rsidRDefault="009E4F1A" w:rsidP="009E4F1A">
      <w:pPr>
        <w:pStyle w:val="ListParagraph"/>
        <w:numPr>
          <w:ilvl w:val="0"/>
          <w:numId w:val="37"/>
        </w:numPr>
        <w:contextualSpacing w:val="0"/>
        <w:rPr>
          <w:bCs/>
          <w:color w:val="595959"/>
          <w:sz w:val="20"/>
          <w:szCs w:val="20"/>
        </w:rPr>
      </w:pPr>
      <w:r w:rsidRPr="009E4F1A">
        <w:rPr>
          <w:bCs/>
          <w:sz w:val="20"/>
          <w:szCs w:val="20"/>
        </w:rPr>
        <w:t>This information is provided to the parent node</w:t>
      </w:r>
    </w:p>
    <w:p w14:paraId="341B12E5" w14:textId="77777777" w:rsidR="009E4F1A" w:rsidRPr="009E4F1A" w:rsidRDefault="009E4F1A" w:rsidP="009E4F1A">
      <w:pPr>
        <w:rPr>
          <w:bCs/>
          <w:color w:val="000000"/>
          <w:sz w:val="20"/>
          <w:szCs w:val="20"/>
        </w:rPr>
      </w:pPr>
      <w:r w:rsidRPr="009E4F1A">
        <w:rPr>
          <w:bCs/>
          <w:color w:val="000000"/>
          <w:sz w:val="20"/>
          <w:szCs w:val="20"/>
        </w:rPr>
        <w:t>FFS: Applicability of assistance information, e.g., per multiplexing scenario, per resource, etc.</w:t>
      </w:r>
    </w:p>
    <w:p w14:paraId="0DB099AF" w14:textId="77777777" w:rsidR="009E4F1A" w:rsidRPr="009E4F1A" w:rsidRDefault="009E4F1A" w:rsidP="009E4F1A">
      <w:pPr>
        <w:rPr>
          <w:bCs/>
          <w:color w:val="000000"/>
          <w:sz w:val="20"/>
          <w:szCs w:val="20"/>
        </w:rPr>
      </w:pPr>
      <w:r w:rsidRPr="009E4F1A">
        <w:rPr>
          <w:bCs/>
          <w:color w:val="000000"/>
          <w:sz w:val="20"/>
          <w:szCs w:val="20"/>
        </w:rPr>
        <w:t xml:space="preserve">FFS: </w:t>
      </w:r>
      <w:proofErr w:type="spellStart"/>
      <w:r w:rsidRPr="009E4F1A">
        <w:rPr>
          <w:bCs/>
          <w:color w:val="000000"/>
          <w:sz w:val="20"/>
          <w:szCs w:val="20"/>
        </w:rPr>
        <w:t>Signalling</w:t>
      </w:r>
      <w:proofErr w:type="spellEnd"/>
      <w:r w:rsidRPr="009E4F1A">
        <w:rPr>
          <w:bCs/>
          <w:color w:val="000000"/>
          <w:sz w:val="20"/>
          <w:szCs w:val="20"/>
        </w:rPr>
        <w:t xml:space="preserve"> details, including the possibility to extend PHR.</w:t>
      </w:r>
    </w:p>
    <w:p w14:paraId="38424F4F" w14:textId="77777777" w:rsidR="009E4F1A" w:rsidRDefault="009E4F1A" w:rsidP="00C4170C">
      <w:pPr>
        <w:jc w:val="both"/>
        <w:rPr>
          <w:sz w:val="20"/>
          <w:szCs w:val="20"/>
        </w:rPr>
      </w:pPr>
    </w:p>
    <w:p w14:paraId="323C6B31" w14:textId="6B124DDF" w:rsidR="007E1152" w:rsidRDefault="004D6158" w:rsidP="00C4170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Given that IAB operation may switch between different duplexing modes, </w:t>
      </w:r>
      <w:proofErr w:type="gramStart"/>
      <w:r>
        <w:rPr>
          <w:sz w:val="20"/>
          <w:szCs w:val="20"/>
        </w:rPr>
        <w:t>e.g.</w:t>
      </w:r>
      <w:proofErr w:type="gramEnd"/>
      <w:r>
        <w:rPr>
          <w:sz w:val="20"/>
          <w:szCs w:val="20"/>
        </w:rPr>
        <w:t xml:space="preserve"> from TDM to SDM/FDM and vice versa, parent IAB-DU will ideally benefit a report from IAB-MT that indicates PHR for each duplexing mode (instead of multiple PHR reports each associated with one operation mode). To achieve this, IAB-MT can report PHR for a single operation mode, </w:t>
      </w:r>
      <w:proofErr w:type="gramStart"/>
      <w:r>
        <w:rPr>
          <w:sz w:val="20"/>
          <w:szCs w:val="20"/>
        </w:rPr>
        <w:t>e.g.</w:t>
      </w:r>
      <w:proofErr w:type="gramEnd"/>
      <w:r>
        <w:rPr>
          <w:sz w:val="20"/>
          <w:szCs w:val="20"/>
        </w:rPr>
        <w:t xml:space="preserve"> TDD, and the existing reserved bits in MAC-CE for PHR report can be repurposed to indicate the offset to the original PHR report for IAB-MT’s operation with </w:t>
      </w:r>
      <w:r w:rsidR="00565F5D">
        <w:rPr>
          <w:sz w:val="20"/>
          <w:szCs w:val="20"/>
        </w:rPr>
        <w:t>simultaneous</w:t>
      </w:r>
      <w:r>
        <w:rPr>
          <w:sz w:val="20"/>
          <w:szCs w:val="20"/>
        </w:rPr>
        <w:t xml:space="preserve"> IAB-DU’s tran</w:t>
      </w:r>
      <w:r w:rsidR="00565F5D">
        <w:rPr>
          <w:sz w:val="20"/>
          <w:szCs w:val="20"/>
        </w:rPr>
        <w:t xml:space="preserve">smission or reception. </w:t>
      </w:r>
      <w:r w:rsidR="000143DE">
        <w:rPr>
          <w:sz w:val="20"/>
          <w:szCs w:val="20"/>
        </w:rPr>
        <w:t>Based on the above discussions, we have the following proposals:</w:t>
      </w:r>
    </w:p>
    <w:p w14:paraId="5AB4A466" w14:textId="5F13B671" w:rsidR="006D2327" w:rsidRDefault="006D2327" w:rsidP="00D015E7">
      <w:pPr>
        <w:jc w:val="both"/>
        <w:rPr>
          <w:sz w:val="20"/>
          <w:szCs w:val="20"/>
        </w:rPr>
      </w:pPr>
    </w:p>
    <w:p w14:paraId="390BB23F" w14:textId="735092DE" w:rsidR="006D2327" w:rsidRDefault="006D2327" w:rsidP="006D2327">
      <w:pPr>
        <w:jc w:val="both"/>
        <w:rPr>
          <w:sz w:val="20"/>
          <w:szCs w:val="20"/>
        </w:rPr>
      </w:pPr>
      <w:r w:rsidRPr="006D2327">
        <w:rPr>
          <w:b/>
          <w:bCs/>
          <w:sz w:val="20"/>
          <w:szCs w:val="20"/>
        </w:rPr>
        <w:t xml:space="preserve">Proposal </w:t>
      </w:r>
      <w:r w:rsidR="00086D20">
        <w:rPr>
          <w:b/>
          <w:bCs/>
          <w:sz w:val="20"/>
          <w:szCs w:val="20"/>
        </w:rPr>
        <w:t>1</w:t>
      </w:r>
      <w:r w:rsidRPr="006D2327">
        <w:rPr>
          <w:sz w:val="20"/>
          <w:szCs w:val="20"/>
        </w:rPr>
        <w:t xml:space="preserve">: An IAB-MT reports a single PHR to its parent IAB-DU, corresponding to TDM multiplexing as legacy, and in addition IAB-MT indicates an offset to the reported PHR for the case of simultaneous </w:t>
      </w:r>
      <w:r w:rsidR="004057D4">
        <w:rPr>
          <w:sz w:val="20"/>
          <w:szCs w:val="20"/>
        </w:rPr>
        <w:t>operation</w:t>
      </w:r>
      <w:r w:rsidRPr="006D2327">
        <w:rPr>
          <w:sz w:val="20"/>
          <w:szCs w:val="20"/>
        </w:rPr>
        <w:t xml:space="preserve"> with DU within an IAB node  </w:t>
      </w:r>
    </w:p>
    <w:p w14:paraId="0367A703" w14:textId="1FAC88E0" w:rsidR="006D2327" w:rsidRDefault="006D2327" w:rsidP="006D2327">
      <w:pPr>
        <w:jc w:val="both"/>
        <w:rPr>
          <w:sz w:val="20"/>
          <w:szCs w:val="20"/>
        </w:rPr>
      </w:pPr>
      <w:r w:rsidRPr="006D2327">
        <w:rPr>
          <w:sz w:val="20"/>
          <w:szCs w:val="20"/>
        </w:rPr>
        <w:t xml:space="preserve"> </w:t>
      </w:r>
    </w:p>
    <w:p w14:paraId="355A7AB4" w14:textId="4B1E4A04" w:rsidR="006D2327" w:rsidRDefault="006D2327" w:rsidP="006D2327">
      <w:pPr>
        <w:jc w:val="both"/>
        <w:rPr>
          <w:sz w:val="20"/>
          <w:szCs w:val="20"/>
        </w:rPr>
      </w:pPr>
      <w:r w:rsidRPr="006D2327">
        <w:rPr>
          <w:b/>
          <w:bCs/>
          <w:sz w:val="20"/>
          <w:szCs w:val="20"/>
        </w:rPr>
        <w:t xml:space="preserve">Proposal </w:t>
      </w:r>
      <w:r w:rsidR="00086D20">
        <w:rPr>
          <w:b/>
          <w:bCs/>
          <w:sz w:val="20"/>
          <w:szCs w:val="20"/>
        </w:rPr>
        <w:t>2</w:t>
      </w:r>
      <w:r w:rsidRPr="006D2327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To indicate the offset in PHR for different operation modes within an IAB node: </w:t>
      </w:r>
    </w:p>
    <w:p w14:paraId="34DD2012" w14:textId="267241B9" w:rsidR="006D2327" w:rsidRDefault="00D0454A" w:rsidP="006D2327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>
        <w:rPr>
          <w:sz w:val="20"/>
          <w:szCs w:val="20"/>
        </w:rPr>
        <w:t>The</w:t>
      </w:r>
      <w:r w:rsidR="006D2327" w:rsidRPr="006D2327">
        <w:rPr>
          <w:sz w:val="20"/>
          <w:szCs w:val="20"/>
        </w:rPr>
        <w:t xml:space="preserve"> 6 bits for PHR in the Single Entry PHR MAC-CE structure represent the legacy PHR report for the case of TDM mode</w:t>
      </w:r>
    </w:p>
    <w:p w14:paraId="68B96C6D" w14:textId="77777777" w:rsidR="006D2327" w:rsidRDefault="006D2327" w:rsidP="006D2327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 w:rsidRPr="006D2327">
        <w:rPr>
          <w:sz w:val="20"/>
          <w:szCs w:val="20"/>
        </w:rPr>
        <w:t xml:space="preserve">The 4 reserved bits for each PHR may be used to indicate the offset to the legacy PHR, </w:t>
      </w:r>
      <w:proofErr w:type="spellStart"/>
      <w:r w:rsidRPr="006D2327">
        <w:rPr>
          <w:sz w:val="20"/>
          <w:szCs w:val="20"/>
        </w:rPr>
        <w:t>i.e</w:t>
      </w:r>
      <w:proofErr w:type="spellEnd"/>
      <w:r w:rsidRPr="006D2327">
        <w:rPr>
          <w:sz w:val="20"/>
          <w:szCs w:val="20"/>
        </w:rPr>
        <w:t xml:space="preserve"> corresponding to the simultaneous Tx  </w:t>
      </w:r>
    </w:p>
    <w:p w14:paraId="124B01A4" w14:textId="6E80D339" w:rsidR="006D2327" w:rsidRPr="006D2327" w:rsidRDefault="006D2327" w:rsidP="006D2327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 w:rsidRPr="006D2327">
        <w:rPr>
          <w:sz w:val="20"/>
          <w:szCs w:val="20"/>
        </w:rPr>
        <w:t xml:space="preserve">Alternatively, the offset is semi-statically configured and </w:t>
      </w:r>
      <w:r w:rsidR="00D0454A">
        <w:rPr>
          <w:sz w:val="20"/>
          <w:szCs w:val="20"/>
        </w:rPr>
        <w:t xml:space="preserve">is </w:t>
      </w:r>
      <w:r w:rsidRPr="006D2327">
        <w:rPr>
          <w:sz w:val="20"/>
          <w:szCs w:val="20"/>
        </w:rPr>
        <w:t xml:space="preserve">indicated to parent IAB-DU by </w:t>
      </w:r>
      <w:proofErr w:type="spellStart"/>
      <w:r w:rsidRPr="006D2327">
        <w:rPr>
          <w:sz w:val="20"/>
          <w:szCs w:val="20"/>
        </w:rPr>
        <w:t>gNB</w:t>
      </w:r>
      <w:proofErr w:type="spellEnd"/>
      <w:r w:rsidRPr="006D2327">
        <w:rPr>
          <w:sz w:val="20"/>
          <w:szCs w:val="20"/>
        </w:rPr>
        <w:t>-CU through F1</w:t>
      </w:r>
    </w:p>
    <w:p w14:paraId="25FA31F8" w14:textId="272B0520" w:rsidR="00D015E7" w:rsidRDefault="00D015E7" w:rsidP="00D015E7">
      <w:pPr>
        <w:jc w:val="both"/>
        <w:rPr>
          <w:sz w:val="20"/>
          <w:szCs w:val="20"/>
        </w:rPr>
      </w:pPr>
    </w:p>
    <w:p w14:paraId="38670400" w14:textId="02B03B31" w:rsidR="00565F5D" w:rsidRDefault="00565F5D" w:rsidP="006D2327">
      <w:pPr>
        <w:rPr>
          <w:sz w:val="20"/>
          <w:szCs w:val="20"/>
          <w:lang w:eastAsia="zh-CN"/>
        </w:rPr>
      </w:pPr>
    </w:p>
    <w:p w14:paraId="28D4BD1F" w14:textId="77777777" w:rsidR="00C4170C" w:rsidRDefault="00C4170C" w:rsidP="00C4170C">
      <w:pPr>
        <w:jc w:val="center"/>
        <w:rPr>
          <w:sz w:val="20"/>
          <w:szCs w:val="20"/>
        </w:rPr>
      </w:pPr>
      <w:r w:rsidRPr="007E1152">
        <w:rPr>
          <w:noProof/>
          <w:sz w:val="20"/>
          <w:szCs w:val="20"/>
          <w:lang w:eastAsia="zh-CN"/>
        </w:rPr>
        <w:drawing>
          <wp:inline distT="0" distB="0" distL="0" distR="0" wp14:anchorId="2ACE9F82" wp14:editId="53C9FD9D">
            <wp:extent cx="1675328" cy="1570175"/>
            <wp:effectExtent l="0" t="0" r="1270" b="5080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00364" cy="159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827E1" w14:textId="77777777" w:rsidR="00C4170C" w:rsidRDefault="00C4170C" w:rsidP="00C4170C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>Figure 1</w:t>
      </w:r>
      <w:r>
        <w:rPr>
          <w:sz w:val="20"/>
          <w:szCs w:val="20"/>
          <w:lang w:eastAsia="zh-CN"/>
        </w:rPr>
        <w:t>: Simultaneous transmission within an IAB-node.</w:t>
      </w:r>
    </w:p>
    <w:p w14:paraId="3DDB8045" w14:textId="7D614A13" w:rsidR="00C4170C" w:rsidRDefault="00C4170C" w:rsidP="006D2327">
      <w:pPr>
        <w:rPr>
          <w:sz w:val="20"/>
          <w:szCs w:val="20"/>
          <w:lang w:eastAsia="zh-CN"/>
        </w:rPr>
      </w:pPr>
    </w:p>
    <w:p w14:paraId="1863BBDB" w14:textId="77777777" w:rsidR="006244CF" w:rsidRDefault="006244CF" w:rsidP="006D2327">
      <w:pPr>
        <w:rPr>
          <w:sz w:val="20"/>
          <w:szCs w:val="20"/>
          <w:lang w:eastAsia="zh-CN"/>
        </w:rPr>
      </w:pPr>
    </w:p>
    <w:p w14:paraId="272F41F2" w14:textId="5B01B608" w:rsidR="00565F5D" w:rsidRDefault="00565F5D" w:rsidP="00D4606C">
      <w:pPr>
        <w:jc w:val="center"/>
        <w:rPr>
          <w:sz w:val="20"/>
          <w:szCs w:val="20"/>
          <w:lang w:eastAsia="zh-CN"/>
        </w:rPr>
      </w:pPr>
    </w:p>
    <w:p w14:paraId="08BB9C4D" w14:textId="7B7EE2CB" w:rsidR="00565F5D" w:rsidRPr="007E1152" w:rsidRDefault="00565F5D" w:rsidP="00565F5D">
      <w:pPr>
        <w:jc w:val="both"/>
        <w:rPr>
          <w:sz w:val="20"/>
          <w:szCs w:val="20"/>
        </w:rPr>
      </w:pPr>
      <w:r w:rsidRPr="007E1152">
        <w:rPr>
          <w:sz w:val="20"/>
          <w:szCs w:val="20"/>
        </w:rPr>
        <w:t>From 38.321</w:t>
      </w:r>
      <w:r>
        <w:rPr>
          <w:sz w:val="20"/>
          <w:szCs w:val="20"/>
        </w:rPr>
        <w:t>, we know that a PHR</w:t>
      </w:r>
      <w:r w:rsidRPr="007E1152">
        <w:rPr>
          <w:sz w:val="20"/>
          <w:szCs w:val="20"/>
        </w:rPr>
        <w:t xml:space="preserve"> shall be triggered under couple of events, including:</w:t>
      </w:r>
    </w:p>
    <w:p w14:paraId="2067ECBF" w14:textId="77777777" w:rsidR="00565F5D" w:rsidRPr="006D2327" w:rsidRDefault="00565F5D" w:rsidP="006D2327">
      <w:pPr>
        <w:pStyle w:val="ListParagraph"/>
        <w:numPr>
          <w:ilvl w:val="0"/>
          <w:numId w:val="31"/>
        </w:numPr>
        <w:jc w:val="both"/>
        <w:rPr>
          <w:sz w:val="20"/>
          <w:szCs w:val="20"/>
        </w:rPr>
      </w:pPr>
      <w:proofErr w:type="spellStart"/>
      <w:r w:rsidRPr="006D2327">
        <w:rPr>
          <w:i/>
          <w:iCs/>
          <w:sz w:val="20"/>
          <w:szCs w:val="20"/>
        </w:rPr>
        <w:t>phr-ProhibitTimer</w:t>
      </w:r>
      <w:proofErr w:type="spellEnd"/>
      <w:r w:rsidRPr="006D2327">
        <w:rPr>
          <w:sz w:val="20"/>
          <w:szCs w:val="20"/>
        </w:rPr>
        <w:t xml:space="preserve"> expires or has </w:t>
      </w:r>
      <w:proofErr w:type="gramStart"/>
      <w:r w:rsidRPr="006D2327">
        <w:rPr>
          <w:sz w:val="20"/>
          <w:szCs w:val="20"/>
        </w:rPr>
        <w:t>expired</w:t>
      </w:r>
      <w:proofErr w:type="gramEnd"/>
      <w:r w:rsidRPr="006D2327">
        <w:rPr>
          <w:sz w:val="20"/>
          <w:szCs w:val="20"/>
        </w:rPr>
        <w:t xml:space="preserve"> and the path loss has changed more than </w:t>
      </w:r>
      <w:proofErr w:type="spellStart"/>
      <w:r w:rsidRPr="006D2327">
        <w:rPr>
          <w:i/>
          <w:iCs/>
          <w:sz w:val="20"/>
          <w:szCs w:val="20"/>
        </w:rPr>
        <w:t>phr</w:t>
      </w:r>
      <w:proofErr w:type="spellEnd"/>
      <w:r w:rsidRPr="006D2327">
        <w:rPr>
          <w:i/>
          <w:iCs/>
          <w:sz w:val="20"/>
          <w:szCs w:val="20"/>
        </w:rPr>
        <w:t>-Tx-</w:t>
      </w:r>
      <w:proofErr w:type="spellStart"/>
      <w:r w:rsidRPr="006D2327">
        <w:rPr>
          <w:i/>
          <w:iCs/>
          <w:sz w:val="20"/>
          <w:szCs w:val="20"/>
        </w:rPr>
        <w:t>PowerFactorChange</w:t>
      </w:r>
      <w:proofErr w:type="spellEnd"/>
      <w:r w:rsidRPr="006D2327">
        <w:rPr>
          <w:sz w:val="20"/>
          <w:szCs w:val="20"/>
        </w:rPr>
        <w:t xml:space="preserve"> dB for at least one activated Serving Cell of any MAC entity which is used as a pathloss reference since the last transmission of a PHR in this MAC entity when the MAC entity has UL resources for new transmission</w:t>
      </w:r>
    </w:p>
    <w:p w14:paraId="4DF22CC2" w14:textId="77777777" w:rsidR="00565F5D" w:rsidRPr="006D2327" w:rsidRDefault="00565F5D" w:rsidP="006D2327">
      <w:pPr>
        <w:pStyle w:val="ListParagraph"/>
        <w:numPr>
          <w:ilvl w:val="0"/>
          <w:numId w:val="31"/>
        </w:numPr>
        <w:jc w:val="both"/>
        <w:rPr>
          <w:sz w:val="20"/>
          <w:szCs w:val="20"/>
        </w:rPr>
      </w:pPr>
      <w:proofErr w:type="spellStart"/>
      <w:r w:rsidRPr="006D2327">
        <w:rPr>
          <w:i/>
          <w:iCs/>
          <w:sz w:val="20"/>
          <w:szCs w:val="20"/>
        </w:rPr>
        <w:t>phr-PeriodicTimer</w:t>
      </w:r>
      <w:proofErr w:type="spellEnd"/>
      <w:r w:rsidRPr="006D2327">
        <w:rPr>
          <w:i/>
          <w:iCs/>
          <w:sz w:val="20"/>
          <w:szCs w:val="20"/>
        </w:rPr>
        <w:t xml:space="preserve"> </w:t>
      </w:r>
      <w:r w:rsidRPr="006D2327">
        <w:rPr>
          <w:sz w:val="20"/>
          <w:szCs w:val="20"/>
        </w:rPr>
        <w:t>expires</w:t>
      </w:r>
    </w:p>
    <w:p w14:paraId="6BB137EE" w14:textId="77777777" w:rsidR="00565F5D" w:rsidRDefault="00565F5D" w:rsidP="00565F5D">
      <w:pPr>
        <w:jc w:val="both"/>
        <w:rPr>
          <w:sz w:val="20"/>
          <w:szCs w:val="20"/>
          <w:lang w:eastAsia="zh-CN"/>
        </w:rPr>
      </w:pPr>
    </w:p>
    <w:p w14:paraId="7A2F633C" w14:textId="3B9024DB" w:rsidR="00351AE1" w:rsidRDefault="006D2327" w:rsidP="00D015E7">
      <w:pPr>
        <w:jc w:val="both"/>
        <w:rPr>
          <w:sz w:val="20"/>
          <w:szCs w:val="20"/>
        </w:rPr>
      </w:pPr>
      <w:r>
        <w:rPr>
          <w:sz w:val="20"/>
          <w:szCs w:val="20"/>
        </w:rPr>
        <w:t>For the case of IAB-MT operat</w:t>
      </w:r>
      <w:r w:rsidR="00351AE1">
        <w:rPr>
          <w:sz w:val="20"/>
          <w:szCs w:val="20"/>
        </w:rPr>
        <w:t>ion in Rel-17, change of operation mode can be another source to trigger PHR report. For example, if IAB-MT is currently operating in TDM mode, but it is indicated to switch to simultaneous transmission with the IAB-DU, the PHR report for the two operation modes could be different, as it was discussed above. In summary, in addition to existing Rel-16 events, the other events that may trigger PHR for an IAB-MT are as follows:</w:t>
      </w:r>
    </w:p>
    <w:p w14:paraId="3C3D92F3" w14:textId="77777777" w:rsidR="00351AE1" w:rsidRDefault="00351AE1" w:rsidP="00351AE1">
      <w:pPr>
        <w:pStyle w:val="ListParagraph"/>
        <w:numPr>
          <w:ilvl w:val="0"/>
          <w:numId w:val="33"/>
        </w:numPr>
        <w:jc w:val="both"/>
        <w:rPr>
          <w:sz w:val="20"/>
          <w:szCs w:val="20"/>
        </w:rPr>
      </w:pPr>
      <w:r w:rsidRPr="00351AE1">
        <w:rPr>
          <w:sz w:val="20"/>
          <w:szCs w:val="20"/>
        </w:rPr>
        <w:t>From TDM to simultaneous MT-Tx &amp; DU-Tx or vice versa</w:t>
      </w:r>
    </w:p>
    <w:p w14:paraId="7C3F3D76" w14:textId="77777777" w:rsidR="00351AE1" w:rsidRDefault="00351AE1" w:rsidP="00351AE1">
      <w:pPr>
        <w:pStyle w:val="ListParagraph"/>
        <w:numPr>
          <w:ilvl w:val="0"/>
          <w:numId w:val="33"/>
        </w:numPr>
        <w:jc w:val="both"/>
        <w:rPr>
          <w:sz w:val="20"/>
          <w:szCs w:val="20"/>
        </w:rPr>
      </w:pPr>
      <w:r w:rsidRPr="00351AE1">
        <w:rPr>
          <w:sz w:val="20"/>
          <w:szCs w:val="20"/>
        </w:rPr>
        <w:t>From TDM to simultaneous MT-Tx &amp; DU-Rx or vice versa</w:t>
      </w:r>
    </w:p>
    <w:p w14:paraId="232A5790" w14:textId="23512D30" w:rsidR="00351AE1" w:rsidRPr="00351AE1" w:rsidRDefault="00351AE1" w:rsidP="00351AE1">
      <w:pPr>
        <w:pStyle w:val="ListParagraph"/>
        <w:numPr>
          <w:ilvl w:val="0"/>
          <w:numId w:val="33"/>
        </w:numPr>
        <w:jc w:val="both"/>
        <w:rPr>
          <w:sz w:val="20"/>
          <w:szCs w:val="20"/>
        </w:rPr>
      </w:pPr>
      <w:r w:rsidRPr="00351AE1">
        <w:rPr>
          <w:sz w:val="20"/>
          <w:szCs w:val="20"/>
        </w:rPr>
        <w:t>From simultaneous MT-Tx &amp; DU-Tx to simultaneous MT-Tx &amp; DU-Rx or vice versa</w:t>
      </w:r>
    </w:p>
    <w:p w14:paraId="23E2B91B" w14:textId="77777777" w:rsidR="00351AE1" w:rsidRDefault="00351AE1" w:rsidP="00D015E7">
      <w:pPr>
        <w:jc w:val="both"/>
        <w:rPr>
          <w:sz w:val="20"/>
          <w:szCs w:val="20"/>
        </w:rPr>
      </w:pPr>
    </w:p>
    <w:p w14:paraId="052A60F1" w14:textId="22068D33" w:rsidR="00D4606C" w:rsidRDefault="00351AE1" w:rsidP="00D015E7">
      <w:pPr>
        <w:jc w:val="both"/>
        <w:rPr>
          <w:sz w:val="20"/>
          <w:szCs w:val="20"/>
        </w:rPr>
      </w:pPr>
      <w:r>
        <w:rPr>
          <w:sz w:val="20"/>
          <w:szCs w:val="20"/>
        </w:rPr>
        <w:t>Based on the above discussions, we have the following proposals:</w:t>
      </w:r>
    </w:p>
    <w:p w14:paraId="0DCEAB35" w14:textId="4C8AD078" w:rsidR="00351AE1" w:rsidRDefault="00351AE1" w:rsidP="00D015E7">
      <w:pPr>
        <w:jc w:val="both"/>
        <w:rPr>
          <w:sz w:val="20"/>
          <w:szCs w:val="20"/>
        </w:rPr>
      </w:pPr>
    </w:p>
    <w:p w14:paraId="046C58A0" w14:textId="7CB8E16E" w:rsidR="00351AE1" w:rsidRDefault="00351AE1" w:rsidP="00D015E7">
      <w:pPr>
        <w:jc w:val="both"/>
        <w:rPr>
          <w:sz w:val="20"/>
          <w:szCs w:val="20"/>
        </w:rPr>
      </w:pPr>
      <w:r w:rsidRPr="00351AE1">
        <w:rPr>
          <w:b/>
          <w:bCs/>
          <w:sz w:val="20"/>
          <w:szCs w:val="20"/>
        </w:rPr>
        <w:t xml:space="preserve">Proposal </w:t>
      </w:r>
      <w:r w:rsidR="00086D20">
        <w:rPr>
          <w:b/>
          <w:bCs/>
          <w:sz w:val="20"/>
          <w:szCs w:val="20"/>
        </w:rPr>
        <w:t>3</w:t>
      </w:r>
      <w:r w:rsidRPr="00351AE1">
        <w:rPr>
          <w:sz w:val="20"/>
          <w:szCs w:val="20"/>
        </w:rPr>
        <w:t xml:space="preserve">: In addition to current events that trigger a PHR report, </w:t>
      </w:r>
      <w:r>
        <w:rPr>
          <w:sz w:val="20"/>
          <w:szCs w:val="20"/>
        </w:rPr>
        <w:t>c</w:t>
      </w:r>
      <w:r w:rsidRPr="00351AE1">
        <w:rPr>
          <w:sz w:val="20"/>
          <w:szCs w:val="20"/>
        </w:rPr>
        <w:t xml:space="preserve">hange of duplexing mode within an IAB node may trigger a PHR report at </w:t>
      </w:r>
      <w:r>
        <w:rPr>
          <w:sz w:val="20"/>
          <w:szCs w:val="20"/>
        </w:rPr>
        <w:t>IAB-</w:t>
      </w:r>
      <w:r w:rsidRPr="00351AE1">
        <w:rPr>
          <w:sz w:val="20"/>
          <w:szCs w:val="20"/>
        </w:rPr>
        <w:t>MT</w:t>
      </w:r>
      <w:r>
        <w:rPr>
          <w:sz w:val="20"/>
          <w:szCs w:val="20"/>
        </w:rPr>
        <w:t>.</w:t>
      </w:r>
    </w:p>
    <w:p w14:paraId="0E4C02E5" w14:textId="6871C077" w:rsidR="00C4170C" w:rsidRDefault="00C4170C" w:rsidP="00D015E7">
      <w:pPr>
        <w:jc w:val="both"/>
        <w:rPr>
          <w:sz w:val="20"/>
          <w:szCs w:val="20"/>
        </w:rPr>
      </w:pPr>
    </w:p>
    <w:p w14:paraId="0077A3D0" w14:textId="77777777" w:rsidR="00086D20" w:rsidRPr="009E7B88" w:rsidRDefault="00086D20" w:rsidP="00086D20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9E7B88">
        <w:rPr>
          <w:rFonts w:ascii="Arial" w:hAnsi="Arial" w:cs="Arial"/>
          <w:b/>
          <w:bCs/>
          <w:sz w:val="32"/>
          <w:szCs w:val="32"/>
        </w:rPr>
        <w:t xml:space="preserve">IAB-DU’s Tx Power Adjustment </w:t>
      </w:r>
    </w:p>
    <w:p w14:paraId="5450F5B4" w14:textId="2E8AB6EA" w:rsidR="002F1BD5" w:rsidRDefault="002F1BD5" w:rsidP="002F1BD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Within Rel-17, and specifically as part of simultaneous reception by IAB-MT and IAB-DU within an IAB-node, it has been discussed the feasibility and required specification, for the </w:t>
      </w:r>
      <w:r w:rsidRPr="002F1BD5">
        <w:rPr>
          <w:sz w:val="20"/>
          <w:szCs w:val="20"/>
        </w:rPr>
        <w:t>IAB</w:t>
      </w:r>
      <w:r>
        <w:rPr>
          <w:sz w:val="20"/>
          <w:szCs w:val="20"/>
        </w:rPr>
        <w:t>-</w:t>
      </w:r>
      <w:r w:rsidRPr="002F1BD5">
        <w:rPr>
          <w:sz w:val="20"/>
          <w:szCs w:val="20"/>
        </w:rPr>
        <w:t xml:space="preserve">MT </w:t>
      </w:r>
      <w:r>
        <w:rPr>
          <w:sz w:val="20"/>
          <w:szCs w:val="20"/>
        </w:rPr>
        <w:t>recommending</w:t>
      </w:r>
      <w:r w:rsidRPr="002F1BD5">
        <w:rPr>
          <w:sz w:val="20"/>
          <w:szCs w:val="20"/>
        </w:rPr>
        <w:t xml:space="preserve"> desired power to assist</w:t>
      </w:r>
      <w:r>
        <w:rPr>
          <w:sz w:val="20"/>
          <w:szCs w:val="20"/>
        </w:rPr>
        <w:t xml:space="preserve"> its parent IAB-DU in adjusting</w:t>
      </w:r>
      <w:r w:rsidRPr="002F1BD5">
        <w:rPr>
          <w:sz w:val="20"/>
          <w:szCs w:val="20"/>
        </w:rPr>
        <w:t xml:space="preserve"> DL power. </w:t>
      </w:r>
      <w:r>
        <w:rPr>
          <w:sz w:val="20"/>
          <w:szCs w:val="20"/>
        </w:rPr>
        <w:t>As a result of such discussions, it was agreed in RAN1#106-e that [6]</w:t>
      </w:r>
      <w:r w:rsidR="00ED0ED6">
        <w:rPr>
          <w:sz w:val="20"/>
          <w:szCs w:val="20"/>
        </w:rPr>
        <w:t>:</w:t>
      </w:r>
    </w:p>
    <w:p w14:paraId="6550795F" w14:textId="0E3CB186" w:rsidR="002F1BD5" w:rsidRDefault="002F1BD5" w:rsidP="002F1BD5">
      <w:pPr>
        <w:jc w:val="both"/>
        <w:rPr>
          <w:sz w:val="20"/>
          <w:szCs w:val="20"/>
        </w:rPr>
      </w:pPr>
    </w:p>
    <w:p w14:paraId="610D7989" w14:textId="77777777" w:rsidR="00ED0ED6" w:rsidRPr="00ED0ED6" w:rsidRDefault="00ED0ED6" w:rsidP="00ED0ED6">
      <w:pPr>
        <w:rPr>
          <w:rFonts w:cs="Times"/>
          <w:b/>
          <w:bCs/>
          <w:sz w:val="20"/>
          <w:szCs w:val="20"/>
          <w:highlight w:val="green"/>
        </w:rPr>
      </w:pPr>
      <w:r w:rsidRPr="00ED0ED6">
        <w:rPr>
          <w:rFonts w:cs="Times"/>
          <w:b/>
          <w:bCs/>
          <w:sz w:val="20"/>
          <w:szCs w:val="20"/>
          <w:highlight w:val="green"/>
        </w:rPr>
        <w:t>Agreement</w:t>
      </w:r>
    </w:p>
    <w:p w14:paraId="5CFC6345" w14:textId="77777777" w:rsidR="00ED0ED6" w:rsidRPr="00ED0ED6" w:rsidRDefault="00ED0ED6" w:rsidP="00ED0ED6">
      <w:pPr>
        <w:rPr>
          <w:rFonts w:cs="Times"/>
          <w:sz w:val="20"/>
          <w:szCs w:val="20"/>
          <w:lang w:eastAsia="ja-JP"/>
        </w:rPr>
      </w:pPr>
      <w:r w:rsidRPr="00ED0ED6">
        <w:rPr>
          <w:rFonts w:cs="Times"/>
          <w:sz w:val="20"/>
          <w:szCs w:val="20"/>
          <w:lang w:eastAsia="ja-JP"/>
        </w:rPr>
        <w:t>The desired DL TX power adjustment, indicated by the IAB-MT to its parent-node to assist with the parent-node’s DL TX power allocation, is provided at least for</w:t>
      </w:r>
      <w:r w:rsidRPr="00ED0ED6">
        <w:rPr>
          <w:rStyle w:val="apple-converted-space"/>
          <w:rFonts w:cs="Times"/>
          <w:sz w:val="20"/>
          <w:szCs w:val="20"/>
          <w:lang w:eastAsia="ja-JP"/>
        </w:rPr>
        <w:t> </w:t>
      </w:r>
      <w:r w:rsidRPr="00ED0ED6">
        <w:rPr>
          <w:rFonts w:cs="Times"/>
          <w:sz w:val="20"/>
          <w:szCs w:val="20"/>
          <w:lang w:eastAsia="ja-JP"/>
        </w:rPr>
        <w:t>specific time</w:t>
      </w:r>
      <w:r w:rsidRPr="00ED0ED6">
        <w:rPr>
          <w:rStyle w:val="apple-converted-space"/>
          <w:rFonts w:cs="Times"/>
          <w:sz w:val="20"/>
          <w:szCs w:val="20"/>
          <w:lang w:eastAsia="ja-JP"/>
        </w:rPr>
        <w:t> </w:t>
      </w:r>
      <w:r w:rsidRPr="00ED0ED6">
        <w:rPr>
          <w:rFonts w:cs="Times"/>
          <w:sz w:val="20"/>
          <w:szCs w:val="20"/>
          <w:lang w:eastAsia="ja-JP"/>
        </w:rPr>
        <w:t>resources.</w:t>
      </w:r>
      <w:r w:rsidRPr="00ED0ED6">
        <w:rPr>
          <w:rStyle w:val="apple-converted-space"/>
          <w:rFonts w:cs="Times"/>
          <w:sz w:val="20"/>
          <w:szCs w:val="20"/>
          <w:lang w:eastAsia="ja-JP"/>
        </w:rPr>
        <w:t> </w:t>
      </w:r>
    </w:p>
    <w:p w14:paraId="59793A7D" w14:textId="77777777" w:rsidR="00ED0ED6" w:rsidRPr="00ED0ED6" w:rsidRDefault="00ED0ED6" w:rsidP="00ED0ED6">
      <w:pPr>
        <w:rPr>
          <w:rFonts w:cs="Times"/>
          <w:sz w:val="20"/>
          <w:szCs w:val="20"/>
          <w:lang w:eastAsia="ja-JP"/>
        </w:rPr>
      </w:pPr>
      <w:r w:rsidRPr="00ED0ED6">
        <w:rPr>
          <w:rFonts w:cs="Times"/>
          <w:sz w:val="20"/>
          <w:szCs w:val="20"/>
          <w:lang w:eastAsia="ja-JP"/>
        </w:rPr>
        <w:t>The desired DL TX power adjustment can further be associated with spatial configuration. (e.g., MT’s DL RX beams).</w:t>
      </w:r>
    </w:p>
    <w:p w14:paraId="1AC5A0E2" w14:textId="77777777" w:rsidR="00ED0ED6" w:rsidRPr="00ED0ED6" w:rsidRDefault="00ED0ED6" w:rsidP="00ED0ED6">
      <w:pPr>
        <w:numPr>
          <w:ilvl w:val="0"/>
          <w:numId w:val="37"/>
        </w:numPr>
        <w:rPr>
          <w:rFonts w:cs="Times"/>
          <w:sz w:val="20"/>
          <w:szCs w:val="20"/>
          <w:lang w:eastAsia="ja-JP"/>
        </w:rPr>
      </w:pPr>
      <w:r w:rsidRPr="00ED0ED6">
        <w:rPr>
          <w:rFonts w:cs="Times"/>
          <w:sz w:val="20"/>
          <w:szCs w:val="20"/>
          <w:lang w:eastAsia="ja-JP"/>
        </w:rPr>
        <w:t xml:space="preserve">FFS: </w:t>
      </w:r>
      <w:proofErr w:type="spellStart"/>
      <w:r w:rsidRPr="00ED0ED6">
        <w:rPr>
          <w:rFonts w:cs="Times"/>
          <w:sz w:val="20"/>
          <w:szCs w:val="20"/>
          <w:lang w:eastAsia="ja-JP"/>
        </w:rPr>
        <w:t>signalling</w:t>
      </w:r>
      <w:proofErr w:type="spellEnd"/>
      <w:r w:rsidRPr="00ED0ED6">
        <w:rPr>
          <w:rFonts w:cs="Times"/>
          <w:sz w:val="20"/>
          <w:szCs w:val="20"/>
          <w:lang w:eastAsia="ja-JP"/>
        </w:rPr>
        <w:t xml:space="preserve"> details, </w:t>
      </w:r>
      <w:proofErr w:type="gramStart"/>
      <w:r w:rsidRPr="00ED0ED6">
        <w:rPr>
          <w:rFonts w:cs="Times"/>
          <w:sz w:val="20"/>
          <w:szCs w:val="20"/>
          <w:lang w:eastAsia="ja-JP"/>
        </w:rPr>
        <w:t>e.g.</w:t>
      </w:r>
      <w:proofErr w:type="gramEnd"/>
      <w:r w:rsidRPr="00ED0ED6">
        <w:rPr>
          <w:rFonts w:cs="Times"/>
          <w:sz w:val="20"/>
          <w:szCs w:val="20"/>
          <w:lang w:eastAsia="ja-JP"/>
        </w:rPr>
        <w:t xml:space="preserve"> indication via MAC-CE, PUCCH, or legacy CSI framework.</w:t>
      </w:r>
    </w:p>
    <w:p w14:paraId="2AB9BEEB" w14:textId="77777777" w:rsidR="00ED0ED6" w:rsidRPr="00ED0ED6" w:rsidRDefault="00ED0ED6" w:rsidP="00ED0ED6">
      <w:pPr>
        <w:rPr>
          <w:rFonts w:cs="Times"/>
          <w:sz w:val="20"/>
          <w:szCs w:val="20"/>
        </w:rPr>
      </w:pPr>
    </w:p>
    <w:p w14:paraId="32DDF56B" w14:textId="77777777" w:rsidR="00ED0ED6" w:rsidRPr="00ED0ED6" w:rsidRDefault="00ED0ED6" w:rsidP="00ED0ED6">
      <w:pPr>
        <w:rPr>
          <w:rFonts w:cs="Times"/>
          <w:b/>
          <w:bCs/>
          <w:sz w:val="20"/>
          <w:szCs w:val="20"/>
          <w:highlight w:val="green"/>
        </w:rPr>
      </w:pPr>
      <w:r w:rsidRPr="00ED0ED6">
        <w:rPr>
          <w:rFonts w:cs="Times"/>
          <w:b/>
          <w:bCs/>
          <w:sz w:val="20"/>
          <w:szCs w:val="20"/>
          <w:highlight w:val="green"/>
        </w:rPr>
        <w:t>Agreement</w:t>
      </w:r>
    </w:p>
    <w:p w14:paraId="081CDE9E" w14:textId="77777777" w:rsidR="00ED0ED6" w:rsidRPr="00ED0ED6" w:rsidRDefault="00ED0ED6" w:rsidP="00ED0ED6">
      <w:pPr>
        <w:rPr>
          <w:rFonts w:cs="Times"/>
          <w:sz w:val="20"/>
          <w:szCs w:val="20"/>
          <w:lang w:eastAsia="ja-JP"/>
        </w:rPr>
      </w:pPr>
      <w:r w:rsidRPr="00ED0ED6">
        <w:rPr>
          <w:rFonts w:cs="Times"/>
          <w:sz w:val="20"/>
          <w:szCs w:val="20"/>
          <w:lang w:eastAsia="ja-JP"/>
        </w:rPr>
        <w:t>Support an IAB-node indicating adjustment to its DL TX power to a child node (e.g., in response to receiving the DL TX power assistance information from the child node) at least for</w:t>
      </w:r>
      <w:r w:rsidRPr="00ED0ED6">
        <w:rPr>
          <w:rStyle w:val="apple-converted-space"/>
          <w:rFonts w:cs="Times"/>
          <w:sz w:val="20"/>
          <w:szCs w:val="20"/>
          <w:lang w:eastAsia="ja-JP"/>
        </w:rPr>
        <w:t> </w:t>
      </w:r>
      <w:r w:rsidRPr="00ED0ED6">
        <w:rPr>
          <w:rFonts w:cs="Times"/>
          <w:sz w:val="20"/>
          <w:szCs w:val="20"/>
          <w:lang w:eastAsia="ja-JP"/>
        </w:rPr>
        <w:t>specific time</w:t>
      </w:r>
      <w:r w:rsidRPr="00ED0ED6">
        <w:rPr>
          <w:rStyle w:val="apple-converted-space"/>
          <w:rFonts w:cs="Times"/>
          <w:sz w:val="20"/>
          <w:szCs w:val="20"/>
          <w:lang w:eastAsia="ja-JP"/>
        </w:rPr>
        <w:t> </w:t>
      </w:r>
      <w:r w:rsidRPr="00ED0ED6">
        <w:rPr>
          <w:rFonts w:cs="Times"/>
          <w:sz w:val="20"/>
          <w:szCs w:val="20"/>
          <w:lang w:eastAsia="ja-JP"/>
        </w:rPr>
        <w:t>resources.</w:t>
      </w:r>
    </w:p>
    <w:p w14:paraId="56951795" w14:textId="77777777" w:rsidR="00ED0ED6" w:rsidRPr="00ED0ED6" w:rsidRDefault="00ED0ED6" w:rsidP="00ED0ED6">
      <w:pPr>
        <w:rPr>
          <w:rFonts w:cs="Times"/>
          <w:sz w:val="20"/>
          <w:szCs w:val="20"/>
          <w:lang w:eastAsia="ja-JP"/>
        </w:rPr>
      </w:pPr>
      <w:r w:rsidRPr="00ED0ED6">
        <w:rPr>
          <w:rFonts w:cs="Times"/>
          <w:sz w:val="20"/>
          <w:szCs w:val="20"/>
          <w:lang w:eastAsia="ja-JP"/>
        </w:rPr>
        <w:t>The DL TX power adjustment indication can further be associated with spatial configuration. (e.g., MT’s DL RX beams).</w:t>
      </w:r>
    </w:p>
    <w:p w14:paraId="30B69435" w14:textId="77777777" w:rsidR="00ED0ED6" w:rsidRPr="00ED0ED6" w:rsidRDefault="00ED0ED6" w:rsidP="00ED0ED6">
      <w:pPr>
        <w:numPr>
          <w:ilvl w:val="0"/>
          <w:numId w:val="37"/>
        </w:numPr>
        <w:rPr>
          <w:rFonts w:cs="Times"/>
          <w:sz w:val="20"/>
          <w:szCs w:val="20"/>
          <w:lang w:eastAsia="ja-JP"/>
        </w:rPr>
      </w:pPr>
      <w:r w:rsidRPr="00ED0ED6">
        <w:rPr>
          <w:rFonts w:cs="Times"/>
          <w:sz w:val="20"/>
          <w:szCs w:val="20"/>
          <w:lang w:eastAsia="ja-JP"/>
        </w:rPr>
        <w:t xml:space="preserve">FFS: </w:t>
      </w:r>
      <w:proofErr w:type="spellStart"/>
      <w:r w:rsidRPr="00ED0ED6">
        <w:rPr>
          <w:rFonts w:cs="Times"/>
          <w:sz w:val="20"/>
          <w:szCs w:val="20"/>
          <w:lang w:eastAsia="ja-JP"/>
        </w:rPr>
        <w:t>signalling</w:t>
      </w:r>
      <w:proofErr w:type="spellEnd"/>
      <w:r w:rsidRPr="00ED0ED6">
        <w:rPr>
          <w:rFonts w:cs="Times"/>
          <w:sz w:val="20"/>
          <w:szCs w:val="20"/>
          <w:lang w:eastAsia="ja-JP"/>
        </w:rPr>
        <w:t xml:space="preserve"> details.</w:t>
      </w:r>
    </w:p>
    <w:p w14:paraId="497322DE" w14:textId="77777777" w:rsidR="00ED0ED6" w:rsidRDefault="00ED0ED6" w:rsidP="002F1BD5">
      <w:pPr>
        <w:jc w:val="both"/>
        <w:rPr>
          <w:sz w:val="20"/>
          <w:szCs w:val="20"/>
        </w:rPr>
      </w:pPr>
    </w:p>
    <w:p w14:paraId="39BB7F33" w14:textId="77777777" w:rsidR="002F1BD5" w:rsidRPr="002F1BD5" w:rsidRDefault="002F1BD5" w:rsidP="002F1BD5">
      <w:pPr>
        <w:jc w:val="both"/>
        <w:rPr>
          <w:sz w:val="20"/>
          <w:szCs w:val="20"/>
        </w:rPr>
      </w:pPr>
    </w:p>
    <w:p w14:paraId="45291680" w14:textId="33A0EBB1" w:rsidR="002F1BD5" w:rsidRDefault="00ED0ED6" w:rsidP="00086D20">
      <w:pPr>
        <w:jc w:val="both"/>
        <w:rPr>
          <w:bCs/>
          <w:sz w:val="20"/>
          <w:szCs w:val="20"/>
        </w:rPr>
      </w:pPr>
      <w:r>
        <w:rPr>
          <w:sz w:val="20"/>
          <w:szCs w:val="20"/>
        </w:rPr>
        <w:t>In our view, the following procedure can be envisioned so the IAB-MT may achieve</w:t>
      </w:r>
      <w:r w:rsidR="007B4EA9">
        <w:rPr>
          <w:sz w:val="20"/>
          <w:szCs w:val="20"/>
        </w:rPr>
        <w:t xml:space="preserve"> and next report</w:t>
      </w:r>
      <w:r>
        <w:rPr>
          <w:sz w:val="20"/>
          <w:szCs w:val="20"/>
        </w:rPr>
        <w:t xml:space="preserve"> the desired</w:t>
      </w:r>
      <w:r w:rsidR="007B4EA9">
        <w:rPr>
          <w:sz w:val="20"/>
          <w:szCs w:val="20"/>
        </w:rPr>
        <w:t xml:space="preserve"> Tx power by its parent IAB-DU.</w:t>
      </w:r>
      <w:r>
        <w:rPr>
          <w:sz w:val="20"/>
          <w:szCs w:val="20"/>
        </w:rPr>
        <w:t xml:space="preserve"> </w:t>
      </w:r>
      <w:r w:rsidR="00447041">
        <w:rPr>
          <w:sz w:val="20"/>
          <w:szCs w:val="20"/>
        </w:rPr>
        <w:t>The</w:t>
      </w:r>
      <w:r w:rsidR="007B4EA9">
        <w:rPr>
          <w:sz w:val="20"/>
          <w:szCs w:val="20"/>
        </w:rPr>
        <w:t xml:space="preserve"> first step is IAB-MT to measure the RSRP</w:t>
      </w:r>
      <w:r w:rsidR="00447041">
        <w:rPr>
          <w:sz w:val="20"/>
          <w:szCs w:val="20"/>
        </w:rPr>
        <w:t xml:space="preserve"> over CSI-RS resources configured by the parent IAB-DU for IAB-MT. The RSRP may be measured by</w:t>
      </w:r>
      <w:r w:rsidR="007B4EA9">
        <w:rPr>
          <w:sz w:val="20"/>
          <w:szCs w:val="20"/>
        </w:rPr>
        <w:t xml:space="preserve"> a desired receiving beam, which potentially is the same receiving beam that IAB-MT will use on</w:t>
      </w:r>
      <w:r w:rsidR="00447041">
        <w:rPr>
          <w:sz w:val="20"/>
          <w:szCs w:val="20"/>
        </w:rPr>
        <w:t>c</w:t>
      </w:r>
      <w:r w:rsidR="007B4EA9">
        <w:rPr>
          <w:sz w:val="20"/>
          <w:szCs w:val="20"/>
        </w:rPr>
        <w:t xml:space="preserve">e operating at simultaneous reception within the IAB-node. </w:t>
      </w:r>
      <w:r w:rsidR="00447041">
        <w:rPr>
          <w:sz w:val="20"/>
          <w:szCs w:val="20"/>
        </w:rPr>
        <w:t xml:space="preserve">Parent IAB-DU may indicate to IAB-MT, </w:t>
      </w:r>
      <w:proofErr w:type="gramStart"/>
      <w:r w:rsidR="00447041">
        <w:rPr>
          <w:sz w:val="20"/>
          <w:szCs w:val="20"/>
        </w:rPr>
        <w:t>e.g.</w:t>
      </w:r>
      <w:proofErr w:type="gramEnd"/>
      <w:r w:rsidR="00447041">
        <w:rPr>
          <w:sz w:val="20"/>
          <w:szCs w:val="20"/>
        </w:rPr>
        <w:t xml:space="preserve"> via scheduling DCI, an initial allocation with preliminary scheduling parameters, like </w:t>
      </w:r>
      <w:r w:rsidR="00447041" w:rsidRPr="00ED0ED6">
        <w:rPr>
          <w:rFonts w:cs="Times"/>
          <w:sz w:val="20"/>
          <w:szCs w:val="20"/>
          <w:lang w:eastAsia="ja-JP"/>
        </w:rPr>
        <w:t>MT’s DL RX beams</w:t>
      </w:r>
      <w:r w:rsidR="00447041">
        <w:rPr>
          <w:rFonts w:cs="Times"/>
          <w:sz w:val="20"/>
          <w:szCs w:val="20"/>
          <w:lang w:eastAsia="ja-JP"/>
        </w:rPr>
        <w:t>, configuration of CSI-RS for RSRP measurement, PUCCH resource indication for RSRP report, time duration in which IAB-MT may expect adjusted DL Tx power from parent IAB-DU, etc.</w:t>
      </w:r>
      <w:r w:rsidR="00447041">
        <w:rPr>
          <w:sz w:val="20"/>
          <w:szCs w:val="20"/>
        </w:rPr>
        <w:t xml:space="preserve"> Following such indication</w:t>
      </w:r>
      <w:r w:rsidR="007B4EA9">
        <w:rPr>
          <w:sz w:val="20"/>
          <w:szCs w:val="20"/>
        </w:rPr>
        <w:t xml:space="preserve">, IAB-MT may </w:t>
      </w:r>
      <w:r w:rsidR="00447041">
        <w:rPr>
          <w:sz w:val="20"/>
          <w:szCs w:val="20"/>
        </w:rPr>
        <w:t xml:space="preserve">measure RSRP and </w:t>
      </w:r>
      <w:r w:rsidR="007B4EA9">
        <w:rPr>
          <w:sz w:val="20"/>
          <w:szCs w:val="20"/>
        </w:rPr>
        <w:t xml:space="preserve">report </w:t>
      </w:r>
      <w:r w:rsidR="00D630C9">
        <w:rPr>
          <w:sz w:val="20"/>
          <w:szCs w:val="20"/>
        </w:rPr>
        <w:t xml:space="preserve">back to parent the </w:t>
      </w:r>
      <w:r w:rsidR="00447041">
        <w:rPr>
          <w:sz w:val="20"/>
          <w:szCs w:val="20"/>
        </w:rPr>
        <w:t xml:space="preserve">desired </w:t>
      </w:r>
      <w:r w:rsidR="00D630C9">
        <w:rPr>
          <w:sz w:val="20"/>
          <w:szCs w:val="20"/>
        </w:rPr>
        <w:t>offset to current parent IAB-DU’s Tx power.</w:t>
      </w:r>
      <w:r w:rsidR="00447041">
        <w:rPr>
          <w:sz w:val="20"/>
          <w:szCs w:val="20"/>
        </w:rPr>
        <w:t xml:space="preserve"> </w:t>
      </w:r>
      <w:r w:rsidR="00D630C9">
        <w:rPr>
          <w:sz w:val="20"/>
          <w:szCs w:val="20"/>
        </w:rPr>
        <w:t>Based on what w</w:t>
      </w:r>
      <w:r w:rsidR="00D923B1">
        <w:rPr>
          <w:sz w:val="20"/>
          <w:szCs w:val="20"/>
        </w:rPr>
        <w:t xml:space="preserve">as </w:t>
      </w:r>
      <w:r w:rsidR="00D630C9">
        <w:rPr>
          <w:sz w:val="20"/>
          <w:szCs w:val="20"/>
        </w:rPr>
        <w:t xml:space="preserve">discussed, </w:t>
      </w:r>
      <w:r w:rsidR="00D923B1">
        <w:rPr>
          <w:sz w:val="20"/>
          <w:szCs w:val="20"/>
        </w:rPr>
        <w:t xml:space="preserve">we have </w:t>
      </w:r>
      <w:r w:rsidR="00D630C9">
        <w:rPr>
          <w:sz w:val="20"/>
          <w:szCs w:val="20"/>
        </w:rPr>
        <w:t xml:space="preserve">the </w:t>
      </w:r>
      <w:r w:rsidR="00D923B1">
        <w:rPr>
          <w:bCs/>
          <w:sz w:val="20"/>
          <w:szCs w:val="20"/>
        </w:rPr>
        <w:t>following p</w:t>
      </w:r>
      <w:r w:rsidR="00D630C9" w:rsidRPr="00D923B1">
        <w:rPr>
          <w:bCs/>
          <w:sz w:val="20"/>
          <w:szCs w:val="20"/>
        </w:rPr>
        <w:t>ropos</w:t>
      </w:r>
      <w:r w:rsidR="00D923B1">
        <w:rPr>
          <w:bCs/>
          <w:sz w:val="20"/>
          <w:szCs w:val="20"/>
        </w:rPr>
        <w:t>als</w:t>
      </w:r>
      <w:r w:rsidR="00D630C9" w:rsidRPr="00D923B1">
        <w:rPr>
          <w:bCs/>
          <w:sz w:val="20"/>
          <w:szCs w:val="20"/>
        </w:rPr>
        <w:t>:</w:t>
      </w:r>
    </w:p>
    <w:p w14:paraId="64692D4C" w14:textId="77777777" w:rsidR="00D923B1" w:rsidRPr="00D923B1" w:rsidRDefault="00D923B1" w:rsidP="00086D20">
      <w:pPr>
        <w:jc w:val="both"/>
        <w:rPr>
          <w:bCs/>
          <w:sz w:val="20"/>
          <w:szCs w:val="20"/>
        </w:rPr>
      </w:pPr>
    </w:p>
    <w:p w14:paraId="1DA252EF" w14:textId="62A40D8D" w:rsidR="00D923B1" w:rsidRPr="00D923B1" w:rsidRDefault="00D923B1" w:rsidP="00D923B1">
      <w:pPr>
        <w:jc w:val="both"/>
        <w:rPr>
          <w:bCs/>
          <w:sz w:val="20"/>
          <w:szCs w:val="20"/>
        </w:rPr>
      </w:pPr>
      <w:r w:rsidRPr="00D923B1">
        <w:rPr>
          <w:b/>
          <w:sz w:val="20"/>
          <w:szCs w:val="20"/>
        </w:rPr>
        <w:t>Proposal 4</w:t>
      </w:r>
      <w:r w:rsidRPr="00D923B1">
        <w:rPr>
          <w:bCs/>
          <w:sz w:val="20"/>
          <w:szCs w:val="20"/>
        </w:rPr>
        <w:t xml:space="preserve">: For DL power control, IAB MT </w:t>
      </w:r>
      <w:r>
        <w:rPr>
          <w:bCs/>
          <w:sz w:val="20"/>
          <w:szCs w:val="20"/>
        </w:rPr>
        <w:t xml:space="preserve">performs RSRP measurements over CSI-RS resources indicated by the parent IAB-DU </w:t>
      </w:r>
      <w:r w:rsidR="00A74E28">
        <w:rPr>
          <w:bCs/>
          <w:sz w:val="20"/>
          <w:szCs w:val="20"/>
        </w:rPr>
        <w:t xml:space="preserve">as part </w:t>
      </w:r>
      <w:r>
        <w:rPr>
          <w:bCs/>
          <w:sz w:val="20"/>
          <w:szCs w:val="20"/>
        </w:rPr>
        <w:t xml:space="preserve">of </w:t>
      </w:r>
      <w:r w:rsidR="00A74E28">
        <w:rPr>
          <w:bCs/>
          <w:sz w:val="20"/>
          <w:szCs w:val="20"/>
        </w:rPr>
        <w:t xml:space="preserve">preliminary </w:t>
      </w:r>
      <w:r>
        <w:rPr>
          <w:bCs/>
          <w:sz w:val="20"/>
          <w:szCs w:val="20"/>
        </w:rPr>
        <w:t>scheduling parameters</w:t>
      </w:r>
      <w:r w:rsidR="00A74E28">
        <w:rPr>
          <w:bCs/>
          <w:sz w:val="20"/>
          <w:szCs w:val="20"/>
        </w:rPr>
        <w:t xml:space="preserve"> for simultaneous reception in IAB-node</w:t>
      </w:r>
      <w:r>
        <w:rPr>
          <w:bCs/>
          <w:sz w:val="20"/>
          <w:szCs w:val="20"/>
        </w:rPr>
        <w:t>.</w:t>
      </w:r>
      <w:r w:rsidRPr="00D923B1">
        <w:rPr>
          <w:bCs/>
          <w:sz w:val="20"/>
          <w:szCs w:val="20"/>
        </w:rPr>
        <w:t xml:space="preserve"> </w:t>
      </w:r>
    </w:p>
    <w:p w14:paraId="1E551825" w14:textId="498A17E9" w:rsidR="00086D20" w:rsidRDefault="00086D20" w:rsidP="00086D20">
      <w:pPr>
        <w:jc w:val="both"/>
        <w:rPr>
          <w:sz w:val="20"/>
          <w:szCs w:val="20"/>
        </w:rPr>
      </w:pPr>
    </w:p>
    <w:p w14:paraId="62595806" w14:textId="1156BCA7" w:rsidR="00A74E28" w:rsidRDefault="00086D20" w:rsidP="00086D20">
      <w:pPr>
        <w:jc w:val="both"/>
        <w:rPr>
          <w:bCs/>
          <w:sz w:val="20"/>
          <w:szCs w:val="20"/>
        </w:rPr>
      </w:pPr>
      <w:r w:rsidRPr="006D2327">
        <w:rPr>
          <w:b/>
          <w:bCs/>
          <w:sz w:val="20"/>
          <w:szCs w:val="20"/>
        </w:rPr>
        <w:t xml:space="preserve">Proposal </w:t>
      </w:r>
      <w:r w:rsidR="00A74E28">
        <w:rPr>
          <w:b/>
          <w:bCs/>
          <w:sz w:val="20"/>
          <w:szCs w:val="20"/>
        </w:rPr>
        <w:t>5</w:t>
      </w:r>
      <w:r w:rsidRPr="006D2327">
        <w:rPr>
          <w:sz w:val="20"/>
          <w:szCs w:val="20"/>
        </w:rPr>
        <w:t xml:space="preserve">: </w:t>
      </w:r>
      <w:r w:rsidR="00A74E28" w:rsidRPr="00D923B1">
        <w:rPr>
          <w:bCs/>
          <w:sz w:val="20"/>
          <w:szCs w:val="20"/>
        </w:rPr>
        <w:t xml:space="preserve">For DL power control, IAB MT </w:t>
      </w:r>
      <w:r w:rsidR="00A74E28">
        <w:rPr>
          <w:bCs/>
          <w:sz w:val="20"/>
          <w:szCs w:val="20"/>
        </w:rPr>
        <w:t>reports</w:t>
      </w:r>
      <w:r w:rsidR="00A74E28" w:rsidRPr="00A74E28">
        <w:rPr>
          <w:bCs/>
          <w:sz w:val="20"/>
          <w:szCs w:val="20"/>
        </w:rPr>
        <w:t xml:space="preserve"> </w:t>
      </w:r>
      <w:r w:rsidR="00A74E28">
        <w:rPr>
          <w:bCs/>
          <w:sz w:val="20"/>
          <w:szCs w:val="20"/>
        </w:rPr>
        <w:t>over a PUCCH resource which is indicated by the parent IAB as part of the preliminary scheduling parameters, the desired offset to current IAB-DU’s Tx power.</w:t>
      </w:r>
    </w:p>
    <w:p w14:paraId="488679C7" w14:textId="35A268B5" w:rsidR="00A74E28" w:rsidRDefault="00A74E28" w:rsidP="00086D20">
      <w:pPr>
        <w:jc w:val="both"/>
        <w:rPr>
          <w:bCs/>
          <w:sz w:val="20"/>
          <w:szCs w:val="20"/>
        </w:rPr>
      </w:pPr>
    </w:p>
    <w:p w14:paraId="3297BB73" w14:textId="21B87FFB" w:rsidR="00A74E28" w:rsidRDefault="00A74E28" w:rsidP="00086D20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In our view, the report from IAB-MT could further indicate the priority of data reception at IAB-DU within the IAB-node. For example, if the priority is high, IAB-MT would expect the parent IAB-DU will follow the recommendation over DL Tx power adjustment. While if the priority is not high, the report is treated as just a recommendation which may or may not be followed by the parent IAB-DU. </w:t>
      </w:r>
    </w:p>
    <w:p w14:paraId="4E01C9AA" w14:textId="77777777" w:rsidR="00A74E28" w:rsidRPr="00A74E28" w:rsidRDefault="00A74E28" w:rsidP="00086D20">
      <w:pPr>
        <w:jc w:val="both"/>
        <w:rPr>
          <w:bCs/>
          <w:sz w:val="20"/>
          <w:szCs w:val="20"/>
        </w:rPr>
      </w:pPr>
    </w:p>
    <w:p w14:paraId="52764C14" w14:textId="1FA90C5A" w:rsidR="00086D20" w:rsidRPr="00FF6C3F" w:rsidRDefault="00086D20" w:rsidP="00086D20">
      <w:pPr>
        <w:jc w:val="both"/>
        <w:rPr>
          <w:sz w:val="20"/>
          <w:szCs w:val="20"/>
        </w:rPr>
      </w:pPr>
      <w:r w:rsidRPr="006D2327">
        <w:rPr>
          <w:b/>
          <w:bCs/>
          <w:sz w:val="20"/>
          <w:szCs w:val="20"/>
        </w:rPr>
        <w:t xml:space="preserve">Proposal </w:t>
      </w:r>
      <w:r w:rsidR="00A74E28">
        <w:rPr>
          <w:b/>
          <w:bCs/>
          <w:sz w:val="20"/>
          <w:szCs w:val="20"/>
        </w:rPr>
        <w:t>6</w:t>
      </w:r>
      <w:r w:rsidRPr="006D2327">
        <w:rPr>
          <w:sz w:val="20"/>
          <w:szCs w:val="20"/>
        </w:rPr>
        <w:t xml:space="preserve">: </w:t>
      </w:r>
      <w:r w:rsidR="00A74E28">
        <w:rPr>
          <w:sz w:val="20"/>
          <w:szCs w:val="20"/>
        </w:rPr>
        <w:t>Depending on the priority of IAB-DU’s link within the IAB-node, parent IAB-DU will follow the desired Tx power adjustment report from IAB-MT</w:t>
      </w:r>
      <w:r w:rsidRPr="00FF6C3F">
        <w:rPr>
          <w:sz w:val="20"/>
          <w:szCs w:val="20"/>
        </w:rPr>
        <w:t>.</w:t>
      </w:r>
    </w:p>
    <w:p w14:paraId="6EF18BEA" w14:textId="77777777" w:rsidR="00301A37" w:rsidRPr="00F001D5" w:rsidRDefault="00301A37" w:rsidP="00D015E7">
      <w:pPr>
        <w:jc w:val="both"/>
        <w:rPr>
          <w:sz w:val="20"/>
          <w:szCs w:val="20"/>
        </w:rPr>
      </w:pPr>
    </w:p>
    <w:p w14:paraId="35183B4C" w14:textId="77777777" w:rsidR="00854A60" w:rsidRPr="009E7B88" w:rsidRDefault="009C5A97" w:rsidP="00FB330B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9E7B88">
        <w:rPr>
          <w:rFonts w:ascii="Arial" w:hAnsi="Arial" w:cs="Arial"/>
          <w:b/>
          <w:bCs/>
          <w:sz w:val="32"/>
          <w:szCs w:val="32"/>
        </w:rPr>
        <w:t>Conclusion</w:t>
      </w:r>
      <w:r w:rsidR="004424BC" w:rsidRPr="009E7B88">
        <w:rPr>
          <w:rFonts w:ascii="Arial" w:hAnsi="Arial" w:cs="Arial"/>
          <w:b/>
          <w:bCs/>
          <w:sz w:val="32"/>
          <w:szCs w:val="32"/>
        </w:rPr>
        <w:t>s</w:t>
      </w:r>
    </w:p>
    <w:p w14:paraId="378F3811" w14:textId="315646C2" w:rsidR="00757D0E" w:rsidRPr="0007782F" w:rsidRDefault="00757D0E" w:rsidP="00757D0E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</w:t>
      </w:r>
      <w:r w:rsidR="00FF6C3F">
        <w:rPr>
          <w:sz w:val="20"/>
          <w:szCs w:val="20"/>
        </w:rPr>
        <w:t xml:space="preserve">views on </w:t>
      </w:r>
      <w:r w:rsidR="001F1AE0">
        <w:rPr>
          <w:sz w:val="20"/>
          <w:szCs w:val="20"/>
        </w:rPr>
        <w:t>DL power control</w:t>
      </w:r>
      <w:r w:rsidR="00FF6C3F">
        <w:rPr>
          <w:sz w:val="20"/>
          <w:szCs w:val="20"/>
        </w:rPr>
        <w:t>. We also shared our thoughts</w:t>
      </w:r>
      <w:r w:rsidRPr="0007782F">
        <w:rPr>
          <w:sz w:val="20"/>
          <w:szCs w:val="20"/>
        </w:rPr>
        <w:t xml:space="preserve"> on </w:t>
      </w:r>
      <w:r w:rsidR="009A7779">
        <w:rPr>
          <w:sz w:val="20"/>
          <w:szCs w:val="20"/>
        </w:rPr>
        <w:t>techniques for PHR report from an IAB-MT</w:t>
      </w:r>
      <w:r w:rsidRPr="0007782F">
        <w:rPr>
          <w:sz w:val="20"/>
          <w:szCs w:val="20"/>
        </w:rPr>
        <w:t xml:space="preserve"> to enhance </w:t>
      </w:r>
      <w:r w:rsidR="0079242B">
        <w:rPr>
          <w:sz w:val="20"/>
          <w:szCs w:val="20"/>
        </w:rPr>
        <w:t>resource multiplexing between IAB</w:t>
      </w:r>
      <w:r>
        <w:rPr>
          <w:sz w:val="20"/>
          <w:szCs w:val="20"/>
        </w:rPr>
        <w:t xml:space="preserve"> </w:t>
      </w:r>
      <w:r w:rsidR="0079242B">
        <w:rPr>
          <w:sz w:val="20"/>
          <w:szCs w:val="20"/>
        </w:rPr>
        <w:t>node’s parent and child links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16288C7" w14:textId="77777777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6E55F371" w14:textId="77777777" w:rsidR="001F1AE0" w:rsidRDefault="001F1AE0" w:rsidP="001F1AE0">
      <w:pPr>
        <w:jc w:val="both"/>
        <w:rPr>
          <w:sz w:val="20"/>
          <w:szCs w:val="20"/>
        </w:rPr>
      </w:pPr>
      <w:r w:rsidRPr="006D2327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 w:rsidRPr="006D2327">
        <w:rPr>
          <w:sz w:val="20"/>
          <w:szCs w:val="20"/>
        </w:rPr>
        <w:t xml:space="preserve">: An IAB-MT reports a single PHR to its parent IAB-DU, corresponding to TDM multiplexing as legacy, and in addition IAB-MT indicates an offset to the reported PHR for the case of simultaneous </w:t>
      </w:r>
      <w:r>
        <w:rPr>
          <w:sz w:val="20"/>
          <w:szCs w:val="20"/>
        </w:rPr>
        <w:t>operation</w:t>
      </w:r>
      <w:r w:rsidRPr="006D2327">
        <w:rPr>
          <w:sz w:val="20"/>
          <w:szCs w:val="20"/>
        </w:rPr>
        <w:t xml:space="preserve"> with DU within an IAB node  </w:t>
      </w:r>
    </w:p>
    <w:p w14:paraId="72691FEC" w14:textId="77777777" w:rsidR="001F1AE0" w:rsidRDefault="001F1AE0" w:rsidP="001F1AE0">
      <w:pPr>
        <w:jc w:val="both"/>
        <w:rPr>
          <w:sz w:val="20"/>
          <w:szCs w:val="20"/>
        </w:rPr>
      </w:pPr>
      <w:r w:rsidRPr="006D2327">
        <w:rPr>
          <w:sz w:val="20"/>
          <w:szCs w:val="20"/>
        </w:rPr>
        <w:t xml:space="preserve"> </w:t>
      </w:r>
    </w:p>
    <w:p w14:paraId="7C3381F5" w14:textId="516A4507" w:rsidR="001F1AE0" w:rsidRDefault="001F1AE0" w:rsidP="001F1AE0">
      <w:pPr>
        <w:jc w:val="both"/>
        <w:rPr>
          <w:sz w:val="20"/>
          <w:szCs w:val="20"/>
        </w:rPr>
      </w:pPr>
      <w:r w:rsidRPr="006D2327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6D2327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To indicate the offset in PHR for different operation modes within an IAB node: </w:t>
      </w:r>
    </w:p>
    <w:p w14:paraId="5B400130" w14:textId="77777777" w:rsidR="0069653A" w:rsidRDefault="0069653A" w:rsidP="0069653A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>
        <w:rPr>
          <w:sz w:val="20"/>
          <w:szCs w:val="20"/>
        </w:rPr>
        <w:t>The</w:t>
      </w:r>
      <w:r w:rsidRPr="006D2327">
        <w:rPr>
          <w:sz w:val="20"/>
          <w:szCs w:val="20"/>
        </w:rPr>
        <w:t xml:space="preserve"> 6 bits for PHR in the Single Entry PHR MAC-CE structure represent the legacy PHR report for the case of TDM mode</w:t>
      </w:r>
    </w:p>
    <w:p w14:paraId="417A6AF9" w14:textId="77777777" w:rsidR="0069653A" w:rsidRDefault="0069653A" w:rsidP="0069653A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 w:rsidRPr="006D2327">
        <w:rPr>
          <w:sz w:val="20"/>
          <w:szCs w:val="20"/>
        </w:rPr>
        <w:lastRenderedPageBreak/>
        <w:t xml:space="preserve">The 4 reserved bits for each PHR may be used to indicate the offset to the legacy PHR, </w:t>
      </w:r>
      <w:proofErr w:type="spellStart"/>
      <w:r w:rsidRPr="006D2327">
        <w:rPr>
          <w:sz w:val="20"/>
          <w:szCs w:val="20"/>
        </w:rPr>
        <w:t>i.e</w:t>
      </w:r>
      <w:proofErr w:type="spellEnd"/>
      <w:r w:rsidRPr="006D2327">
        <w:rPr>
          <w:sz w:val="20"/>
          <w:szCs w:val="20"/>
        </w:rPr>
        <w:t xml:space="preserve"> corresponding to the simultaneous Tx  </w:t>
      </w:r>
    </w:p>
    <w:p w14:paraId="1066B8D0" w14:textId="77777777" w:rsidR="0069653A" w:rsidRPr="006D2327" w:rsidRDefault="0069653A" w:rsidP="0069653A">
      <w:pPr>
        <w:pStyle w:val="ListParagraph"/>
        <w:numPr>
          <w:ilvl w:val="0"/>
          <w:numId w:val="30"/>
        </w:numPr>
        <w:jc w:val="both"/>
        <w:rPr>
          <w:sz w:val="20"/>
          <w:szCs w:val="20"/>
        </w:rPr>
      </w:pPr>
      <w:r w:rsidRPr="006D2327">
        <w:rPr>
          <w:sz w:val="20"/>
          <w:szCs w:val="20"/>
        </w:rPr>
        <w:t xml:space="preserve">Alternatively, the offset is semi-statically configured and </w:t>
      </w:r>
      <w:r>
        <w:rPr>
          <w:sz w:val="20"/>
          <w:szCs w:val="20"/>
        </w:rPr>
        <w:t xml:space="preserve">is </w:t>
      </w:r>
      <w:r w:rsidRPr="006D2327">
        <w:rPr>
          <w:sz w:val="20"/>
          <w:szCs w:val="20"/>
        </w:rPr>
        <w:t xml:space="preserve">indicated to parent IAB-DU by </w:t>
      </w:r>
      <w:proofErr w:type="spellStart"/>
      <w:r w:rsidRPr="006D2327">
        <w:rPr>
          <w:sz w:val="20"/>
          <w:szCs w:val="20"/>
        </w:rPr>
        <w:t>gNB</w:t>
      </w:r>
      <w:proofErr w:type="spellEnd"/>
      <w:r w:rsidRPr="006D2327">
        <w:rPr>
          <w:sz w:val="20"/>
          <w:szCs w:val="20"/>
        </w:rPr>
        <w:t>-CU through F1</w:t>
      </w:r>
    </w:p>
    <w:p w14:paraId="74E6F488" w14:textId="77777777" w:rsidR="0069653A" w:rsidRDefault="0069653A" w:rsidP="001F1AE0">
      <w:pPr>
        <w:jc w:val="both"/>
        <w:rPr>
          <w:sz w:val="20"/>
          <w:szCs w:val="20"/>
        </w:rPr>
      </w:pPr>
    </w:p>
    <w:p w14:paraId="5F0D8512" w14:textId="77777777" w:rsidR="001F1AE0" w:rsidRDefault="001F1AE0" w:rsidP="001F1AE0">
      <w:pPr>
        <w:jc w:val="both"/>
        <w:rPr>
          <w:sz w:val="20"/>
          <w:szCs w:val="20"/>
        </w:rPr>
      </w:pPr>
      <w:r w:rsidRPr="00351AE1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3</w:t>
      </w:r>
      <w:r w:rsidRPr="00351AE1">
        <w:rPr>
          <w:sz w:val="20"/>
          <w:szCs w:val="20"/>
        </w:rPr>
        <w:t xml:space="preserve">: In addition to current events that trigger a PHR report, </w:t>
      </w:r>
      <w:r>
        <w:rPr>
          <w:sz w:val="20"/>
          <w:szCs w:val="20"/>
        </w:rPr>
        <w:t>c</w:t>
      </w:r>
      <w:r w:rsidRPr="00351AE1">
        <w:rPr>
          <w:sz w:val="20"/>
          <w:szCs w:val="20"/>
        </w:rPr>
        <w:t xml:space="preserve">hange of duplexing mode within an IAB node may trigger a PHR report at </w:t>
      </w:r>
      <w:r>
        <w:rPr>
          <w:sz w:val="20"/>
          <w:szCs w:val="20"/>
        </w:rPr>
        <w:t>IAB-</w:t>
      </w:r>
      <w:r w:rsidRPr="00351AE1">
        <w:rPr>
          <w:sz w:val="20"/>
          <w:szCs w:val="20"/>
        </w:rPr>
        <w:t>MT</w:t>
      </w:r>
      <w:r>
        <w:rPr>
          <w:sz w:val="20"/>
          <w:szCs w:val="20"/>
        </w:rPr>
        <w:t>.</w:t>
      </w:r>
    </w:p>
    <w:p w14:paraId="0074B75A" w14:textId="77777777" w:rsidR="001F1AE0" w:rsidRPr="00D923B1" w:rsidRDefault="001F1AE0" w:rsidP="001F1AE0">
      <w:pPr>
        <w:jc w:val="both"/>
        <w:rPr>
          <w:bCs/>
          <w:sz w:val="20"/>
          <w:szCs w:val="20"/>
        </w:rPr>
      </w:pPr>
    </w:p>
    <w:p w14:paraId="18AAB2E4" w14:textId="77777777" w:rsidR="001F1AE0" w:rsidRPr="00D923B1" w:rsidRDefault="001F1AE0" w:rsidP="001F1AE0">
      <w:pPr>
        <w:jc w:val="both"/>
        <w:rPr>
          <w:bCs/>
          <w:sz w:val="20"/>
          <w:szCs w:val="20"/>
        </w:rPr>
      </w:pPr>
      <w:r w:rsidRPr="00D923B1">
        <w:rPr>
          <w:b/>
          <w:sz w:val="20"/>
          <w:szCs w:val="20"/>
        </w:rPr>
        <w:t>Proposal 4</w:t>
      </w:r>
      <w:r w:rsidRPr="00D923B1">
        <w:rPr>
          <w:bCs/>
          <w:sz w:val="20"/>
          <w:szCs w:val="20"/>
        </w:rPr>
        <w:t xml:space="preserve">: For DL power control, IAB MT </w:t>
      </w:r>
      <w:r>
        <w:rPr>
          <w:bCs/>
          <w:sz w:val="20"/>
          <w:szCs w:val="20"/>
        </w:rPr>
        <w:t>performs RSRP measurements over CSI-RS resources indicated by the parent IAB-DU as part of preliminary scheduling parameters for simultaneous reception in IAB-node.</w:t>
      </w:r>
      <w:r w:rsidRPr="00D923B1">
        <w:rPr>
          <w:bCs/>
          <w:sz w:val="20"/>
          <w:szCs w:val="20"/>
        </w:rPr>
        <w:t xml:space="preserve"> </w:t>
      </w:r>
    </w:p>
    <w:p w14:paraId="679D9B56" w14:textId="77777777" w:rsidR="001F1AE0" w:rsidRDefault="001F1AE0" w:rsidP="001F1AE0">
      <w:pPr>
        <w:jc w:val="both"/>
        <w:rPr>
          <w:sz w:val="20"/>
          <w:szCs w:val="20"/>
        </w:rPr>
      </w:pPr>
    </w:p>
    <w:p w14:paraId="245D14AA" w14:textId="77777777" w:rsidR="001F1AE0" w:rsidRDefault="001F1AE0" w:rsidP="001F1AE0">
      <w:pPr>
        <w:jc w:val="both"/>
        <w:rPr>
          <w:bCs/>
          <w:sz w:val="20"/>
          <w:szCs w:val="20"/>
        </w:rPr>
      </w:pPr>
      <w:r w:rsidRPr="006D2327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5</w:t>
      </w:r>
      <w:r w:rsidRPr="006D2327">
        <w:rPr>
          <w:sz w:val="20"/>
          <w:szCs w:val="20"/>
        </w:rPr>
        <w:t xml:space="preserve">: </w:t>
      </w:r>
      <w:r w:rsidRPr="00D923B1">
        <w:rPr>
          <w:bCs/>
          <w:sz w:val="20"/>
          <w:szCs w:val="20"/>
        </w:rPr>
        <w:t xml:space="preserve">For DL power control, IAB MT </w:t>
      </w:r>
      <w:r>
        <w:rPr>
          <w:bCs/>
          <w:sz w:val="20"/>
          <w:szCs w:val="20"/>
        </w:rPr>
        <w:t>reports,</w:t>
      </w:r>
      <w:r w:rsidRPr="00A74E28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over a PUCCH resource which is indicated by the parent IAB as part of the preliminary scheduling parameters, the desired offset to current IAB-DU’s Tx power.</w:t>
      </w:r>
    </w:p>
    <w:p w14:paraId="313C8A48" w14:textId="77777777" w:rsidR="001F1AE0" w:rsidRPr="00A74E28" w:rsidRDefault="001F1AE0" w:rsidP="001F1AE0">
      <w:pPr>
        <w:jc w:val="both"/>
        <w:rPr>
          <w:bCs/>
          <w:sz w:val="20"/>
          <w:szCs w:val="20"/>
        </w:rPr>
      </w:pPr>
    </w:p>
    <w:p w14:paraId="7A91CA7D" w14:textId="77777777" w:rsidR="001F1AE0" w:rsidRPr="00FF6C3F" w:rsidRDefault="001F1AE0" w:rsidP="001F1AE0">
      <w:pPr>
        <w:jc w:val="both"/>
        <w:rPr>
          <w:sz w:val="20"/>
          <w:szCs w:val="20"/>
        </w:rPr>
      </w:pPr>
      <w:r w:rsidRPr="006D2327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6</w:t>
      </w:r>
      <w:r w:rsidRPr="006D2327">
        <w:rPr>
          <w:sz w:val="20"/>
          <w:szCs w:val="20"/>
        </w:rPr>
        <w:t xml:space="preserve">: </w:t>
      </w:r>
      <w:r>
        <w:rPr>
          <w:sz w:val="20"/>
          <w:szCs w:val="20"/>
        </w:rPr>
        <w:t>Depending on the priority of IAB-DU’s link within the IAB-node, parent IAB-DU will follow the desired Tx power adjustment report from IAB-MT</w:t>
      </w:r>
      <w:r w:rsidRPr="00FF6C3F">
        <w:rPr>
          <w:sz w:val="20"/>
          <w:szCs w:val="20"/>
        </w:rPr>
        <w:t>.</w:t>
      </w:r>
    </w:p>
    <w:p w14:paraId="214658A7" w14:textId="77777777" w:rsidR="009A7779" w:rsidRPr="00450183" w:rsidRDefault="009A7779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0B7D9668" w14:textId="77777777" w:rsidR="00E05C62" w:rsidRPr="009E7B88" w:rsidRDefault="005C63AE" w:rsidP="00E05C62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9E7B88">
        <w:rPr>
          <w:rFonts w:ascii="Arial" w:hAnsi="Arial" w:cs="Arial"/>
          <w:b/>
          <w:bCs/>
          <w:sz w:val="32"/>
          <w:szCs w:val="32"/>
        </w:rPr>
        <w:t>References</w:t>
      </w:r>
    </w:p>
    <w:p w14:paraId="04E49CEC" w14:textId="0F557BB9" w:rsidR="0091063F" w:rsidRDefault="0091063F" w:rsidP="0091063F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2" w:name="_Ref528337287"/>
      <w:bookmarkStart w:id="3" w:name="_Ref506125467"/>
      <w:bookmarkStart w:id="4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>
        <w:rPr>
          <w:bCs/>
          <w:sz w:val="20"/>
          <w:szCs w:val="20"/>
          <w:lang w:val="en-GB" w:eastAsia="zh-CN"/>
        </w:rPr>
        <w:t>210758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91063F">
        <w:rPr>
          <w:sz w:val="20"/>
          <w:szCs w:val="20"/>
          <w:lang w:val="en-GB" w:eastAsia="zh-CN"/>
        </w:rPr>
        <w:t>New WID on Enhancements to Integrated Access and Backhaul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>
        <w:rPr>
          <w:bCs/>
          <w:sz w:val="20"/>
          <w:szCs w:val="20"/>
          <w:lang w:val="en-GB" w:eastAsia="zh-CN"/>
        </w:rPr>
        <w:t>March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>
        <w:rPr>
          <w:bCs/>
          <w:sz w:val="20"/>
          <w:szCs w:val="20"/>
          <w:lang w:val="en-GB" w:eastAsia="zh-CN"/>
        </w:rPr>
        <w:t>2021</w:t>
      </w:r>
    </w:p>
    <w:p w14:paraId="5D782712" w14:textId="77EEDA19" w:rsidR="00B81718" w:rsidRPr="00410281" w:rsidRDefault="00B81718" w:rsidP="0091063F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r>
        <w:rPr>
          <w:bCs/>
          <w:sz w:val="20"/>
          <w:szCs w:val="20"/>
          <w:lang w:eastAsia="zh-CN"/>
        </w:rPr>
        <w:t>R1-</w:t>
      </w:r>
      <w:r w:rsidR="00057E5D" w:rsidRPr="00057E5D">
        <w:t xml:space="preserve"> </w:t>
      </w:r>
      <w:r w:rsidR="00057E5D" w:rsidRPr="00057E5D">
        <w:rPr>
          <w:bCs/>
          <w:sz w:val="20"/>
          <w:szCs w:val="20"/>
          <w:lang w:eastAsia="zh-CN"/>
        </w:rPr>
        <w:t>21</w:t>
      </w:r>
      <w:r w:rsidR="00D0272A">
        <w:rPr>
          <w:bCs/>
          <w:sz w:val="20"/>
          <w:szCs w:val="20"/>
          <w:lang w:eastAsia="zh-CN"/>
        </w:rPr>
        <w:t>10051</w:t>
      </w:r>
      <w:r>
        <w:rPr>
          <w:bCs/>
          <w:sz w:val="20"/>
          <w:szCs w:val="20"/>
          <w:lang w:eastAsia="zh-CN"/>
        </w:rPr>
        <w:t>, “</w:t>
      </w:r>
      <w:r w:rsidRPr="00B81718">
        <w:rPr>
          <w:bCs/>
          <w:sz w:val="20"/>
          <w:szCs w:val="20"/>
          <w:lang w:eastAsia="zh-CN"/>
        </w:rPr>
        <w:t>Enhanced resource multiplexing within an IAB node</w:t>
      </w:r>
      <w:r>
        <w:rPr>
          <w:bCs/>
          <w:sz w:val="20"/>
          <w:szCs w:val="20"/>
          <w:lang w:eastAsia="zh-CN"/>
        </w:rPr>
        <w:t>”, Apple Inc.</w:t>
      </w:r>
    </w:p>
    <w:p w14:paraId="226A2EFE" w14:textId="37620260" w:rsidR="0091063F" w:rsidRDefault="0091063F" w:rsidP="0091063F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 w:rsidR="00086D20">
        <w:rPr>
          <w:bCs/>
          <w:sz w:val="20"/>
          <w:szCs w:val="20"/>
          <w:lang w:eastAsia="zh-CN"/>
        </w:rPr>
        <w:t>5</w:t>
      </w:r>
      <w:r w:rsidRPr="00410281">
        <w:rPr>
          <w:bCs/>
          <w:sz w:val="20"/>
          <w:szCs w:val="20"/>
          <w:lang w:eastAsia="zh-CN"/>
        </w:rPr>
        <w:t>-e final</w:t>
      </w:r>
    </w:p>
    <w:p w14:paraId="5FB4849B" w14:textId="50B6A671" w:rsidR="00FA42FB" w:rsidRDefault="00FA42FB" w:rsidP="0091063F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 w:rsidR="00086D20">
        <w:rPr>
          <w:bCs/>
          <w:sz w:val="20"/>
          <w:szCs w:val="20"/>
          <w:lang w:eastAsia="zh-CN"/>
        </w:rPr>
        <w:t>6</w:t>
      </w:r>
      <w:r w:rsidRPr="00410281">
        <w:rPr>
          <w:bCs/>
          <w:sz w:val="20"/>
          <w:szCs w:val="20"/>
          <w:lang w:eastAsia="zh-CN"/>
        </w:rPr>
        <w:t>-e final</w:t>
      </w:r>
    </w:p>
    <w:p w14:paraId="5936B27C" w14:textId="77777777" w:rsidR="0091063F" w:rsidRDefault="0091063F" w:rsidP="0091063F">
      <w:pPr>
        <w:pStyle w:val="ListParagraph"/>
        <w:ind w:left="420"/>
        <w:rPr>
          <w:bCs/>
          <w:sz w:val="20"/>
          <w:szCs w:val="20"/>
          <w:lang w:eastAsia="zh-CN"/>
        </w:rPr>
      </w:pPr>
    </w:p>
    <w:p w14:paraId="7CCB2BAB" w14:textId="77777777" w:rsidR="002F0C08" w:rsidRPr="00410281" w:rsidRDefault="002F0C08" w:rsidP="002F0C08">
      <w:pPr>
        <w:pStyle w:val="ListParagraph"/>
        <w:ind w:left="420"/>
        <w:rPr>
          <w:bCs/>
          <w:sz w:val="20"/>
          <w:szCs w:val="20"/>
          <w:lang w:eastAsia="zh-CN"/>
        </w:rPr>
      </w:pPr>
    </w:p>
    <w:bookmarkEnd w:id="2"/>
    <w:bookmarkEnd w:id="3"/>
    <w:bookmarkEnd w:id="4"/>
    <w:p w14:paraId="5F0806BA" w14:textId="77777777" w:rsidR="000D07AC" w:rsidRDefault="000D07AC" w:rsidP="004B6844">
      <w:pPr>
        <w:pStyle w:val="ListParagraph"/>
        <w:rPr>
          <w:sz w:val="20"/>
          <w:szCs w:val="20"/>
          <w:lang w:eastAsia="zh-CN"/>
        </w:rPr>
      </w:pPr>
    </w:p>
    <w:p w14:paraId="5E927100" w14:textId="7E0C4E40" w:rsidR="008E412C" w:rsidRDefault="008E412C" w:rsidP="008E412C">
      <w:pPr>
        <w:rPr>
          <w:sz w:val="20"/>
          <w:szCs w:val="20"/>
          <w:lang w:eastAsia="zh-CN"/>
        </w:rPr>
      </w:pPr>
    </w:p>
    <w:p w14:paraId="4432B62A" w14:textId="77777777" w:rsidR="004809E3" w:rsidRDefault="004809E3" w:rsidP="008E412C">
      <w:pPr>
        <w:rPr>
          <w:sz w:val="20"/>
          <w:szCs w:val="20"/>
          <w:lang w:eastAsia="zh-CN"/>
        </w:rPr>
      </w:pPr>
    </w:p>
    <w:sectPr w:rsidR="004809E3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29377" w14:textId="77777777" w:rsidR="00C7521A" w:rsidRDefault="00C7521A">
      <w:r>
        <w:separator/>
      </w:r>
    </w:p>
  </w:endnote>
  <w:endnote w:type="continuationSeparator" w:id="0">
    <w:p w14:paraId="0DA78EA1" w14:textId="77777777" w:rsidR="00C7521A" w:rsidRDefault="00C7521A">
      <w:r>
        <w:continuationSeparator/>
      </w:r>
    </w:p>
  </w:endnote>
  <w:endnote w:type="continuationNotice" w:id="1">
    <w:p w14:paraId="4F09663A" w14:textId="77777777" w:rsidR="00C7521A" w:rsidRDefault="00C752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6833" w14:textId="77777777" w:rsidR="00C7521A" w:rsidRDefault="00C7521A">
      <w:r>
        <w:separator/>
      </w:r>
    </w:p>
  </w:footnote>
  <w:footnote w:type="continuationSeparator" w:id="0">
    <w:p w14:paraId="25164121" w14:textId="77777777" w:rsidR="00C7521A" w:rsidRDefault="00C7521A">
      <w:r>
        <w:continuationSeparator/>
      </w:r>
    </w:p>
  </w:footnote>
  <w:footnote w:type="continuationNotice" w:id="1">
    <w:p w14:paraId="1F1BEB9F" w14:textId="77777777" w:rsidR="00C7521A" w:rsidRDefault="00C752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E6F0F"/>
    <w:multiLevelType w:val="multilevel"/>
    <w:tmpl w:val="035E6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E917384"/>
    <w:multiLevelType w:val="hybridMultilevel"/>
    <w:tmpl w:val="AC2ED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B4F94"/>
    <w:multiLevelType w:val="hybridMultilevel"/>
    <w:tmpl w:val="D6423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D569B"/>
    <w:multiLevelType w:val="hybridMultilevel"/>
    <w:tmpl w:val="7B525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9F4847"/>
    <w:multiLevelType w:val="hybridMultilevel"/>
    <w:tmpl w:val="43C41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CE2C16"/>
    <w:multiLevelType w:val="hybridMultilevel"/>
    <w:tmpl w:val="3A8C7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AE50A8"/>
    <w:multiLevelType w:val="hybridMultilevel"/>
    <w:tmpl w:val="2182F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42E301A"/>
    <w:multiLevelType w:val="hybridMultilevel"/>
    <w:tmpl w:val="1A64C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4851117"/>
    <w:multiLevelType w:val="hybridMultilevel"/>
    <w:tmpl w:val="9D88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81155B"/>
    <w:multiLevelType w:val="hybridMultilevel"/>
    <w:tmpl w:val="E16C6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313F1E"/>
    <w:multiLevelType w:val="hybridMultilevel"/>
    <w:tmpl w:val="DF347DDC"/>
    <w:lvl w:ilvl="0" w:tplc="C26C564A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55098C"/>
    <w:multiLevelType w:val="multilevel"/>
    <w:tmpl w:val="7C5509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6"/>
  </w:num>
  <w:num w:numId="4">
    <w:abstractNumId w:val="17"/>
  </w:num>
  <w:num w:numId="5">
    <w:abstractNumId w:val="10"/>
  </w:num>
  <w:num w:numId="6">
    <w:abstractNumId w:val="20"/>
  </w:num>
  <w:num w:numId="7">
    <w:abstractNumId w:val="28"/>
  </w:num>
  <w:num w:numId="8">
    <w:abstractNumId w:val="11"/>
  </w:num>
  <w:num w:numId="9">
    <w:abstractNumId w:val="24"/>
  </w:num>
  <w:num w:numId="10">
    <w:abstractNumId w:val="31"/>
  </w:num>
  <w:num w:numId="11">
    <w:abstractNumId w:val="15"/>
  </w:num>
  <w:num w:numId="12">
    <w:abstractNumId w:val="13"/>
  </w:num>
  <w:num w:numId="13">
    <w:abstractNumId w:val="3"/>
  </w:num>
  <w:num w:numId="14">
    <w:abstractNumId w:val="33"/>
  </w:num>
  <w:num w:numId="15">
    <w:abstractNumId w:val="14"/>
  </w:num>
  <w:num w:numId="16">
    <w:abstractNumId w:val="6"/>
  </w:num>
  <w:num w:numId="17">
    <w:abstractNumId w:val="26"/>
  </w:num>
  <w:num w:numId="18">
    <w:abstractNumId w:val="0"/>
  </w:num>
  <w:num w:numId="19">
    <w:abstractNumId w:val="7"/>
  </w:num>
  <w:num w:numId="20">
    <w:abstractNumId w:val="21"/>
  </w:num>
  <w:num w:numId="21">
    <w:abstractNumId w:val="12"/>
  </w:num>
  <w:num w:numId="22">
    <w:abstractNumId w:val="36"/>
  </w:num>
  <w:num w:numId="23">
    <w:abstractNumId w:val="19"/>
  </w:num>
  <w:num w:numId="24">
    <w:abstractNumId w:val="30"/>
  </w:num>
  <w:num w:numId="25">
    <w:abstractNumId w:val="1"/>
  </w:num>
  <w:num w:numId="26">
    <w:abstractNumId w:val="18"/>
  </w:num>
  <w:num w:numId="27">
    <w:abstractNumId w:val="25"/>
  </w:num>
  <w:num w:numId="28">
    <w:abstractNumId w:val="27"/>
  </w:num>
  <w:num w:numId="29">
    <w:abstractNumId w:val="4"/>
  </w:num>
  <w:num w:numId="30">
    <w:abstractNumId w:val="8"/>
  </w:num>
  <w:num w:numId="31">
    <w:abstractNumId w:val="23"/>
  </w:num>
  <w:num w:numId="32">
    <w:abstractNumId w:val="5"/>
  </w:num>
  <w:num w:numId="33">
    <w:abstractNumId w:val="9"/>
  </w:num>
  <w:num w:numId="34">
    <w:abstractNumId w:val="34"/>
  </w:num>
  <w:num w:numId="35">
    <w:abstractNumId w:val="32"/>
  </w:num>
  <w:num w:numId="36">
    <w:abstractNumId w:val="29"/>
  </w:num>
  <w:num w:numId="37">
    <w:abstractNumId w:val="35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3DE"/>
    <w:rsid w:val="00014575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038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7D9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57E5D"/>
    <w:rsid w:val="000605E7"/>
    <w:rsid w:val="0006081F"/>
    <w:rsid w:val="000608BD"/>
    <w:rsid w:val="00060B0D"/>
    <w:rsid w:val="00060BE6"/>
    <w:rsid w:val="000610F3"/>
    <w:rsid w:val="00061485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D9"/>
    <w:rsid w:val="000704C9"/>
    <w:rsid w:val="000706CB"/>
    <w:rsid w:val="000707A2"/>
    <w:rsid w:val="000709CA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20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2BA4"/>
    <w:rsid w:val="000A30AD"/>
    <w:rsid w:val="000A33F1"/>
    <w:rsid w:val="000A3F22"/>
    <w:rsid w:val="000A4016"/>
    <w:rsid w:val="000A448E"/>
    <w:rsid w:val="000A4EC1"/>
    <w:rsid w:val="000A5339"/>
    <w:rsid w:val="000A54F0"/>
    <w:rsid w:val="000A56F2"/>
    <w:rsid w:val="000A571A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304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3E4D"/>
    <w:rsid w:val="000D40BC"/>
    <w:rsid w:val="000D4797"/>
    <w:rsid w:val="000D4F42"/>
    <w:rsid w:val="000D4FAC"/>
    <w:rsid w:val="000D50DB"/>
    <w:rsid w:val="000D5509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9E6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056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EA"/>
    <w:rsid w:val="00100145"/>
    <w:rsid w:val="001002DA"/>
    <w:rsid w:val="001005FF"/>
    <w:rsid w:val="001010D7"/>
    <w:rsid w:val="0010120B"/>
    <w:rsid w:val="001025E4"/>
    <w:rsid w:val="00102F24"/>
    <w:rsid w:val="00103763"/>
    <w:rsid w:val="00103C35"/>
    <w:rsid w:val="00103C51"/>
    <w:rsid w:val="001041B4"/>
    <w:rsid w:val="001042C8"/>
    <w:rsid w:val="0010434A"/>
    <w:rsid w:val="001044BE"/>
    <w:rsid w:val="001044E1"/>
    <w:rsid w:val="001045CC"/>
    <w:rsid w:val="00104648"/>
    <w:rsid w:val="00104D81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0CEC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554"/>
    <w:rsid w:val="00156921"/>
    <w:rsid w:val="00156CFA"/>
    <w:rsid w:val="00156F6E"/>
    <w:rsid w:val="00157162"/>
    <w:rsid w:val="00157224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2F65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196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084E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192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1AE0"/>
    <w:rsid w:val="001F2689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2DA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2E13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CCA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6D5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9B1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BD5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1F6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B0E"/>
    <w:rsid w:val="00300D97"/>
    <w:rsid w:val="00300E9E"/>
    <w:rsid w:val="00301072"/>
    <w:rsid w:val="00301662"/>
    <w:rsid w:val="00301779"/>
    <w:rsid w:val="00301A37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5E52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782"/>
    <w:rsid w:val="00351AE1"/>
    <w:rsid w:val="00351BA6"/>
    <w:rsid w:val="00351BAC"/>
    <w:rsid w:val="00351FA7"/>
    <w:rsid w:val="00352481"/>
    <w:rsid w:val="00352521"/>
    <w:rsid w:val="00352C18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1C03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966"/>
    <w:rsid w:val="003C2A1A"/>
    <w:rsid w:val="003C2D3B"/>
    <w:rsid w:val="003C345C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866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7D4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D2D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24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B6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CA3"/>
    <w:rsid w:val="00434FA9"/>
    <w:rsid w:val="004353C6"/>
    <w:rsid w:val="004358E5"/>
    <w:rsid w:val="00435AA5"/>
    <w:rsid w:val="00435C6C"/>
    <w:rsid w:val="00435D4E"/>
    <w:rsid w:val="00435F36"/>
    <w:rsid w:val="00436388"/>
    <w:rsid w:val="0043661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21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582"/>
    <w:rsid w:val="00446FEA"/>
    <w:rsid w:val="00447041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8F3"/>
    <w:rsid w:val="0046592A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00F"/>
    <w:rsid w:val="00470A68"/>
    <w:rsid w:val="00470C31"/>
    <w:rsid w:val="00470C4F"/>
    <w:rsid w:val="00471854"/>
    <w:rsid w:val="004719C3"/>
    <w:rsid w:val="004721E7"/>
    <w:rsid w:val="0047287B"/>
    <w:rsid w:val="004734D0"/>
    <w:rsid w:val="00473A88"/>
    <w:rsid w:val="00473C75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AC3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77B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58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AB9"/>
    <w:rsid w:val="004E5D98"/>
    <w:rsid w:val="004E617D"/>
    <w:rsid w:val="004E61AC"/>
    <w:rsid w:val="004E624A"/>
    <w:rsid w:val="004E677C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4E00"/>
    <w:rsid w:val="005153A7"/>
    <w:rsid w:val="005153D2"/>
    <w:rsid w:val="00515599"/>
    <w:rsid w:val="0051595C"/>
    <w:rsid w:val="0051690D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15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0E9"/>
    <w:rsid w:val="005321B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5F5D"/>
    <w:rsid w:val="00566797"/>
    <w:rsid w:val="005671AD"/>
    <w:rsid w:val="00567229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1C4A"/>
    <w:rsid w:val="00572026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5D5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2E92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4019"/>
    <w:rsid w:val="005C418A"/>
    <w:rsid w:val="005C4532"/>
    <w:rsid w:val="005C47CB"/>
    <w:rsid w:val="005C495F"/>
    <w:rsid w:val="005C4A8E"/>
    <w:rsid w:val="005C5099"/>
    <w:rsid w:val="005C5322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098"/>
    <w:rsid w:val="005E2155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5C5C"/>
    <w:rsid w:val="00616485"/>
    <w:rsid w:val="006169D7"/>
    <w:rsid w:val="006169F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4CF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B32"/>
    <w:rsid w:val="00645F30"/>
    <w:rsid w:val="00645F60"/>
    <w:rsid w:val="00646104"/>
    <w:rsid w:val="0064624E"/>
    <w:rsid w:val="00646EE4"/>
    <w:rsid w:val="00647230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7306"/>
    <w:rsid w:val="0066738B"/>
    <w:rsid w:val="006675F6"/>
    <w:rsid w:val="006676A5"/>
    <w:rsid w:val="00667B8B"/>
    <w:rsid w:val="00667EE7"/>
    <w:rsid w:val="00670237"/>
    <w:rsid w:val="006705FC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53A"/>
    <w:rsid w:val="006966F8"/>
    <w:rsid w:val="00696949"/>
    <w:rsid w:val="00696DE0"/>
    <w:rsid w:val="00697052"/>
    <w:rsid w:val="00697058"/>
    <w:rsid w:val="006972B5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327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86"/>
    <w:rsid w:val="006D68B2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6E1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2DC5"/>
    <w:rsid w:val="007131C2"/>
    <w:rsid w:val="00713308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3F2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B09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6F8B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57D0E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D6E"/>
    <w:rsid w:val="00773E40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B3A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2B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E71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D7"/>
    <w:rsid w:val="007A42F8"/>
    <w:rsid w:val="007A43A6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A9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2F9"/>
    <w:rsid w:val="007C237A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10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152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61E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B3D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50E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573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2017"/>
    <w:rsid w:val="008C23DF"/>
    <w:rsid w:val="008C256E"/>
    <w:rsid w:val="008C2AA7"/>
    <w:rsid w:val="008C2B48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6EC"/>
    <w:rsid w:val="008D6737"/>
    <w:rsid w:val="008D6AD5"/>
    <w:rsid w:val="008D6CC6"/>
    <w:rsid w:val="008D6D1A"/>
    <w:rsid w:val="008D6DC1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3F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E5D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830"/>
    <w:rsid w:val="00940E12"/>
    <w:rsid w:val="009412B7"/>
    <w:rsid w:val="00941636"/>
    <w:rsid w:val="009419FB"/>
    <w:rsid w:val="00941E13"/>
    <w:rsid w:val="00942273"/>
    <w:rsid w:val="009424D7"/>
    <w:rsid w:val="0094296D"/>
    <w:rsid w:val="00942C3A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5B2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62"/>
    <w:rsid w:val="00987D72"/>
    <w:rsid w:val="0099007C"/>
    <w:rsid w:val="009902EF"/>
    <w:rsid w:val="00990630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779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3FE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5CD1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7A3"/>
    <w:rsid w:val="009E4897"/>
    <w:rsid w:val="009E4CD3"/>
    <w:rsid w:val="009E4F1A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B88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5FE8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1EC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65B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1C7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5D9A"/>
    <w:rsid w:val="00A5629A"/>
    <w:rsid w:val="00A56433"/>
    <w:rsid w:val="00A566E3"/>
    <w:rsid w:val="00A56798"/>
    <w:rsid w:val="00A56942"/>
    <w:rsid w:val="00A56A74"/>
    <w:rsid w:val="00A56EE0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4E28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5B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733C"/>
    <w:rsid w:val="00AC75A5"/>
    <w:rsid w:val="00AC7B22"/>
    <w:rsid w:val="00AD00BB"/>
    <w:rsid w:val="00AD026B"/>
    <w:rsid w:val="00AD02B0"/>
    <w:rsid w:val="00AD044D"/>
    <w:rsid w:val="00AD0550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DFB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5E65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7ED"/>
    <w:rsid w:val="00B56916"/>
    <w:rsid w:val="00B56A8F"/>
    <w:rsid w:val="00B56D9B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0E2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718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F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A62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720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ED4"/>
    <w:rsid w:val="00C32FD1"/>
    <w:rsid w:val="00C34144"/>
    <w:rsid w:val="00C34DA5"/>
    <w:rsid w:val="00C35447"/>
    <w:rsid w:val="00C35564"/>
    <w:rsid w:val="00C358D7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170C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4C0B"/>
    <w:rsid w:val="00C750E6"/>
    <w:rsid w:val="00C7521A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88F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5D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9F4"/>
    <w:rsid w:val="00CA1A0D"/>
    <w:rsid w:val="00CA1ED8"/>
    <w:rsid w:val="00CA2572"/>
    <w:rsid w:val="00CA277C"/>
    <w:rsid w:val="00CA2885"/>
    <w:rsid w:val="00CA2BF4"/>
    <w:rsid w:val="00CA331B"/>
    <w:rsid w:val="00CA3474"/>
    <w:rsid w:val="00CA34C1"/>
    <w:rsid w:val="00CA3634"/>
    <w:rsid w:val="00CA374B"/>
    <w:rsid w:val="00CA38BC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B1A"/>
    <w:rsid w:val="00CD2D0C"/>
    <w:rsid w:val="00CD2ED1"/>
    <w:rsid w:val="00CD2F77"/>
    <w:rsid w:val="00CD2FA3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5E7"/>
    <w:rsid w:val="00D01925"/>
    <w:rsid w:val="00D01F9C"/>
    <w:rsid w:val="00D02289"/>
    <w:rsid w:val="00D0241D"/>
    <w:rsid w:val="00D0272A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54A"/>
    <w:rsid w:val="00D04993"/>
    <w:rsid w:val="00D04A7D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2C2E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1B71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06C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0C9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3B1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6BCF"/>
    <w:rsid w:val="00D97068"/>
    <w:rsid w:val="00D971D9"/>
    <w:rsid w:val="00D97336"/>
    <w:rsid w:val="00D97666"/>
    <w:rsid w:val="00D97E3F"/>
    <w:rsid w:val="00D97EF6"/>
    <w:rsid w:val="00DA02A8"/>
    <w:rsid w:val="00DA0471"/>
    <w:rsid w:val="00DA08A9"/>
    <w:rsid w:val="00DA0BF5"/>
    <w:rsid w:val="00DA1116"/>
    <w:rsid w:val="00DA1241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58D2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ADF"/>
    <w:rsid w:val="00DC7CD0"/>
    <w:rsid w:val="00DC7E2E"/>
    <w:rsid w:val="00DD0200"/>
    <w:rsid w:val="00DD0299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2FE"/>
    <w:rsid w:val="00DD2727"/>
    <w:rsid w:val="00DD2FD3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65F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3943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21"/>
    <w:rsid w:val="00E16CCF"/>
    <w:rsid w:val="00E172AB"/>
    <w:rsid w:val="00E174B1"/>
    <w:rsid w:val="00E17C09"/>
    <w:rsid w:val="00E17FA2"/>
    <w:rsid w:val="00E20081"/>
    <w:rsid w:val="00E20601"/>
    <w:rsid w:val="00E209C7"/>
    <w:rsid w:val="00E20A0E"/>
    <w:rsid w:val="00E20D61"/>
    <w:rsid w:val="00E20FEC"/>
    <w:rsid w:val="00E21003"/>
    <w:rsid w:val="00E211D7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7"/>
    <w:rsid w:val="00E35BC4"/>
    <w:rsid w:val="00E35BCD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92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7DA"/>
    <w:rsid w:val="00E85928"/>
    <w:rsid w:val="00E85BD4"/>
    <w:rsid w:val="00E85CC8"/>
    <w:rsid w:val="00E85D48"/>
    <w:rsid w:val="00E85DDF"/>
    <w:rsid w:val="00E85F5E"/>
    <w:rsid w:val="00E86020"/>
    <w:rsid w:val="00E860C9"/>
    <w:rsid w:val="00E865AB"/>
    <w:rsid w:val="00E86A18"/>
    <w:rsid w:val="00E86E79"/>
    <w:rsid w:val="00E8706E"/>
    <w:rsid w:val="00E873A2"/>
    <w:rsid w:val="00E874C5"/>
    <w:rsid w:val="00E874EF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35BC"/>
    <w:rsid w:val="00EA43EF"/>
    <w:rsid w:val="00EA4483"/>
    <w:rsid w:val="00EA49A5"/>
    <w:rsid w:val="00EA4D4D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B97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3C7D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0ED6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1D5"/>
    <w:rsid w:val="00F0051C"/>
    <w:rsid w:val="00F00783"/>
    <w:rsid w:val="00F00D88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C77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0D88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4DE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88"/>
    <w:rsid w:val="00F71195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2FB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9DB"/>
    <w:rsid w:val="00FB5FC4"/>
    <w:rsid w:val="00FB60A0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4E4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C7C82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3F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351AE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660</TotalTime>
  <Pages>4</Pages>
  <Words>1677</Words>
  <Characters>9562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11217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160</cp:revision>
  <cp:lastPrinted>2019-05-08T01:41:00Z</cp:lastPrinted>
  <dcterms:created xsi:type="dcterms:W3CDTF">2020-08-07T04:23:00Z</dcterms:created>
  <dcterms:modified xsi:type="dcterms:W3CDTF">2021-10-01T20:37:00Z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