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We see that Alt B is sufficient and also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Support: LG, Samsung, Apple, Futurewei</w:t>
      </w:r>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Support: vivo, Intel, Futurewei,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r>
              <w:rPr>
                <w:lang w:eastAsia="en-US"/>
              </w:rPr>
              <w:t>InterDigital</w:t>
            </w:r>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zh-CN"/>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eastAsia="zh-CN"/>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Support: LG, Samsung, Apple, Futurewei</w:t>
            </w:r>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Support: vivo, Intel, Futurewei,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We 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In our understand, if directional LBT is supported, a node is able to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4B1B44">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4B1B44">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4B1B44">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4B1B44">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4B1B44">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4B1B44">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4B1B44">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4B1B44">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4B1B44">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 xml:space="preserve">We support Alt CA.1 and Alt CA.2  Similarly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F0" w14:textId="77777777" w:rsidR="00F16BE9" w:rsidRDefault="00D91F89">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actually a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we can define the candidate values of LBT bandwidth as at least the channel bandwidth in order to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of  </w:t>
            </w:r>
            <w:r>
              <w:rPr>
                <w:lang w:eastAsia="en-US"/>
              </w:rPr>
              <w:t>functionality</w:t>
            </w:r>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SimSun"/>
                <w:lang w:val="en-US" w:eastAsia="zh-CN"/>
              </w:rPr>
            </w:pPr>
            <w:r>
              <w:rPr>
                <w:rFonts w:eastAsia="SimSun"/>
                <w:lang w:val="en-US" w:eastAsia="zh-CN"/>
              </w:rPr>
              <w:t>Huawei, HiSilicon</w:t>
            </w:r>
          </w:p>
        </w:tc>
        <w:tc>
          <w:tcPr>
            <w:tcW w:w="6937" w:type="dxa"/>
            <w:shd w:val="clear" w:color="auto" w:fill="FFFFFF" w:themeFill="background1"/>
          </w:tcPr>
          <w:p w14:paraId="1B9AF08A" w14:textId="66130CF7" w:rsidR="000F3117" w:rsidRDefault="000F3117">
            <w:pPr>
              <w:rPr>
                <w:rFonts w:eastAsia="SimSun"/>
                <w:lang w:val="en-US" w:eastAsia="zh-CN"/>
              </w:rPr>
            </w:pPr>
            <w:r>
              <w:rPr>
                <w:rFonts w:eastAsia="SimSun"/>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F59AF16" w14:textId="77777777" w:rsidR="00F16BE9" w:rsidRDefault="00D91F89">
            <w:pPr>
              <w:rPr>
                <w:lang w:eastAsia="en-US"/>
              </w:rPr>
            </w:pPr>
            <w:r>
              <w:rPr>
                <w:noProof/>
                <w:lang w:val="en-US" w:eastAsia="zh-CN"/>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zh-CN"/>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zh-CN"/>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ZTE, Sanechips</w:t>
            </w:r>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zh-CN"/>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zh-CN"/>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zh-CN"/>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SimSun"/>
                <w:lang w:val="en-US" w:eastAsia="zh-CN"/>
              </w:rPr>
              <w:t>Convida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ZTE, Sanechips</w:t>
            </w:r>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r>
              <w:rPr>
                <w:rFonts w:eastAsia="SimSun"/>
                <w:lang w:val="en-US" w:eastAsia="zh-CN"/>
              </w:rPr>
              <w:t>Futurewei</w:t>
            </w:r>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On maximum gap within a COT to allow COT 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If the later transmission share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WiFi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ZTE, Sanechips</w:t>
            </w:r>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r>
              <w:rPr>
                <w:rFonts w:eastAsia="SimSun"/>
                <w:lang w:val="en-US" w:eastAsia="zh-CN"/>
              </w:rPr>
              <w:t>Futurewei</w:t>
            </w:r>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r>
              <w:rPr>
                <w:rFonts w:eastAsia="SimSun"/>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The Cat 2 LBT uses the same sensing structure as the 8 us initial deferral period as in eCCA</w:t>
      </w:r>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TableGrid"/>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suggest  two minor  changes: </w:t>
            </w:r>
          </w:p>
          <w:p w14:paraId="1F59B11F" w14:textId="77777777" w:rsidR="00F16BE9" w:rsidRDefault="00D91F89">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rsidTr="000F3117">
        <w:tc>
          <w:tcPr>
            <w:tcW w:w="1541"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The Cat 2 LBT uses the same sensing structure as the 8 us initial deferral period as in eCCA</w:t>
            </w:r>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3B501AB7"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4F8EBA82" w:rsidR="00033639" w:rsidRDefault="00033639">
            <w:pPr>
              <w:rPr>
                <w:rFonts w:eastAsia="MS Mincho"/>
                <w:lang w:eastAsia="ja-JP"/>
              </w:rPr>
            </w:pPr>
            <w:r w:rsidRPr="002673FB">
              <w:rPr>
                <w:rFonts w:eastAsia="MS Mincho"/>
                <w:color w:val="FF0000"/>
                <w:lang w:eastAsia="ja-JP"/>
              </w:rPr>
              <w:t>Moderator: The way I understand it, in Japan, sensing is required for transmission, including for initiating COT and sharing COT</w:t>
            </w:r>
            <w:r>
              <w:rPr>
                <w:rFonts w:eastAsia="MS Mincho"/>
                <w:color w:val="FF0000"/>
                <w:lang w:eastAsia="ja-JP"/>
              </w:rPr>
              <w:t>, though how to sense is not defined in Japan regulation. In that case, using Cat 2 LBT for sharing COT is considered as compliant with regulation, as the responding device does the sensing (Cat 2) before transmission. Of course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MS Mincho"/>
                <w:color w:val="FF0000"/>
                <w:lang w:eastAsia="ja-JP"/>
              </w:rPr>
              <w:t xml:space="preserve"> at least</w:t>
            </w:r>
            <w:r>
              <w:rPr>
                <w:rFonts w:eastAsia="MS Mincho"/>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MS Mincho"/>
                <w:lang w:eastAsia="ja-JP"/>
              </w:rPr>
            </w:pPr>
            <w:r>
              <w:rPr>
                <w:rFonts w:eastAsia="MS Mincho"/>
                <w:lang w:eastAsia="ja-JP"/>
              </w:rPr>
              <w:t>Ericsson 2</w:t>
            </w:r>
          </w:p>
        </w:tc>
        <w:tc>
          <w:tcPr>
            <w:tcW w:w="7821" w:type="dxa"/>
          </w:tcPr>
          <w:p w14:paraId="60A29375" w14:textId="0E6C2408" w:rsidR="00363559" w:rsidRDefault="00BB46AC" w:rsidP="00363559">
            <w:pPr>
              <w:rPr>
                <w:rFonts w:eastAsia="MS Mincho"/>
                <w:lang w:eastAsia="ja-JP"/>
              </w:rPr>
            </w:pPr>
            <w:r>
              <w:rPr>
                <w:rFonts w:eastAsia="MS Mincho"/>
                <w:lang w:eastAsia="ja-JP"/>
              </w:rPr>
              <w:t>We do not support this proposal</w:t>
            </w:r>
            <w:r w:rsidR="004734A6">
              <w:rPr>
                <w:rFonts w:eastAsia="MS Mincho"/>
                <w:lang w:eastAsia="ja-JP"/>
              </w:rPr>
              <w:t xml:space="preserve">. </w:t>
            </w:r>
            <w:r w:rsidR="00363559">
              <w:rPr>
                <w:rFonts w:eastAsia="MS Mincho"/>
                <w:lang w:eastAsia="ja-JP"/>
              </w:rPr>
              <w:t xml:space="preserve"> </w:t>
            </w:r>
          </w:p>
          <w:p w14:paraId="1B874DA6" w14:textId="5E35B990" w:rsidR="00363559" w:rsidRDefault="00363559" w:rsidP="00363559">
            <w:pPr>
              <w:pStyle w:val="ListParagraph"/>
              <w:numPr>
                <w:ilvl w:val="3"/>
                <w:numId w:val="17"/>
              </w:numPr>
              <w:ind w:left="688"/>
              <w:rPr>
                <w:rFonts w:eastAsia="MS Mincho"/>
                <w:lang w:eastAsia="ja-JP"/>
              </w:rPr>
            </w:pPr>
            <w:r>
              <w:rPr>
                <w:rFonts w:eastAsia="MS Mincho"/>
                <w:lang w:eastAsia="ja-JP"/>
              </w:rPr>
              <w:t xml:space="preserve">ETSI Regulations do not </w:t>
            </w:r>
            <w:r w:rsidR="00766478">
              <w:rPr>
                <w:rFonts w:eastAsia="MS Mincho"/>
                <w:lang w:eastAsia="ja-JP"/>
              </w:rPr>
              <w:t>define</w:t>
            </w:r>
            <w:r>
              <w:rPr>
                <w:rFonts w:eastAsia="MS Mincho"/>
                <w:lang w:eastAsia="ja-JP"/>
              </w:rPr>
              <w:t xml:space="preserve"> any maximum gaps nor CAT2 LBT </w:t>
            </w:r>
          </w:p>
          <w:p w14:paraId="42C994F5" w14:textId="77777777" w:rsidR="00363559" w:rsidRDefault="00363559" w:rsidP="00363559">
            <w:pPr>
              <w:pStyle w:val="ListParagraph"/>
              <w:numPr>
                <w:ilvl w:val="3"/>
                <w:numId w:val="17"/>
              </w:numPr>
              <w:ind w:left="688"/>
              <w:rPr>
                <w:rFonts w:eastAsia="MS Mincho"/>
                <w:lang w:eastAsia="ja-JP"/>
              </w:rPr>
            </w:pPr>
            <w:r>
              <w:rPr>
                <w:rFonts w:eastAsia="MS Mincho"/>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ListParagraph"/>
              <w:numPr>
                <w:ilvl w:val="4"/>
                <w:numId w:val="17"/>
              </w:numPr>
              <w:ind w:left="1588"/>
              <w:rPr>
                <w:rFonts w:eastAsia="MS Mincho"/>
                <w:lang w:eastAsia="ja-JP"/>
              </w:rPr>
            </w:pPr>
            <w:r w:rsidRPr="00363559">
              <w:rPr>
                <w:rFonts w:eastAsia="MS Mincho"/>
                <w:lang w:eastAsia="ja-JP"/>
              </w:rPr>
              <w:lastRenderedPageBreak/>
              <w:t>In fact, it can have gaps upto 40us (aBRPIFS)</w:t>
            </w:r>
            <w:r>
              <w:rPr>
                <w:rFonts w:eastAsia="MS Mincho"/>
                <w:lang w:eastAsia="ja-JP"/>
              </w:rPr>
              <w:t xml:space="preserve"> and these gaps may be filled with transmissions from the initiating device. </w:t>
            </w:r>
          </w:p>
          <w:p w14:paraId="7B02B604" w14:textId="1642D3F6" w:rsidR="00766478" w:rsidRDefault="00363559" w:rsidP="00363559">
            <w:pPr>
              <w:rPr>
                <w:rFonts w:eastAsia="MS Mincho"/>
                <w:lang w:eastAsia="ja-JP"/>
              </w:rPr>
            </w:pPr>
            <w:r>
              <w:rPr>
                <w:rFonts w:eastAsia="MS Mincho"/>
                <w:b/>
                <w:bCs/>
                <w:lang w:eastAsia="ja-JP"/>
              </w:rPr>
              <w:t xml:space="preserve">Response to Moderator: </w:t>
            </w:r>
            <w:r w:rsidRPr="00363559">
              <w:rPr>
                <w:rFonts w:eastAsia="MS Mincho"/>
                <w:lang w:eastAsia="ja-JP"/>
              </w:rPr>
              <w:t>Regarding gaps for COT sharing and for transmissions within a COT by the same device, ETSI HS EN 302 567</w:t>
            </w:r>
            <w:r>
              <w:rPr>
                <w:rFonts w:eastAsia="MS Mincho"/>
                <w:lang w:eastAsia="ja-JP"/>
              </w:rPr>
              <w:t xml:space="preserve"> does not differentiate and</w:t>
            </w:r>
            <w:r w:rsidRPr="00363559">
              <w:rPr>
                <w:rFonts w:eastAsia="MS Mincho"/>
                <w:lang w:eastAsia="ja-JP"/>
              </w:rPr>
              <w:t xml:space="preserve"> states</w:t>
            </w:r>
            <w:r w:rsidRPr="00363559">
              <w:rPr>
                <w:rFonts w:eastAsia="MS Mincho"/>
                <w:b/>
                <w:bCs/>
                <w:lang w:eastAsia="ja-JP"/>
              </w:rPr>
              <w:t xml:space="preserve"> “</w:t>
            </w:r>
            <w:r w:rsidRPr="00363559">
              <w:rPr>
                <w:rFonts w:eastAsia="MS Mincho"/>
                <w:i/>
                <w:iCs/>
                <w:lang w:val="en-US" w:eastAsia="ja-JP"/>
              </w:rPr>
              <w:t xml:space="preserve">An </w:t>
            </w:r>
            <w:r w:rsidRPr="00363559">
              <w:rPr>
                <w:rFonts w:eastAsia="MS Mincho"/>
                <w:i/>
                <w:iCs/>
                <w:highlight w:val="yellow"/>
                <w:lang w:val="en-US" w:eastAsia="ja-JP"/>
              </w:rPr>
              <w:t>equipment (initiating or not initiating transmission</w:t>
            </w:r>
            <w:r w:rsidRPr="00363559">
              <w:rPr>
                <w:rFonts w:eastAsia="MS Mincho"/>
                <w:i/>
                <w:iCs/>
                <w:lang w:val="en-US" w:eastAsia="ja-JP"/>
              </w:rPr>
              <w:t>),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sidRPr="00363559">
              <w:rPr>
                <w:rFonts w:eastAsia="MS Mincho"/>
                <w:lang w:val="en-US" w:eastAsia="ja-JP"/>
              </w:rPr>
              <w:t>”</w:t>
            </w:r>
            <w:r w:rsidRPr="00363559">
              <w:rPr>
                <w:rFonts w:eastAsia="MS Mincho"/>
                <w:lang w:eastAsia="ja-JP"/>
              </w:rPr>
              <w:t xml:space="preserve"> </w:t>
            </w:r>
          </w:p>
          <w:p w14:paraId="532EBB12" w14:textId="77777777" w:rsidR="00766478" w:rsidRDefault="00766478" w:rsidP="00363559">
            <w:pPr>
              <w:rPr>
                <w:rFonts w:eastAsia="MS Mincho"/>
                <w:lang w:eastAsia="ja-JP"/>
              </w:rPr>
            </w:pPr>
          </w:p>
          <w:p w14:paraId="1A824649" w14:textId="48B9BD47" w:rsidR="00766478" w:rsidRDefault="00766478" w:rsidP="00766478">
            <w:pPr>
              <w:rPr>
                <w:rFonts w:eastAsia="MS Mincho"/>
                <w:lang w:eastAsia="ja-JP"/>
              </w:rPr>
            </w:pPr>
            <w:r>
              <w:rPr>
                <w:rFonts w:eastAsia="MS Mincho"/>
                <w:lang w:eastAsia="ja-JP"/>
              </w:rPr>
              <w:t>Furthermore, it</w:t>
            </w:r>
            <w:r w:rsidRPr="00363559">
              <w:rPr>
                <w:rFonts w:eastAsia="MS Mincho"/>
                <w:lang w:eastAsia="ja-JP"/>
              </w:rPr>
              <w:t xml:space="preserve"> only supports CCA (CAT3 LBT with minimum CW of 3) or no CCA. </w:t>
            </w:r>
            <w:r>
              <w:rPr>
                <w:rFonts w:eastAsia="MS Mincho"/>
                <w:lang w:eastAsia="ja-JP"/>
              </w:rPr>
              <w:t xml:space="preserve">There is no mention of CAT2 LBT. </w:t>
            </w:r>
          </w:p>
          <w:p w14:paraId="6C3437CF" w14:textId="77777777" w:rsidR="00BB46AC" w:rsidRDefault="00363559" w:rsidP="00766478">
            <w:pPr>
              <w:rPr>
                <w:rFonts w:eastAsia="MS Mincho"/>
                <w:lang w:eastAsia="ja-JP"/>
              </w:rPr>
            </w:pPr>
            <w:r w:rsidRPr="00363559">
              <w:rPr>
                <w:rFonts w:eastAsia="MS Mincho"/>
                <w:lang w:eastAsia="ja-JP"/>
              </w:rPr>
              <w:t xml:space="preserve">Therefore, </w:t>
            </w:r>
            <w:r>
              <w:rPr>
                <w:rFonts w:eastAsia="MS Mincho"/>
                <w:lang w:eastAsia="ja-JP"/>
              </w:rPr>
              <w:t xml:space="preserve">for regions such as in Japan where sensing is required regardless of the gap duration, </w:t>
            </w:r>
            <w:r w:rsidR="00766478">
              <w:rPr>
                <w:rFonts w:eastAsia="MS Mincho"/>
                <w:lang w:eastAsia="ja-JP"/>
              </w:rPr>
              <w:t xml:space="preserve">we do not see how introducing a maximum gap Y beyond which CAT2 LBT needs to be done will solve the issue. That said, Alt3 </w:t>
            </w:r>
            <w:r w:rsidR="00766478" w:rsidRPr="00766478">
              <w:rPr>
                <w:rFonts w:eastAsia="MS Mincho"/>
                <w:lang w:eastAsia="ja-JP"/>
              </w:rPr>
              <w:t>will enforce everyone to implement CAT2 LBT</w:t>
            </w:r>
            <w:r w:rsidR="00766478">
              <w:rPr>
                <w:rFonts w:eastAsia="MS Mincho"/>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MS Mincho"/>
                <w:lang w:eastAsia="ja-JP"/>
              </w:rPr>
              <w:t xml:space="preserve"> </w:t>
            </w:r>
          </w:p>
          <w:p w14:paraId="4C6634B1" w14:textId="18B346E0" w:rsidR="0001272C" w:rsidRPr="00DE5919" w:rsidRDefault="00141190" w:rsidP="00766478">
            <w:pPr>
              <w:rPr>
                <w:rFonts w:eastAsia="MS Mincho"/>
                <w:color w:val="FF0000"/>
                <w:lang w:eastAsia="ja-JP"/>
              </w:rPr>
            </w:pPr>
            <w:r w:rsidRPr="00141190">
              <w:rPr>
                <w:rFonts w:eastAsia="MS Mincho"/>
                <w:color w:val="FF0000"/>
                <w:lang w:eastAsia="ja-JP"/>
              </w:rPr>
              <w:t>Moderator: Same response as to Nokia.</w:t>
            </w:r>
            <w:r w:rsidR="00CB364F">
              <w:rPr>
                <w:rFonts w:eastAsia="MS Mincho"/>
                <w:color w:val="FF0000"/>
                <w:lang w:eastAsia="ja-JP"/>
              </w:rPr>
              <w:t xml:space="preserve"> </w:t>
            </w:r>
            <w:r w:rsidR="00FE5741">
              <w:rPr>
                <w:rFonts w:eastAsia="MS Mincho"/>
                <w:color w:val="FF0000"/>
                <w:lang w:eastAsia="ja-JP"/>
              </w:rPr>
              <w:t>Don’t think add Cat 2 LBT will lead to extra signaling. From NR-U, cat 2 LBT is already there. Removing for FR2-2 actually is extra change.</w:t>
            </w:r>
            <w:r w:rsidR="002F4681">
              <w:rPr>
                <w:rFonts w:eastAsia="MS Mincho"/>
                <w:color w:val="FF0000"/>
                <w:lang w:eastAsia="ja-JP"/>
              </w:rPr>
              <w:t xml:space="preserve"> For Japan, the issue is not Y, but </w:t>
            </w:r>
            <w:r w:rsidR="005D2B93">
              <w:rPr>
                <w:rFonts w:eastAsia="MS Mincho"/>
                <w:color w:val="FF0000"/>
                <w:lang w:eastAsia="ja-JP"/>
              </w:rPr>
              <w:t xml:space="preserve">a channel sensing needed before responding device transmission. In japan, I assume a small gap like a few us should be fine (DCM can comment), but even if that is not fine, </w:t>
            </w:r>
            <w:r w:rsidR="0001272C">
              <w:rPr>
                <w:rFonts w:eastAsia="MS Mincho"/>
                <w:color w:val="FF0000"/>
                <w:lang w:eastAsia="ja-JP"/>
              </w:rPr>
              <w:t xml:space="preserve">the gNB just need to leave a gap and indicate the UE to do a Cat 2 LBT. </w:t>
            </w:r>
          </w:p>
        </w:tc>
      </w:tr>
      <w:tr w:rsidR="002B6986" w:rsidRPr="00AF24C1" w14:paraId="385AB0F7" w14:textId="77777777" w:rsidTr="000F3117">
        <w:tc>
          <w:tcPr>
            <w:tcW w:w="1541" w:type="dxa"/>
          </w:tcPr>
          <w:p w14:paraId="4C904FA8" w14:textId="78571C6F" w:rsidR="002B6986" w:rsidRDefault="002B6986">
            <w:pPr>
              <w:rPr>
                <w:rFonts w:eastAsia="MS Mincho"/>
                <w:lang w:eastAsia="ja-JP"/>
              </w:rPr>
            </w:pPr>
            <w:r>
              <w:rPr>
                <w:rFonts w:eastAsia="MS Mincho"/>
                <w:lang w:eastAsia="ja-JP"/>
              </w:rPr>
              <w:lastRenderedPageBreak/>
              <w:t>DOCOMO</w:t>
            </w:r>
          </w:p>
        </w:tc>
        <w:tc>
          <w:tcPr>
            <w:tcW w:w="7821" w:type="dxa"/>
          </w:tcPr>
          <w:p w14:paraId="14BB3D5C" w14:textId="6AD2EC43" w:rsidR="002B6986" w:rsidRDefault="00941054" w:rsidP="00363559">
            <w:pPr>
              <w:rPr>
                <w:rFonts w:eastAsia="MS Mincho"/>
                <w:lang w:eastAsia="ja-JP"/>
              </w:rPr>
            </w:pPr>
            <w:r>
              <w:rPr>
                <w:rFonts w:eastAsia="MS Mincho"/>
                <w:lang w:eastAsia="ja-JP"/>
              </w:rPr>
              <w:t>Just in case, w</w:t>
            </w:r>
            <w:r w:rsidR="002B6986">
              <w:rPr>
                <w:rFonts w:eastAsia="MS Mincho"/>
                <w:lang w:eastAsia="ja-JP"/>
              </w:rPr>
              <w:t>e</w:t>
            </w:r>
            <w:r>
              <w:rPr>
                <w:rFonts w:eastAsia="MS Mincho"/>
                <w:lang w:eastAsia="ja-JP"/>
              </w:rPr>
              <w:t xml:space="preserve"> also support </w:t>
            </w:r>
            <w:r w:rsidR="002B6986">
              <w:rPr>
                <w:rFonts w:eastAsia="MS Mincho"/>
                <w:lang w:eastAsia="ja-JP"/>
              </w:rPr>
              <w:t xml:space="preserve">the current proposal without our earlier update. </w:t>
            </w:r>
          </w:p>
          <w:p w14:paraId="1B1CD494" w14:textId="77777777" w:rsidR="00941054" w:rsidRDefault="00941054" w:rsidP="00363559">
            <w:pPr>
              <w:rPr>
                <w:rFonts w:eastAsia="MS Mincho"/>
                <w:lang w:eastAsia="ja-JP"/>
              </w:rPr>
            </w:pPr>
            <w:r>
              <w:rPr>
                <w:rFonts w:eastAsia="MS Mincho" w:hint="eastAsia"/>
                <w:lang w:eastAsia="ja-JP"/>
              </w:rPr>
              <w:t>B</w:t>
            </w:r>
            <w:r>
              <w:rPr>
                <w:rFonts w:eastAsia="MS Mincho"/>
                <w:lang w:eastAsia="ja-JP"/>
              </w:rPr>
              <w:t xml:space="preserve">ased on the Note, our understanding is that, even if we introduce a definition of maximum gap in 52.6 – 71 GHz, no LBT transmission for a responding device will not occur without allowance by the local regulation. In that sense, we do not think the current proposal is not applicable in the region where sensing is always mandatory. </w:t>
            </w:r>
          </w:p>
          <w:p w14:paraId="7763085E" w14:textId="3F9D36B5" w:rsidR="00941054" w:rsidRDefault="00941054" w:rsidP="00941054">
            <w:pPr>
              <w:rPr>
                <w:rFonts w:eastAsia="MS Mincho"/>
                <w:lang w:eastAsia="ja-JP"/>
              </w:rPr>
            </w:pPr>
            <w:r>
              <w:rPr>
                <w:rFonts w:eastAsia="MS Mincho"/>
                <w:lang w:eastAsia="ja-JP"/>
              </w:rPr>
              <w:t xml:space="preserve">Our proposal to introduce cat-2 like LBT for COT sharing actually comes from the evaluation results that LBT degrades the system performance kindly given by Ericsson and Nokia. </w:t>
            </w:r>
            <w:r w:rsidR="00AF24C1">
              <w:rPr>
                <w:rFonts w:eastAsia="MS Mincho"/>
                <w:lang w:eastAsia="ja-JP"/>
              </w:rPr>
              <w:t>I</w:t>
            </w:r>
            <w:r>
              <w:rPr>
                <w:rFonts w:eastAsia="MS Mincho"/>
                <w:lang w:eastAsia="ja-JP"/>
              </w:rPr>
              <w:t xml:space="preserve">n the region where no LBT is allowed for responding device, that is perfectly fine for us, we would be very happy to do so “in such region”. Besides, clearly there is another region where sensing is always mandatory according to the regional regulation, let’s say, Japan. </w:t>
            </w:r>
          </w:p>
          <w:p w14:paraId="19A0E14E" w14:textId="6C70C180" w:rsidR="006C7FFB" w:rsidRDefault="00941054" w:rsidP="00941054">
            <w:pPr>
              <w:rPr>
                <w:rFonts w:eastAsia="MS Mincho"/>
                <w:lang w:eastAsia="ja-JP"/>
              </w:rPr>
            </w:pPr>
            <w:r>
              <w:rPr>
                <w:rFonts w:eastAsia="MS Mincho"/>
                <w:lang w:eastAsia="ja-JP"/>
              </w:rPr>
              <w:t xml:space="preserve">For such region, we are not sure if it is really reasonable to discuss </w:t>
            </w:r>
            <w:r w:rsidR="006C7FFB">
              <w:rPr>
                <w:rFonts w:eastAsia="MS Mincho"/>
                <w:lang w:eastAsia="ja-JP"/>
              </w:rPr>
              <w:t>channel access mechanism for “all the cases</w:t>
            </w:r>
            <w:r w:rsidR="00AF24C1">
              <w:rPr>
                <w:rFonts w:eastAsia="MS Mincho"/>
                <w:lang w:eastAsia="ja-JP"/>
              </w:rPr>
              <w:t xml:space="preserve"> of initiating transmission(s)</w:t>
            </w:r>
            <w:r w:rsidR="006C7FFB">
              <w:rPr>
                <w:rFonts w:eastAsia="MS Mincho"/>
                <w:lang w:eastAsia="ja-JP"/>
              </w:rPr>
              <w:t>”. Since BRAN kindly specifies its sensing procedure (eCCA), we would be very happy to reuse what BRAN and/or 802.11 specify as much as possible</w:t>
            </w:r>
            <w:r w:rsidR="00AF24C1">
              <w:rPr>
                <w:rFonts w:eastAsia="MS Mincho"/>
                <w:lang w:eastAsia="ja-JP"/>
              </w:rPr>
              <w:t xml:space="preserve"> in general</w:t>
            </w:r>
            <w:r w:rsidR="006C7FFB">
              <w:rPr>
                <w:rFonts w:eastAsia="MS Mincho"/>
                <w:lang w:eastAsia="ja-JP"/>
              </w:rPr>
              <w:t xml:space="preserve">. However, there is a case where BRAN regulation cannot be applied as it is, that is COT sharing. </w:t>
            </w:r>
            <w:r w:rsidR="00AF24C1">
              <w:rPr>
                <w:rFonts w:eastAsia="MS Mincho"/>
                <w:lang w:eastAsia="ja-JP"/>
              </w:rPr>
              <w:t xml:space="preserve">No LBT for response (here “response” implies a transmission from receiver(s) of the earlier transmission within MCOT for the COT which is obtained for the earlier transmission) is not allowed in Japan. </w:t>
            </w:r>
            <w:r w:rsidR="006C7FFB">
              <w:rPr>
                <w:rFonts w:eastAsia="MS Mincho"/>
                <w:lang w:eastAsia="ja-JP"/>
              </w:rPr>
              <w:t>What we desire is to achieve similar functionality to what BRAN specifies in the region where sensing is always mandatory</w:t>
            </w:r>
            <w:r w:rsidR="00AF24C1">
              <w:rPr>
                <w:rFonts w:eastAsia="MS Mincho"/>
                <w:lang w:eastAsia="ja-JP"/>
              </w:rPr>
              <w:t>, as much as possible</w:t>
            </w:r>
            <w:r w:rsidR="006C7FFB">
              <w:rPr>
                <w:rFonts w:eastAsia="MS Mincho"/>
                <w:lang w:eastAsia="ja-JP"/>
              </w:rPr>
              <w:t xml:space="preserve">. </w:t>
            </w:r>
          </w:p>
          <w:p w14:paraId="0A3326C7" w14:textId="77777777" w:rsidR="00AF24C1" w:rsidRDefault="006C7FFB" w:rsidP="006C7FFB">
            <w:pPr>
              <w:rPr>
                <w:rFonts w:eastAsia="MS Mincho"/>
                <w:lang w:eastAsia="ja-JP"/>
              </w:rPr>
            </w:pPr>
            <w:r>
              <w:rPr>
                <w:rFonts w:eastAsia="MS Mincho"/>
                <w:lang w:eastAsia="ja-JP"/>
              </w:rPr>
              <w:t>We assume, when 3GPP regulation is built, at least cat-4 LBT (i.e. eCCA specified in BRAN 302 567) will be specified. Given that, we have only an approach for sensing which is sensing with random multiple backoffs at this moment.  Based on this understanding, currently even responding device shall perform the sensing with random multiple backoffs in Japan. We do not think it is proper limitation because Japanese regulation doesn’t require such random backoff.</w:t>
            </w:r>
            <w:r w:rsidR="00AF24C1">
              <w:rPr>
                <w:rFonts w:eastAsia="MS Mincho"/>
                <w:lang w:eastAsia="ja-JP"/>
              </w:rPr>
              <w:t xml:space="preserve"> Then we were thinking if there is any good complementary technology within 3GPP, by which we can follow the current Japanese regulation and better performance implied by companies’ evaluation results, simultaneously. Then we came up with the reuse of cat-2 like LBT supported in Rel-16 NR-U. </w:t>
            </w:r>
          </w:p>
          <w:p w14:paraId="414AC53F" w14:textId="77777777" w:rsidR="00AF24C1" w:rsidRDefault="00AF24C1" w:rsidP="006C7FFB">
            <w:pPr>
              <w:rPr>
                <w:rFonts w:eastAsia="MS Mincho"/>
                <w:lang w:eastAsia="ja-JP"/>
              </w:rPr>
            </w:pPr>
            <w:r>
              <w:rPr>
                <w:rFonts w:eastAsia="MS Mincho"/>
                <w:lang w:eastAsia="ja-JP"/>
              </w:rPr>
              <w:t>We are ok to limit the use case of cat-2 LBT based on a certain condition (e.g. regions), and also ok to have configurability by gNB. We observe that indeed cat-2 LBT may not be so useful in the region under BRAN regulation, as Ericsson and Nokia pointed out. But this is already ca</w:t>
            </w:r>
            <w:r>
              <w:rPr>
                <w:rFonts w:eastAsia="MS Mincho"/>
                <w:lang w:eastAsia="ja-JP"/>
              </w:rPr>
              <w:lastRenderedPageBreak/>
              <w:t xml:space="preserve">ptured in Alt 1 in our understanding. </w:t>
            </w:r>
          </w:p>
          <w:p w14:paraId="4D9E519D" w14:textId="040A60B0" w:rsidR="00941054" w:rsidRDefault="00AF24C1" w:rsidP="006C7FFB">
            <w:pPr>
              <w:rPr>
                <w:rFonts w:eastAsia="MS Mincho"/>
                <w:lang w:eastAsia="ja-JP"/>
              </w:rPr>
            </w:pPr>
            <w:r>
              <w:rPr>
                <w:rFonts w:eastAsia="MS Mincho"/>
                <w:lang w:eastAsia="ja-JP"/>
              </w:rPr>
              <w:t>For maximum gap, in technical point of view, its introduction is straightforward when cat-2 LBT is introduce in at least for a certain region</w:t>
            </w:r>
            <w:r w:rsidR="00C00270">
              <w:rPr>
                <w:rFonts w:eastAsia="MS Mincho"/>
                <w:lang w:eastAsia="ja-JP"/>
              </w:rPr>
              <w:t xml:space="preserve"> since, if a response is initiated with really small ‘gap’ time, any sensing from another device cannot achieve to clear the sensings at gap (rather all the sensing will be failed), although this is indeed something not allowed in Japan at this moment. Besides, since Japan regulate “sensing”, it can be easily assumed to introduce a rule regarding the gap in the future. Actually Japan regulation has a history to change its regulation to follow global technology and other regulatory requirements. Then we are fine to introduce a definition of gap. In addition, again, we think the current proposal is still valid even for the current Japan regulation because of the 1</w:t>
            </w:r>
            <w:r w:rsidR="00C00270" w:rsidRPr="00C00270">
              <w:rPr>
                <w:rFonts w:eastAsia="MS Mincho"/>
                <w:vertAlign w:val="superscript"/>
                <w:lang w:eastAsia="ja-JP"/>
              </w:rPr>
              <w:t>st</w:t>
            </w:r>
            <w:r w:rsidR="00C00270">
              <w:rPr>
                <w:rFonts w:eastAsia="MS Mincho"/>
                <w:lang w:eastAsia="ja-JP"/>
              </w:rPr>
              <w:t xml:space="preserve"> Note by Moderator. </w:t>
            </w:r>
          </w:p>
          <w:p w14:paraId="574CCCD3" w14:textId="78A9C3CC" w:rsidR="00C00270" w:rsidRPr="00941054" w:rsidRDefault="00C00270" w:rsidP="006C7FFB">
            <w:pPr>
              <w:rPr>
                <w:rFonts w:eastAsia="MS Mincho"/>
                <w:lang w:eastAsia="ja-JP"/>
              </w:rPr>
            </w:pPr>
            <w:r>
              <w:rPr>
                <w:rFonts w:eastAsia="MS Mincho"/>
                <w:lang w:eastAsia="ja-JP"/>
              </w:rPr>
              <w:t xml:space="preserve">With that, we continue supporting the moderator’s proposal. </w:t>
            </w:r>
          </w:p>
        </w:tc>
      </w:tr>
    </w:tbl>
    <w:p w14:paraId="1F59B145" w14:textId="77777777" w:rsidR="00F16BE9" w:rsidRDefault="00F16BE9">
      <w:pPr>
        <w:rPr>
          <w:lang w:eastAsia="en-US"/>
        </w:rPr>
      </w:pPr>
    </w:p>
    <w:p w14:paraId="1F59B146" w14:textId="77777777" w:rsidR="00F16BE9" w:rsidRDefault="00D91F89">
      <w:pPr>
        <w:pStyle w:val="Heading2"/>
      </w:pPr>
      <w:r>
        <w:t>Cat 2 LBT</w:t>
      </w:r>
    </w:p>
    <w:p w14:paraId="1F59B147"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Spreadtrum, Sony, Samsung, CATT,  ZTE,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lastRenderedPageBreak/>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lastRenderedPageBreak/>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Gnb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ZTE, Sanechips</w:t>
            </w:r>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t>Futurewei</w:t>
            </w:r>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There is slightly majority view to support introducing Cat 2 LBT. Consider we have been discussing this for quite a while, the moderator recommend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The Cat 2 LBT uses the same sensing structure as the 8 us initial deferral period as in Ecca</w:t>
      </w:r>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lastRenderedPageBreak/>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t>Rx Assistance</w:t>
      </w:r>
    </w:p>
    <w:p w14:paraId="1F59B22C"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In terms of the duration of CCA at the UE, it should be the duration of  a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zh-CN"/>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The Cat-2 LBT can be used instead of Cat-4 LBT to 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lastRenderedPageBreak/>
        <w:t>FFS if 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We support scheme 3 or scheme 4 in Huawei’s modification..</w:t>
            </w:r>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zh-CN"/>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19.85pt" o:ole="">
                  <v:imagedata r:id="rId24" o:title=""/>
                </v:shape>
                <o:OLEObject Type="Embed" ProgID="Visio.Drawing.11" ShapeID="_x0000_i1025" DrawAspect="Content" ObjectID="_1691521528"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(eg.,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463" w14:textId="77777777" w:rsidR="00F16BE9" w:rsidRDefault="00D91F89">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t>FFS if the data transmission can be granted with the same DL DCI that schedules/triggers the first UL PUCCH/SRS transmission, in which case, the CCA or eCCA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Pr>
          <w:rFonts w:cs="Times"/>
          <w:szCs w:val="20"/>
        </w:rPr>
        <w:lastRenderedPageBreak/>
        <w:t>transmission to tell if UE passes the CCA or eCCA.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7743864" w14:textId="77777777" w:rsidR="00E830FC" w:rsidRPr="00E830FC" w:rsidRDefault="00E830FC" w:rsidP="00E830FC">
      <w:pPr>
        <w:pStyle w:val="ListParagraph"/>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w:t>
            </w:r>
            <w:r>
              <w:rPr>
                <w:rFonts w:cs="Times"/>
                <w:b/>
                <w:szCs w:val="20"/>
              </w:rPr>
              <w:lastRenderedPageBreak/>
              <w:t xml:space="preserve">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 the channel access field in DCI 1-0/1-1 is used to indicated the CCA for PUCCH carrying HARQ-ACK, (which may be switched off by indicating CAT1 LBT(type 2C)). However, in receiver assisted LBT case, CCA/eCCA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r>
              <w:t>Huawei, HiSilicon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tr w:rsidR="00F77625" w14:paraId="4F39F0F6" w14:textId="77777777" w:rsidTr="00D03359">
        <w:tc>
          <w:tcPr>
            <w:tcW w:w="1795" w:type="dxa"/>
            <w:shd w:val="clear" w:color="auto" w:fill="FFFFFF" w:themeFill="background1"/>
          </w:tcPr>
          <w:p w14:paraId="7409CE12" w14:textId="7BC83F9E" w:rsidR="00F77625" w:rsidRDefault="00F77625">
            <w:r>
              <w:t>Convida Wireless</w:t>
            </w:r>
          </w:p>
        </w:tc>
        <w:tc>
          <w:tcPr>
            <w:tcW w:w="7567" w:type="dxa"/>
            <w:shd w:val="clear" w:color="auto" w:fill="FFFFFF" w:themeFill="background1"/>
          </w:tcPr>
          <w:p w14:paraId="373389CB" w14:textId="4DE726E0" w:rsidR="00F77625" w:rsidRPr="000F3117" w:rsidRDefault="00F77625">
            <w:pPr>
              <w:rPr>
                <w:bCs/>
              </w:rPr>
            </w:pPr>
            <w:r>
              <w:rPr>
                <w:bCs/>
              </w:rPr>
              <w:t>We are ok with the proposal.</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down-select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We are in principle ok with both alternatives, but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ZTE, Sanechips</w:t>
            </w:r>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ListParagraph"/>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Huawei/HiSilicon</w:t>
            </w:r>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lastRenderedPageBreak/>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So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ZTE, Sanechips</w:t>
            </w:r>
          </w:p>
        </w:tc>
        <w:tc>
          <w:tcPr>
            <w:tcW w:w="7657" w:type="dxa"/>
          </w:tcPr>
          <w:p w14:paraId="1F59B7DD" w14:textId="77777777" w:rsidR="00F16BE9" w:rsidRDefault="00D91F89">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ZTE, Sanchips</w:t>
            </w:r>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Moderator: Yes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We are okay to support the proposal and further downselect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Moderator: Yes I saw this in round 1, but I don’t understand how to use it. Do you mean UE will send a set of RS to gNB and tell gNB one covers another (QCL-E), so gNB can choose? Or gNB configure/triggers UE to send a set of RS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ZTE, Sanechips</w:t>
            </w:r>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lastRenderedPageBreak/>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CommentText"/>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QCLed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is: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Moderator: Thanks for the further explanation. From what you described above, I feel you are talking about option 1 (UE implementation), where UE chooses the sensing beam. In your example, the UE derives a broader sensing beam that covers the 3 UL transmission beams, and the gNB does not (need to) know which sensing beam is used. Here option 2 is trying to capture a flavor that gNB indicates which sensing beam to use.</w:t>
            </w:r>
          </w:p>
        </w:tc>
      </w:tr>
      <w:tr w:rsidR="009D33F3" w14:paraId="6D3038D3" w14:textId="77777777">
        <w:tc>
          <w:tcPr>
            <w:tcW w:w="1345" w:type="dxa"/>
          </w:tcPr>
          <w:p w14:paraId="1BCC7544" w14:textId="7248113F" w:rsidR="009D33F3" w:rsidRDefault="009D33F3" w:rsidP="009D33F3">
            <w:r>
              <w:t>Samsung</w:t>
            </w:r>
          </w:p>
        </w:tc>
        <w:tc>
          <w:tcPr>
            <w:tcW w:w="8017" w:type="dxa"/>
          </w:tcPr>
          <w:p w14:paraId="51CA8FD0" w14:textId="77777777" w:rsidR="009D33F3" w:rsidRDefault="009D33F3" w:rsidP="009D33F3">
            <w:pPr>
              <w:rPr>
                <w:rFonts w:eastAsiaTheme="minorEastAsia"/>
                <w:snapToGrid/>
                <w:kern w:val="0"/>
                <w:lang w:val="en-US" w:eastAsia="zh-CN"/>
              </w:rPr>
            </w:pPr>
            <w:r>
              <w:t>Thanks for FL’s comments. We would like to clarify the understanding of our proposal below:</w:t>
            </w:r>
          </w:p>
          <w:p w14:paraId="62FC12C6" w14:textId="77777777" w:rsidR="009D33F3" w:rsidRDefault="009D33F3" w:rsidP="009D33F3"/>
          <w:p w14:paraId="7B692B90" w14:textId="77777777" w:rsidR="009D33F3" w:rsidRDefault="009D33F3" w:rsidP="009D33F3">
            <w:pPr>
              <w:pStyle w:val="CommentText"/>
              <w:jc w:val="both"/>
            </w:pPr>
            <w:r>
              <w:t xml:space="preserve">With the current legacy QCL framework, a single narrow sensing beam should be able to be identified and known to a UE by knowing UE’s single narrow UL transmission beam, similar to </w:t>
            </w:r>
            <w:r>
              <w:lastRenderedPageBreak/>
              <w:t>the case where UE can determine its UL transmission narrow beam based on its received DL CSI-RS narrow beam in the legacy QCL framework. Also, wide sensing beam can also be identified by a UE, for example, if it is the same as SSB beam by using the current framework. All of these are NOT by UE implementation and are specified in existing legacy TCI/QCL framework.  Therefore, our proposal on UE identifying sensing beam based on its one or set of UL narrow transmission beams should also be specified, and it is already specified in some cases with current legacy TCI/QCL framework (e.g., when UE only has one UL narrow transmission beam). Other cases are when, for example, sensing beam may be wider than SSB or UE has multiple UL narrow transmission beams.  </w:t>
            </w:r>
          </w:p>
          <w:p w14:paraId="0CB93A43" w14:textId="77777777" w:rsidR="009D33F3" w:rsidRDefault="009D33F3" w:rsidP="009D33F3">
            <w:pPr>
              <w:pStyle w:val="CommentText"/>
              <w:jc w:val="both"/>
            </w:pPr>
          </w:p>
          <w:p w14:paraId="38FCD510" w14:textId="77777777" w:rsidR="009D33F3" w:rsidRDefault="009D33F3" w:rsidP="009D33F3">
            <w:pPr>
              <w:pStyle w:val="CommentText"/>
              <w:jc w:val="both"/>
            </w:pPr>
            <w:r>
              <w:t xml:space="preserve">We are not quite sure the exact scope of “Option 1: UE’s implementation”, but based on our description, it’s not purely determined by UE itself. We are also not sure whether “Option 2: gNB indication” is the correct wording, but at least we can judge our proposal as “implicit indication from gNB’s RS”. </w:t>
            </w:r>
          </w:p>
          <w:p w14:paraId="56868D8B" w14:textId="77777777" w:rsidR="009D33F3" w:rsidRDefault="009D33F3" w:rsidP="009D33F3">
            <w:pPr>
              <w:pStyle w:val="CommentText"/>
              <w:jc w:val="both"/>
            </w:pPr>
          </w:p>
          <w:p w14:paraId="0DBB8028" w14:textId="02F0F952" w:rsidR="009D33F3" w:rsidRDefault="009D33F3" w:rsidP="009D33F3">
            <w:pPr>
              <w:pStyle w:val="CommentText"/>
              <w:jc w:val="both"/>
            </w:pPr>
            <w:r>
              <w:t xml:space="preserve">Overall, this aspect is an option in an FFS, so we are ok to refine the wording later and leave with “Option 2: gNB indication.”, or we are also ok with further clarifying it as “determined by DL RS”, which is more close to our description. Hope this clarifies. </w:t>
            </w:r>
          </w:p>
        </w:tc>
      </w:tr>
      <w:tr w:rsidR="00F77625" w14:paraId="12DDD990" w14:textId="77777777">
        <w:tc>
          <w:tcPr>
            <w:tcW w:w="1345" w:type="dxa"/>
          </w:tcPr>
          <w:p w14:paraId="4EA25779" w14:textId="2BA68461" w:rsidR="00F77625" w:rsidRDefault="00F77625" w:rsidP="009D33F3">
            <w:r>
              <w:lastRenderedPageBreak/>
              <w:t>Convida Wireless</w:t>
            </w:r>
          </w:p>
        </w:tc>
        <w:tc>
          <w:tcPr>
            <w:tcW w:w="8017" w:type="dxa"/>
          </w:tcPr>
          <w:p w14:paraId="4502AE19" w14:textId="782E6958" w:rsidR="00F77625" w:rsidRDefault="00F77625" w:rsidP="009D33F3">
            <w:r>
              <w:t>We are ok with the proposal.</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1F59BA08" w14:textId="77777777" w:rsidR="00F16BE9" w:rsidRDefault="00D91F89">
      <w:pPr>
        <w:pStyle w:val="ListParagraph"/>
        <w:numPr>
          <w:ilvl w:val="0"/>
          <w:numId w:val="57"/>
        </w:numPr>
      </w:pPr>
      <w:r>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InterDigital, Lenovo (for UE), Samsung (gNB and UE), OPPO, NEC, ZTE, </w:t>
      </w:r>
    </w:p>
    <w:p w14:paraId="1F59BA0C" w14:textId="77777777" w:rsidR="00F16BE9" w:rsidRDefault="00D91F89">
      <w:pPr>
        <w:pStyle w:val="ListParagraph"/>
        <w:numPr>
          <w:ilvl w:val="0"/>
          <w:numId w:val="57"/>
        </w:numPr>
      </w:pPr>
      <w:r>
        <w:t>Do not support per beam indication: Huawei, Vivo, Qualcomm, FUTUREWEI, LG, Charter, Intel, DCM, Ericsson, Apple, Convida, CATT, WILUS ,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lastRenderedPageBreak/>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ZTE, Sanechips</w:t>
            </w:r>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L1 Signaling for No-LBT mode should be supported:  InterDigital, CATT, Apple, vivo (if there is benefit), Oppo, Lenovo, ZTE, NEC</w:t>
      </w:r>
    </w:p>
    <w:p w14:paraId="1F59BA51" w14:textId="77777777" w:rsidR="00F16BE9" w:rsidRDefault="00D91F89">
      <w:pPr>
        <w:pStyle w:val="ListParagraph"/>
        <w:numPr>
          <w:ilvl w:val="0"/>
          <w:numId w:val="57"/>
        </w:numPr>
      </w:pPr>
      <w:r>
        <w:t>L1 Signaling for 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lastRenderedPageBreak/>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We do not see 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Short Control Signaling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0" w:name="_Hlk70238535"/>
            <w:r>
              <w:rPr>
                <w:sz w:val="18"/>
                <w:szCs w:val="18"/>
                <w:highlight w:val="green"/>
                <w:lang w:eastAsia="zh-CN"/>
              </w:rPr>
              <w:lastRenderedPageBreak/>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0"/>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ListParagraph"/>
              <w:numPr>
                <w:ilvl w:val="1"/>
                <w:numId w:val="20"/>
              </w:numPr>
            </w:pPr>
            <w:r>
              <w:t>Alt 2: The 10% over any 100ms interval restriction is applicable to the msg1/msgA transmission from one UE perspective</w:t>
            </w:r>
          </w:p>
          <w:p w14:paraId="1F59BAB2" w14:textId="77777777" w:rsidR="00F16BE9" w:rsidRDefault="00D91F89">
            <w:pPr>
              <w:pStyle w:val="ListParagraph"/>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/msgA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ListParagraph"/>
        <w:numPr>
          <w:ilvl w:val="0"/>
          <w:numId w:val="20"/>
        </w:numPr>
      </w:pPr>
      <w:r>
        <w:t>Alt 2: The 10% over any 100ms interval restriction is applicable to the msg1/msgA transmission from one UE perspective</w:t>
      </w:r>
    </w:p>
    <w:p w14:paraId="1F59BB1F" w14:textId="77777777" w:rsidR="00F16BE9" w:rsidRDefault="00D91F89">
      <w:pPr>
        <w:pStyle w:val="ListParagraph"/>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B40" w14:textId="77777777" w:rsidR="00F16BE9" w:rsidRDefault="00D91F89">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 signaling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 , WILUS</w:t>
      </w:r>
    </w:p>
    <w:p w14:paraId="1F59BBD3" w14:textId="77777777" w:rsidR="00F16BE9" w:rsidRDefault="00D91F89">
      <w:pPr>
        <w:pStyle w:val="ListParagraph"/>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R1-2106696, Discussion on channel access mechanism for above 52.6GHz, Spreadtrum Communications</w:t>
      </w:r>
    </w:p>
    <w:p w14:paraId="1F59BC67" w14:textId="77777777" w:rsidR="00F16BE9" w:rsidRDefault="00D91F89">
      <w:pPr>
        <w:pStyle w:val="ListParagraph"/>
        <w:numPr>
          <w:ilvl w:val="0"/>
          <w:numId w:val="62"/>
        </w:numPr>
        <w:rPr>
          <w:lang w:eastAsia="en-US"/>
        </w:rPr>
      </w:pPr>
      <w:r>
        <w:rPr>
          <w:lang w:eastAsia="en-US"/>
        </w:rPr>
        <w:t>R1-2106771, Discussion on channel access mechanisms, InterDigital,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207E" w14:textId="77777777" w:rsidR="00236694" w:rsidRDefault="00236694">
      <w:pPr>
        <w:spacing w:after="0" w:line="240" w:lineRule="auto"/>
      </w:pPr>
      <w:r>
        <w:separator/>
      </w:r>
    </w:p>
  </w:endnote>
  <w:endnote w:type="continuationSeparator" w:id="0">
    <w:p w14:paraId="13B71AEC" w14:textId="77777777" w:rsidR="00236694" w:rsidRDefault="0023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D050000L"/>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C3" w14:textId="6F8F802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33F3">
      <w:rPr>
        <w:rStyle w:val="PageNumber"/>
        <w:noProof/>
      </w:rPr>
      <w:t>105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42F2" w14:textId="77777777" w:rsidR="00236694" w:rsidRDefault="00236694">
      <w:pPr>
        <w:spacing w:after="0" w:line="240" w:lineRule="auto"/>
      </w:pPr>
      <w:r>
        <w:separator/>
      </w:r>
    </w:p>
  </w:footnote>
  <w:footnote w:type="continuationSeparator" w:id="0">
    <w:p w14:paraId="5F2A39D6" w14:textId="77777777" w:rsidR="00236694" w:rsidRDefault="00236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17A63BD"/>
    <w:multiLevelType w:val="hybridMultilevel"/>
    <w:tmpl w:val="454AA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ECD40"/>
    <w:multiLevelType w:val="singleLevel"/>
    <w:tmpl w:val="256ECD40"/>
    <w:lvl w:ilvl="0">
      <w:start w:val="1"/>
      <w:numFmt w:val="upperLetter"/>
      <w:suff w:val="space"/>
      <w:lvlText w:val="%1)"/>
      <w:lvlJc w:val="left"/>
    </w:lvl>
  </w:abstractNum>
  <w:abstractNum w:abstractNumId="15"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5"/>
  </w:num>
  <w:num w:numId="3">
    <w:abstractNumId w:val="61"/>
  </w:num>
  <w:num w:numId="4">
    <w:abstractNumId w:val="0"/>
  </w:num>
  <w:num w:numId="5">
    <w:abstractNumId w:val="18"/>
  </w:num>
  <w:num w:numId="6">
    <w:abstractNumId w:val="59"/>
  </w:num>
  <w:num w:numId="7">
    <w:abstractNumId w:val="17"/>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10"/>
  </w:num>
  <w:num w:numId="17">
    <w:abstractNumId w:val="46"/>
  </w:num>
  <w:num w:numId="18">
    <w:abstractNumId w:val="52"/>
  </w:num>
  <w:num w:numId="19">
    <w:abstractNumId w:val="35"/>
  </w:num>
  <w:num w:numId="20">
    <w:abstractNumId w:val="9"/>
  </w:num>
  <w:num w:numId="21">
    <w:abstractNumId w:val="30"/>
  </w:num>
  <w:num w:numId="22">
    <w:abstractNumId w:val="42"/>
  </w:num>
  <w:num w:numId="23">
    <w:abstractNumId w:val="32"/>
  </w:num>
  <w:num w:numId="24">
    <w:abstractNumId w:val="12"/>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7"/>
  </w:num>
  <w:num w:numId="34">
    <w:abstractNumId w:val="44"/>
  </w:num>
  <w:num w:numId="35">
    <w:abstractNumId w:val="2"/>
  </w:num>
  <w:num w:numId="36">
    <w:abstractNumId w:val="25"/>
  </w:num>
  <w:num w:numId="37">
    <w:abstractNumId w:val="55"/>
  </w:num>
  <w:num w:numId="38">
    <w:abstractNumId w:val="53"/>
  </w:num>
  <w:num w:numId="39">
    <w:abstractNumId w:val="21"/>
  </w:num>
  <w:num w:numId="40">
    <w:abstractNumId w:val="14"/>
  </w:num>
  <w:num w:numId="41">
    <w:abstractNumId w:val="33"/>
  </w:num>
  <w:num w:numId="42">
    <w:abstractNumId w:val="28"/>
  </w:num>
  <w:num w:numId="43">
    <w:abstractNumId w:val="6"/>
  </w:num>
  <w:num w:numId="44">
    <w:abstractNumId w:val="39"/>
  </w:num>
  <w:num w:numId="45">
    <w:abstractNumId w:val="47"/>
  </w:num>
  <w:num w:numId="46">
    <w:abstractNumId w:val="4"/>
  </w:num>
  <w:num w:numId="47">
    <w:abstractNumId w:val="3"/>
  </w:num>
  <w:num w:numId="48">
    <w:abstractNumId w:val="22"/>
  </w:num>
  <w:num w:numId="49">
    <w:abstractNumId w:val="37"/>
  </w:num>
  <w:num w:numId="50">
    <w:abstractNumId w:val="11"/>
  </w:num>
  <w:num w:numId="51">
    <w:abstractNumId w:val="26"/>
  </w:num>
  <w:num w:numId="52">
    <w:abstractNumId w:val="15"/>
  </w:num>
  <w:num w:numId="53">
    <w:abstractNumId w:val="40"/>
  </w:num>
  <w:num w:numId="54">
    <w:abstractNumId w:val="13"/>
  </w:num>
  <w:num w:numId="55">
    <w:abstractNumId w:val="16"/>
  </w:num>
  <w:num w:numId="56">
    <w:abstractNumId w:val="19"/>
  </w:num>
  <w:num w:numId="57">
    <w:abstractNumId w:val="8"/>
  </w:num>
  <w:num w:numId="58">
    <w:abstractNumId w:val="49"/>
  </w:num>
  <w:num w:numId="59">
    <w:abstractNumId w:val="58"/>
  </w:num>
  <w:num w:numId="60">
    <w:abstractNumId w:val="56"/>
  </w:num>
  <w:num w:numId="61">
    <w:abstractNumId w:val="41"/>
  </w:num>
  <w:num w:numId="62">
    <w:abstractNumId w:val="45"/>
  </w:num>
  <w:num w:numId="63">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4.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B1924-3B95-497F-A51F-F96336971563}">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customXml/itemProps8.xml><?xml version="1.0" encoding="utf-8"?>
<ds:datastoreItem xmlns:ds="http://schemas.openxmlformats.org/officeDocument/2006/customXml" ds:itemID="{5BB06237-7F83-4C22-B624-2DD7B148BD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121</Pages>
  <Words>52724</Words>
  <Characters>300527</Characters>
  <Application>Microsoft Office Word</Application>
  <DocSecurity>0</DocSecurity>
  <Lines>2504</Lines>
  <Paragraphs>705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352546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3</cp:revision>
  <cp:lastPrinted>2019-01-10T09:30:00Z</cp:lastPrinted>
  <dcterms:created xsi:type="dcterms:W3CDTF">2021-08-27T02:15:00Z</dcterms:created>
  <dcterms:modified xsi:type="dcterms:W3CDTF">2021-08-27T02:18:00Z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