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F289" w14:textId="7C302320" w:rsidR="004F740B" w:rsidRPr="001A659D" w:rsidRDefault="004F740B" w:rsidP="004F740B">
      <w:pPr>
        <w:pStyle w:val="FP"/>
        <w:tabs>
          <w:tab w:val="left" w:pos="567"/>
        </w:tabs>
        <w:rPr>
          <w:rFonts w:ascii="Arial" w:hAnsi="Arial" w:cs="Arial"/>
          <w:b/>
          <w:sz w:val="24"/>
          <w:szCs w:val="24"/>
          <w:lang w:eastAsia="ja-JP"/>
        </w:rPr>
      </w:pPr>
      <w:r w:rsidRPr="001A659D">
        <w:rPr>
          <w:rFonts w:ascii="Arial" w:hAnsi="Arial" w:cs="Arial"/>
          <w:b/>
          <w:sz w:val="24"/>
          <w:szCs w:val="24"/>
        </w:rPr>
        <w:t>3GPP TSG RAN meeting #</w:t>
      </w:r>
      <w:r>
        <w:rPr>
          <w:rFonts w:ascii="Arial" w:hAnsi="Arial" w:cs="Arial"/>
          <w:b/>
          <w:sz w:val="24"/>
          <w:szCs w:val="24"/>
        </w:rPr>
        <w:t>93e</w:t>
      </w:r>
      <w:r>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00AE70E4" w:rsidRPr="00AE70E4">
        <w:rPr>
          <w:rFonts w:ascii="Arial" w:hAnsi="Arial" w:cs="Arial"/>
          <w:b/>
          <w:sz w:val="24"/>
          <w:szCs w:val="24"/>
        </w:rPr>
        <w:t>RP-211946</w:t>
      </w:r>
    </w:p>
    <w:p w14:paraId="40ED6802" w14:textId="77777777" w:rsidR="004F740B" w:rsidRPr="004B566C" w:rsidRDefault="004F740B" w:rsidP="004F740B">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Pr>
          <w:rFonts w:ascii="Arial" w:hAnsi="Arial" w:cs="Arial"/>
          <w:b/>
          <w:sz w:val="24"/>
        </w:rPr>
        <w:t>Sep. 13-17</w:t>
      </w:r>
      <w:r w:rsidRPr="001A659D">
        <w:rPr>
          <w:rFonts w:ascii="Arial" w:hAnsi="Arial" w:cs="Arial"/>
          <w:b/>
          <w:sz w:val="24"/>
        </w:rPr>
        <w:t>, 20</w:t>
      </w:r>
      <w:r>
        <w:rPr>
          <w:rFonts w:ascii="Arial" w:hAnsi="Arial" w:cs="Arial"/>
          <w:b/>
          <w:sz w:val="24"/>
        </w:rPr>
        <w:t>21</w:t>
      </w:r>
    </w:p>
    <w:p w14:paraId="07FF532C" w14:textId="131BB69F" w:rsidR="002449FF" w:rsidRPr="006A45BA" w:rsidRDefault="002449FF" w:rsidP="002449FF">
      <w:pPr>
        <w:pStyle w:val="CRCoverPage"/>
        <w:tabs>
          <w:tab w:val="right" w:pos="9639"/>
        </w:tabs>
        <w:spacing w:after="0"/>
        <w:rPr>
          <w:b/>
          <w:noProof/>
          <w:sz w:val="24"/>
        </w:rPr>
      </w:pPr>
      <w:r w:rsidRPr="0033027D">
        <w:rPr>
          <w:b/>
          <w:noProof/>
          <w:sz w:val="24"/>
        </w:rPr>
        <w:tab/>
      </w:r>
    </w:p>
    <w:p w14:paraId="12842637"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72BAC034" w14:textId="1FE77333"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4B5E87" w:rsidRPr="004B5E87">
        <w:rPr>
          <w:rFonts w:ascii="Arial" w:hAnsi="Arial" w:cs="Arial"/>
        </w:rPr>
        <w:t>10.4.2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3551A9" w:rsidRPr="008836AC" w14:paraId="63D082EA" w14:textId="77777777" w:rsidTr="00871653">
        <w:tc>
          <w:tcPr>
            <w:tcW w:w="2436" w:type="dxa"/>
            <w:shd w:val="clear" w:color="auto" w:fill="auto"/>
          </w:tcPr>
          <w:p w14:paraId="016C7BE3" w14:textId="77777777" w:rsidR="003551A9" w:rsidRPr="008836AC" w:rsidRDefault="003551A9" w:rsidP="003551A9">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39D963A5" w14:textId="68788BC5" w:rsidR="003551A9" w:rsidRPr="008836AC" w:rsidRDefault="002449FF" w:rsidP="003551A9">
            <w:pPr>
              <w:tabs>
                <w:tab w:val="left" w:pos="567"/>
              </w:tabs>
              <w:spacing w:after="0"/>
              <w:rPr>
                <w:rFonts w:ascii="Arial" w:hAnsi="Arial" w:cs="Arial"/>
              </w:rPr>
            </w:pPr>
            <w:r w:rsidRPr="002449FF">
              <w:rPr>
                <w:rFonts w:ascii="Arial" w:hAnsi="Arial" w:cs="Arial"/>
              </w:rPr>
              <w:t>New bands and bandwidth allocation for 5G terrestrial broadcast</w:t>
            </w:r>
            <w:r w:rsidR="00AE70E4">
              <w:rPr>
                <w:rFonts w:ascii="Arial" w:hAnsi="Arial" w:cs="Arial"/>
              </w:rPr>
              <w:t xml:space="preserve"> - part 1</w:t>
            </w:r>
          </w:p>
        </w:tc>
      </w:tr>
      <w:tr w:rsidR="003551A9" w:rsidRPr="008836AC" w14:paraId="79F5C21B" w14:textId="77777777" w:rsidTr="00871653">
        <w:tc>
          <w:tcPr>
            <w:tcW w:w="2436" w:type="dxa"/>
            <w:shd w:val="clear" w:color="auto" w:fill="auto"/>
          </w:tcPr>
          <w:p w14:paraId="513B255F" w14:textId="77777777" w:rsidR="003551A9" w:rsidRPr="008836AC" w:rsidRDefault="003551A9" w:rsidP="003551A9">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7AC7EBF9" w14:textId="77777777" w:rsidR="003551A9" w:rsidRPr="008E00D8" w:rsidRDefault="003551A9" w:rsidP="003551A9">
            <w:pPr>
              <w:tabs>
                <w:tab w:val="left" w:pos="567"/>
              </w:tabs>
              <w:spacing w:after="0"/>
              <w:rPr>
                <w:rFonts w:ascii="Arial" w:hAnsi="Arial" w:cs="Arial"/>
                <w:lang w:eastAsia="ja-JP"/>
              </w:rPr>
            </w:pPr>
            <w:r w:rsidRPr="008E00D8">
              <w:rPr>
                <w:rFonts w:ascii="Arial" w:hAnsi="Arial" w:cs="Arial"/>
              </w:rPr>
              <w:t>Study Item:</w:t>
            </w:r>
            <w:r w:rsidRPr="008E00D8">
              <w:rPr>
                <w:rFonts w:ascii="Arial" w:hAnsi="Arial" w:cs="Arial" w:hint="eastAsia"/>
                <w:lang w:eastAsia="ja-JP"/>
              </w:rPr>
              <w:t xml:space="preserve"> </w:t>
            </w:r>
          </w:p>
          <w:p w14:paraId="064C957E" w14:textId="62B4BAD2" w:rsidR="003551A9" w:rsidRPr="008836AC" w:rsidRDefault="003551A9" w:rsidP="003551A9">
            <w:pPr>
              <w:tabs>
                <w:tab w:val="left" w:pos="567"/>
              </w:tabs>
              <w:spacing w:after="0"/>
              <w:rPr>
                <w:rFonts w:ascii="Arial" w:hAnsi="Arial" w:cs="Arial"/>
              </w:rPr>
            </w:pPr>
            <w:r w:rsidRPr="008E00D8">
              <w:rPr>
                <w:rFonts w:ascii="Arial" w:hAnsi="Arial" w:cs="Arial"/>
                <w:lang w:eastAsia="ja-JP"/>
              </w:rPr>
              <w:t>No</w:t>
            </w:r>
          </w:p>
        </w:tc>
        <w:tc>
          <w:tcPr>
            <w:tcW w:w="1842" w:type="dxa"/>
          </w:tcPr>
          <w:p w14:paraId="73957507" w14:textId="77777777" w:rsidR="003551A9" w:rsidRPr="008E00D8" w:rsidRDefault="003551A9" w:rsidP="003551A9">
            <w:pPr>
              <w:tabs>
                <w:tab w:val="left" w:pos="567"/>
              </w:tabs>
              <w:spacing w:after="0"/>
              <w:rPr>
                <w:rFonts w:ascii="Arial" w:hAnsi="Arial" w:cs="Arial"/>
                <w:lang w:eastAsia="ja-JP"/>
              </w:rPr>
            </w:pPr>
            <w:r w:rsidRPr="008E00D8">
              <w:rPr>
                <w:rFonts w:ascii="Arial" w:hAnsi="Arial" w:cs="Arial"/>
              </w:rPr>
              <w:t>Study Item:</w:t>
            </w:r>
            <w:r w:rsidRPr="008E00D8">
              <w:rPr>
                <w:rFonts w:ascii="Arial" w:hAnsi="Arial" w:cs="Arial" w:hint="eastAsia"/>
                <w:lang w:eastAsia="ja-JP"/>
              </w:rPr>
              <w:t xml:space="preserve"> </w:t>
            </w:r>
          </w:p>
          <w:p w14:paraId="4B769671" w14:textId="47B79011" w:rsidR="003551A9" w:rsidRPr="008836AC" w:rsidRDefault="003551A9" w:rsidP="003551A9">
            <w:pPr>
              <w:tabs>
                <w:tab w:val="left" w:pos="567"/>
              </w:tabs>
              <w:spacing w:after="0"/>
              <w:rPr>
                <w:rFonts w:ascii="Arial" w:hAnsi="Arial" w:cs="Arial"/>
                <w:color w:val="FF0000"/>
                <w:lang w:eastAsia="ja-JP"/>
              </w:rPr>
            </w:pPr>
            <w:r w:rsidRPr="008E00D8">
              <w:rPr>
                <w:rFonts w:ascii="Arial" w:hAnsi="Arial" w:cs="Arial"/>
                <w:lang w:eastAsia="ja-JP"/>
              </w:rPr>
              <w:t>No</w:t>
            </w:r>
          </w:p>
        </w:tc>
        <w:tc>
          <w:tcPr>
            <w:tcW w:w="2309" w:type="dxa"/>
            <w:gridSpan w:val="2"/>
          </w:tcPr>
          <w:p w14:paraId="0EBC4465" w14:textId="77777777" w:rsidR="003551A9" w:rsidRPr="008E00D8" w:rsidRDefault="003551A9" w:rsidP="003551A9">
            <w:pPr>
              <w:tabs>
                <w:tab w:val="left" w:pos="567"/>
              </w:tabs>
              <w:spacing w:after="0"/>
              <w:rPr>
                <w:rFonts w:ascii="Arial" w:hAnsi="Arial" w:cs="Arial"/>
                <w:lang w:eastAsia="ja-JP"/>
              </w:rPr>
            </w:pPr>
            <w:r w:rsidRPr="008E00D8">
              <w:rPr>
                <w:rFonts w:ascii="Arial" w:hAnsi="Arial" w:cs="Arial"/>
              </w:rPr>
              <w:t>Study Item:</w:t>
            </w:r>
            <w:r w:rsidRPr="008E00D8">
              <w:rPr>
                <w:rFonts w:ascii="Arial" w:hAnsi="Arial" w:cs="Arial" w:hint="eastAsia"/>
                <w:lang w:eastAsia="ja-JP"/>
              </w:rPr>
              <w:t xml:space="preserve"> </w:t>
            </w:r>
          </w:p>
          <w:p w14:paraId="16D83285" w14:textId="67988033" w:rsidR="003551A9" w:rsidRPr="008836AC" w:rsidRDefault="003551A9" w:rsidP="003551A9">
            <w:pPr>
              <w:tabs>
                <w:tab w:val="left" w:pos="567"/>
              </w:tabs>
              <w:spacing w:after="0"/>
              <w:rPr>
                <w:rFonts w:ascii="Arial" w:hAnsi="Arial" w:cs="Arial"/>
                <w:color w:val="FF0000"/>
                <w:lang w:eastAsia="ja-JP"/>
              </w:rPr>
            </w:pPr>
            <w:r w:rsidRPr="008E00D8">
              <w:rPr>
                <w:rFonts w:ascii="Arial" w:hAnsi="Arial" w:cs="Arial"/>
                <w:lang w:eastAsia="ja-JP"/>
              </w:rPr>
              <w:t>No</w:t>
            </w:r>
          </w:p>
        </w:tc>
        <w:tc>
          <w:tcPr>
            <w:tcW w:w="1653" w:type="dxa"/>
          </w:tcPr>
          <w:p w14:paraId="42D10BCB" w14:textId="77777777" w:rsidR="003551A9" w:rsidRPr="008E00D8" w:rsidRDefault="003551A9" w:rsidP="003551A9">
            <w:pPr>
              <w:tabs>
                <w:tab w:val="left" w:pos="567"/>
              </w:tabs>
              <w:spacing w:after="0"/>
              <w:rPr>
                <w:rFonts w:ascii="Arial" w:hAnsi="Arial" w:cs="Arial"/>
                <w:lang w:eastAsia="ja-JP"/>
              </w:rPr>
            </w:pPr>
            <w:r w:rsidRPr="008E00D8">
              <w:rPr>
                <w:rFonts w:ascii="Arial" w:hAnsi="Arial" w:cs="Arial"/>
              </w:rPr>
              <w:t>Study Item:</w:t>
            </w:r>
            <w:r w:rsidRPr="008E00D8">
              <w:rPr>
                <w:rFonts w:ascii="Arial" w:hAnsi="Arial" w:cs="Arial" w:hint="eastAsia"/>
                <w:lang w:eastAsia="ja-JP"/>
              </w:rPr>
              <w:t xml:space="preserve"> </w:t>
            </w:r>
          </w:p>
          <w:p w14:paraId="2C4F517C" w14:textId="68BE415D" w:rsidR="003551A9" w:rsidRPr="008836AC" w:rsidRDefault="003551A9" w:rsidP="003551A9">
            <w:pPr>
              <w:tabs>
                <w:tab w:val="left" w:pos="567"/>
              </w:tabs>
              <w:spacing w:after="0"/>
              <w:rPr>
                <w:rFonts w:ascii="Arial" w:hAnsi="Arial" w:cs="Arial"/>
                <w:color w:val="FF0000"/>
                <w:lang w:eastAsia="ja-JP"/>
              </w:rPr>
            </w:pPr>
            <w:r w:rsidRPr="008E00D8">
              <w:rPr>
                <w:rFonts w:ascii="Arial" w:hAnsi="Arial" w:cs="Arial"/>
                <w:lang w:eastAsia="ja-JP"/>
              </w:rPr>
              <w:t>No</w:t>
            </w:r>
          </w:p>
        </w:tc>
      </w:tr>
      <w:tr w:rsidR="003551A9" w:rsidRPr="008836AC" w14:paraId="3D56D906" w14:textId="77777777" w:rsidTr="00871653">
        <w:tc>
          <w:tcPr>
            <w:tcW w:w="2436" w:type="dxa"/>
          </w:tcPr>
          <w:p w14:paraId="6424919F" w14:textId="77777777" w:rsidR="003551A9" w:rsidRPr="008836AC" w:rsidRDefault="003551A9" w:rsidP="003551A9">
            <w:pPr>
              <w:tabs>
                <w:tab w:val="left" w:pos="567"/>
              </w:tabs>
              <w:spacing w:after="0"/>
              <w:rPr>
                <w:rFonts w:ascii="Arial" w:hAnsi="Arial" w:cs="Arial"/>
                <w:b/>
              </w:rPr>
            </w:pPr>
            <w:r w:rsidRPr="008836AC">
              <w:rPr>
                <w:rFonts w:ascii="Arial" w:hAnsi="Arial" w:cs="Arial"/>
                <w:b/>
              </w:rPr>
              <w:t>Acronym</w:t>
            </w:r>
          </w:p>
        </w:tc>
        <w:tc>
          <w:tcPr>
            <w:tcW w:w="7650" w:type="dxa"/>
            <w:gridSpan w:val="5"/>
          </w:tcPr>
          <w:p w14:paraId="69F37EDD" w14:textId="5A285091" w:rsidR="003551A9" w:rsidRPr="008836AC" w:rsidRDefault="004B5E87" w:rsidP="003551A9">
            <w:pPr>
              <w:tabs>
                <w:tab w:val="left" w:pos="567"/>
              </w:tabs>
              <w:spacing w:after="0"/>
              <w:rPr>
                <w:rFonts w:ascii="Arial" w:hAnsi="Arial" w:cs="Arial"/>
              </w:rPr>
            </w:pPr>
            <w:r w:rsidRPr="004B5E87">
              <w:rPr>
                <w:rFonts w:ascii="Arial" w:hAnsi="Arial" w:cs="Arial"/>
              </w:rPr>
              <w:t>LTE_terr_bcast_bands_part1</w:t>
            </w:r>
          </w:p>
        </w:tc>
      </w:tr>
      <w:tr w:rsidR="003551A9" w:rsidRPr="008836AC" w14:paraId="21CC6B05" w14:textId="77777777" w:rsidTr="00871653">
        <w:tc>
          <w:tcPr>
            <w:tcW w:w="2436" w:type="dxa"/>
          </w:tcPr>
          <w:p w14:paraId="47D094DE" w14:textId="77777777" w:rsidR="003551A9" w:rsidRPr="008836AC" w:rsidRDefault="003551A9" w:rsidP="003551A9">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7EBF2C0" w14:textId="0766DC14" w:rsidR="003551A9" w:rsidRPr="008836AC" w:rsidRDefault="002449FF" w:rsidP="003551A9">
            <w:pPr>
              <w:tabs>
                <w:tab w:val="left" w:pos="567"/>
              </w:tabs>
              <w:spacing w:after="0"/>
              <w:rPr>
                <w:rFonts w:ascii="Arial" w:hAnsi="Arial" w:cs="Arial"/>
                <w:lang w:eastAsia="ja-JP"/>
              </w:rPr>
            </w:pPr>
            <w:r w:rsidRPr="002449FF">
              <w:rPr>
                <w:rFonts w:ascii="Arial" w:hAnsi="Arial" w:cs="Arial"/>
              </w:rPr>
              <w:t>911020</w:t>
            </w:r>
          </w:p>
        </w:tc>
      </w:tr>
      <w:tr w:rsidR="003551A9" w:rsidRPr="008836AC" w14:paraId="047F10D3" w14:textId="77777777" w:rsidTr="00871653">
        <w:tc>
          <w:tcPr>
            <w:tcW w:w="2436" w:type="dxa"/>
          </w:tcPr>
          <w:p w14:paraId="3A326C4B" w14:textId="77777777" w:rsidR="003551A9" w:rsidRPr="008836AC" w:rsidRDefault="003551A9" w:rsidP="003551A9">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3B714C0B" w14:textId="655A2E85" w:rsidR="003551A9" w:rsidRPr="008836AC" w:rsidRDefault="004B5E87" w:rsidP="003551A9">
            <w:pPr>
              <w:tabs>
                <w:tab w:val="left" w:pos="567"/>
              </w:tabs>
              <w:spacing w:after="0"/>
              <w:rPr>
                <w:rFonts w:ascii="Arial" w:hAnsi="Arial" w:cs="Arial"/>
                <w:lang w:eastAsia="ja-JP"/>
              </w:rPr>
            </w:pPr>
            <w:r w:rsidRPr="004B5E87">
              <w:rPr>
                <w:rFonts w:ascii="Arial" w:hAnsi="Arial" w:cs="Arial"/>
              </w:rPr>
              <w:t>RP-211144</w:t>
            </w:r>
          </w:p>
        </w:tc>
      </w:tr>
      <w:tr w:rsidR="003551A9" w:rsidRPr="008836AC" w14:paraId="1B85E1BB" w14:textId="77777777" w:rsidTr="00871653">
        <w:tc>
          <w:tcPr>
            <w:tcW w:w="2436" w:type="dxa"/>
          </w:tcPr>
          <w:p w14:paraId="19B5256D" w14:textId="77777777" w:rsidR="003551A9" w:rsidRDefault="003551A9" w:rsidP="003551A9">
            <w:pPr>
              <w:tabs>
                <w:tab w:val="left" w:pos="567"/>
              </w:tabs>
              <w:spacing w:after="0"/>
              <w:rPr>
                <w:rFonts w:ascii="Arial" w:hAnsi="Arial" w:cs="Arial"/>
                <w:b/>
              </w:rPr>
            </w:pPr>
            <w:r>
              <w:rPr>
                <w:rFonts w:ascii="Arial" w:hAnsi="Arial" w:cs="Arial"/>
                <w:b/>
              </w:rPr>
              <w:t>Target Completion Date</w:t>
            </w:r>
          </w:p>
          <w:p w14:paraId="556997F8" w14:textId="77777777" w:rsidR="003551A9" w:rsidRPr="008836AC" w:rsidRDefault="003551A9" w:rsidP="003551A9">
            <w:pPr>
              <w:tabs>
                <w:tab w:val="left" w:pos="567"/>
              </w:tabs>
              <w:spacing w:after="0"/>
              <w:rPr>
                <w:rFonts w:ascii="Arial" w:hAnsi="Arial" w:cs="Arial"/>
                <w:b/>
              </w:rPr>
            </w:pPr>
            <w:r>
              <w:rPr>
                <w:rFonts w:ascii="Arial" w:hAnsi="Arial" w:cs="Arial"/>
                <w:b/>
              </w:rPr>
              <w:t>(indicate if changed)</w:t>
            </w:r>
          </w:p>
        </w:tc>
        <w:tc>
          <w:tcPr>
            <w:tcW w:w="1846" w:type="dxa"/>
          </w:tcPr>
          <w:p w14:paraId="17B1772B" w14:textId="10993EED" w:rsidR="003551A9" w:rsidRPr="008836AC" w:rsidRDefault="003551A9" w:rsidP="003551A9">
            <w:pPr>
              <w:tabs>
                <w:tab w:val="left" w:pos="567"/>
              </w:tabs>
              <w:spacing w:after="0"/>
              <w:rPr>
                <w:rFonts w:ascii="Arial" w:hAnsi="Arial" w:cs="Arial"/>
                <w:lang w:eastAsia="ja-JP"/>
              </w:rPr>
            </w:pPr>
            <w:r w:rsidRPr="008E00D8">
              <w:rPr>
                <w:rFonts w:ascii="Arial" w:hAnsi="Arial" w:cs="Arial"/>
                <w:lang w:eastAsia="ja-JP"/>
              </w:rPr>
              <w:t>Study Item:</w:t>
            </w:r>
          </w:p>
        </w:tc>
        <w:tc>
          <w:tcPr>
            <w:tcW w:w="1842" w:type="dxa"/>
          </w:tcPr>
          <w:p w14:paraId="13EADF6B" w14:textId="77777777" w:rsidR="003551A9" w:rsidRPr="004E5A87" w:rsidRDefault="003551A9" w:rsidP="003551A9">
            <w:pPr>
              <w:tabs>
                <w:tab w:val="left" w:pos="567"/>
              </w:tabs>
              <w:spacing w:after="0"/>
              <w:rPr>
                <w:rFonts w:ascii="Arial" w:hAnsi="Arial" w:cs="Arial"/>
                <w:lang w:eastAsia="ja-JP"/>
              </w:rPr>
            </w:pPr>
            <w:r w:rsidRPr="004E5A87">
              <w:rPr>
                <w:rFonts w:ascii="Arial" w:hAnsi="Arial" w:cs="Arial"/>
                <w:lang w:eastAsia="ja-JP"/>
              </w:rPr>
              <w:t xml:space="preserve">Core part: </w:t>
            </w:r>
          </w:p>
          <w:p w14:paraId="0E3576E1" w14:textId="03647B51" w:rsidR="003551A9" w:rsidRPr="008836AC" w:rsidRDefault="003551A9" w:rsidP="003551A9">
            <w:pPr>
              <w:tabs>
                <w:tab w:val="left" w:pos="567"/>
              </w:tabs>
              <w:spacing w:after="0"/>
              <w:rPr>
                <w:rFonts w:ascii="Arial" w:hAnsi="Arial" w:cs="Arial"/>
                <w:lang w:eastAsia="ja-JP"/>
              </w:rPr>
            </w:pPr>
            <w:r>
              <w:rPr>
                <w:rFonts w:ascii="Arial" w:hAnsi="Arial" w:cs="Arial"/>
                <w:lang w:eastAsia="ja-JP"/>
              </w:rPr>
              <w:t>03</w:t>
            </w:r>
            <w:r w:rsidRPr="004E5A87">
              <w:rPr>
                <w:rFonts w:ascii="Arial" w:hAnsi="Arial" w:cs="Arial"/>
                <w:lang w:eastAsia="ja-JP"/>
              </w:rPr>
              <w:t>/20</w:t>
            </w:r>
            <w:r>
              <w:rPr>
                <w:rFonts w:ascii="Arial" w:hAnsi="Arial" w:cs="Arial"/>
                <w:lang w:eastAsia="ja-JP"/>
              </w:rPr>
              <w:t>2</w:t>
            </w:r>
            <w:r w:rsidR="002449FF">
              <w:rPr>
                <w:rFonts w:ascii="Arial" w:hAnsi="Arial" w:cs="Arial"/>
                <w:lang w:eastAsia="ja-JP"/>
              </w:rPr>
              <w:t>1</w:t>
            </w:r>
          </w:p>
        </w:tc>
        <w:tc>
          <w:tcPr>
            <w:tcW w:w="2268" w:type="dxa"/>
          </w:tcPr>
          <w:p w14:paraId="38B5AF9A" w14:textId="77777777" w:rsidR="003551A9" w:rsidRPr="004E5A87" w:rsidRDefault="003551A9" w:rsidP="003551A9">
            <w:pPr>
              <w:tabs>
                <w:tab w:val="left" w:pos="567"/>
              </w:tabs>
              <w:spacing w:after="0"/>
              <w:rPr>
                <w:rFonts w:ascii="Arial" w:hAnsi="Arial" w:cs="Arial"/>
                <w:lang w:eastAsia="ja-JP"/>
              </w:rPr>
            </w:pPr>
            <w:r w:rsidRPr="004E5A87">
              <w:rPr>
                <w:rFonts w:ascii="Arial" w:hAnsi="Arial" w:cs="Arial"/>
                <w:lang w:eastAsia="ja-JP"/>
              </w:rPr>
              <w:t xml:space="preserve">Performance part: </w:t>
            </w:r>
          </w:p>
          <w:p w14:paraId="341E4971" w14:textId="7087E837" w:rsidR="003551A9" w:rsidRPr="008836AC" w:rsidRDefault="003551A9" w:rsidP="003551A9">
            <w:pPr>
              <w:tabs>
                <w:tab w:val="left" w:pos="567"/>
              </w:tabs>
              <w:spacing w:after="0"/>
              <w:rPr>
                <w:rFonts w:ascii="Arial" w:hAnsi="Arial" w:cs="Arial"/>
                <w:lang w:eastAsia="ja-JP"/>
              </w:rPr>
            </w:pPr>
          </w:p>
        </w:tc>
        <w:tc>
          <w:tcPr>
            <w:tcW w:w="1694" w:type="dxa"/>
            <w:gridSpan w:val="2"/>
          </w:tcPr>
          <w:p w14:paraId="08F43445" w14:textId="29A41EDC" w:rsidR="003551A9" w:rsidRPr="006A7BCB" w:rsidRDefault="003551A9" w:rsidP="003551A9">
            <w:pPr>
              <w:tabs>
                <w:tab w:val="left" w:pos="567"/>
              </w:tabs>
              <w:spacing w:after="0"/>
              <w:rPr>
                <w:rFonts w:ascii="Arial" w:hAnsi="Arial" w:cs="Arial"/>
                <w:highlight w:val="yellow"/>
                <w:lang w:eastAsia="ja-JP"/>
              </w:rPr>
            </w:pPr>
            <w:r w:rsidRPr="008E00D8">
              <w:rPr>
                <w:rFonts w:ascii="Arial" w:hAnsi="Arial" w:cs="Arial"/>
                <w:lang w:eastAsia="ja-JP"/>
              </w:rPr>
              <w:t>Testing part:</w:t>
            </w:r>
          </w:p>
        </w:tc>
      </w:tr>
      <w:tr w:rsidR="003551A9" w:rsidRPr="008836AC" w14:paraId="5335B8A2" w14:textId="77777777" w:rsidTr="00871653">
        <w:tc>
          <w:tcPr>
            <w:tcW w:w="2436" w:type="dxa"/>
          </w:tcPr>
          <w:p w14:paraId="7A319248" w14:textId="77777777" w:rsidR="003551A9" w:rsidRDefault="003551A9" w:rsidP="003551A9">
            <w:pPr>
              <w:tabs>
                <w:tab w:val="left" w:pos="567"/>
              </w:tabs>
              <w:spacing w:after="0"/>
              <w:rPr>
                <w:rFonts w:ascii="Arial" w:hAnsi="Arial" w:cs="Arial"/>
                <w:b/>
              </w:rPr>
            </w:pPr>
            <w:r>
              <w:rPr>
                <w:rFonts w:ascii="Arial" w:hAnsi="Arial" w:cs="Arial"/>
                <w:b/>
              </w:rPr>
              <w:t>Overall Completion level</w:t>
            </w:r>
          </w:p>
        </w:tc>
        <w:tc>
          <w:tcPr>
            <w:tcW w:w="1846" w:type="dxa"/>
          </w:tcPr>
          <w:p w14:paraId="184097B2" w14:textId="77777777" w:rsidR="003551A9" w:rsidRPr="008E00D8" w:rsidRDefault="003551A9" w:rsidP="003551A9">
            <w:pPr>
              <w:tabs>
                <w:tab w:val="left" w:pos="567"/>
              </w:tabs>
              <w:spacing w:after="0"/>
              <w:rPr>
                <w:rFonts w:ascii="Arial" w:hAnsi="Arial" w:cs="Arial"/>
                <w:lang w:eastAsia="ja-JP"/>
              </w:rPr>
            </w:pPr>
            <w:r w:rsidRPr="008E00D8">
              <w:rPr>
                <w:rFonts w:ascii="Arial" w:hAnsi="Arial" w:cs="Arial"/>
                <w:lang w:eastAsia="ja-JP"/>
              </w:rPr>
              <w:t>Study Item:</w:t>
            </w:r>
          </w:p>
          <w:p w14:paraId="6EBEE9CA" w14:textId="301256C4" w:rsidR="003551A9" w:rsidRPr="008836AC" w:rsidRDefault="003551A9" w:rsidP="003551A9">
            <w:pPr>
              <w:tabs>
                <w:tab w:val="left" w:pos="567"/>
              </w:tabs>
              <w:spacing w:after="0"/>
              <w:rPr>
                <w:rFonts w:ascii="Arial" w:hAnsi="Arial" w:cs="Arial"/>
                <w:lang w:eastAsia="ja-JP"/>
              </w:rPr>
            </w:pPr>
          </w:p>
        </w:tc>
        <w:tc>
          <w:tcPr>
            <w:tcW w:w="1842" w:type="dxa"/>
          </w:tcPr>
          <w:p w14:paraId="01083CDE" w14:textId="77777777" w:rsidR="003551A9" w:rsidRPr="00182B66" w:rsidRDefault="003551A9" w:rsidP="003551A9">
            <w:pPr>
              <w:tabs>
                <w:tab w:val="left" w:pos="567"/>
              </w:tabs>
              <w:spacing w:after="0"/>
              <w:rPr>
                <w:rFonts w:ascii="Arial" w:hAnsi="Arial" w:cs="Arial"/>
                <w:lang w:eastAsia="ja-JP"/>
              </w:rPr>
            </w:pPr>
            <w:r w:rsidRPr="00182B66">
              <w:rPr>
                <w:rFonts w:ascii="Arial" w:hAnsi="Arial" w:cs="Arial"/>
                <w:lang w:eastAsia="ja-JP"/>
              </w:rPr>
              <w:t xml:space="preserve">Core part: </w:t>
            </w:r>
          </w:p>
          <w:p w14:paraId="2140029F" w14:textId="1A0C1C3C" w:rsidR="003551A9" w:rsidRPr="008836AC" w:rsidRDefault="004B5E87" w:rsidP="003551A9">
            <w:pPr>
              <w:tabs>
                <w:tab w:val="left" w:pos="567"/>
              </w:tabs>
              <w:spacing w:after="0"/>
              <w:rPr>
                <w:rFonts w:ascii="Arial" w:hAnsi="Arial" w:cs="Arial"/>
                <w:lang w:eastAsia="ja-JP"/>
              </w:rPr>
            </w:pPr>
            <w:r>
              <w:rPr>
                <w:rFonts w:ascii="Arial" w:hAnsi="Arial" w:cs="Arial"/>
                <w:color w:val="00B050"/>
                <w:lang w:eastAsia="ja-JP"/>
              </w:rPr>
              <w:t>90</w:t>
            </w:r>
            <w:r w:rsidR="002449FF">
              <w:rPr>
                <w:rFonts w:ascii="Arial" w:hAnsi="Arial" w:cs="Arial"/>
                <w:color w:val="00B050"/>
                <w:lang w:eastAsia="ja-JP"/>
              </w:rPr>
              <w:t>%</w:t>
            </w:r>
          </w:p>
        </w:tc>
        <w:tc>
          <w:tcPr>
            <w:tcW w:w="2268" w:type="dxa"/>
          </w:tcPr>
          <w:p w14:paraId="7524139F" w14:textId="77777777" w:rsidR="003551A9" w:rsidRPr="004E5A87" w:rsidRDefault="003551A9" w:rsidP="003551A9">
            <w:pPr>
              <w:tabs>
                <w:tab w:val="left" w:pos="567"/>
              </w:tabs>
              <w:spacing w:after="0"/>
              <w:rPr>
                <w:rFonts w:ascii="Arial" w:hAnsi="Arial" w:cs="Arial"/>
                <w:lang w:eastAsia="ja-JP"/>
              </w:rPr>
            </w:pPr>
            <w:r w:rsidRPr="004E5A87">
              <w:rPr>
                <w:rFonts w:ascii="Arial" w:hAnsi="Arial" w:cs="Arial"/>
                <w:lang w:eastAsia="ja-JP"/>
              </w:rPr>
              <w:t xml:space="preserve">Performance Part: </w:t>
            </w:r>
          </w:p>
          <w:p w14:paraId="2FB1498E" w14:textId="144A641B" w:rsidR="003551A9" w:rsidRPr="008836AC" w:rsidRDefault="003551A9" w:rsidP="003551A9">
            <w:pPr>
              <w:tabs>
                <w:tab w:val="left" w:pos="567"/>
              </w:tabs>
              <w:spacing w:after="0"/>
              <w:rPr>
                <w:rFonts w:ascii="Arial" w:hAnsi="Arial" w:cs="Arial"/>
                <w:lang w:eastAsia="ja-JP"/>
              </w:rPr>
            </w:pPr>
          </w:p>
        </w:tc>
        <w:tc>
          <w:tcPr>
            <w:tcW w:w="1694" w:type="dxa"/>
            <w:gridSpan w:val="2"/>
          </w:tcPr>
          <w:p w14:paraId="3F5FA47A" w14:textId="3884A8D6" w:rsidR="003551A9" w:rsidRPr="006A7BCB" w:rsidRDefault="003551A9" w:rsidP="003551A9">
            <w:pPr>
              <w:tabs>
                <w:tab w:val="left" w:pos="567"/>
              </w:tabs>
              <w:spacing w:after="0"/>
              <w:rPr>
                <w:rFonts w:ascii="Arial" w:hAnsi="Arial" w:cs="Arial"/>
                <w:highlight w:val="yellow"/>
                <w:lang w:eastAsia="ja-JP"/>
              </w:rPr>
            </w:pPr>
            <w:r w:rsidRPr="008E00D8">
              <w:rPr>
                <w:rFonts w:ascii="Arial" w:hAnsi="Arial" w:cs="Arial"/>
                <w:lang w:eastAsia="ja-JP"/>
              </w:rPr>
              <w:t>Testing part:</w:t>
            </w:r>
          </w:p>
        </w:tc>
      </w:tr>
    </w:tbl>
    <w:p w14:paraId="173F1B7D" w14:textId="77777777" w:rsidR="00205E03" w:rsidRDefault="00205E03" w:rsidP="000D17BC">
      <w:pPr>
        <w:tabs>
          <w:tab w:val="left" w:pos="567"/>
        </w:tabs>
        <w:spacing w:after="0"/>
        <w:rPr>
          <w:rFonts w:ascii="Arial" w:hAnsi="Arial" w:cs="Arial"/>
        </w:rPr>
      </w:pPr>
    </w:p>
    <w:p w14:paraId="4EF8F04C" w14:textId="4C9F52FA"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F277E75"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692B2917"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37D44859"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65E854DF" w14:textId="77777777" w:rsidR="001F486F" w:rsidRPr="001F486F" w:rsidRDefault="001F486F" w:rsidP="001F486F">
      <w:pPr>
        <w:pStyle w:val="ListParagraph"/>
        <w:tabs>
          <w:tab w:val="left" w:pos="567"/>
        </w:tabs>
        <w:ind w:leftChars="0" w:left="924"/>
        <w:rPr>
          <w:rFonts w:ascii="Arial" w:hAnsi="Arial" w:cs="Arial"/>
          <w:color w:val="FF0000"/>
        </w:rPr>
      </w:pPr>
    </w:p>
    <w:p w14:paraId="1D0CE75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667"/>
        <w:gridCol w:w="3420"/>
        <w:gridCol w:w="3629"/>
      </w:tblGrid>
      <w:tr w:rsidR="004F740B" w:rsidRPr="008836AC" w14:paraId="6658FA62" w14:textId="75ED1864" w:rsidTr="004F740B">
        <w:tc>
          <w:tcPr>
            <w:tcW w:w="3037" w:type="dxa"/>
            <w:gridSpan w:val="2"/>
          </w:tcPr>
          <w:p w14:paraId="1314103C" w14:textId="77777777" w:rsidR="004F740B" w:rsidRPr="008836AC" w:rsidRDefault="004F740B" w:rsidP="003551A9">
            <w:pPr>
              <w:tabs>
                <w:tab w:val="left" w:pos="567"/>
              </w:tabs>
              <w:spacing w:after="0"/>
              <w:rPr>
                <w:rFonts w:ascii="Arial" w:hAnsi="Arial" w:cs="Arial"/>
                <w:b/>
              </w:rPr>
            </w:pPr>
            <w:r w:rsidRPr="008836AC">
              <w:rPr>
                <w:rFonts w:ascii="Arial" w:hAnsi="Arial" w:cs="Arial"/>
                <w:b/>
              </w:rPr>
              <w:t>Leading WG</w:t>
            </w:r>
          </w:p>
        </w:tc>
        <w:tc>
          <w:tcPr>
            <w:tcW w:w="7049" w:type="dxa"/>
            <w:gridSpan w:val="2"/>
          </w:tcPr>
          <w:p w14:paraId="23CDA732" w14:textId="32B855D5" w:rsidR="004F740B" w:rsidRPr="00ED2BBD" w:rsidRDefault="004F740B" w:rsidP="003551A9">
            <w:pPr>
              <w:tabs>
                <w:tab w:val="left" w:pos="567"/>
              </w:tabs>
              <w:spacing w:after="0"/>
              <w:rPr>
                <w:rFonts w:ascii="Arial" w:hAnsi="Arial" w:cs="Arial"/>
              </w:rPr>
            </w:pPr>
            <w:r w:rsidRPr="00ED2BBD">
              <w:rPr>
                <w:rFonts w:ascii="Arial" w:hAnsi="Arial" w:cs="Arial"/>
              </w:rPr>
              <w:t>RAN</w:t>
            </w:r>
            <w:r>
              <w:rPr>
                <w:rFonts w:ascii="Arial" w:hAnsi="Arial" w:cs="Arial"/>
              </w:rPr>
              <w:t>1</w:t>
            </w:r>
          </w:p>
        </w:tc>
      </w:tr>
      <w:tr w:rsidR="004F740B" w:rsidRPr="008836AC" w14:paraId="5AE6B8DC" w14:textId="2393EE2D" w:rsidTr="004F740B">
        <w:tc>
          <w:tcPr>
            <w:tcW w:w="1370" w:type="dxa"/>
            <w:vMerge w:val="restart"/>
            <w:vAlign w:val="center"/>
          </w:tcPr>
          <w:p w14:paraId="7E8A65DA" w14:textId="77777777" w:rsidR="004F740B" w:rsidRPr="008836AC" w:rsidRDefault="004F740B" w:rsidP="004F740B">
            <w:pPr>
              <w:tabs>
                <w:tab w:val="left" w:pos="567"/>
              </w:tabs>
              <w:rPr>
                <w:rFonts w:ascii="Arial" w:hAnsi="Arial" w:cs="Arial"/>
                <w:b/>
              </w:rPr>
            </w:pPr>
            <w:r w:rsidRPr="008836AC">
              <w:rPr>
                <w:rFonts w:ascii="Arial" w:hAnsi="Arial" w:cs="Arial"/>
                <w:b/>
              </w:rPr>
              <w:t>Rapporteur</w:t>
            </w:r>
          </w:p>
        </w:tc>
        <w:tc>
          <w:tcPr>
            <w:tcW w:w="1667" w:type="dxa"/>
          </w:tcPr>
          <w:p w14:paraId="1E725DC0" w14:textId="0D7754C5" w:rsidR="004F740B" w:rsidRPr="002449FF" w:rsidRDefault="004F740B" w:rsidP="004F740B">
            <w:pPr>
              <w:tabs>
                <w:tab w:val="left" w:pos="567"/>
              </w:tabs>
              <w:spacing w:after="0"/>
              <w:rPr>
                <w:rFonts w:ascii="Arial" w:hAnsi="Arial" w:cs="Arial"/>
              </w:rPr>
            </w:pPr>
            <w:r w:rsidRPr="008836AC">
              <w:rPr>
                <w:rFonts w:ascii="Arial" w:hAnsi="Arial" w:cs="Arial"/>
                <w:b/>
              </w:rPr>
              <w:t>Name</w:t>
            </w:r>
          </w:p>
        </w:tc>
        <w:tc>
          <w:tcPr>
            <w:tcW w:w="3420" w:type="dxa"/>
          </w:tcPr>
          <w:p w14:paraId="2483447A" w14:textId="7A5943D7" w:rsidR="004F740B" w:rsidRPr="008836AC" w:rsidRDefault="004F740B" w:rsidP="004F740B">
            <w:pPr>
              <w:tabs>
                <w:tab w:val="left" w:pos="567"/>
              </w:tabs>
              <w:spacing w:after="0"/>
              <w:rPr>
                <w:rFonts w:ascii="Arial" w:hAnsi="Arial" w:cs="Arial"/>
                <w:lang w:eastAsia="ja-JP"/>
              </w:rPr>
            </w:pPr>
            <w:r w:rsidRPr="002449FF">
              <w:rPr>
                <w:rFonts w:ascii="Arial" w:hAnsi="Arial" w:cs="Arial"/>
              </w:rPr>
              <w:t>Roland Beutler</w:t>
            </w:r>
          </w:p>
        </w:tc>
        <w:tc>
          <w:tcPr>
            <w:tcW w:w="3629" w:type="dxa"/>
          </w:tcPr>
          <w:p w14:paraId="7D24F2FC" w14:textId="35F01B8B" w:rsidR="004F740B" w:rsidRDefault="004F740B" w:rsidP="004F740B">
            <w:pPr>
              <w:tabs>
                <w:tab w:val="left" w:pos="567"/>
              </w:tabs>
              <w:spacing w:after="0"/>
              <w:rPr>
                <w:rFonts w:ascii="Arial" w:hAnsi="Arial" w:cs="Arial"/>
              </w:rPr>
            </w:pPr>
            <w:r>
              <w:rPr>
                <w:rFonts w:ascii="Arial" w:hAnsi="Arial" w:cs="Arial"/>
              </w:rPr>
              <w:t>Alberto RICO ALVARINO</w:t>
            </w:r>
          </w:p>
        </w:tc>
      </w:tr>
      <w:tr w:rsidR="004F740B" w:rsidRPr="008836AC" w14:paraId="48EAB3E5" w14:textId="0D8AA80F" w:rsidTr="004F740B">
        <w:tc>
          <w:tcPr>
            <w:tcW w:w="1370" w:type="dxa"/>
            <w:vMerge/>
          </w:tcPr>
          <w:p w14:paraId="604EC722" w14:textId="77777777" w:rsidR="004F740B" w:rsidRPr="008836AC" w:rsidRDefault="004F740B" w:rsidP="004F740B">
            <w:pPr>
              <w:tabs>
                <w:tab w:val="left" w:pos="567"/>
              </w:tabs>
              <w:rPr>
                <w:rFonts w:ascii="Arial" w:hAnsi="Arial" w:cs="Arial"/>
                <w:b/>
              </w:rPr>
            </w:pPr>
          </w:p>
        </w:tc>
        <w:tc>
          <w:tcPr>
            <w:tcW w:w="1667" w:type="dxa"/>
          </w:tcPr>
          <w:p w14:paraId="493A3CD1" w14:textId="35FBBA0C" w:rsidR="004F740B" w:rsidRPr="002449FF" w:rsidRDefault="004F740B" w:rsidP="004F740B">
            <w:pPr>
              <w:tabs>
                <w:tab w:val="left" w:pos="567"/>
              </w:tabs>
              <w:spacing w:after="0"/>
              <w:rPr>
                <w:rFonts w:ascii="Arial" w:hAnsi="Arial" w:cs="Arial"/>
              </w:rPr>
            </w:pPr>
            <w:r w:rsidRPr="008836AC">
              <w:rPr>
                <w:rFonts w:ascii="Arial" w:hAnsi="Arial" w:cs="Arial"/>
                <w:b/>
              </w:rPr>
              <w:t>Company</w:t>
            </w:r>
          </w:p>
        </w:tc>
        <w:tc>
          <w:tcPr>
            <w:tcW w:w="3420" w:type="dxa"/>
          </w:tcPr>
          <w:p w14:paraId="5A3BF31E" w14:textId="4D8C7BC0" w:rsidR="004F740B" w:rsidRPr="008836AC" w:rsidRDefault="004F740B" w:rsidP="004F740B">
            <w:pPr>
              <w:tabs>
                <w:tab w:val="left" w:pos="567"/>
              </w:tabs>
              <w:spacing w:after="0"/>
              <w:rPr>
                <w:rFonts w:ascii="Arial" w:hAnsi="Arial" w:cs="Arial"/>
                <w:lang w:eastAsia="ja-JP"/>
              </w:rPr>
            </w:pPr>
            <w:r w:rsidRPr="002449FF">
              <w:rPr>
                <w:rFonts w:ascii="Arial" w:hAnsi="Arial" w:cs="Arial"/>
              </w:rPr>
              <w:t>EBU</w:t>
            </w:r>
          </w:p>
        </w:tc>
        <w:tc>
          <w:tcPr>
            <w:tcW w:w="3629" w:type="dxa"/>
          </w:tcPr>
          <w:p w14:paraId="1B5DFA54" w14:textId="575D6BA7" w:rsidR="004F740B" w:rsidRDefault="004F740B" w:rsidP="004F740B">
            <w:pPr>
              <w:tabs>
                <w:tab w:val="left" w:pos="567"/>
              </w:tabs>
              <w:spacing w:after="0"/>
              <w:rPr>
                <w:rFonts w:ascii="Arial" w:hAnsi="Arial" w:cs="Arial"/>
              </w:rPr>
            </w:pPr>
            <w:r>
              <w:rPr>
                <w:rFonts w:ascii="Arial" w:hAnsi="Arial" w:cs="Arial"/>
              </w:rPr>
              <w:t>Qualcomm Incorporated</w:t>
            </w:r>
          </w:p>
        </w:tc>
      </w:tr>
      <w:tr w:rsidR="004F740B" w:rsidRPr="008836AC" w14:paraId="134DD101" w14:textId="7F5928CD" w:rsidTr="004F740B">
        <w:tc>
          <w:tcPr>
            <w:tcW w:w="1370" w:type="dxa"/>
            <w:vMerge/>
          </w:tcPr>
          <w:p w14:paraId="6F04248A" w14:textId="77777777" w:rsidR="004F740B" w:rsidRPr="008836AC" w:rsidRDefault="004F740B" w:rsidP="004F740B">
            <w:pPr>
              <w:tabs>
                <w:tab w:val="left" w:pos="567"/>
              </w:tabs>
              <w:rPr>
                <w:rFonts w:ascii="Arial" w:hAnsi="Arial" w:cs="Arial"/>
                <w:b/>
              </w:rPr>
            </w:pPr>
          </w:p>
        </w:tc>
        <w:tc>
          <w:tcPr>
            <w:tcW w:w="1667" w:type="dxa"/>
          </w:tcPr>
          <w:p w14:paraId="0CFAC5DC" w14:textId="151D25D8" w:rsidR="004F740B" w:rsidRPr="002449FF" w:rsidRDefault="004F740B" w:rsidP="004F740B">
            <w:pPr>
              <w:tabs>
                <w:tab w:val="left" w:pos="567"/>
              </w:tabs>
              <w:spacing w:after="0"/>
              <w:rPr>
                <w:rFonts w:ascii="Arial" w:hAnsi="Arial" w:cs="Arial"/>
              </w:rPr>
            </w:pPr>
            <w:r w:rsidRPr="008836AC">
              <w:rPr>
                <w:rFonts w:ascii="Arial" w:hAnsi="Arial" w:cs="Arial"/>
                <w:b/>
              </w:rPr>
              <w:t>Email</w:t>
            </w:r>
          </w:p>
        </w:tc>
        <w:tc>
          <w:tcPr>
            <w:tcW w:w="3420" w:type="dxa"/>
          </w:tcPr>
          <w:p w14:paraId="0B8548FD" w14:textId="21745D47" w:rsidR="004F740B" w:rsidRPr="008836AC" w:rsidRDefault="004F740B" w:rsidP="004F740B">
            <w:pPr>
              <w:tabs>
                <w:tab w:val="left" w:pos="567"/>
              </w:tabs>
              <w:spacing w:after="0"/>
              <w:rPr>
                <w:rFonts w:ascii="Arial" w:hAnsi="Arial" w:cs="Arial"/>
              </w:rPr>
            </w:pPr>
            <w:hyperlink r:id="rId10" w:history="1">
              <w:r w:rsidRPr="002449FF">
                <w:rPr>
                  <w:rFonts w:ascii="Arial" w:hAnsi="Arial" w:cs="Arial"/>
                </w:rPr>
                <w:t>Roland.Beutler@swr.de</w:t>
              </w:r>
            </w:hyperlink>
          </w:p>
        </w:tc>
        <w:tc>
          <w:tcPr>
            <w:tcW w:w="3629" w:type="dxa"/>
          </w:tcPr>
          <w:p w14:paraId="1A7F3AD5" w14:textId="35F7BC70" w:rsidR="004F740B" w:rsidRDefault="004F740B" w:rsidP="004F740B">
            <w:pPr>
              <w:tabs>
                <w:tab w:val="left" w:pos="567"/>
              </w:tabs>
              <w:spacing w:after="0"/>
            </w:pPr>
            <w:hyperlink r:id="rId11" w:history="1">
              <w:r w:rsidRPr="00660EB3">
                <w:rPr>
                  <w:rFonts w:ascii="Arial" w:hAnsi="Arial" w:cs="Arial"/>
                </w:rPr>
                <w:t>albertor@qti.qualcomm.com</w:t>
              </w:r>
            </w:hyperlink>
          </w:p>
        </w:tc>
      </w:tr>
    </w:tbl>
    <w:p w14:paraId="2B57C498" w14:textId="77777777" w:rsidR="006C4E32" w:rsidRDefault="006C4E32" w:rsidP="000D17BC">
      <w:pPr>
        <w:pBdr>
          <w:bottom w:val="single" w:sz="4" w:space="1" w:color="auto"/>
        </w:pBdr>
        <w:spacing w:after="0"/>
        <w:rPr>
          <w:rFonts w:ascii="Arial" w:hAnsi="Arial" w:cs="Arial"/>
        </w:rPr>
      </w:pPr>
    </w:p>
    <w:p w14:paraId="611DBBA8" w14:textId="77777777" w:rsidR="006C4E32" w:rsidRPr="00430FCA" w:rsidRDefault="006C4E32" w:rsidP="006C4E32">
      <w:pPr>
        <w:pBdr>
          <w:bottom w:val="single" w:sz="4" w:space="1" w:color="auto"/>
        </w:pBdr>
        <w:rPr>
          <w:rFonts w:ascii="Arial" w:hAnsi="Arial" w:cs="Arial"/>
        </w:rPr>
      </w:pPr>
    </w:p>
    <w:p w14:paraId="4CB4FDF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820"/>
      </w:tblGrid>
      <w:tr w:rsidR="00D22398" w:rsidRPr="008836AC" w14:paraId="34CB16DB" w14:textId="77777777" w:rsidTr="002449FF">
        <w:trPr>
          <w:jc w:val="center"/>
        </w:trPr>
        <w:tc>
          <w:tcPr>
            <w:tcW w:w="6185" w:type="dxa"/>
            <w:shd w:val="clear" w:color="auto" w:fill="E0E0E0"/>
          </w:tcPr>
          <w:p w14:paraId="567FAFB7"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820" w:type="dxa"/>
            <w:vAlign w:val="center"/>
          </w:tcPr>
          <w:p w14:paraId="7B84E827" w14:textId="346070D9" w:rsidR="00D22398" w:rsidRPr="008836AC" w:rsidRDefault="004B5E87" w:rsidP="00C4666A">
            <w:pPr>
              <w:pStyle w:val="TAL"/>
              <w:jc w:val="center"/>
              <w:rPr>
                <w:color w:val="FF0000"/>
                <w:lang w:eastAsia="ja-JP"/>
              </w:rPr>
            </w:pPr>
            <w:r w:rsidRPr="004F740B">
              <w:rPr>
                <w:lang w:eastAsia="ja-JP"/>
              </w:rPr>
              <w:t>No</w:t>
            </w:r>
          </w:p>
        </w:tc>
      </w:tr>
    </w:tbl>
    <w:p w14:paraId="6E389E9B" w14:textId="77777777" w:rsidR="00D22398" w:rsidRDefault="00D22398" w:rsidP="0039390A">
      <w:pPr>
        <w:spacing w:after="0"/>
        <w:rPr>
          <w:rFonts w:ascii="Arial" w:hAnsi="Arial" w:cs="Arial"/>
        </w:rPr>
      </w:pPr>
    </w:p>
    <w:p w14:paraId="0D29925A"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0EE04BDC"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A92539D" w14:textId="72D61650" w:rsidR="003B7182" w:rsidRDefault="003B7182" w:rsidP="00C17C6C">
      <w:pPr>
        <w:spacing w:after="0"/>
        <w:rPr>
          <w:rFonts w:ascii="Arial" w:hAnsi="Arial" w:cs="Arial"/>
          <w:b/>
          <w:color w:val="FF0000"/>
        </w:rPr>
      </w:pPr>
    </w:p>
    <w:p w14:paraId="1A22E0F8" w14:textId="77777777" w:rsidR="004B5E87" w:rsidRDefault="004B5E87" w:rsidP="00C17C6C">
      <w:pPr>
        <w:spacing w:after="0"/>
        <w:rPr>
          <w:rFonts w:ascii="Arial" w:hAnsi="Arial" w:cs="Arial"/>
        </w:rPr>
      </w:pPr>
    </w:p>
    <w:p w14:paraId="5A9EAE50" w14:textId="77777777" w:rsidR="00011C3B" w:rsidRPr="003B7182" w:rsidRDefault="00011C3B" w:rsidP="00C17C6C">
      <w:pPr>
        <w:spacing w:after="0"/>
        <w:rPr>
          <w:rFonts w:ascii="Arial" w:hAnsi="Arial" w:cs="Arial"/>
        </w:rPr>
      </w:pPr>
    </w:p>
    <w:p w14:paraId="14920BB5" w14:textId="3934A47A"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5B713DA" w14:textId="77777777" w:rsidR="004B5E87" w:rsidRDefault="004B5E87" w:rsidP="004F740B">
      <w:pPr>
        <w:rPr>
          <w:lang w:eastAsia="ja-JP"/>
        </w:rPr>
      </w:pPr>
    </w:p>
    <w:p w14:paraId="0EF99AFF" w14:textId="73778CE2"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4EC50879" w14:textId="77777777" w:rsidR="004B5E87" w:rsidRDefault="004B5E87" w:rsidP="004B5E87">
      <w:pPr>
        <w:pStyle w:val="Heading4"/>
        <w:rPr>
          <w:lang w:eastAsia="ja-JP"/>
        </w:rPr>
      </w:pPr>
      <w:r>
        <w:rPr>
          <w:lang w:eastAsia="ja-JP"/>
        </w:rPr>
        <w:t>2.1.1</w:t>
      </w:r>
      <w:r>
        <w:rPr>
          <w:lang w:eastAsia="ja-JP"/>
        </w:rPr>
        <w:tab/>
        <w:t>Agreements</w:t>
      </w:r>
    </w:p>
    <w:p w14:paraId="4C64B6C9" w14:textId="77777777" w:rsidR="004B5E87" w:rsidRPr="004B5E87" w:rsidRDefault="004B5E87" w:rsidP="004B5E87">
      <w:pPr>
        <w:rPr>
          <w:lang w:eastAsia="ja-JP"/>
        </w:rPr>
      </w:pPr>
    </w:p>
    <w:p w14:paraId="3D291D51" w14:textId="22F15CE4" w:rsidR="004B5E87" w:rsidRDefault="004B5E87" w:rsidP="004B5E87">
      <w:pPr>
        <w:rPr>
          <w:lang w:eastAsia="ja-JP"/>
        </w:rPr>
      </w:pPr>
      <w:r>
        <w:rPr>
          <w:lang w:eastAsia="ja-JP"/>
        </w:rPr>
        <w:t>The following agreements were reached in RAN1#106-e:</w:t>
      </w:r>
    </w:p>
    <w:p w14:paraId="71E442C7" w14:textId="77777777" w:rsidR="004B5E87" w:rsidRDefault="004B5E87" w:rsidP="004B5E87">
      <w:pPr>
        <w:rPr>
          <w:lang w:eastAsia="x-none"/>
        </w:rPr>
      </w:pPr>
      <w:r w:rsidRPr="0094128B">
        <w:rPr>
          <w:highlight w:val="green"/>
          <w:lang w:eastAsia="x-none"/>
        </w:rPr>
        <w:t>Agreement:</w:t>
      </w:r>
    </w:p>
    <w:p w14:paraId="5CE2CEAB" w14:textId="77777777" w:rsidR="004B5E87" w:rsidRPr="00B47467" w:rsidRDefault="004B5E87" w:rsidP="004B5E87">
      <w:r w:rsidRPr="00B47467">
        <w:t>For supporting 6/7/8MHz PMCH:</w:t>
      </w:r>
    </w:p>
    <w:p w14:paraId="041F5210" w14:textId="77777777" w:rsidR="004B5E87" w:rsidRPr="00B47467" w:rsidRDefault="004B5E87" w:rsidP="004B5E87">
      <w:pPr>
        <w:pStyle w:val="ListParagraph"/>
        <w:widowControl/>
        <w:numPr>
          <w:ilvl w:val="0"/>
          <w:numId w:val="24"/>
        </w:numPr>
        <w:overflowPunct w:val="0"/>
        <w:autoSpaceDE w:val="0"/>
        <w:autoSpaceDN w:val="0"/>
        <w:adjustRightInd w:val="0"/>
        <w:ind w:leftChars="0"/>
        <w:contextualSpacing/>
        <w:jc w:val="left"/>
        <w:textAlignment w:val="baseline"/>
      </w:pPr>
      <w:r w:rsidRPr="00B47467">
        <w:t xml:space="preserve">The bandwidth of CAS (system bandwidth indicated in MIB) is set to 25PRBs (5MHz). </w:t>
      </w:r>
    </w:p>
    <w:p w14:paraId="409BDE6B" w14:textId="77777777" w:rsidR="004B5E87" w:rsidRPr="00B47467" w:rsidRDefault="004B5E87" w:rsidP="004B5E87">
      <w:pPr>
        <w:pStyle w:val="ListParagraph"/>
        <w:widowControl/>
        <w:numPr>
          <w:ilvl w:val="1"/>
          <w:numId w:val="24"/>
        </w:numPr>
        <w:overflowPunct w:val="0"/>
        <w:autoSpaceDE w:val="0"/>
        <w:autoSpaceDN w:val="0"/>
        <w:adjustRightInd w:val="0"/>
        <w:ind w:leftChars="0"/>
        <w:contextualSpacing/>
        <w:jc w:val="left"/>
        <w:textAlignment w:val="baseline"/>
      </w:pPr>
      <w:r w:rsidRPr="00B47467">
        <w:t>FFS: whether it can be set to 6 and/or 15 PRBs.</w:t>
      </w:r>
    </w:p>
    <w:p w14:paraId="36B087F6" w14:textId="5441DBFD" w:rsidR="004B5E87" w:rsidRPr="00B47467" w:rsidRDefault="004B5E87" w:rsidP="004B5E87">
      <w:pPr>
        <w:pStyle w:val="ListParagraph"/>
        <w:widowControl/>
        <w:numPr>
          <w:ilvl w:val="0"/>
          <w:numId w:val="24"/>
        </w:numPr>
        <w:overflowPunct w:val="0"/>
        <w:autoSpaceDE w:val="0"/>
        <w:autoSpaceDN w:val="0"/>
        <w:adjustRightInd w:val="0"/>
        <w:ind w:leftChars="0"/>
        <w:contextualSpacing/>
        <w:jc w:val="left"/>
        <w:textAlignment w:val="baseline"/>
      </w:pPr>
      <w:r w:rsidRPr="00B47467">
        <w:t>The bandwidth for PMCH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rPr>
          <m:t>)</m:t>
        </m:r>
      </m:oMath>
      <w:r w:rsidRPr="00B47467">
        <w:t xml:space="preserve"> is indicated by another parameter in system information if the center frequency of bandwidth for CAS and bandwidth for PMCH is aligned.</w:t>
      </w:r>
    </w:p>
    <w:p w14:paraId="2D5CC115" w14:textId="77777777" w:rsidR="004B5E87" w:rsidRPr="00B47467" w:rsidRDefault="004B5E87" w:rsidP="004B5E87">
      <w:pPr>
        <w:pStyle w:val="ListParagraph"/>
        <w:widowControl/>
        <w:numPr>
          <w:ilvl w:val="1"/>
          <w:numId w:val="24"/>
        </w:numPr>
        <w:overflowPunct w:val="0"/>
        <w:autoSpaceDE w:val="0"/>
        <w:autoSpaceDN w:val="0"/>
        <w:adjustRightInd w:val="0"/>
        <w:ind w:leftChars="0"/>
        <w:contextualSpacing/>
        <w:jc w:val="left"/>
        <w:textAlignment w:val="baseline"/>
      </w:pPr>
      <w:r w:rsidRPr="00B47467">
        <w:t>FFS: Details</w:t>
      </w:r>
    </w:p>
    <w:p w14:paraId="5A681EDD" w14:textId="77777777" w:rsidR="004B5E87" w:rsidRDefault="004B5E87" w:rsidP="004B5E87">
      <w:pPr>
        <w:rPr>
          <w:lang w:val="en-US" w:eastAsia="x-none"/>
        </w:rPr>
      </w:pPr>
    </w:p>
    <w:p w14:paraId="6774F520" w14:textId="77777777" w:rsidR="004B5E87" w:rsidRDefault="004B5E87" w:rsidP="004B5E87">
      <w:pPr>
        <w:rPr>
          <w:lang w:val="en-US" w:eastAsia="x-none"/>
        </w:rPr>
      </w:pPr>
      <w:r w:rsidRPr="00835A97">
        <w:rPr>
          <w:highlight w:val="green"/>
          <w:lang w:val="en-US" w:eastAsia="x-none"/>
        </w:rPr>
        <w:t>Agreement:</w:t>
      </w:r>
    </w:p>
    <w:p w14:paraId="0CECBB99" w14:textId="77777777" w:rsidR="004B5E87" w:rsidRPr="00B47467" w:rsidRDefault="004B5E87" w:rsidP="004B5E87">
      <w:r w:rsidRPr="00B47467">
        <w:t>It is supported that the center frequency of system bandwidth and center frequency of PMCH bandwidth are aligned</w:t>
      </w:r>
    </w:p>
    <w:p w14:paraId="70E5906E" w14:textId="77777777" w:rsidR="004B5E87" w:rsidRPr="00B47467" w:rsidRDefault="004B5E87" w:rsidP="004B5E87">
      <w:pPr>
        <w:pStyle w:val="ListParagraph"/>
        <w:widowControl/>
        <w:numPr>
          <w:ilvl w:val="0"/>
          <w:numId w:val="25"/>
        </w:numPr>
        <w:overflowPunct w:val="0"/>
        <w:autoSpaceDE w:val="0"/>
        <w:autoSpaceDN w:val="0"/>
        <w:adjustRightInd w:val="0"/>
        <w:ind w:leftChars="0"/>
        <w:contextualSpacing/>
        <w:jc w:val="left"/>
        <w:textAlignment w:val="baseline"/>
      </w:pPr>
      <w:r w:rsidRPr="00B47467">
        <w:t>FFS: Other cases (non-aligned center frequencies)</w:t>
      </w:r>
    </w:p>
    <w:p w14:paraId="31E2C07A" w14:textId="77777777" w:rsidR="004B5E87" w:rsidRDefault="004B5E87" w:rsidP="004B5E87">
      <w:pPr>
        <w:rPr>
          <w:lang w:val="en-US" w:eastAsia="x-none"/>
        </w:rPr>
      </w:pPr>
      <w:r w:rsidRPr="007102EA">
        <w:rPr>
          <w:highlight w:val="green"/>
          <w:lang w:val="en-US" w:eastAsia="x-none"/>
        </w:rPr>
        <w:t>Agreement:</w:t>
      </w:r>
    </w:p>
    <w:p w14:paraId="62FECD2D" w14:textId="77777777" w:rsidR="004B5E87" w:rsidRDefault="004B5E87" w:rsidP="004B5E87">
      <w:pPr>
        <w:rPr>
          <w:bCs/>
          <w:iCs/>
          <w:lang w:eastAsia="zh-CN"/>
        </w:rPr>
      </w:pPr>
      <w:r w:rsidRPr="007102EA">
        <w:rPr>
          <w:bCs/>
          <w:iCs/>
          <w:lang w:eastAsia="zh-CN"/>
        </w:rPr>
        <w:t xml:space="preserve">For PMCH allocation of 6/7/8 MHz on MBMS-dedicated cells, mapping the MBSFN reference signal to REs is based on the PMCH bandwidth of 6/7/8 MHz instead of </w:t>
      </w:r>
      <w:r w:rsidRPr="007102EA">
        <w:rPr>
          <w:bCs/>
          <w:iCs/>
          <w:position w:val="-10"/>
        </w:rPr>
        <w:object w:dxaOrig="440" w:dyaOrig="340" w14:anchorId="3DC17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9pt;height:17.85pt" o:ole="">
            <v:imagedata r:id="rId12" o:title=""/>
          </v:shape>
          <o:OLEObject Type="Embed" ProgID="Equation.3" ShapeID="_x0000_i1029" DrawAspect="Content" ObjectID="_1692110074" r:id="rId13"/>
        </w:object>
      </w:r>
      <w:r w:rsidRPr="007102EA">
        <w:rPr>
          <w:bCs/>
          <w:iCs/>
          <w:lang w:eastAsia="zh-CN"/>
        </w:rPr>
        <w:t>.</w:t>
      </w:r>
    </w:p>
    <w:p w14:paraId="641234C7" w14:textId="77777777" w:rsidR="004B5E87" w:rsidRDefault="004B5E87" w:rsidP="004B5E87">
      <w:pPr>
        <w:rPr>
          <w:bCs/>
          <w:iCs/>
          <w:lang w:eastAsia="zh-CN"/>
        </w:rPr>
      </w:pPr>
    </w:p>
    <w:p w14:paraId="297F92AE" w14:textId="77777777" w:rsidR="004B5E87" w:rsidRDefault="004B5E87" w:rsidP="004B5E87">
      <w:pPr>
        <w:rPr>
          <w:bCs/>
          <w:lang w:val="en-US" w:eastAsia="x-none"/>
        </w:rPr>
      </w:pPr>
      <w:r w:rsidRPr="00262FB9">
        <w:rPr>
          <w:bCs/>
          <w:highlight w:val="green"/>
          <w:lang w:val="en-US" w:eastAsia="x-none"/>
        </w:rPr>
        <w:t>Agreement</w:t>
      </w:r>
      <w:r>
        <w:rPr>
          <w:bCs/>
          <w:lang w:val="en-US" w:eastAsia="x-none"/>
        </w:rPr>
        <w:t>:</w:t>
      </w:r>
    </w:p>
    <w:p w14:paraId="1E2AF5A1" w14:textId="77777777" w:rsidR="004B5E87" w:rsidRDefault="004B5E87" w:rsidP="004B5E87">
      <w:pPr>
        <w:rPr>
          <w:bCs/>
          <w:iCs/>
          <w:lang w:eastAsia="zh-CN"/>
        </w:rPr>
      </w:pPr>
      <w:r w:rsidRPr="00262FB9">
        <w:rPr>
          <w:bCs/>
          <w:iCs/>
          <w:lang w:eastAsia="zh-CN"/>
        </w:rPr>
        <w:t xml:space="preserve">For PMCH allocation of 6/7/8 MHz on MBMS-dedicated cells, the TBS determination is based on the PMCH bandwidth of 6/7/8 MHz instead of </w:t>
      </w:r>
      <w:r w:rsidRPr="00262FB9">
        <w:rPr>
          <w:bCs/>
          <w:iCs/>
          <w:position w:val="-10"/>
        </w:rPr>
        <w:object w:dxaOrig="440" w:dyaOrig="340" w14:anchorId="4318D055">
          <v:shape id="_x0000_i1030" type="#_x0000_t75" style="width:21.9pt;height:17.85pt" o:ole="">
            <v:imagedata r:id="rId12" o:title=""/>
          </v:shape>
          <o:OLEObject Type="Embed" ProgID="Equation.3" ShapeID="_x0000_i1030" DrawAspect="Content" ObjectID="_1692110075" r:id="rId14"/>
        </w:object>
      </w:r>
      <w:r w:rsidRPr="00262FB9">
        <w:rPr>
          <w:bCs/>
          <w:iCs/>
          <w:lang w:eastAsia="zh-CN"/>
        </w:rPr>
        <w:t>.</w:t>
      </w:r>
    </w:p>
    <w:p w14:paraId="711DE1D9" w14:textId="77777777" w:rsidR="004B5E87" w:rsidRDefault="004B5E87" w:rsidP="004B5E87">
      <w:pPr>
        <w:rPr>
          <w:bCs/>
          <w:iCs/>
          <w:lang w:eastAsia="zh-CN"/>
        </w:rPr>
      </w:pPr>
    </w:p>
    <w:p w14:paraId="226E4329" w14:textId="77777777" w:rsidR="004B5E87" w:rsidRPr="00384DAD" w:rsidRDefault="004B5E87" w:rsidP="004B5E87">
      <w:pPr>
        <w:rPr>
          <w:bCs/>
          <w:u w:val="single"/>
          <w:lang w:val="en-US" w:eastAsia="x-none"/>
        </w:rPr>
      </w:pPr>
      <w:r w:rsidRPr="00384DAD">
        <w:rPr>
          <w:bCs/>
          <w:u w:val="single"/>
          <w:lang w:val="en-US" w:eastAsia="x-none"/>
        </w:rPr>
        <w:t>Conclusion:</w:t>
      </w:r>
    </w:p>
    <w:p w14:paraId="7B134326" w14:textId="77777777" w:rsidR="004B5E87" w:rsidRPr="005A2E18" w:rsidRDefault="004B5E87" w:rsidP="004B5E87">
      <w:pPr>
        <w:pStyle w:val="ListParagraph"/>
        <w:overflowPunct w:val="0"/>
        <w:autoSpaceDE w:val="0"/>
        <w:autoSpaceDN w:val="0"/>
        <w:adjustRightInd w:val="0"/>
        <w:ind w:leftChars="0" w:left="0"/>
        <w:contextualSpacing/>
        <w:textAlignment w:val="baseline"/>
        <w:rPr>
          <w:bCs/>
          <w:iCs/>
          <w:lang w:eastAsia="zh-CN"/>
        </w:rPr>
      </w:pPr>
      <w:r w:rsidRPr="005A2E18">
        <w:rPr>
          <w:bCs/>
          <w:iCs/>
          <w:lang w:eastAsia="zh-CN"/>
        </w:rPr>
        <w:t>It is RAN1’s understanding that 15kHz SCS is currently supported</w:t>
      </w:r>
      <w:r>
        <w:rPr>
          <w:bCs/>
          <w:iCs/>
          <w:lang w:eastAsia="zh-CN"/>
        </w:rPr>
        <w:t xml:space="preserve"> for MBMS dedicated cells</w:t>
      </w:r>
      <w:r w:rsidRPr="005A2E18">
        <w:rPr>
          <w:bCs/>
          <w:iCs/>
          <w:lang w:eastAsia="zh-CN"/>
        </w:rPr>
        <w:t>.</w:t>
      </w:r>
    </w:p>
    <w:p w14:paraId="2D03FF0B" w14:textId="77777777" w:rsidR="004B5E87" w:rsidRPr="005A2E18" w:rsidRDefault="004B5E87" w:rsidP="004B5E87">
      <w:pPr>
        <w:pStyle w:val="ListParagraph"/>
        <w:widowControl/>
        <w:numPr>
          <w:ilvl w:val="0"/>
          <w:numId w:val="26"/>
        </w:numPr>
        <w:overflowPunct w:val="0"/>
        <w:autoSpaceDE w:val="0"/>
        <w:autoSpaceDN w:val="0"/>
        <w:adjustRightInd w:val="0"/>
        <w:ind w:leftChars="0"/>
        <w:contextualSpacing/>
        <w:jc w:val="left"/>
        <w:textAlignment w:val="baseline"/>
        <w:rPr>
          <w:bCs/>
          <w:iCs/>
          <w:lang w:eastAsia="zh-CN"/>
        </w:rPr>
      </w:pPr>
      <w:r w:rsidRPr="005A2E18">
        <w:rPr>
          <w:bCs/>
          <w:iCs/>
          <w:lang w:eastAsia="zh-CN"/>
        </w:rPr>
        <w:t>RAN1 to further discuss how to handle 15kHz SCS for 6/7/8</w:t>
      </w:r>
      <w:r>
        <w:rPr>
          <w:bCs/>
          <w:iCs/>
          <w:lang w:eastAsia="zh-CN"/>
        </w:rPr>
        <w:t xml:space="preserve"> </w:t>
      </w:r>
      <w:r w:rsidRPr="005A2E18">
        <w:rPr>
          <w:bCs/>
          <w:iCs/>
          <w:lang w:eastAsia="zh-CN"/>
        </w:rPr>
        <w:t>MHz PMCH bandwidt</w:t>
      </w:r>
      <w:r>
        <w:rPr>
          <w:bCs/>
          <w:iCs/>
          <w:lang w:eastAsia="zh-CN"/>
        </w:rPr>
        <w:t>h</w:t>
      </w:r>
    </w:p>
    <w:p w14:paraId="0D5C14C1" w14:textId="77777777" w:rsidR="004B5E87" w:rsidRDefault="004B5E87" w:rsidP="004B5E87">
      <w:pPr>
        <w:rPr>
          <w:bCs/>
          <w:lang w:val="en-US" w:eastAsia="x-none"/>
        </w:rPr>
      </w:pPr>
    </w:p>
    <w:p w14:paraId="2094D5BB" w14:textId="77777777" w:rsidR="004B5E87" w:rsidRDefault="004B5E87" w:rsidP="004B5E87">
      <w:pPr>
        <w:rPr>
          <w:bCs/>
          <w:lang w:val="en-US" w:eastAsia="x-none"/>
        </w:rPr>
      </w:pPr>
      <w:r w:rsidRPr="00A958D4">
        <w:rPr>
          <w:bCs/>
          <w:highlight w:val="green"/>
          <w:lang w:val="en-US" w:eastAsia="x-none"/>
        </w:rPr>
        <w:t>Agreement:</w:t>
      </w:r>
    </w:p>
    <w:p w14:paraId="08D82175" w14:textId="77777777" w:rsidR="004B5E87" w:rsidRPr="00CD1C24" w:rsidRDefault="004B5E87" w:rsidP="004B5E87">
      <w:pPr>
        <w:rPr>
          <w:lang w:eastAsia="x-none"/>
        </w:rPr>
      </w:pPr>
      <w:r w:rsidRPr="00CD1C24">
        <w:rPr>
          <w:lang w:eastAsia="x-none"/>
        </w:rPr>
        <w:t>The following PMCH bandwidth values are supported:</w:t>
      </w:r>
    </w:p>
    <w:p w14:paraId="668833A8" w14:textId="1ADB0B05" w:rsidR="004B5E87" w:rsidRPr="00CD1C24" w:rsidRDefault="004B5E87" w:rsidP="004B5E87">
      <w:pPr>
        <w:numPr>
          <w:ilvl w:val="0"/>
          <w:numId w:val="27"/>
        </w:numPr>
        <w:overflowPunct/>
        <w:autoSpaceDE/>
        <w:autoSpaceDN/>
        <w:adjustRightInd/>
        <w:spacing w:after="0"/>
        <w:textAlignment w:val="auto"/>
        <w:rPr>
          <w:lang w:val="en-US" w:eastAsia="x-none"/>
        </w:rPr>
      </w:pPr>
      <w:r w:rsidRPr="00CD1C24">
        <w:rPr>
          <w:lang w:val="en-US" w:eastAsia="x-none"/>
        </w:rPr>
        <w:t xml:space="preserve">8MHz: </w:t>
      </w:r>
      <m:oMath>
        <m:sSubSup>
          <m:sSubSupPr>
            <m:ctrlPr>
              <w:rPr>
                <w:rFonts w:ascii="Cambria Math" w:eastAsia="SimSun" w:hAnsi="Cambria Math"/>
                <w:b/>
                <w:bCs/>
                <w:i/>
              </w:rPr>
            </m:ctrlPr>
          </m:sSubSupPr>
          <m:e>
            <m:r>
              <m:rPr>
                <m:sty m:val="bi"/>
              </m:rPr>
              <w:rPr>
                <w:rFonts w:ascii="Cambria Math" w:eastAsia="SimSun" w:hAnsi="Cambria Math"/>
              </w:rPr>
              <m:t>N</m:t>
            </m:r>
          </m:e>
          <m:sub>
            <m:r>
              <m:rPr>
                <m:sty m:val="bi"/>
              </m:rPr>
              <w:rPr>
                <w:rFonts w:ascii="Cambria Math" w:eastAsia="SimSun" w:hAnsi="Cambria Math"/>
              </w:rPr>
              <m:t>RB</m:t>
            </m:r>
          </m:sub>
          <m:sup>
            <m:r>
              <m:rPr>
                <m:sty m:val="bi"/>
              </m:rPr>
              <w:rPr>
                <w:rFonts w:ascii="Cambria Math" w:eastAsia="SimSun" w:hAnsi="Cambria Math"/>
              </w:rPr>
              <m:t>PMCH</m:t>
            </m:r>
          </m:sup>
        </m:sSubSup>
        <m:r>
          <m:rPr>
            <m:sty m:val="bi"/>
          </m:rPr>
          <w:rPr>
            <w:rFonts w:ascii="Cambria Math" w:eastAsia="SimSun" w:hAnsi="Cambria Math"/>
          </w:rPr>
          <m:t>=40</m:t>
        </m:r>
      </m:oMath>
    </w:p>
    <w:p w14:paraId="1232B00A" w14:textId="0803CE93" w:rsidR="004B5E87" w:rsidRPr="00CD1C24" w:rsidRDefault="004B5E87" w:rsidP="004B5E87">
      <w:pPr>
        <w:numPr>
          <w:ilvl w:val="0"/>
          <w:numId w:val="27"/>
        </w:numPr>
        <w:overflowPunct/>
        <w:autoSpaceDE/>
        <w:autoSpaceDN/>
        <w:adjustRightInd/>
        <w:spacing w:after="0"/>
        <w:textAlignment w:val="auto"/>
        <w:rPr>
          <w:lang w:val="en-US" w:eastAsia="x-none"/>
        </w:rPr>
      </w:pPr>
      <w:r w:rsidRPr="00CD1C24">
        <w:rPr>
          <w:lang w:val="en-US" w:eastAsia="x-none"/>
        </w:rPr>
        <w:t xml:space="preserve">7MHz: </w:t>
      </w:r>
      <m:oMath>
        <m:sSubSup>
          <m:sSubSupPr>
            <m:ctrlPr>
              <w:rPr>
                <w:rFonts w:ascii="Cambria Math" w:eastAsia="SimSun" w:hAnsi="Cambria Math"/>
                <w:b/>
                <w:bCs/>
                <w:i/>
              </w:rPr>
            </m:ctrlPr>
          </m:sSubSupPr>
          <m:e>
            <m:r>
              <m:rPr>
                <m:sty m:val="bi"/>
              </m:rPr>
              <w:rPr>
                <w:rFonts w:ascii="Cambria Math" w:eastAsia="SimSun" w:hAnsi="Cambria Math"/>
              </w:rPr>
              <m:t>N</m:t>
            </m:r>
          </m:e>
          <m:sub>
            <m:r>
              <m:rPr>
                <m:sty m:val="bi"/>
              </m:rPr>
              <w:rPr>
                <w:rFonts w:ascii="Cambria Math" w:eastAsia="SimSun" w:hAnsi="Cambria Math"/>
              </w:rPr>
              <m:t>RB</m:t>
            </m:r>
          </m:sub>
          <m:sup>
            <m:r>
              <m:rPr>
                <m:sty m:val="bi"/>
              </m:rPr>
              <w:rPr>
                <w:rFonts w:ascii="Cambria Math" w:eastAsia="SimSun" w:hAnsi="Cambria Math"/>
              </w:rPr>
              <m:t>PMCH</m:t>
            </m:r>
          </m:sup>
        </m:sSubSup>
        <m:r>
          <m:rPr>
            <m:sty m:val="bi"/>
          </m:rPr>
          <w:rPr>
            <w:rFonts w:ascii="Cambria Math" w:eastAsia="SimSun" w:hAnsi="Cambria Math"/>
          </w:rPr>
          <m:t>=35</m:t>
        </m:r>
      </m:oMath>
    </w:p>
    <w:p w14:paraId="3D983AB6" w14:textId="09779C1E" w:rsidR="004B5E87" w:rsidRPr="00CD1C24" w:rsidRDefault="004B5E87" w:rsidP="004B5E87">
      <w:pPr>
        <w:numPr>
          <w:ilvl w:val="0"/>
          <w:numId w:val="27"/>
        </w:numPr>
        <w:overflowPunct/>
        <w:autoSpaceDE/>
        <w:autoSpaceDN/>
        <w:adjustRightInd/>
        <w:spacing w:after="0"/>
        <w:textAlignment w:val="auto"/>
        <w:rPr>
          <w:b/>
          <w:bCs/>
          <w:lang w:val="en-US" w:eastAsia="x-none"/>
        </w:rPr>
      </w:pPr>
      <w:r w:rsidRPr="00CD1C24">
        <w:rPr>
          <w:lang w:val="en-US" w:eastAsia="x-none"/>
        </w:rPr>
        <w:t xml:space="preserve">6MHz: </w:t>
      </w:r>
      <m:oMath>
        <m:sSubSup>
          <m:sSubSupPr>
            <m:ctrlPr>
              <w:rPr>
                <w:rFonts w:ascii="Cambria Math" w:eastAsia="SimSun" w:hAnsi="Cambria Math"/>
                <w:b/>
                <w:bCs/>
                <w:i/>
              </w:rPr>
            </m:ctrlPr>
          </m:sSubSupPr>
          <m:e>
            <m:r>
              <m:rPr>
                <m:sty m:val="bi"/>
              </m:rPr>
              <w:rPr>
                <w:rFonts w:ascii="Cambria Math" w:eastAsia="SimSun" w:hAnsi="Cambria Math"/>
              </w:rPr>
              <m:t>N</m:t>
            </m:r>
          </m:e>
          <m:sub>
            <m:r>
              <m:rPr>
                <m:sty m:val="bi"/>
              </m:rPr>
              <w:rPr>
                <w:rFonts w:ascii="Cambria Math" w:eastAsia="SimSun" w:hAnsi="Cambria Math"/>
              </w:rPr>
              <m:t>RB</m:t>
            </m:r>
          </m:sub>
          <m:sup>
            <m:r>
              <m:rPr>
                <m:sty m:val="bi"/>
              </m:rPr>
              <w:rPr>
                <w:rFonts w:ascii="Cambria Math" w:eastAsia="SimSun" w:hAnsi="Cambria Math"/>
              </w:rPr>
              <m:t>PMCH</m:t>
            </m:r>
          </m:sup>
        </m:sSubSup>
        <m:r>
          <m:rPr>
            <m:sty m:val="bi"/>
          </m:rPr>
          <w:rPr>
            <w:rFonts w:ascii="Cambria Math" w:eastAsia="SimSun" w:hAnsi="Cambria Math"/>
          </w:rPr>
          <m:t>=30</m:t>
        </m:r>
      </m:oMath>
    </w:p>
    <w:p w14:paraId="1411321C" w14:textId="77777777" w:rsidR="004B5E87" w:rsidRDefault="004B5E87" w:rsidP="004B5E87">
      <w:pPr>
        <w:rPr>
          <w:bCs/>
          <w:lang w:val="en-US" w:eastAsia="x-none"/>
        </w:rPr>
      </w:pPr>
    </w:p>
    <w:p w14:paraId="72BC156A" w14:textId="77777777" w:rsidR="004B5E87" w:rsidRDefault="004B5E87" w:rsidP="004B5E87">
      <w:pPr>
        <w:rPr>
          <w:bCs/>
          <w:lang w:val="en-US" w:eastAsia="x-none"/>
        </w:rPr>
      </w:pPr>
      <w:r w:rsidRPr="005978F0">
        <w:rPr>
          <w:bCs/>
          <w:highlight w:val="green"/>
          <w:lang w:val="en-US" w:eastAsia="x-none"/>
        </w:rPr>
        <w:t>Agreement:</w:t>
      </w:r>
    </w:p>
    <w:p w14:paraId="348E7B05" w14:textId="77777777" w:rsidR="004B5E87" w:rsidRPr="00A958D4" w:rsidRDefault="004B5E87" w:rsidP="004B5E87">
      <w:r w:rsidRPr="00A958D4">
        <w:t>The signalling of PMCH bandwidth is</w:t>
      </w:r>
      <w:r>
        <w:t xml:space="preserve"> to be selected to be one of the following</w:t>
      </w:r>
      <w:r w:rsidRPr="00A958D4">
        <w:t>:</w:t>
      </w:r>
    </w:p>
    <w:p w14:paraId="59123DDD" w14:textId="77777777" w:rsidR="004B5E87" w:rsidRPr="00A958D4" w:rsidRDefault="004B5E87" w:rsidP="004B5E87">
      <w:pPr>
        <w:pStyle w:val="ListParagraph"/>
        <w:widowControl/>
        <w:numPr>
          <w:ilvl w:val="0"/>
          <w:numId w:val="28"/>
        </w:numPr>
        <w:overflowPunct w:val="0"/>
        <w:autoSpaceDE w:val="0"/>
        <w:autoSpaceDN w:val="0"/>
        <w:adjustRightInd w:val="0"/>
        <w:ind w:leftChars="0"/>
        <w:contextualSpacing/>
        <w:jc w:val="left"/>
        <w:textAlignment w:val="baseline"/>
        <w:rPr>
          <w:lang w:eastAsia="en-GB"/>
        </w:rPr>
      </w:pPr>
      <w:r w:rsidRPr="00A958D4">
        <w:rPr>
          <w:lang w:eastAsia="en-GB"/>
        </w:rPr>
        <w:t>Alt 1: Per cell</w:t>
      </w:r>
    </w:p>
    <w:p w14:paraId="2BDC3954" w14:textId="77777777" w:rsidR="004B5E87" w:rsidRPr="00A958D4" w:rsidRDefault="004B5E87" w:rsidP="004B5E87">
      <w:pPr>
        <w:pStyle w:val="ListParagraph"/>
        <w:widowControl/>
        <w:numPr>
          <w:ilvl w:val="0"/>
          <w:numId w:val="28"/>
        </w:numPr>
        <w:overflowPunct w:val="0"/>
        <w:autoSpaceDE w:val="0"/>
        <w:autoSpaceDN w:val="0"/>
        <w:adjustRightInd w:val="0"/>
        <w:ind w:leftChars="0"/>
        <w:contextualSpacing/>
        <w:jc w:val="left"/>
        <w:textAlignment w:val="baseline"/>
      </w:pPr>
      <w:r w:rsidRPr="00A958D4">
        <w:rPr>
          <w:lang w:eastAsia="en-GB"/>
        </w:rPr>
        <w:t>Alt 2: Per MBSFN area</w:t>
      </w:r>
    </w:p>
    <w:p w14:paraId="3A901086" w14:textId="77777777" w:rsidR="004B5E87" w:rsidRDefault="004B5E87" w:rsidP="004B5E87">
      <w:pPr>
        <w:rPr>
          <w:bCs/>
          <w:lang w:val="en-US" w:eastAsia="x-none"/>
        </w:rPr>
      </w:pPr>
      <w:r w:rsidRPr="005978F0">
        <w:rPr>
          <w:bCs/>
          <w:highlight w:val="green"/>
          <w:lang w:val="en-US" w:eastAsia="x-none"/>
        </w:rPr>
        <w:t>Agreement:</w:t>
      </w:r>
    </w:p>
    <w:p w14:paraId="43D6C9AF" w14:textId="77777777" w:rsidR="004B5E87" w:rsidRDefault="004B5E87" w:rsidP="004B5E87">
      <w:r w:rsidRPr="005978F0">
        <w:t>For CAS bandwidth values, 25PRBs (5MHz) and 15 PRBs (3MHz) are supported.</w:t>
      </w:r>
    </w:p>
    <w:p w14:paraId="220412B9" w14:textId="77777777" w:rsidR="004B5E87" w:rsidRDefault="004B5E87" w:rsidP="004B5E87"/>
    <w:p w14:paraId="114EF603" w14:textId="77777777" w:rsidR="004B5E87" w:rsidRPr="006C2904" w:rsidRDefault="004B5E87" w:rsidP="004B5E87">
      <w:pPr>
        <w:rPr>
          <w:u w:val="single"/>
        </w:rPr>
      </w:pPr>
      <w:r w:rsidRPr="006C2904">
        <w:rPr>
          <w:u w:val="single"/>
        </w:rPr>
        <w:t>Conclusion:</w:t>
      </w:r>
    </w:p>
    <w:p w14:paraId="1D408A6A" w14:textId="77777777" w:rsidR="004B5E87" w:rsidRPr="005978F0" w:rsidRDefault="004B5E87" w:rsidP="004B5E87">
      <w:pPr>
        <w:pStyle w:val="ListParagraph"/>
        <w:overflowPunct w:val="0"/>
        <w:autoSpaceDE w:val="0"/>
        <w:autoSpaceDN w:val="0"/>
        <w:adjustRightInd w:val="0"/>
        <w:ind w:leftChars="0" w:left="0"/>
        <w:contextualSpacing/>
        <w:textAlignment w:val="baseline"/>
        <w:rPr>
          <w:lang w:eastAsia="en-GB"/>
        </w:rPr>
      </w:pPr>
      <w:r w:rsidRPr="005978F0">
        <w:rPr>
          <w:lang w:eastAsia="en-GB"/>
        </w:rPr>
        <w:lastRenderedPageBreak/>
        <w:t>Non-aligned PMCH bandwidth and system bandwidth is not supported</w:t>
      </w:r>
      <w:r>
        <w:rPr>
          <w:lang w:eastAsia="en-GB"/>
        </w:rPr>
        <w:t xml:space="preserve"> (this resolves an FFS item in a prior agreement).</w:t>
      </w:r>
    </w:p>
    <w:p w14:paraId="500AB642" w14:textId="77777777" w:rsidR="004B5E87" w:rsidRDefault="004B5E87" w:rsidP="004B5E87"/>
    <w:p w14:paraId="45FEF331" w14:textId="77777777" w:rsidR="004B5E87" w:rsidRDefault="004B5E87" w:rsidP="004B5E87">
      <w:r w:rsidRPr="00C5313B">
        <w:rPr>
          <w:highlight w:val="green"/>
        </w:rPr>
        <w:t>Agreement:</w:t>
      </w:r>
    </w:p>
    <w:p w14:paraId="60C48A3F" w14:textId="77777777" w:rsidR="004B5E87" w:rsidRDefault="004B5E87" w:rsidP="004B5E87">
      <w:r>
        <w:t>For 6/7/8MHz PMCH bandwidth with 15 kHz SCS:</w:t>
      </w:r>
    </w:p>
    <w:p w14:paraId="6EF87EDB" w14:textId="77777777" w:rsidR="004B5E87" w:rsidRDefault="004B5E87" w:rsidP="004B5E87">
      <w:pPr>
        <w:numPr>
          <w:ilvl w:val="0"/>
          <w:numId w:val="29"/>
        </w:numPr>
        <w:overflowPunct/>
        <w:autoSpaceDE/>
        <w:autoSpaceDN/>
        <w:adjustRightInd/>
        <w:spacing w:after="0"/>
        <w:textAlignment w:val="auto"/>
      </w:pPr>
      <w:r>
        <w:t>Alt 1: The control region in MBSFN subframes with 15 kHz SCS has the same bandwidth as CAS. The UE is not required to process the control region.</w:t>
      </w:r>
    </w:p>
    <w:p w14:paraId="4E278DF2" w14:textId="77777777" w:rsidR="004B5E87" w:rsidRDefault="004B5E87" w:rsidP="004B5E87">
      <w:pPr>
        <w:numPr>
          <w:ilvl w:val="0"/>
          <w:numId w:val="29"/>
        </w:numPr>
        <w:overflowPunct/>
        <w:autoSpaceDE/>
        <w:autoSpaceDN/>
        <w:adjustRightInd/>
        <w:spacing w:after="0"/>
        <w:textAlignment w:val="auto"/>
      </w:pPr>
      <w:r>
        <w:t>Alt 2: The MBSFN subframes with 15 kHz SCS do not have control region.</w:t>
      </w:r>
    </w:p>
    <w:p w14:paraId="5E7D5674" w14:textId="77777777" w:rsidR="004B5E87" w:rsidRPr="005978F0" w:rsidRDefault="004B5E87" w:rsidP="004B5E87">
      <w:pPr>
        <w:numPr>
          <w:ilvl w:val="0"/>
          <w:numId w:val="29"/>
        </w:numPr>
        <w:overflowPunct/>
        <w:autoSpaceDE/>
        <w:autoSpaceDN/>
        <w:adjustRightInd/>
        <w:spacing w:after="0"/>
        <w:textAlignment w:val="auto"/>
      </w:pPr>
      <w:r>
        <w:t>Alt 3: The MBSFN subframes with 15 kHz SCS have a control region but its content is not defined</w:t>
      </w:r>
    </w:p>
    <w:p w14:paraId="096A7C4E" w14:textId="77777777" w:rsidR="004B5E87" w:rsidRDefault="004B5E87" w:rsidP="004B5E87">
      <w:pPr>
        <w:rPr>
          <w:bCs/>
          <w:lang w:val="en-US" w:eastAsia="x-none"/>
        </w:rPr>
      </w:pPr>
    </w:p>
    <w:p w14:paraId="552F7FD8" w14:textId="77777777" w:rsidR="004B5E87" w:rsidRDefault="004B5E87" w:rsidP="004B5E87">
      <w:pPr>
        <w:rPr>
          <w:bCs/>
          <w:lang w:val="en-US" w:eastAsia="x-none"/>
        </w:rPr>
      </w:pPr>
      <w:r w:rsidRPr="0093595E">
        <w:rPr>
          <w:bCs/>
          <w:highlight w:val="green"/>
          <w:lang w:val="en-US" w:eastAsia="x-none"/>
        </w:rPr>
        <w:t>Agreement:</w:t>
      </w:r>
    </w:p>
    <w:p w14:paraId="1A487490" w14:textId="77777777" w:rsidR="004B5E87" w:rsidRDefault="004B5E87" w:rsidP="004B5E87">
      <w:pPr>
        <w:rPr>
          <w:bCs/>
          <w:lang w:val="en-US" w:eastAsia="x-none"/>
        </w:rPr>
      </w:pPr>
      <w:r w:rsidRPr="0093595E">
        <w:rPr>
          <w:bCs/>
          <w:lang w:val="en-US" w:eastAsia="x-none"/>
        </w:rPr>
        <w:t>The signalling of PMCH bandwidth is per MBSFN area.</w:t>
      </w:r>
    </w:p>
    <w:p w14:paraId="68AC6BC9" w14:textId="77777777" w:rsidR="004B5E87" w:rsidRDefault="004B5E87" w:rsidP="004B5E87">
      <w:pPr>
        <w:rPr>
          <w:bCs/>
          <w:lang w:val="en-US" w:eastAsia="x-none"/>
        </w:rPr>
      </w:pPr>
    </w:p>
    <w:p w14:paraId="39AFF60E" w14:textId="77777777" w:rsidR="004B5E87" w:rsidRDefault="004B5E87" w:rsidP="004B5E87">
      <w:pPr>
        <w:rPr>
          <w:bCs/>
          <w:lang w:val="en-US" w:eastAsia="x-none"/>
        </w:rPr>
      </w:pPr>
      <w:r w:rsidRPr="006F5B2C">
        <w:rPr>
          <w:bCs/>
          <w:highlight w:val="green"/>
          <w:lang w:val="en-US" w:eastAsia="x-none"/>
        </w:rPr>
        <w:t>Agreement:</w:t>
      </w:r>
    </w:p>
    <w:p w14:paraId="2E7F507A" w14:textId="77777777" w:rsidR="004B5E87" w:rsidRDefault="004B5E87" w:rsidP="004B5E87">
      <w:r>
        <w:t>The UE is not required to process the control region in MBSFN subframes for 6/7/8MHz PMCH bandwidth with 15kHz SCS</w:t>
      </w:r>
    </w:p>
    <w:p w14:paraId="653F268B" w14:textId="77777777" w:rsidR="004B5E87" w:rsidRDefault="004B5E87" w:rsidP="004B5E87">
      <w:pPr>
        <w:numPr>
          <w:ilvl w:val="0"/>
          <w:numId w:val="30"/>
        </w:numPr>
        <w:overflowPunct/>
        <w:autoSpaceDE/>
        <w:autoSpaceDN/>
        <w:adjustRightInd/>
        <w:spacing w:after="0"/>
        <w:textAlignment w:val="auto"/>
        <w:rPr>
          <w:bCs/>
          <w:lang w:val="en-US" w:eastAsia="x-none"/>
        </w:rPr>
      </w:pPr>
      <w:r>
        <w:rPr>
          <w:bCs/>
          <w:lang w:val="en-US" w:eastAsia="x-none"/>
        </w:rPr>
        <w:t>Note: This does not preclude future removal of the control region after completion of this WI.</w:t>
      </w:r>
    </w:p>
    <w:p w14:paraId="42B6949D" w14:textId="77777777" w:rsidR="004B5E87" w:rsidRPr="004023CF" w:rsidRDefault="004B5E87" w:rsidP="004B5E87">
      <w:pPr>
        <w:numPr>
          <w:ilvl w:val="0"/>
          <w:numId w:val="30"/>
        </w:numPr>
        <w:overflowPunct/>
        <w:autoSpaceDE/>
        <w:autoSpaceDN/>
        <w:adjustRightInd/>
        <w:spacing w:after="0"/>
        <w:textAlignment w:val="auto"/>
        <w:rPr>
          <w:bCs/>
          <w:lang w:val="en-US" w:eastAsia="x-none"/>
        </w:rPr>
      </w:pPr>
      <w:r>
        <w:rPr>
          <w:bCs/>
          <w:lang w:val="en-US" w:eastAsia="x-none"/>
        </w:rPr>
        <w:t>Note: The agreement is made with the intention to capture the agreement with minimal impact to the specifications.</w:t>
      </w:r>
    </w:p>
    <w:p w14:paraId="2085661B" w14:textId="77777777" w:rsidR="004B5E87" w:rsidRPr="004B5E87" w:rsidRDefault="004B5E87" w:rsidP="004B5E87">
      <w:pPr>
        <w:rPr>
          <w:lang w:val="en-US" w:eastAsia="ja-JP"/>
        </w:rPr>
      </w:pPr>
    </w:p>
    <w:p w14:paraId="4CC6B9DC" w14:textId="2C4FD555" w:rsidR="002449FF" w:rsidRDefault="002449FF" w:rsidP="002449FF">
      <w:pPr>
        <w:pStyle w:val="Heading4"/>
        <w:rPr>
          <w:lang w:eastAsia="ja-JP"/>
        </w:rPr>
      </w:pPr>
      <w:r>
        <w:rPr>
          <w:lang w:eastAsia="ja-JP"/>
        </w:rPr>
        <w:t>2.1.</w:t>
      </w:r>
      <w:r w:rsidR="004B5E87">
        <w:rPr>
          <w:lang w:eastAsia="ja-JP"/>
        </w:rPr>
        <w:t>2</w:t>
      </w:r>
      <w:r>
        <w:rPr>
          <w:lang w:eastAsia="ja-JP"/>
        </w:rPr>
        <w:tab/>
        <w:t>Remaining Open issues</w:t>
      </w:r>
    </w:p>
    <w:p w14:paraId="252CCE42" w14:textId="29C035BD" w:rsidR="002449FF" w:rsidRPr="00DD315C" w:rsidRDefault="004B5E87" w:rsidP="002449FF">
      <w:pPr>
        <w:numPr>
          <w:ilvl w:val="1"/>
          <w:numId w:val="23"/>
        </w:numPr>
        <w:spacing w:after="0"/>
        <w:rPr>
          <w:bCs/>
          <w:lang w:val="en-US"/>
        </w:rPr>
      </w:pPr>
      <w:r>
        <w:rPr>
          <w:bCs/>
          <w:lang w:val="en-US"/>
        </w:rPr>
        <w:t>Approve CRs for the corresponding agreements</w:t>
      </w:r>
    </w:p>
    <w:p w14:paraId="0F1009AF" w14:textId="77777777" w:rsidR="002449FF" w:rsidRPr="002449FF" w:rsidRDefault="002449FF" w:rsidP="002449FF">
      <w:pPr>
        <w:rPr>
          <w:lang w:val="en-US" w:eastAsia="ja-JP"/>
        </w:rPr>
      </w:pPr>
    </w:p>
    <w:p w14:paraId="0FA95C5C" w14:textId="4DDA6EEC"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07081797" w14:textId="30639E08" w:rsidR="004B5E87" w:rsidRDefault="004B5E87" w:rsidP="004B5E87">
      <w:pPr>
        <w:pStyle w:val="Heading4"/>
        <w:rPr>
          <w:lang w:eastAsia="ja-JP"/>
        </w:rPr>
      </w:pPr>
      <w:r>
        <w:rPr>
          <w:lang w:eastAsia="ja-JP"/>
        </w:rPr>
        <w:t>2.2.1</w:t>
      </w:r>
      <w:r>
        <w:rPr>
          <w:lang w:eastAsia="ja-JP"/>
        </w:rPr>
        <w:tab/>
        <w:t>Agreements</w:t>
      </w:r>
    </w:p>
    <w:p w14:paraId="78B2651B" w14:textId="5F389858" w:rsidR="004B5E87" w:rsidRPr="004B5E87" w:rsidRDefault="004B5E87" w:rsidP="004B5E87">
      <w:pPr>
        <w:rPr>
          <w:lang w:eastAsia="ja-JP"/>
        </w:rPr>
      </w:pPr>
      <w:r>
        <w:rPr>
          <w:lang w:eastAsia="ja-JP"/>
        </w:rPr>
        <w:t>None</w:t>
      </w:r>
    </w:p>
    <w:p w14:paraId="5C7DAE81" w14:textId="19394CC0" w:rsidR="004B5E87" w:rsidRDefault="004B5E87" w:rsidP="004B5E87">
      <w:pPr>
        <w:pStyle w:val="Heading4"/>
        <w:rPr>
          <w:lang w:eastAsia="ja-JP"/>
        </w:rPr>
      </w:pPr>
      <w:r>
        <w:rPr>
          <w:lang w:eastAsia="ja-JP"/>
        </w:rPr>
        <w:t>2.2.2</w:t>
      </w:r>
      <w:r>
        <w:rPr>
          <w:lang w:eastAsia="ja-JP"/>
        </w:rPr>
        <w:tab/>
        <w:t xml:space="preserve">Remaining Open issues </w:t>
      </w:r>
    </w:p>
    <w:p w14:paraId="464220FD" w14:textId="75E5F2A4" w:rsidR="004B5E87" w:rsidRPr="004B5E87" w:rsidRDefault="004B5E87" w:rsidP="004B5E87">
      <w:pPr>
        <w:rPr>
          <w:lang w:eastAsia="ja-JP"/>
        </w:rPr>
      </w:pPr>
      <w:r>
        <w:rPr>
          <w:lang w:eastAsia="ja-JP"/>
        </w:rPr>
        <w:t>Approve changes to 36.331 to introduce signalling related to PMCH bandwidth</w:t>
      </w:r>
    </w:p>
    <w:p w14:paraId="4FDE36B7" w14:textId="77777777" w:rsidR="004B5E87" w:rsidRPr="004B5E87" w:rsidRDefault="004B5E87" w:rsidP="004B5E87">
      <w:pPr>
        <w:rPr>
          <w:lang w:eastAsia="ja-JP"/>
        </w:rPr>
      </w:pPr>
    </w:p>
    <w:p w14:paraId="64D540DE"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0C11C381" w14:textId="5A51843B" w:rsidR="004B5E87" w:rsidRDefault="004B5E87" w:rsidP="004B5E87">
      <w:pPr>
        <w:pStyle w:val="Heading4"/>
        <w:rPr>
          <w:lang w:eastAsia="ja-JP"/>
        </w:rPr>
      </w:pPr>
      <w:r>
        <w:rPr>
          <w:lang w:eastAsia="ja-JP"/>
        </w:rPr>
        <w:t>2.</w:t>
      </w:r>
      <w:r w:rsidR="00AE70E4">
        <w:rPr>
          <w:lang w:eastAsia="ja-JP"/>
        </w:rPr>
        <w:t>3</w:t>
      </w:r>
      <w:r>
        <w:rPr>
          <w:lang w:eastAsia="ja-JP"/>
        </w:rPr>
        <w:t>.1</w:t>
      </w:r>
      <w:r>
        <w:rPr>
          <w:lang w:eastAsia="ja-JP"/>
        </w:rPr>
        <w:tab/>
        <w:t>Agreements</w:t>
      </w:r>
    </w:p>
    <w:p w14:paraId="2085DB4C" w14:textId="77777777" w:rsidR="004B5E87" w:rsidRPr="004B5E87" w:rsidRDefault="004B5E87" w:rsidP="004B5E87">
      <w:pPr>
        <w:rPr>
          <w:lang w:eastAsia="ja-JP"/>
        </w:rPr>
      </w:pPr>
      <w:r>
        <w:rPr>
          <w:lang w:eastAsia="ja-JP"/>
        </w:rPr>
        <w:t>None</w:t>
      </w:r>
    </w:p>
    <w:p w14:paraId="4A3AA543" w14:textId="3F7F56EB" w:rsidR="004B5E87" w:rsidRDefault="004B5E87" w:rsidP="004B5E87">
      <w:pPr>
        <w:pStyle w:val="Heading4"/>
        <w:rPr>
          <w:lang w:eastAsia="ja-JP"/>
        </w:rPr>
      </w:pPr>
      <w:r>
        <w:rPr>
          <w:lang w:eastAsia="ja-JP"/>
        </w:rPr>
        <w:t>2.</w:t>
      </w:r>
      <w:r w:rsidR="00AE70E4">
        <w:rPr>
          <w:lang w:eastAsia="ja-JP"/>
        </w:rPr>
        <w:t>3</w:t>
      </w:r>
      <w:r>
        <w:rPr>
          <w:lang w:eastAsia="ja-JP"/>
        </w:rPr>
        <w:t>.2</w:t>
      </w:r>
      <w:r>
        <w:rPr>
          <w:lang w:eastAsia="ja-JP"/>
        </w:rPr>
        <w:tab/>
        <w:t xml:space="preserve">Remaining Open issues </w:t>
      </w:r>
    </w:p>
    <w:p w14:paraId="46E2CD16" w14:textId="042EFF68" w:rsidR="004B5E87" w:rsidRPr="004B5E87" w:rsidRDefault="004B5E87" w:rsidP="004B5E87">
      <w:pPr>
        <w:rPr>
          <w:lang w:eastAsia="ja-JP"/>
        </w:rPr>
      </w:pPr>
      <w:r>
        <w:rPr>
          <w:lang w:eastAsia="ja-JP"/>
        </w:rPr>
        <w:t>Approve changes to 36.</w:t>
      </w:r>
      <w:r>
        <w:rPr>
          <w:lang w:eastAsia="ja-JP"/>
        </w:rPr>
        <w:t>443</w:t>
      </w:r>
      <w:r>
        <w:rPr>
          <w:lang w:eastAsia="ja-JP"/>
        </w:rPr>
        <w:t xml:space="preserve"> to introduce signalling related to PMCH bandwidth</w:t>
      </w:r>
    </w:p>
    <w:p w14:paraId="1144E7EA" w14:textId="77777777" w:rsidR="002449FF" w:rsidRPr="004B5E87" w:rsidRDefault="002449FF" w:rsidP="002449FF">
      <w:pPr>
        <w:rPr>
          <w:lang w:eastAsia="ja-JP"/>
        </w:rPr>
      </w:pPr>
    </w:p>
    <w:p w14:paraId="732070D8" w14:textId="77777777" w:rsidR="005A6C96" w:rsidRDefault="005A6C96" w:rsidP="004F740B"/>
    <w:p w14:paraId="3E95F9B1" w14:textId="77777777" w:rsidR="00701410" w:rsidRPr="00701410" w:rsidRDefault="00701410" w:rsidP="00701410">
      <w:pPr>
        <w:pStyle w:val="Heading2"/>
      </w:pPr>
      <w:r>
        <w:lastRenderedPageBreak/>
        <w:t>3.</w:t>
      </w:r>
      <w:r>
        <w:tab/>
        <w:t xml:space="preserve">Detailed progress in SA/CT WGs since last TSG meeting </w:t>
      </w:r>
      <w:r w:rsidRPr="005A6C96">
        <w:t>(for all involved WGs)</w:t>
      </w:r>
    </w:p>
    <w:p w14:paraId="7CC063AC" w14:textId="2330D4BF" w:rsidR="00721CF6" w:rsidRPr="004B5E87" w:rsidRDefault="004B5E87" w:rsidP="004B5E87">
      <w:pPr>
        <w:rPr>
          <w:lang w:eastAsia="ja-JP"/>
        </w:rPr>
      </w:pPr>
      <w:r w:rsidRPr="004B5E87">
        <w:rPr>
          <w:lang w:eastAsia="ja-JP"/>
        </w:rPr>
        <w:t>Not applicable</w:t>
      </w:r>
    </w:p>
    <w:p w14:paraId="7BBCB897" w14:textId="4BFF21F8" w:rsidR="005A6C96" w:rsidRDefault="00815869" w:rsidP="005A6C96">
      <w:pPr>
        <w:pStyle w:val="Heading2"/>
      </w:pPr>
      <w:r>
        <w:t>4</w:t>
      </w:r>
      <w:r w:rsidR="005A6C96">
        <w:t>.</w:t>
      </w:r>
      <w:r w:rsidR="005A6C96">
        <w:tab/>
        <w:t>References</w:t>
      </w:r>
    </w:p>
    <w:p w14:paraId="1C21CBE6" w14:textId="77777777" w:rsidR="004B5E87" w:rsidRPr="004B5E87" w:rsidRDefault="004B5E87" w:rsidP="004B5E87">
      <w:pPr>
        <w:rPr>
          <w:lang w:val="en-US"/>
        </w:rPr>
      </w:pPr>
      <w:r w:rsidRPr="004B5E87">
        <w:rPr>
          <w:lang w:val="en-US"/>
        </w:rPr>
        <w:t>R1-2106762</w:t>
      </w:r>
      <w:r w:rsidRPr="004B5E87">
        <w:rPr>
          <w:lang w:val="en-US"/>
        </w:rPr>
        <w:tab/>
        <w:t>Work Plan for New Bands and Bandwidth Allocation for LTE based 5G Terrestrial Broadcast</w:t>
      </w:r>
      <w:r w:rsidRPr="004B5E87">
        <w:rPr>
          <w:lang w:val="en-US"/>
        </w:rPr>
        <w:tab/>
      </w:r>
      <w:r w:rsidRPr="004B5E87">
        <w:rPr>
          <w:lang w:val="en-US"/>
        </w:rPr>
        <w:tab/>
      </w:r>
      <w:r w:rsidRPr="004B5E87">
        <w:rPr>
          <w:lang w:val="en-US"/>
        </w:rPr>
        <w:tab/>
        <w:t>Qualcomm Incorporated, EBU</w:t>
      </w:r>
    </w:p>
    <w:p w14:paraId="7D3BA112" w14:textId="77777777" w:rsidR="004B5E87" w:rsidRPr="004B5E87" w:rsidRDefault="004B5E87" w:rsidP="004B5E87">
      <w:pPr>
        <w:rPr>
          <w:lang w:val="en-US"/>
        </w:rPr>
      </w:pPr>
      <w:r w:rsidRPr="004B5E87">
        <w:rPr>
          <w:lang w:val="en-US"/>
        </w:rPr>
        <w:t>R1-2106560</w:t>
      </w:r>
      <w:r w:rsidRPr="004B5E87">
        <w:rPr>
          <w:lang w:val="en-US"/>
        </w:rPr>
        <w:tab/>
        <w:t>On PMCH allocation of 6/7/8 MHz and corresponding reference signals</w:t>
      </w:r>
      <w:r w:rsidRPr="004B5E87">
        <w:rPr>
          <w:lang w:val="en-US"/>
        </w:rPr>
        <w:tab/>
        <w:t>Huawei, HiSilicon</w:t>
      </w:r>
    </w:p>
    <w:p w14:paraId="739F2972" w14:textId="77777777" w:rsidR="004B5E87" w:rsidRPr="004B5E87" w:rsidRDefault="004B5E87" w:rsidP="004B5E87">
      <w:pPr>
        <w:rPr>
          <w:lang w:val="en-US"/>
        </w:rPr>
      </w:pPr>
      <w:r w:rsidRPr="004B5E87">
        <w:rPr>
          <w:lang w:val="en-US"/>
        </w:rPr>
        <w:t>R1-2106752</w:t>
      </w:r>
      <w:r w:rsidRPr="004B5E87">
        <w:rPr>
          <w:lang w:val="en-US"/>
        </w:rPr>
        <w:tab/>
        <w:t>Discussion on PMCH allocation and corresponding MBSFN reference signals</w:t>
      </w:r>
      <w:r w:rsidRPr="004B5E87">
        <w:rPr>
          <w:lang w:val="en-US"/>
        </w:rPr>
        <w:tab/>
        <w:t>ZTE</w:t>
      </w:r>
    </w:p>
    <w:p w14:paraId="15C70788" w14:textId="2FF191E4" w:rsidR="003551A9" w:rsidRDefault="004B5E87" w:rsidP="004B5E87">
      <w:pPr>
        <w:rPr>
          <w:lang w:val="en-US"/>
        </w:rPr>
      </w:pPr>
      <w:r w:rsidRPr="004B5E87">
        <w:rPr>
          <w:lang w:val="en-US"/>
        </w:rPr>
        <w:t>R1-2106763</w:t>
      </w:r>
      <w:r w:rsidRPr="004B5E87">
        <w:rPr>
          <w:lang w:val="en-US"/>
        </w:rPr>
        <w:tab/>
        <w:t>PMCH allocation of 6/7/8MHz</w:t>
      </w:r>
      <w:r w:rsidRPr="004B5E87">
        <w:rPr>
          <w:lang w:val="en-US"/>
        </w:rPr>
        <w:tab/>
        <w:t>Qualcomm Incorporated</w:t>
      </w:r>
    </w:p>
    <w:p w14:paraId="061CEB9A" w14:textId="77777777" w:rsidR="004B5E87" w:rsidRPr="004B5E87" w:rsidRDefault="004B5E87" w:rsidP="004B5E87">
      <w:pPr>
        <w:rPr>
          <w:lang w:val="en-US"/>
        </w:rPr>
      </w:pPr>
      <w:r w:rsidRPr="004B5E87">
        <w:rPr>
          <w:lang w:val="en-US"/>
        </w:rPr>
        <w:t>R1-2108211</w:t>
      </w:r>
      <w:r w:rsidRPr="004B5E87">
        <w:rPr>
          <w:lang w:val="en-US"/>
        </w:rPr>
        <w:tab/>
        <w:t>Feature lead summary on New bands and bandwidth allocation for LTE based 5G terrestrial broadcast</w:t>
      </w:r>
      <w:r w:rsidRPr="004B5E87">
        <w:rPr>
          <w:lang w:val="en-US"/>
        </w:rPr>
        <w:tab/>
      </w:r>
      <w:r w:rsidRPr="004B5E87">
        <w:rPr>
          <w:lang w:val="en-US"/>
        </w:rPr>
        <w:tab/>
        <w:t>Moderator (Qualcomm)</w:t>
      </w:r>
    </w:p>
    <w:p w14:paraId="1E873808" w14:textId="77777777" w:rsidR="004B5E87" w:rsidRPr="004B5E87" w:rsidRDefault="004B5E87" w:rsidP="004B5E87">
      <w:pPr>
        <w:rPr>
          <w:lang w:val="en-US"/>
        </w:rPr>
      </w:pPr>
      <w:r w:rsidRPr="004B5E87">
        <w:rPr>
          <w:lang w:val="en-US"/>
        </w:rPr>
        <w:t>R1-2108324</w:t>
      </w:r>
      <w:r w:rsidRPr="004B5E87">
        <w:rPr>
          <w:lang w:val="en-US"/>
        </w:rPr>
        <w:tab/>
        <w:t>Feature lead summary #2 on New bands and bandwidth allocation for LTE based 5G terrestrial broadcast</w:t>
      </w:r>
      <w:r w:rsidRPr="004B5E87">
        <w:rPr>
          <w:lang w:val="en-US"/>
        </w:rPr>
        <w:tab/>
      </w:r>
      <w:r w:rsidRPr="004B5E87">
        <w:rPr>
          <w:lang w:val="en-US"/>
        </w:rPr>
        <w:tab/>
        <w:t>Moderator (Qualcomm)</w:t>
      </w:r>
    </w:p>
    <w:p w14:paraId="6176A501" w14:textId="2A9C24AD" w:rsidR="004B5E87" w:rsidRDefault="004B5E87" w:rsidP="004B5E87">
      <w:pPr>
        <w:rPr>
          <w:lang w:val="en-US"/>
        </w:rPr>
      </w:pPr>
      <w:r w:rsidRPr="004B5E87">
        <w:rPr>
          <w:lang w:val="en-US"/>
        </w:rPr>
        <w:t>R1-2108360</w:t>
      </w:r>
      <w:r w:rsidRPr="004B5E87">
        <w:rPr>
          <w:lang w:val="en-US"/>
        </w:rPr>
        <w:tab/>
        <w:t xml:space="preserve">Feature lead summary #3 on New bands and bandwidth allocation for LTE based 5G terrestrial broadcast </w:t>
      </w:r>
      <w:r w:rsidRPr="004B5E87">
        <w:rPr>
          <w:lang w:val="en-US"/>
        </w:rPr>
        <w:tab/>
        <w:t>Moderator (Qualcomm)</w:t>
      </w:r>
    </w:p>
    <w:p w14:paraId="68636798" w14:textId="77777777" w:rsidR="004B5E87" w:rsidRDefault="004B5E87" w:rsidP="004B5E87">
      <w:r>
        <w:t>R1-2106753</w:t>
      </w:r>
      <w:r>
        <w:tab/>
        <w:t>Considerations on bandwidth changing in MBSFN subframe for 15KHz subcarrier spacing</w:t>
      </w:r>
      <w:r>
        <w:tab/>
        <w:t>ZTE</w:t>
      </w:r>
    </w:p>
    <w:p w14:paraId="4337D31E" w14:textId="488A187F" w:rsidR="004B5E87" w:rsidRPr="004B5E87" w:rsidRDefault="004B5E87" w:rsidP="004B5E87">
      <w:r>
        <w:t>R1-2107685</w:t>
      </w:r>
      <w:r>
        <w:tab/>
        <w:t>Numerologies supported for MBMS-dedicated cell</w:t>
      </w:r>
      <w:r>
        <w:tab/>
        <w:t>Huawei, HiSilicon</w:t>
      </w:r>
    </w:p>
    <w:sectPr w:rsidR="004B5E87" w:rsidRPr="004B5E87" w:rsidSect="006C090F">
      <w:headerReference w:type="even" r:id="rId15"/>
      <w:headerReference w:type="default" r:id="rId16"/>
      <w:footerReference w:type="even" r:id="rId17"/>
      <w:footerReference w:type="default" r:id="rId18"/>
      <w:headerReference w:type="first" r:id="rId19"/>
      <w:footerReference w:type="first" r:id="rId2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C5E8" w14:textId="77777777" w:rsidR="00CC7A64" w:rsidRDefault="00CC7A64">
      <w:r>
        <w:separator/>
      </w:r>
    </w:p>
  </w:endnote>
  <w:endnote w:type="continuationSeparator" w:id="0">
    <w:p w14:paraId="64F56E12" w14:textId="77777777" w:rsidR="00CC7A64" w:rsidRDefault="00CC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5FCD" w14:textId="77777777" w:rsidR="00A3310C" w:rsidRDefault="00A33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BEF6"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27D2" w14:textId="77777777" w:rsidR="00A3310C" w:rsidRDefault="00A33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7AF3C" w14:textId="77777777" w:rsidR="00CC7A64" w:rsidRDefault="00CC7A64">
      <w:r>
        <w:separator/>
      </w:r>
    </w:p>
  </w:footnote>
  <w:footnote w:type="continuationSeparator" w:id="0">
    <w:p w14:paraId="124B5722" w14:textId="77777777" w:rsidR="00CC7A64" w:rsidRDefault="00CC7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4623" w14:textId="77777777" w:rsidR="00A3310C" w:rsidRDefault="00A33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8F47" w14:textId="77777777" w:rsidR="00A3310C" w:rsidRDefault="00A33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9A45" w14:textId="77777777" w:rsidR="00A3310C" w:rsidRDefault="00A33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5E70"/>
    <w:multiLevelType w:val="hybridMultilevel"/>
    <w:tmpl w:val="751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91164D"/>
    <w:multiLevelType w:val="hybridMultilevel"/>
    <w:tmpl w:val="80EA0808"/>
    <w:lvl w:ilvl="0" w:tplc="664E5362">
      <w:start w:val="1"/>
      <w:numFmt w:val="bullet"/>
      <w:lvlText w:val="•"/>
      <w:lvlJc w:val="left"/>
      <w:pPr>
        <w:tabs>
          <w:tab w:val="num" w:pos="720"/>
        </w:tabs>
        <w:ind w:left="720" w:hanging="360"/>
      </w:pPr>
      <w:rPr>
        <w:rFonts w:ascii="Arial" w:hAnsi="Arial" w:cs="Times New Roman" w:hint="default"/>
      </w:rPr>
    </w:lvl>
    <w:lvl w:ilvl="1" w:tplc="3FA02BDE">
      <w:start w:val="562"/>
      <w:numFmt w:val="bullet"/>
      <w:lvlText w:val="•"/>
      <w:lvlJc w:val="left"/>
      <w:pPr>
        <w:tabs>
          <w:tab w:val="num" w:pos="1440"/>
        </w:tabs>
        <w:ind w:left="1440" w:hanging="360"/>
      </w:pPr>
      <w:rPr>
        <w:rFonts w:ascii="Arial" w:hAnsi="Arial" w:cs="Times New Roman" w:hint="default"/>
      </w:rPr>
    </w:lvl>
    <w:lvl w:ilvl="2" w:tplc="6814320A">
      <w:start w:val="1"/>
      <w:numFmt w:val="bullet"/>
      <w:lvlText w:val="•"/>
      <w:lvlJc w:val="left"/>
      <w:pPr>
        <w:tabs>
          <w:tab w:val="num" w:pos="2160"/>
        </w:tabs>
        <w:ind w:left="2160" w:hanging="360"/>
      </w:pPr>
      <w:rPr>
        <w:rFonts w:ascii="Arial" w:hAnsi="Arial" w:cs="Times New Roman" w:hint="default"/>
      </w:rPr>
    </w:lvl>
    <w:lvl w:ilvl="3" w:tplc="FA7E6E3E">
      <w:start w:val="1"/>
      <w:numFmt w:val="bullet"/>
      <w:lvlText w:val="•"/>
      <w:lvlJc w:val="left"/>
      <w:pPr>
        <w:tabs>
          <w:tab w:val="num" w:pos="2880"/>
        </w:tabs>
        <w:ind w:left="2880" w:hanging="360"/>
      </w:pPr>
      <w:rPr>
        <w:rFonts w:ascii="Arial" w:hAnsi="Arial" w:cs="Times New Roman" w:hint="default"/>
      </w:rPr>
    </w:lvl>
    <w:lvl w:ilvl="4" w:tplc="A4BE9C4A">
      <w:start w:val="1"/>
      <w:numFmt w:val="bullet"/>
      <w:lvlText w:val="•"/>
      <w:lvlJc w:val="left"/>
      <w:pPr>
        <w:tabs>
          <w:tab w:val="num" w:pos="3600"/>
        </w:tabs>
        <w:ind w:left="3600" w:hanging="360"/>
      </w:pPr>
      <w:rPr>
        <w:rFonts w:ascii="Arial" w:hAnsi="Arial" w:cs="Times New Roman" w:hint="default"/>
      </w:rPr>
    </w:lvl>
    <w:lvl w:ilvl="5" w:tplc="4A0C14C6">
      <w:start w:val="1"/>
      <w:numFmt w:val="bullet"/>
      <w:lvlText w:val="•"/>
      <w:lvlJc w:val="left"/>
      <w:pPr>
        <w:tabs>
          <w:tab w:val="num" w:pos="4320"/>
        </w:tabs>
        <w:ind w:left="4320" w:hanging="360"/>
      </w:pPr>
      <w:rPr>
        <w:rFonts w:ascii="Arial" w:hAnsi="Arial" w:cs="Times New Roman" w:hint="default"/>
      </w:rPr>
    </w:lvl>
    <w:lvl w:ilvl="6" w:tplc="40C661CC">
      <w:start w:val="1"/>
      <w:numFmt w:val="bullet"/>
      <w:lvlText w:val="•"/>
      <w:lvlJc w:val="left"/>
      <w:pPr>
        <w:tabs>
          <w:tab w:val="num" w:pos="5040"/>
        </w:tabs>
        <w:ind w:left="5040" w:hanging="360"/>
      </w:pPr>
      <w:rPr>
        <w:rFonts w:ascii="Arial" w:hAnsi="Arial" w:cs="Times New Roman" w:hint="default"/>
      </w:rPr>
    </w:lvl>
    <w:lvl w:ilvl="7" w:tplc="32F69486">
      <w:start w:val="1"/>
      <w:numFmt w:val="bullet"/>
      <w:lvlText w:val="•"/>
      <w:lvlJc w:val="left"/>
      <w:pPr>
        <w:tabs>
          <w:tab w:val="num" w:pos="5760"/>
        </w:tabs>
        <w:ind w:left="5760" w:hanging="360"/>
      </w:pPr>
      <w:rPr>
        <w:rFonts w:ascii="Arial" w:hAnsi="Arial" w:cs="Times New Roman" w:hint="default"/>
      </w:rPr>
    </w:lvl>
    <w:lvl w:ilvl="8" w:tplc="800010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EC10C5E"/>
    <w:multiLevelType w:val="hybridMultilevel"/>
    <w:tmpl w:val="E224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B153A"/>
    <w:multiLevelType w:val="hybridMultilevel"/>
    <w:tmpl w:val="FE40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E5C1F"/>
    <w:multiLevelType w:val="hybridMultilevel"/>
    <w:tmpl w:val="B4C4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2FA519CB"/>
    <w:multiLevelType w:val="hybridMultilevel"/>
    <w:tmpl w:val="6CCEA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D23FB"/>
    <w:multiLevelType w:val="hybridMultilevel"/>
    <w:tmpl w:val="F61078FC"/>
    <w:lvl w:ilvl="0" w:tplc="C178D2E8">
      <w:start w:val="1"/>
      <w:numFmt w:val="bullet"/>
      <w:lvlText w:val="•"/>
      <w:lvlJc w:val="left"/>
      <w:pPr>
        <w:tabs>
          <w:tab w:val="num" w:pos="720"/>
        </w:tabs>
        <w:ind w:left="720" w:hanging="360"/>
      </w:pPr>
      <w:rPr>
        <w:rFonts w:ascii="Arial" w:hAnsi="Arial" w:hint="default"/>
      </w:rPr>
    </w:lvl>
    <w:lvl w:ilvl="1" w:tplc="D01AFE16">
      <w:numFmt w:val="bullet"/>
      <w:lvlText w:val="•"/>
      <w:lvlJc w:val="left"/>
      <w:pPr>
        <w:tabs>
          <w:tab w:val="num" w:pos="1440"/>
        </w:tabs>
        <w:ind w:left="1440" w:hanging="360"/>
      </w:pPr>
      <w:rPr>
        <w:rFonts w:ascii="Arial" w:hAnsi="Arial" w:hint="default"/>
      </w:rPr>
    </w:lvl>
    <w:lvl w:ilvl="2" w:tplc="52A0324E">
      <w:numFmt w:val="bullet"/>
      <w:lvlText w:val="•"/>
      <w:lvlJc w:val="left"/>
      <w:pPr>
        <w:tabs>
          <w:tab w:val="num" w:pos="2160"/>
        </w:tabs>
        <w:ind w:left="2160" w:hanging="360"/>
      </w:pPr>
      <w:rPr>
        <w:rFonts w:ascii="Microsoft Sans Serif" w:hAnsi="Microsoft Sans Serif" w:hint="default"/>
      </w:rPr>
    </w:lvl>
    <w:lvl w:ilvl="3" w:tplc="37005B5E">
      <w:numFmt w:val="bullet"/>
      <w:lvlText w:val="•"/>
      <w:lvlJc w:val="left"/>
      <w:pPr>
        <w:tabs>
          <w:tab w:val="num" w:pos="2880"/>
        </w:tabs>
        <w:ind w:left="2880" w:hanging="360"/>
      </w:pPr>
      <w:rPr>
        <w:rFonts w:ascii="Arial" w:hAnsi="Arial" w:hint="default"/>
      </w:rPr>
    </w:lvl>
    <w:lvl w:ilvl="4" w:tplc="96A265C2" w:tentative="1">
      <w:start w:val="1"/>
      <w:numFmt w:val="bullet"/>
      <w:lvlText w:val="•"/>
      <w:lvlJc w:val="left"/>
      <w:pPr>
        <w:tabs>
          <w:tab w:val="num" w:pos="3600"/>
        </w:tabs>
        <w:ind w:left="3600" w:hanging="360"/>
      </w:pPr>
      <w:rPr>
        <w:rFonts w:ascii="Arial" w:hAnsi="Arial" w:hint="default"/>
      </w:rPr>
    </w:lvl>
    <w:lvl w:ilvl="5" w:tplc="5CE8A37A" w:tentative="1">
      <w:start w:val="1"/>
      <w:numFmt w:val="bullet"/>
      <w:lvlText w:val="•"/>
      <w:lvlJc w:val="left"/>
      <w:pPr>
        <w:tabs>
          <w:tab w:val="num" w:pos="4320"/>
        </w:tabs>
        <w:ind w:left="4320" w:hanging="360"/>
      </w:pPr>
      <w:rPr>
        <w:rFonts w:ascii="Arial" w:hAnsi="Arial" w:hint="default"/>
      </w:rPr>
    </w:lvl>
    <w:lvl w:ilvl="6" w:tplc="06AA178A" w:tentative="1">
      <w:start w:val="1"/>
      <w:numFmt w:val="bullet"/>
      <w:lvlText w:val="•"/>
      <w:lvlJc w:val="left"/>
      <w:pPr>
        <w:tabs>
          <w:tab w:val="num" w:pos="5040"/>
        </w:tabs>
        <w:ind w:left="5040" w:hanging="360"/>
      </w:pPr>
      <w:rPr>
        <w:rFonts w:ascii="Arial" w:hAnsi="Arial" w:hint="default"/>
      </w:rPr>
    </w:lvl>
    <w:lvl w:ilvl="7" w:tplc="6A941500" w:tentative="1">
      <w:start w:val="1"/>
      <w:numFmt w:val="bullet"/>
      <w:lvlText w:val="•"/>
      <w:lvlJc w:val="left"/>
      <w:pPr>
        <w:tabs>
          <w:tab w:val="num" w:pos="5760"/>
        </w:tabs>
        <w:ind w:left="5760" w:hanging="360"/>
      </w:pPr>
      <w:rPr>
        <w:rFonts w:ascii="Arial" w:hAnsi="Arial" w:hint="default"/>
      </w:rPr>
    </w:lvl>
    <w:lvl w:ilvl="8" w:tplc="F25EC1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82457B"/>
    <w:multiLevelType w:val="hybridMultilevel"/>
    <w:tmpl w:val="8C786336"/>
    <w:lvl w:ilvl="0" w:tplc="75129254">
      <w:start w:val="1"/>
      <w:numFmt w:val="bullet"/>
      <w:lvlText w:val="•"/>
      <w:lvlJc w:val="left"/>
      <w:pPr>
        <w:tabs>
          <w:tab w:val="num" w:pos="720"/>
        </w:tabs>
        <w:ind w:left="720" w:hanging="360"/>
      </w:pPr>
      <w:rPr>
        <w:rFonts w:ascii="Arial" w:hAnsi="Arial" w:cs="Times New Roman" w:hint="default"/>
      </w:rPr>
    </w:lvl>
    <w:lvl w:ilvl="1" w:tplc="1AB4CF54">
      <w:start w:val="562"/>
      <w:numFmt w:val="bullet"/>
      <w:lvlText w:val="•"/>
      <w:lvlJc w:val="left"/>
      <w:pPr>
        <w:tabs>
          <w:tab w:val="num" w:pos="1440"/>
        </w:tabs>
        <w:ind w:left="1440" w:hanging="360"/>
      </w:pPr>
      <w:rPr>
        <w:rFonts w:ascii="Arial" w:hAnsi="Arial" w:cs="Times New Roman" w:hint="default"/>
      </w:rPr>
    </w:lvl>
    <w:lvl w:ilvl="2" w:tplc="7EC6D520">
      <w:start w:val="1"/>
      <w:numFmt w:val="bullet"/>
      <w:lvlText w:val="•"/>
      <w:lvlJc w:val="left"/>
      <w:pPr>
        <w:tabs>
          <w:tab w:val="num" w:pos="2160"/>
        </w:tabs>
        <w:ind w:left="2160" w:hanging="360"/>
      </w:pPr>
      <w:rPr>
        <w:rFonts w:ascii="Arial" w:hAnsi="Arial" w:cs="Times New Roman" w:hint="default"/>
      </w:rPr>
    </w:lvl>
    <w:lvl w:ilvl="3" w:tplc="BCC2EC38">
      <w:start w:val="1"/>
      <w:numFmt w:val="bullet"/>
      <w:lvlText w:val="•"/>
      <w:lvlJc w:val="left"/>
      <w:pPr>
        <w:tabs>
          <w:tab w:val="num" w:pos="2880"/>
        </w:tabs>
        <w:ind w:left="2880" w:hanging="360"/>
      </w:pPr>
      <w:rPr>
        <w:rFonts w:ascii="Arial" w:hAnsi="Arial" w:cs="Times New Roman" w:hint="default"/>
      </w:rPr>
    </w:lvl>
    <w:lvl w:ilvl="4" w:tplc="E7E8753A">
      <w:start w:val="1"/>
      <w:numFmt w:val="bullet"/>
      <w:lvlText w:val="•"/>
      <w:lvlJc w:val="left"/>
      <w:pPr>
        <w:tabs>
          <w:tab w:val="num" w:pos="3600"/>
        </w:tabs>
        <w:ind w:left="3600" w:hanging="360"/>
      </w:pPr>
      <w:rPr>
        <w:rFonts w:ascii="Arial" w:hAnsi="Arial" w:cs="Times New Roman" w:hint="default"/>
      </w:rPr>
    </w:lvl>
    <w:lvl w:ilvl="5" w:tplc="D708FE3E">
      <w:start w:val="1"/>
      <w:numFmt w:val="bullet"/>
      <w:lvlText w:val="•"/>
      <w:lvlJc w:val="left"/>
      <w:pPr>
        <w:tabs>
          <w:tab w:val="num" w:pos="4320"/>
        </w:tabs>
        <w:ind w:left="4320" w:hanging="360"/>
      </w:pPr>
      <w:rPr>
        <w:rFonts w:ascii="Arial" w:hAnsi="Arial" w:cs="Times New Roman" w:hint="default"/>
      </w:rPr>
    </w:lvl>
    <w:lvl w:ilvl="6" w:tplc="5F409408">
      <w:start w:val="1"/>
      <w:numFmt w:val="bullet"/>
      <w:lvlText w:val="•"/>
      <w:lvlJc w:val="left"/>
      <w:pPr>
        <w:tabs>
          <w:tab w:val="num" w:pos="5040"/>
        </w:tabs>
        <w:ind w:left="5040" w:hanging="360"/>
      </w:pPr>
      <w:rPr>
        <w:rFonts w:ascii="Arial" w:hAnsi="Arial" w:cs="Times New Roman" w:hint="default"/>
      </w:rPr>
    </w:lvl>
    <w:lvl w:ilvl="7" w:tplc="A39E4C26">
      <w:start w:val="1"/>
      <w:numFmt w:val="bullet"/>
      <w:lvlText w:val="•"/>
      <w:lvlJc w:val="left"/>
      <w:pPr>
        <w:tabs>
          <w:tab w:val="num" w:pos="5760"/>
        </w:tabs>
        <w:ind w:left="5760" w:hanging="360"/>
      </w:pPr>
      <w:rPr>
        <w:rFonts w:ascii="Arial" w:hAnsi="Arial" w:cs="Times New Roman" w:hint="default"/>
      </w:rPr>
    </w:lvl>
    <w:lvl w:ilvl="8" w:tplc="D53A881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375F62"/>
    <w:multiLevelType w:val="hybridMultilevel"/>
    <w:tmpl w:val="DE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8062F"/>
    <w:multiLevelType w:val="hybridMultilevel"/>
    <w:tmpl w:val="E596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2"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4E1455"/>
    <w:multiLevelType w:val="hybridMultilevel"/>
    <w:tmpl w:val="620E0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3"/>
  </w:num>
  <w:num w:numId="2">
    <w:abstractNumId w:val="1"/>
  </w:num>
  <w:num w:numId="3">
    <w:abstractNumId w:val="27"/>
  </w:num>
  <w:num w:numId="4">
    <w:abstractNumId w:val="25"/>
  </w:num>
  <w:num w:numId="5">
    <w:abstractNumId w:val="12"/>
  </w:num>
  <w:num w:numId="6">
    <w:abstractNumId w:val="28"/>
  </w:num>
  <w:num w:numId="7">
    <w:abstractNumId w:val="2"/>
  </w:num>
  <w:num w:numId="8">
    <w:abstractNumId w:val="11"/>
  </w:num>
  <w:num w:numId="9">
    <w:abstractNumId w:val="22"/>
  </w:num>
  <w:num w:numId="10">
    <w:abstractNumId w:val="29"/>
  </w:num>
  <w:num w:numId="11">
    <w:abstractNumId w:val="23"/>
  </w:num>
  <w:num w:numId="12">
    <w:abstractNumId w:val="20"/>
  </w:num>
  <w:num w:numId="13">
    <w:abstractNumId w:val="26"/>
  </w:num>
  <w:num w:numId="14">
    <w:abstractNumId w:val="8"/>
  </w:num>
  <w:num w:numId="15">
    <w:abstractNumId w:val="17"/>
  </w:num>
  <w:num w:numId="16">
    <w:abstractNumId w:val="5"/>
  </w:num>
  <w:num w:numId="17">
    <w:abstractNumId w:val="16"/>
  </w:num>
  <w:num w:numId="18">
    <w:abstractNumId w:val="9"/>
  </w:num>
  <w:num w:numId="19">
    <w:abstractNumId w:val="7"/>
  </w:num>
  <w:num w:numId="20">
    <w:abstractNumId w:val="21"/>
  </w:num>
  <w:num w:numId="21">
    <w:abstractNumId w:val="3"/>
  </w:num>
  <w:num w:numId="22">
    <w:abstractNumId w:val="15"/>
  </w:num>
  <w:num w:numId="23">
    <w:abstractNumId w:val="14"/>
  </w:num>
  <w:num w:numId="24">
    <w:abstractNumId w:val="0"/>
  </w:num>
  <w:num w:numId="25">
    <w:abstractNumId w:val="4"/>
  </w:num>
  <w:num w:numId="26">
    <w:abstractNumId w:val="24"/>
  </w:num>
  <w:num w:numId="27">
    <w:abstractNumId w:val="10"/>
  </w:num>
  <w:num w:numId="28">
    <w:abstractNumId w:val="18"/>
  </w:num>
  <w:num w:numId="29">
    <w:abstractNumId w:val="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746A7"/>
    <w:rsid w:val="000910BB"/>
    <w:rsid w:val="000926AF"/>
    <w:rsid w:val="000A3ED2"/>
    <w:rsid w:val="000C00FA"/>
    <w:rsid w:val="000C51AA"/>
    <w:rsid w:val="000D17BC"/>
    <w:rsid w:val="000D2186"/>
    <w:rsid w:val="000E4F35"/>
    <w:rsid w:val="000F6C1C"/>
    <w:rsid w:val="00116F4B"/>
    <w:rsid w:val="001229F4"/>
    <w:rsid w:val="00137471"/>
    <w:rsid w:val="00150FD3"/>
    <w:rsid w:val="00184428"/>
    <w:rsid w:val="001A248F"/>
    <w:rsid w:val="001A3B5F"/>
    <w:rsid w:val="001A659D"/>
    <w:rsid w:val="001B51AB"/>
    <w:rsid w:val="001B5CA8"/>
    <w:rsid w:val="001B7BA8"/>
    <w:rsid w:val="001C4490"/>
    <w:rsid w:val="001D2C1A"/>
    <w:rsid w:val="001D3BA2"/>
    <w:rsid w:val="001D44B7"/>
    <w:rsid w:val="001E0075"/>
    <w:rsid w:val="001F1B1F"/>
    <w:rsid w:val="001F2A20"/>
    <w:rsid w:val="001F486F"/>
    <w:rsid w:val="00205E03"/>
    <w:rsid w:val="00207DC4"/>
    <w:rsid w:val="0022485E"/>
    <w:rsid w:val="00237B8E"/>
    <w:rsid w:val="00243A99"/>
    <w:rsid w:val="002449FF"/>
    <w:rsid w:val="0029567C"/>
    <w:rsid w:val="002C0B82"/>
    <w:rsid w:val="00301B7A"/>
    <w:rsid w:val="00306D59"/>
    <w:rsid w:val="0032503A"/>
    <w:rsid w:val="00325EE1"/>
    <w:rsid w:val="003357C0"/>
    <w:rsid w:val="00344D60"/>
    <w:rsid w:val="00346477"/>
    <w:rsid w:val="00347CB0"/>
    <w:rsid w:val="003551A9"/>
    <w:rsid w:val="0036248C"/>
    <w:rsid w:val="003666A8"/>
    <w:rsid w:val="00367401"/>
    <w:rsid w:val="00375678"/>
    <w:rsid w:val="0039390A"/>
    <w:rsid w:val="00394AB0"/>
    <w:rsid w:val="00396252"/>
    <w:rsid w:val="003A4B47"/>
    <w:rsid w:val="003B24AF"/>
    <w:rsid w:val="003B7182"/>
    <w:rsid w:val="003D5036"/>
    <w:rsid w:val="003D764D"/>
    <w:rsid w:val="003E3A1A"/>
    <w:rsid w:val="003F1B9F"/>
    <w:rsid w:val="0040091C"/>
    <w:rsid w:val="00406D7A"/>
    <w:rsid w:val="004258BA"/>
    <w:rsid w:val="004531C9"/>
    <w:rsid w:val="00457D91"/>
    <w:rsid w:val="00460C31"/>
    <w:rsid w:val="00464E5B"/>
    <w:rsid w:val="0047055A"/>
    <w:rsid w:val="00474450"/>
    <w:rsid w:val="004873E6"/>
    <w:rsid w:val="004B15B8"/>
    <w:rsid w:val="004B566C"/>
    <w:rsid w:val="004B5E87"/>
    <w:rsid w:val="004B7B48"/>
    <w:rsid w:val="004D4AB1"/>
    <w:rsid w:val="004F218A"/>
    <w:rsid w:val="004F740B"/>
    <w:rsid w:val="0050334E"/>
    <w:rsid w:val="00505387"/>
    <w:rsid w:val="00512DF7"/>
    <w:rsid w:val="005141E7"/>
    <w:rsid w:val="00517E63"/>
    <w:rsid w:val="00526B0D"/>
    <w:rsid w:val="0055346F"/>
    <w:rsid w:val="005579FF"/>
    <w:rsid w:val="005776DD"/>
    <w:rsid w:val="00582117"/>
    <w:rsid w:val="0058478F"/>
    <w:rsid w:val="00593315"/>
    <w:rsid w:val="005A170D"/>
    <w:rsid w:val="005A6C96"/>
    <w:rsid w:val="005D0418"/>
    <w:rsid w:val="005E1D58"/>
    <w:rsid w:val="00610E37"/>
    <w:rsid w:val="006207ED"/>
    <w:rsid w:val="00626BC9"/>
    <w:rsid w:val="006458DF"/>
    <w:rsid w:val="00650D52"/>
    <w:rsid w:val="006615B2"/>
    <w:rsid w:val="00662313"/>
    <w:rsid w:val="00673911"/>
    <w:rsid w:val="006870C9"/>
    <w:rsid w:val="006A3ADF"/>
    <w:rsid w:val="006A7BCB"/>
    <w:rsid w:val="006B4C1E"/>
    <w:rsid w:val="006C090F"/>
    <w:rsid w:val="006C4E32"/>
    <w:rsid w:val="006C56D8"/>
    <w:rsid w:val="006D07AE"/>
    <w:rsid w:val="006D1C93"/>
    <w:rsid w:val="006E3F11"/>
    <w:rsid w:val="00701410"/>
    <w:rsid w:val="007113A1"/>
    <w:rsid w:val="00721CF6"/>
    <w:rsid w:val="00723E46"/>
    <w:rsid w:val="0072714C"/>
    <w:rsid w:val="00733826"/>
    <w:rsid w:val="00766CFB"/>
    <w:rsid w:val="007816FF"/>
    <w:rsid w:val="00783B44"/>
    <w:rsid w:val="00785028"/>
    <w:rsid w:val="007A3A5A"/>
    <w:rsid w:val="007A4370"/>
    <w:rsid w:val="007E1D15"/>
    <w:rsid w:val="007E1DEA"/>
    <w:rsid w:val="007E2202"/>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B617C"/>
    <w:rsid w:val="008C1698"/>
    <w:rsid w:val="008C1A3D"/>
    <w:rsid w:val="008D01C3"/>
    <w:rsid w:val="008D1E13"/>
    <w:rsid w:val="008D6549"/>
    <w:rsid w:val="008D70D2"/>
    <w:rsid w:val="00900AE8"/>
    <w:rsid w:val="00900DAD"/>
    <w:rsid w:val="0091408E"/>
    <w:rsid w:val="009378CA"/>
    <w:rsid w:val="0095025E"/>
    <w:rsid w:val="00955C4C"/>
    <w:rsid w:val="00995338"/>
    <w:rsid w:val="00996777"/>
    <w:rsid w:val="009C0BC7"/>
    <w:rsid w:val="009C6592"/>
    <w:rsid w:val="009E209B"/>
    <w:rsid w:val="009F0747"/>
    <w:rsid w:val="00A03514"/>
    <w:rsid w:val="00A17079"/>
    <w:rsid w:val="00A3310C"/>
    <w:rsid w:val="00A448C3"/>
    <w:rsid w:val="00A458D4"/>
    <w:rsid w:val="00A45ABF"/>
    <w:rsid w:val="00A46FB7"/>
    <w:rsid w:val="00A53118"/>
    <w:rsid w:val="00A86AB5"/>
    <w:rsid w:val="00A97226"/>
    <w:rsid w:val="00AA0E64"/>
    <w:rsid w:val="00AA142F"/>
    <w:rsid w:val="00AA53DB"/>
    <w:rsid w:val="00AB239A"/>
    <w:rsid w:val="00AC39FB"/>
    <w:rsid w:val="00AD53C7"/>
    <w:rsid w:val="00AD7ADC"/>
    <w:rsid w:val="00AE08EB"/>
    <w:rsid w:val="00AE70E4"/>
    <w:rsid w:val="00AF3414"/>
    <w:rsid w:val="00B00BBE"/>
    <w:rsid w:val="00B10710"/>
    <w:rsid w:val="00B208FA"/>
    <w:rsid w:val="00B24BF6"/>
    <w:rsid w:val="00B25C12"/>
    <w:rsid w:val="00B2766F"/>
    <w:rsid w:val="00B31ABC"/>
    <w:rsid w:val="00B445ED"/>
    <w:rsid w:val="00B6300F"/>
    <w:rsid w:val="00B70389"/>
    <w:rsid w:val="00B84623"/>
    <w:rsid w:val="00BA51EF"/>
    <w:rsid w:val="00BB66D5"/>
    <w:rsid w:val="00BC7E6E"/>
    <w:rsid w:val="00BE1D1F"/>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61C4C"/>
    <w:rsid w:val="00C74DAF"/>
    <w:rsid w:val="00C80116"/>
    <w:rsid w:val="00C87BFC"/>
    <w:rsid w:val="00CC7A64"/>
    <w:rsid w:val="00CF5E71"/>
    <w:rsid w:val="00CF7FAC"/>
    <w:rsid w:val="00D160C1"/>
    <w:rsid w:val="00D17794"/>
    <w:rsid w:val="00D22398"/>
    <w:rsid w:val="00D35E6C"/>
    <w:rsid w:val="00D436CF"/>
    <w:rsid w:val="00D45B2F"/>
    <w:rsid w:val="00D46E88"/>
    <w:rsid w:val="00D60BD6"/>
    <w:rsid w:val="00D613A9"/>
    <w:rsid w:val="00D70D86"/>
    <w:rsid w:val="00D76BA4"/>
    <w:rsid w:val="00D8021D"/>
    <w:rsid w:val="00D82D10"/>
    <w:rsid w:val="00D86784"/>
    <w:rsid w:val="00D920E6"/>
    <w:rsid w:val="00DA004C"/>
    <w:rsid w:val="00DE2A08"/>
    <w:rsid w:val="00DE2B4D"/>
    <w:rsid w:val="00E00E44"/>
    <w:rsid w:val="00E049A8"/>
    <w:rsid w:val="00E12ECB"/>
    <w:rsid w:val="00E1451F"/>
    <w:rsid w:val="00E15A72"/>
    <w:rsid w:val="00E15E28"/>
    <w:rsid w:val="00E16577"/>
    <w:rsid w:val="00E36051"/>
    <w:rsid w:val="00E544FA"/>
    <w:rsid w:val="00E55E83"/>
    <w:rsid w:val="00E5792E"/>
    <w:rsid w:val="00E6077C"/>
    <w:rsid w:val="00E6618E"/>
    <w:rsid w:val="00E77436"/>
    <w:rsid w:val="00E82C8E"/>
    <w:rsid w:val="00E87CFA"/>
    <w:rsid w:val="00E93D77"/>
    <w:rsid w:val="00E95264"/>
    <w:rsid w:val="00EA2172"/>
    <w:rsid w:val="00EA2DC1"/>
    <w:rsid w:val="00EA7319"/>
    <w:rsid w:val="00EC5571"/>
    <w:rsid w:val="00ED0E8F"/>
    <w:rsid w:val="00EE1504"/>
    <w:rsid w:val="00EE3B5B"/>
    <w:rsid w:val="00EE4CC9"/>
    <w:rsid w:val="00EF4800"/>
    <w:rsid w:val="00EF674A"/>
    <w:rsid w:val="00F00A3D"/>
    <w:rsid w:val="00F17CA4"/>
    <w:rsid w:val="00F24DDD"/>
    <w:rsid w:val="00F2770B"/>
    <w:rsid w:val="00F549A3"/>
    <w:rsid w:val="00F55CBF"/>
    <w:rsid w:val="00F72B10"/>
    <w:rsid w:val="00F77359"/>
    <w:rsid w:val="00F86A73"/>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D671D0"/>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1EF"/>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rsid w:val="00BA51EF"/>
  </w:style>
  <w:style w:type="paragraph" w:customStyle="1" w:styleId="B2">
    <w:name w:val="B2"/>
    <w:basedOn w:val="List2"/>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45078267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39106429">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5819751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95951812">
      <w:bodyDiv w:val="1"/>
      <w:marLeft w:val="0"/>
      <w:marRight w:val="0"/>
      <w:marTop w:val="0"/>
      <w:marBottom w:val="0"/>
      <w:divBdr>
        <w:top w:val="none" w:sz="0" w:space="0" w:color="auto"/>
        <w:left w:val="none" w:sz="0" w:space="0" w:color="auto"/>
        <w:bottom w:val="none" w:sz="0" w:space="0" w:color="auto"/>
        <w:right w:val="none" w:sz="0" w:space="0" w:color="auto"/>
      </w:divBdr>
    </w:div>
    <w:div w:id="1818305444">
      <w:bodyDiv w:val="1"/>
      <w:marLeft w:val="0"/>
      <w:marRight w:val="0"/>
      <w:marTop w:val="0"/>
      <w:marBottom w:val="0"/>
      <w:divBdr>
        <w:top w:val="none" w:sz="0" w:space="0" w:color="auto"/>
        <w:left w:val="none" w:sz="0" w:space="0" w:color="auto"/>
        <w:bottom w:val="none" w:sz="0" w:space="0" w:color="auto"/>
        <w:right w:val="none" w:sz="0" w:space="0" w:color="auto"/>
      </w:divBdr>
    </w:div>
    <w:div w:id="1838111233">
      <w:bodyDiv w:val="1"/>
      <w:marLeft w:val="0"/>
      <w:marRight w:val="0"/>
      <w:marTop w:val="0"/>
      <w:marBottom w:val="0"/>
      <w:divBdr>
        <w:top w:val="none" w:sz="0" w:space="0" w:color="auto"/>
        <w:left w:val="none" w:sz="0" w:space="0" w:color="auto"/>
        <w:bottom w:val="none" w:sz="0" w:space="0" w:color="auto"/>
        <w:right w:val="none" w:sz="0" w:space="0" w:color="auto"/>
      </w:divBdr>
    </w:div>
    <w:div w:id="187403255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bertor@qti.qualcomm.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oland.Beutler@swr.d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FC21B95FDDC14EA5A0590F935619D0" ma:contentTypeVersion="6" ma:contentTypeDescription="Create a new document." ma:contentTypeScope="" ma:versionID="e5105d897705303ea7c5c7c18b849401">
  <xsd:schema xmlns:xsd="http://www.w3.org/2001/XMLSchema" xmlns:xs="http://www.w3.org/2001/XMLSchema" xmlns:p="http://schemas.microsoft.com/office/2006/metadata/properties" xmlns:ns2="59341b7b-2ed7-44dc-8679-71dde30480b1" xmlns:ns3="941e23cb-dad9-498e-b38f-7f09bac0cd70" targetNamespace="http://schemas.microsoft.com/office/2006/metadata/properties" ma:root="true" ma:fieldsID="1636029c9368a50d893b60b9fd7f1185" ns2:_="" ns3:_="">
    <xsd:import namespace="59341b7b-2ed7-44dc-8679-71dde30480b1"/>
    <xsd:import namespace="941e23cb-dad9-498e-b38f-7f09bac0cd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41b7b-2ed7-44dc-8679-71dde3048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1e23cb-dad9-498e-b38f-7f09bac0cd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55DE5-F029-42FB-BC2A-29D5BE1993B3}">
  <ds:schemaRefs>
    <ds:schemaRef ds:uri="http://schemas.microsoft.com/sharepoint/v3/contenttype/forms"/>
  </ds:schemaRefs>
</ds:datastoreItem>
</file>

<file path=customXml/itemProps2.xml><?xml version="1.0" encoding="utf-8"?>
<ds:datastoreItem xmlns:ds="http://schemas.openxmlformats.org/officeDocument/2006/customXml" ds:itemID="{44E418DA-4AA4-46E6-B15A-471897C01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41b7b-2ed7-44dc-8679-71dde30480b1"/>
    <ds:schemaRef ds:uri="941e23cb-dad9-498e-b38f-7f09bac0c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A0E1D-96A1-4846-AE15-91A1188A3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899</Words>
  <Characters>5128</Characters>
  <Application>Microsoft Office Word</Application>
  <DocSecurity>0</DocSecurity>
  <Lines>42</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6015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Qualcomm1</cp:lastModifiedBy>
  <cp:revision>3</cp:revision>
  <dcterms:created xsi:type="dcterms:W3CDTF">2021-09-03T00:45:00Z</dcterms:created>
  <dcterms:modified xsi:type="dcterms:W3CDTF">2021-09-03T00:48:00Z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0x01010054FC21B95FDDC14EA5A0590F935619D0</vt:lpwstr>
  </property>
</Properties>
</file>