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06146" w14:textId="73253B5C" w:rsidR="00DE0571" w:rsidRDefault="00DE0571" w:rsidP="00DE0571">
      <w:pPr>
        <w:snapToGrid w:val="0"/>
        <w:spacing w:after="120" w:line="288" w:lineRule="auto"/>
        <w:jc w:val="both"/>
      </w:pPr>
      <w:r>
        <w:t>Companies please share their inputs on the excel spreadsheet in ‘</w:t>
      </w:r>
      <w:r w:rsidRPr="00F843D2">
        <w:t>/tsg_ran/WG1_RL1/TSGR1_106-e/Inbox/drafts/8.1</w:t>
      </w:r>
      <w:r>
        <w:t>2</w:t>
      </w:r>
      <w:r w:rsidRPr="00F843D2">
        <w:t>.</w:t>
      </w:r>
      <w:r w:rsidR="00F14965">
        <w:t>2</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6DAFA77A"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Pr>
          <w:rFonts w:ascii="Times New Roman" w:eastAsia="等线 Light" w:hAnsi="Times New Roman"/>
          <w:sz w:val="28"/>
          <w:szCs w:val="26"/>
          <w:lang w:val="en-US" w:eastAsia="ko-KR"/>
        </w:rPr>
        <w:t>Inputs on version</w:t>
      </w:r>
      <w:r w:rsidR="00CB7F43">
        <w:rPr>
          <w:rFonts w:ascii="Times New Roman" w:eastAsia="等线 Light" w:hAnsi="Times New Roman"/>
          <w:sz w:val="28"/>
          <w:szCs w:val="26"/>
          <w:lang w:val="en-US" w:eastAsia="ko-KR"/>
        </w:rPr>
        <w:t>-</w:t>
      </w:r>
      <w:r>
        <w:rPr>
          <w:rFonts w:ascii="Times New Roman" w:eastAsia="等线 Light" w:hAnsi="Times New Roman"/>
          <w:sz w:val="28"/>
          <w:szCs w:val="26"/>
          <w:lang w:val="en-US" w:eastAsia="ko-KR"/>
        </w:rPr>
        <w:t>00</w:t>
      </w:r>
      <w:r w:rsidR="00330369">
        <w:rPr>
          <w:rFonts w:ascii="Times New Roman" w:eastAsia="等线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1C4A26">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1C4A26">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3E2EACB3" w:rsidR="004900DB" w:rsidRPr="00BA3EA3" w:rsidRDefault="00B356EF" w:rsidP="001C4A26">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4F41803E" w14:textId="77777777" w:rsidR="001D1549" w:rsidRDefault="001D1549" w:rsidP="001C4A26">
            <w:pPr>
              <w:jc w:val="left"/>
              <w:rPr>
                <w:bCs/>
                <w:lang w:eastAsia="zh-CN"/>
              </w:rPr>
            </w:pPr>
            <w:r>
              <w:rPr>
                <w:bCs/>
                <w:lang w:eastAsia="zh-CN"/>
              </w:rPr>
              <w:t xml:space="preserve">For </w:t>
            </w:r>
            <w:r w:rsidRPr="001D1549">
              <w:rPr>
                <w:bCs/>
                <w:lang w:eastAsia="zh-CN"/>
              </w:rPr>
              <w:t>pucch-ConfigurationList-Multicast</w:t>
            </w:r>
          </w:p>
          <w:p w14:paraId="51CFF0EE" w14:textId="7A0A2E4F" w:rsidR="001D1549" w:rsidRDefault="001D1549" w:rsidP="001D1549">
            <w:pPr>
              <w:ind w:left="288"/>
              <w:jc w:val="left"/>
              <w:rPr>
                <w:bCs/>
                <w:lang w:eastAsia="zh-CN"/>
              </w:rPr>
            </w:pPr>
            <w:r>
              <w:rPr>
                <w:bCs/>
                <w:lang w:eastAsia="zh-CN"/>
              </w:rPr>
              <w:t xml:space="preserve">Is it </w:t>
            </w:r>
            <w:r w:rsidR="00D16696">
              <w:rPr>
                <w:bCs/>
                <w:lang w:eastAsia="zh-CN"/>
              </w:rPr>
              <w:t>common</w:t>
            </w:r>
            <w:r>
              <w:rPr>
                <w:bCs/>
                <w:lang w:eastAsia="zh-CN"/>
              </w:rPr>
              <w:t xml:space="preserve"> by ACK/NACK-based and NACK-only-based multicast feedback?</w:t>
            </w:r>
          </w:p>
          <w:p w14:paraId="0676FF38" w14:textId="2685BB2F" w:rsidR="001D1549" w:rsidRDefault="001D1549" w:rsidP="001D1549">
            <w:pPr>
              <w:ind w:left="288"/>
              <w:jc w:val="left"/>
              <w:rPr>
                <w:bCs/>
                <w:lang w:eastAsia="zh-CN"/>
              </w:rPr>
            </w:pPr>
            <w:r>
              <w:rPr>
                <w:bCs/>
                <w:lang w:eastAsia="zh-CN"/>
              </w:rPr>
              <w:t xml:space="preserve">Based on the following agreement, we support separate </w:t>
            </w:r>
            <w:r w:rsidRPr="0048049A">
              <w:rPr>
                <w:i/>
              </w:rPr>
              <w:t xml:space="preserve">PUCCH-ConfigurationList </w:t>
            </w:r>
            <w:r>
              <w:rPr>
                <w:bCs/>
                <w:lang w:eastAsia="zh-CN"/>
              </w:rPr>
              <w:t>for ACK/NACK-based and NACK-only-based multicast feedback.</w:t>
            </w:r>
          </w:p>
          <w:p w14:paraId="0EB5B53B" w14:textId="77777777" w:rsidR="001D1549" w:rsidRDefault="001D1549" w:rsidP="001D1549">
            <w:pPr>
              <w:ind w:left="288"/>
              <w:rPr>
                <w:lang w:eastAsia="x-none"/>
              </w:rPr>
            </w:pPr>
            <w:r w:rsidRPr="00D77E17">
              <w:rPr>
                <w:highlight w:val="green"/>
                <w:lang w:eastAsia="x-none"/>
              </w:rPr>
              <w:t>Agreement:</w:t>
            </w:r>
          </w:p>
          <w:p w14:paraId="6BF64217" w14:textId="77777777" w:rsidR="001D1549" w:rsidRPr="0048049A" w:rsidRDefault="001D1549" w:rsidP="001D1549">
            <w:pPr>
              <w:ind w:left="288"/>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61526C42" w14:textId="77777777" w:rsidR="001D1549" w:rsidRPr="0048049A" w:rsidRDefault="001D1549" w:rsidP="001D1549">
            <w:pPr>
              <w:numPr>
                <w:ilvl w:val="1"/>
                <w:numId w:val="74"/>
              </w:numPr>
              <w:overflowPunct/>
              <w:autoSpaceDE/>
              <w:autoSpaceDN/>
              <w:adjustRightInd/>
              <w:ind w:left="1128"/>
              <w:contextualSpacing/>
              <w:textAlignment w:val="auto"/>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B66B835" w14:textId="320FFC37" w:rsidR="001D1549" w:rsidRDefault="001D1549" w:rsidP="001D1549">
            <w:pPr>
              <w:ind w:left="576"/>
              <w:jc w:val="left"/>
              <w:rPr>
                <w:bCs/>
                <w:lang w:eastAsia="zh-CN"/>
              </w:rPr>
            </w:pPr>
            <w:r w:rsidRPr="0048049A">
              <w:t xml:space="preserve">FFS: how to handle the case when separate </w:t>
            </w:r>
            <w:r w:rsidRPr="00712417">
              <w:rPr>
                <w:i/>
              </w:rPr>
              <w:t>PUCCH-ConfigurationList</w:t>
            </w:r>
            <w:r w:rsidRPr="0048049A">
              <w:t xml:space="preserve"> is not configured to UE for NACK-only based HARQ-ACK feedback for multicast.</w:t>
            </w:r>
          </w:p>
          <w:p w14:paraId="3C6D6C5A" w14:textId="1EE1A6FD" w:rsidR="004900DB" w:rsidRDefault="00B356EF" w:rsidP="001C4A26">
            <w:pPr>
              <w:jc w:val="left"/>
              <w:rPr>
                <w:bCs/>
                <w:lang w:eastAsia="zh-CN"/>
              </w:rPr>
            </w:pPr>
            <w:r>
              <w:rPr>
                <w:bCs/>
                <w:lang w:eastAsia="zh-CN"/>
              </w:rPr>
              <w:t xml:space="preserve">For </w:t>
            </w:r>
            <w:r w:rsidRPr="00B356EF">
              <w:rPr>
                <w:bCs/>
                <w:lang w:eastAsia="zh-CN"/>
              </w:rPr>
              <w:t>harq-FeedbackEnabler-Multicast</w:t>
            </w:r>
          </w:p>
          <w:p w14:paraId="531AB288" w14:textId="197E80D3" w:rsidR="001D1549" w:rsidRDefault="00BE3C92" w:rsidP="001D1549">
            <w:pPr>
              <w:ind w:left="288"/>
              <w:rPr>
                <w:bCs/>
                <w:lang w:eastAsia="zh-CN"/>
              </w:rPr>
            </w:pPr>
            <w:r>
              <w:rPr>
                <w:bCs/>
                <w:lang w:eastAsia="zh-CN"/>
              </w:rPr>
              <w:t>A parameter for RRC-configured enabling/disabling</w:t>
            </w:r>
            <w:r w:rsidR="00D16696">
              <w:rPr>
                <w:bCs/>
                <w:lang w:eastAsia="zh-CN"/>
              </w:rPr>
              <w:t xml:space="preserve"> (if no function of GC-DCI GC-DCI enabling/disabling is configured)</w:t>
            </w:r>
            <w:r>
              <w:rPr>
                <w:bCs/>
                <w:lang w:eastAsia="zh-CN"/>
              </w:rPr>
              <w:t xml:space="preserve"> is missing. </w:t>
            </w:r>
          </w:p>
          <w:p w14:paraId="629105B5" w14:textId="2133A8DE" w:rsidR="00B356EF" w:rsidRPr="001D1549" w:rsidRDefault="00BE3C92" w:rsidP="001D1549">
            <w:pPr>
              <w:ind w:left="288"/>
              <w:rPr>
                <w:bCs/>
                <w:lang w:eastAsia="zh-CN"/>
              </w:rPr>
            </w:pPr>
            <w:r>
              <w:rPr>
                <w:bCs/>
                <w:lang w:eastAsia="zh-CN"/>
              </w:rPr>
              <w:t>For the function</w:t>
            </w:r>
            <w:r w:rsidR="001D1549">
              <w:rPr>
                <w:bCs/>
                <w:lang w:eastAsia="zh-CN"/>
              </w:rPr>
              <w:t xml:space="preserve"> </w:t>
            </w:r>
            <w:r>
              <w:rPr>
                <w:bCs/>
                <w:lang w:eastAsia="zh-CN"/>
              </w:rPr>
              <w:t>of GC-DCI enabling/disabling, RAN1 has not</w:t>
            </w:r>
            <w:r w:rsidR="001D1549">
              <w:rPr>
                <w:bCs/>
                <w:lang w:eastAsia="zh-CN"/>
              </w:rPr>
              <w:t xml:space="preserve"> decided whether to</w:t>
            </w:r>
            <w:r w:rsidR="00B356EF" w:rsidRPr="001D1549">
              <w:rPr>
                <w:bCs/>
                <w:lang w:eastAsia="zh-CN"/>
              </w:rPr>
              <w:t xml:space="preserve"> configure it per G-RNTI yet. </w:t>
            </w:r>
            <w:r>
              <w:rPr>
                <w:bCs/>
                <w:lang w:eastAsia="zh-CN"/>
              </w:rPr>
              <w:t>It should be FFS for now</w:t>
            </w:r>
            <w:r w:rsidR="00B356EF" w:rsidRPr="001D1549">
              <w:rPr>
                <w:bCs/>
                <w:lang w:eastAsia="zh-CN"/>
              </w:rPr>
              <w:t>.</w:t>
            </w:r>
          </w:p>
          <w:p w14:paraId="5328FE68" w14:textId="2ABB70C7" w:rsidR="001D1549" w:rsidRDefault="001D1549" w:rsidP="001D1549">
            <w:pPr>
              <w:rPr>
                <w:bCs/>
                <w:lang w:eastAsia="zh-CN"/>
              </w:rPr>
            </w:pPr>
            <w:r w:rsidRPr="00E25853">
              <w:rPr>
                <w:bCs/>
                <w:highlight w:val="cyan"/>
                <w:lang w:eastAsia="zh-CN"/>
              </w:rPr>
              <w:t>For pdsch-HARQ-ACK-CodebookList-Multicast and pdsch-HARQ-ACK-Codebook-Multicast:</w:t>
            </w:r>
          </w:p>
          <w:p w14:paraId="73E2596F" w14:textId="07E64803" w:rsidR="001D1549" w:rsidRDefault="001D1549" w:rsidP="001D1549">
            <w:pPr>
              <w:ind w:left="288"/>
              <w:rPr>
                <w:bCs/>
                <w:lang w:eastAsia="zh-CN"/>
              </w:rPr>
            </w:pPr>
            <w:r>
              <w:rPr>
                <w:bCs/>
                <w:lang w:eastAsia="zh-CN"/>
              </w:rPr>
              <w:t>The following agreement is missing.</w:t>
            </w:r>
          </w:p>
          <w:p w14:paraId="66B4B924" w14:textId="77777777" w:rsidR="001D1549" w:rsidRDefault="001D1549" w:rsidP="001D1549">
            <w:pPr>
              <w:ind w:left="288"/>
              <w:rPr>
                <w:lang w:eastAsia="x-none"/>
              </w:rPr>
            </w:pPr>
            <w:r w:rsidRPr="00D77E17">
              <w:rPr>
                <w:highlight w:val="green"/>
                <w:lang w:eastAsia="x-none"/>
              </w:rPr>
              <w:t>Agreement:</w:t>
            </w:r>
          </w:p>
          <w:p w14:paraId="3E2F805B" w14:textId="77777777" w:rsidR="001D1549" w:rsidRDefault="001D1549" w:rsidP="001D1549">
            <w:pPr>
              <w:pStyle w:val="3GPPAgreements"/>
              <w:numPr>
                <w:ilvl w:val="0"/>
                <w:numId w:val="0"/>
              </w:numPr>
              <w:spacing w:before="0" w:after="0"/>
              <w:ind w:left="288"/>
              <w:contextualSpacing/>
            </w:pPr>
            <w:r>
              <w:rPr>
                <w:lang w:val="en-GB"/>
              </w:rPr>
              <w:t xml:space="preserve">When </w:t>
            </w:r>
            <w:r>
              <w:t>UE is configured with t</w:t>
            </w:r>
            <w:r w:rsidRPr="004263DB">
              <w:t xml:space="preserve">he </w:t>
            </w:r>
            <w:r w:rsidRPr="000C7D56">
              <w:rPr>
                <w:i/>
              </w:rPr>
              <w:t>pdsch-HARQ-ACK-Codebook/</w:t>
            </w:r>
            <w:r w:rsidRPr="004263DB">
              <w:rPr>
                <w:i/>
              </w:rPr>
              <w:t xml:space="preserve">pdsch-HARQ-ACK-CodebookList </w:t>
            </w:r>
            <w:r w:rsidRPr="004263DB">
              <w:t>for</w:t>
            </w:r>
            <w:r>
              <w:t xml:space="preserve"> </w:t>
            </w:r>
            <w:r w:rsidRPr="00CA6E10">
              <w:t xml:space="preserve">ACK/NACK based feedback for </w:t>
            </w:r>
            <w:r w:rsidRPr="004263DB">
              <w:t>multicast</w:t>
            </w:r>
            <w:r>
              <w:t xml:space="preserve">, </w:t>
            </w:r>
            <w:r w:rsidRPr="0011157C">
              <w:t>it is applied to all G-RNTIs configured to UE</w:t>
            </w:r>
            <w:r>
              <w:t>.</w:t>
            </w:r>
          </w:p>
          <w:p w14:paraId="42E4ECB8" w14:textId="77777777" w:rsidR="001D1549" w:rsidRDefault="00BE3C92" w:rsidP="001D1549">
            <w:pPr>
              <w:rPr>
                <w:bCs/>
                <w:lang w:eastAsia="zh-CN"/>
              </w:rPr>
            </w:pPr>
            <w:r>
              <w:rPr>
                <w:bCs/>
                <w:lang w:eastAsia="zh-CN"/>
              </w:rPr>
              <w:t xml:space="preserve">For </w:t>
            </w:r>
            <w:r w:rsidRPr="00D16696">
              <w:rPr>
                <w:bCs/>
                <w:lang w:eastAsia="zh-CN"/>
              </w:rPr>
              <w:t>pdsch-AggregationFactor-Multicast</w:t>
            </w:r>
          </w:p>
          <w:p w14:paraId="7458A66E" w14:textId="77777777" w:rsidR="00BE3C92" w:rsidRDefault="00BE3C92" w:rsidP="00D07168">
            <w:pPr>
              <w:ind w:left="288"/>
              <w:rPr>
                <w:bCs/>
                <w:lang w:eastAsia="zh-CN"/>
              </w:rPr>
            </w:pPr>
            <w:r>
              <w:rPr>
                <w:bCs/>
                <w:lang w:eastAsia="zh-CN"/>
              </w:rPr>
              <w:t xml:space="preserve">Does it only apply to dynamic GC-PDSCH? Or both dynamic and SPS GC-PDSCH? </w:t>
            </w:r>
            <w:r w:rsidR="00D07168">
              <w:rPr>
                <w:bCs/>
                <w:lang w:eastAsia="zh-CN"/>
              </w:rPr>
              <w:t>Or a separate</w:t>
            </w:r>
            <w:r>
              <w:rPr>
                <w:bCs/>
                <w:lang w:eastAsia="zh-CN"/>
              </w:rPr>
              <w:t xml:space="preserve"> </w:t>
            </w:r>
            <w:r w:rsidRPr="00837492">
              <w:rPr>
                <w:bCs/>
                <w:i/>
                <w:iCs/>
                <w:lang w:eastAsia="zh-CN"/>
              </w:rPr>
              <w:t>pdsch-AggregationFactor-Multicast</w:t>
            </w:r>
            <w:r>
              <w:rPr>
                <w:bCs/>
                <w:lang w:eastAsia="zh-CN"/>
              </w:rPr>
              <w:t xml:space="preserve"> </w:t>
            </w:r>
            <w:r w:rsidR="00D07168">
              <w:rPr>
                <w:bCs/>
                <w:lang w:eastAsia="zh-CN"/>
              </w:rPr>
              <w:t xml:space="preserve">can be configured </w:t>
            </w:r>
            <w:r>
              <w:rPr>
                <w:bCs/>
                <w:lang w:eastAsia="zh-CN"/>
              </w:rPr>
              <w:t xml:space="preserve">in </w:t>
            </w:r>
            <w:r w:rsidR="00D07168">
              <w:rPr>
                <w:bCs/>
                <w:lang w:eastAsia="zh-CN"/>
              </w:rPr>
              <w:t xml:space="preserve">a </w:t>
            </w:r>
            <w:r w:rsidRPr="00837492">
              <w:rPr>
                <w:bCs/>
                <w:i/>
                <w:iCs/>
                <w:lang w:eastAsia="zh-CN"/>
              </w:rPr>
              <w:t>sps-Config-Multicast</w:t>
            </w:r>
            <w:r w:rsidR="00D07168">
              <w:rPr>
                <w:bCs/>
                <w:lang w:eastAsia="zh-CN"/>
              </w:rPr>
              <w:t>?</w:t>
            </w:r>
          </w:p>
          <w:p w14:paraId="6F2192E4" w14:textId="0C726470" w:rsidR="00D07168" w:rsidRDefault="00D07168" w:rsidP="00D07168">
            <w:pPr>
              <w:ind w:left="288"/>
              <w:rPr>
                <w:bCs/>
                <w:lang w:eastAsia="zh-CN"/>
              </w:rPr>
            </w:pPr>
            <w:r>
              <w:rPr>
                <w:bCs/>
                <w:lang w:eastAsia="zh-CN"/>
              </w:rPr>
              <w:t xml:space="preserve">Note that for unicast, separate </w:t>
            </w:r>
            <w:r w:rsidRPr="00837492">
              <w:rPr>
                <w:bCs/>
                <w:i/>
                <w:iCs/>
                <w:lang w:eastAsia="zh-CN"/>
              </w:rPr>
              <w:t>pdsch-AggregationFactor</w:t>
            </w:r>
            <w:r>
              <w:rPr>
                <w:bCs/>
                <w:lang w:eastAsia="zh-CN"/>
              </w:rPr>
              <w:t xml:space="preserve"> can be configured in </w:t>
            </w:r>
            <w:r>
              <w:rPr>
                <w:rFonts w:ascii="Arial" w:hAnsi="Arial" w:cs="Arial"/>
                <w:color w:val="000000"/>
                <w:sz w:val="18"/>
                <w:szCs w:val="18"/>
                <w:lang w:val="en-GB"/>
              </w:rPr>
              <w:t>PDSCH-Config</w:t>
            </w:r>
            <w:r>
              <w:rPr>
                <w:bCs/>
                <w:lang w:eastAsia="zh-CN"/>
              </w:rPr>
              <w:t xml:space="preserve"> and SPS-Config</w:t>
            </w:r>
            <w:r w:rsidR="00837492">
              <w:rPr>
                <w:bCs/>
                <w:lang w:eastAsia="zh-CN"/>
              </w:rPr>
              <w:t>, respectively</w:t>
            </w:r>
            <w:r>
              <w:rPr>
                <w:bCs/>
                <w:lang w:eastAsia="zh-CN"/>
              </w:rPr>
              <w:t xml:space="preserve">. If the one in SPS-Config is absent, it follows </w:t>
            </w:r>
            <w:r w:rsidRPr="00837492">
              <w:rPr>
                <w:bCs/>
                <w:i/>
                <w:iCs/>
                <w:lang w:eastAsia="zh-CN"/>
              </w:rPr>
              <w:t>pdsch-AggregationFactor</w:t>
            </w:r>
            <w:r>
              <w:rPr>
                <w:bCs/>
                <w:lang w:eastAsia="zh-CN"/>
              </w:rPr>
              <w:t xml:space="preserve"> configured in </w:t>
            </w:r>
            <w:r>
              <w:rPr>
                <w:rFonts w:ascii="Arial" w:hAnsi="Arial" w:cs="Arial"/>
                <w:color w:val="000000"/>
                <w:sz w:val="18"/>
                <w:szCs w:val="18"/>
                <w:lang w:val="en-GB"/>
              </w:rPr>
              <w:t xml:space="preserve">PDSCH-Config, as specified </w:t>
            </w:r>
            <w:r w:rsidR="00837492">
              <w:rPr>
                <w:rFonts w:ascii="Arial" w:hAnsi="Arial" w:cs="Arial"/>
                <w:color w:val="000000"/>
                <w:sz w:val="18"/>
                <w:szCs w:val="18"/>
                <w:lang w:val="en-GB"/>
              </w:rPr>
              <w:t>below (</w:t>
            </w:r>
            <w:r>
              <w:rPr>
                <w:rFonts w:ascii="Arial" w:hAnsi="Arial" w:cs="Arial"/>
                <w:color w:val="000000"/>
                <w:sz w:val="18"/>
                <w:szCs w:val="18"/>
                <w:lang w:val="en-GB"/>
              </w:rPr>
              <w:t>in 38.331</w:t>
            </w:r>
            <w:r w:rsidR="00837492">
              <w:rPr>
                <w:rFonts w:ascii="Arial" w:hAnsi="Arial" w:cs="Arial"/>
                <w:color w:val="000000"/>
                <w:sz w:val="18"/>
                <w:szCs w:val="18"/>
                <w:lang w:val="en-GB"/>
              </w:rPr>
              <w:t>)</w:t>
            </w:r>
            <w:r>
              <w:rPr>
                <w:rFonts w:ascii="Arial" w:hAnsi="Arial" w:cs="Arial"/>
                <w:color w:val="000000"/>
                <w:sz w:val="18"/>
                <w:szCs w:val="18"/>
                <w:lang w:val="en-GB"/>
              </w:rPr>
              <w:t>.</w:t>
            </w:r>
          </w:p>
          <w:p w14:paraId="5E71A5E6" w14:textId="77777777" w:rsidR="00D07168" w:rsidRDefault="00D07168" w:rsidP="00423BCD">
            <w:pPr>
              <w:pStyle w:val="tal0"/>
              <w:spacing w:before="0" w:beforeAutospacing="0" w:after="0" w:afterAutospacing="0"/>
              <w:ind w:left="576"/>
              <w:rPr>
                <w:rFonts w:ascii="Arial" w:hAnsi="Arial" w:cs="Arial"/>
                <w:color w:val="000000"/>
                <w:sz w:val="18"/>
                <w:szCs w:val="18"/>
              </w:rPr>
            </w:pPr>
            <w:r>
              <w:rPr>
                <w:rFonts w:ascii="Arial" w:hAnsi="Arial" w:cs="Arial"/>
                <w:b/>
                <w:bCs/>
                <w:i/>
                <w:iCs/>
                <w:color w:val="000000"/>
                <w:sz w:val="18"/>
                <w:szCs w:val="18"/>
                <w:lang w:val="en-GB"/>
              </w:rPr>
              <w:t>pdsch-AggregationFactor</w:t>
            </w:r>
          </w:p>
          <w:p w14:paraId="48F6508E" w14:textId="77777777" w:rsidR="00D07168" w:rsidRDefault="00D07168" w:rsidP="00423BCD">
            <w:pPr>
              <w:pStyle w:val="tal0"/>
              <w:spacing w:before="0" w:beforeAutospacing="0" w:after="0" w:afterAutospacing="0"/>
              <w:ind w:left="576"/>
              <w:rPr>
                <w:rFonts w:ascii="Arial" w:hAnsi="Arial" w:cs="Arial"/>
                <w:color w:val="000000"/>
                <w:sz w:val="18"/>
                <w:szCs w:val="18"/>
              </w:rPr>
            </w:pPr>
            <w:r>
              <w:rPr>
                <w:rFonts w:ascii="Arial" w:hAnsi="Arial" w:cs="Arial"/>
                <w:color w:val="000000"/>
                <w:sz w:val="18"/>
                <w:szCs w:val="18"/>
                <w:lang w:val="en-GB"/>
              </w:rPr>
              <w:t>Number of repetitions for SPS PDSCH (see TS 38.214 [19], clause 5.1.2.1). When the field is absent, the UE applies PDSCH aggregation factor of PDSCH-Config.</w:t>
            </w:r>
          </w:p>
          <w:p w14:paraId="79935862" w14:textId="5B127BBB" w:rsidR="00D07168" w:rsidRPr="001D1549" w:rsidRDefault="00D07168" w:rsidP="00D07168">
            <w:pPr>
              <w:ind w:left="288"/>
              <w:rPr>
                <w:bCs/>
                <w:lang w:eastAsia="zh-CN"/>
              </w:rPr>
            </w:pP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007DB7F9" w:rsidR="004900DB" w:rsidRPr="00BA3EA3" w:rsidRDefault="005774C2" w:rsidP="001C4A26">
            <w:pPr>
              <w:jc w:val="left"/>
              <w:rPr>
                <w:bCs/>
                <w:lang w:eastAsia="zh-CN"/>
              </w:rPr>
            </w:pPr>
            <w:r w:rsidRPr="005774C2">
              <w:rPr>
                <w:rFonts w:hint="eastAsia"/>
                <w:bCs/>
                <w:highlight w:val="yellow"/>
                <w:lang w:eastAsia="zh-CN"/>
              </w:rPr>
              <w:lastRenderedPageBreak/>
              <w:t>F</w:t>
            </w:r>
            <w:r w:rsidRPr="005774C2">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02635AA8" w14:textId="78FBF192" w:rsidR="00F16C04" w:rsidRDefault="00F16C04" w:rsidP="00F16C04">
            <w:pPr>
              <w:jc w:val="left"/>
              <w:rPr>
                <w:bCs/>
                <w:lang w:eastAsia="zh-CN"/>
              </w:rPr>
            </w:pPr>
            <w:r>
              <w:rPr>
                <w:rFonts w:hint="eastAsia"/>
                <w:bCs/>
                <w:lang w:eastAsia="zh-CN"/>
              </w:rPr>
              <w:t>@</w:t>
            </w:r>
            <w:r w:rsidRPr="00F16C04">
              <w:rPr>
                <w:bCs/>
                <w:lang w:eastAsia="zh-CN"/>
              </w:rPr>
              <w:t xml:space="preserve"> Qualcomm</w:t>
            </w:r>
          </w:p>
          <w:p w14:paraId="043AED97" w14:textId="77777777" w:rsidR="004900DB" w:rsidRDefault="005774C2" w:rsidP="00F16C04">
            <w:pPr>
              <w:jc w:val="left"/>
              <w:rPr>
                <w:bCs/>
                <w:lang w:eastAsia="zh-CN"/>
              </w:rPr>
            </w:pPr>
            <w:r>
              <w:rPr>
                <w:rFonts w:hint="eastAsia"/>
                <w:bCs/>
                <w:lang w:eastAsia="zh-CN"/>
              </w:rPr>
              <w:t>T</w:t>
            </w:r>
            <w:r>
              <w:rPr>
                <w:bCs/>
                <w:lang w:eastAsia="zh-CN"/>
              </w:rPr>
              <w:t xml:space="preserve">he agreement/proposal intended to focus on NACK-only and unicast, but now the agreement </w:t>
            </w:r>
            <w:r w:rsidR="00F16C04">
              <w:rPr>
                <w:bCs/>
                <w:lang w:eastAsia="zh-CN"/>
              </w:rPr>
              <w:t xml:space="preserve">states it is for NACK and FFS how to handle the case when the separate one is not configured. Therefore, accordingly I added two rows to address this point. When we later on are clear how to handle the FFS, we can revisit such parameters then. </w:t>
            </w:r>
          </w:p>
          <w:p w14:paraId="4C1609D1" w14:textId="77777777" w:rsidR="00F16C04" w:rsidRDefault="00F16C04" w:rsidP="00F16C04">
            <w:pPr>
              <w:jc w:val="left"/>
              <w:rPr>
                <w:bCs/>
                <w:lang w:eastAsia="zh-CN"/>
              </w:rPr>
            </w:pPr>
            <w:r>
              <w:rPr>
                <w:bCs/>
                <w:lang w:eastAsia="zh-CN"/>
              </w:rPr>
              <w:t>Regarding the comment that a</w:t>
            </w:r>
            <w:r w:rsidRPr="00F16C04">
              <w:rPr>
                <w:bCs/>
                <w:lang w:eastAsia="zh-CN"/>
              </w:rPr>
              <w:t xml:space="preserve"> parameter for RRC-configured enabling/disabling (if no function of GC-DCI GC-DCI enabling/disabling is configured) is missing</w:t>
            </w:r>
            <w:r w:rsidR="0069716B">
              <w:rPr>
                <w:bCs/>
                <w:lang w:eastAsia="zh-CN"/>
              </w:rPr>
              <w:t xml:space="preserve">. Actually it is reflected by “default value”. RRC either configures enable, or “listen to DCI”/dci-enabler, or by default “disabled”. </w:t>
            </w:r>
          </w:p>
          <w:p w14:paraId="429BB2D7" w14:textId="77777777" w:rsidR="0069716B" w:rsidRDefault="0069716B" w:rsidP="0069716B">
            <w:pPr>
              <w:jc w:val="left"/>
              <w:rPr>
                <w:bCs/>
                <w:lang w:eastAsia="zh-CN"/>
              </w:rPr>
            </w:pPr>
            <w:r>
              <w:rPr>
                <w:bCs/>
                <w:lang w:eastAsia="zh-CN"/>
              </w:rPr>
              <w:t xml:space="preserve">The parameters </w:t>
            </w:r>
            <w:r w:rsidRPr="0069716B">
              <w:rPr>
                <w:bCs/>
                <w:i/>
                <w:lang w:eastAsia="zh-CN"/>
              </w:rPr>
              <w:t>pdsch-HARQ-ACK-Codebook/pdsch-HARQ-ACK-</w:t>
            </w:r>
            <w:r w:rsidRPr="0069716B">
              <w:rPr>
                <w:i/>
              </w:rPr>
              <w:t xml:space="preserve"> </w:t>
            </w:r>
            <w:r w:rsidRPr="0069716B">
              <w:rPr>
                <w:bCs/>
                <w:i/>
                <w:lang w:eastAsia="zh-CN"/>
              </w:rPr>
              <w:t>CodebookList</w:t>
            </w:r>
            <w:r>
              <w:rPr>
                <w:bCs/>
                <w:i/>
                <w:lang w:eastAsia="zh-CN"/>
              </w:rPr>
              <w:t xml:space="preserve"> </w:t>
            </w:r>
            <w:r w:rsidRPr="0069716B">
              <w:rPr>
                <w:bCs/>
                <w:lang w:eastAsia="zh-CN"/>
              </w:rPr>
              <w:t>has been</w:t>
            </w:r>
            <w:r>
              <w:rPr>
                <w:bCs/>
                <w:lang w:eastAsia="zh-CN"/>
              </w:rPr>
              <w:t xml:space="preserve"> there in the last two rows. </w:t>
            </w:r>
          </w:p>
          <w:p w14:paraId="1DEDC392" w14:textId="20431AF0" w:rsidR="0069716B" w:rsidRPr="00BA3EA3" w:rsidRDefault="0069716B" w:rsidP="00354ECF">
            <w:pPr>
              <w:jc w:val="left"/>
              <w:rPr>
                <w:bCs/>
                <w:lang w:eastAsia="zh-CN"/>
              </w:rPr>
            </w:pPr>
            <w:r w:rsidRPr="0069716B">
              <w:rPr>
                <w:bCs/>
                <w:i/>
                <w:lang w:eastAsia="zh-CN"/>
              </w:rPr>
              <w:t>pdsch-AggregationFactor-Multicast</w:t>
            </w:r>
            <w:r>
              <w:rPr>
                <w:bCs/>
                <w:lang w:eastAsia="zh-CN"/>
              </w:rPr>
              <w:t xml:space="preserve"> intended to apply to dynamic only because the agreement was made for dynamic only. It should be straightforward to extend </w:t>
            </w:r>
            <w:r w:rsidR="00182C5B">
              <w:rPr>
                <w:bCs/>
                <w:lang w:eastAsia="zh-CN"/>
              </w:rPr>
              <w:t>it to SPS meaning a separate configuration for SPS but strictly we don’t have such an agreement. Even though we all agree to have a separate configuration for SPS</w:t>
            </w:r>
            <w:r w:rsidR="00354ECF">
              <w:rPr>
                <w:bCs/>
                <w:lang w:eastAsia="zh-CN"/>
              </w:rPr>
              <w:t xml:space="preserve"> as is for unicast</w:t>
            </w:r>
            <w:r w:rsidR="00182C5B">
              <w:rPr>
                <w:bCs/>
                <w:lang w:eastAsia="zh-CN"/>
              </w:rPr>
              <w:t xml:space="preserve">, I guess we may not need to spell it </w:t>
            </w:r>
            <w:r w:rsidR="00354ECF">
              <w:rPr>
                <w:bCs/>
                <w:lang w:eastAsia="zh-CN"/>
              </w:rPr>
              <w:t xml:space="preserve">out </w:t>
            </w:r>
            <w:r w:rsidR="00182C5B">
              <w:rPr>
                <w:bCs/>
                <w:lang w:eastAsia="zh-CN"/>
              </w:rPr>
              <w:t>in th</w:t>
            </w:r>
            <w:r w:rsidR="00354ECF">
              <w:rPr>
                <w:bCs/>
                <w:lang w:eastAsia="zh-CN"/>
              </w:rPr>
              <w:t>is</w:t>
            </w:r>
            <w:r w:rsidR="00182C5B">
              <w:rPr>
                <w:bCs/>
                <w:lang w:eastAsia="zh-CN"/>
              </w:rPr>
              <w:t xml:space="preserve"> RRC parameter list because SPS-Config is reused</w:t>
            </w:r>
            <w:r w:rsidR="00354ECF">
              <w:rPr>
                <w:bCs/>
                <w:lang w:eastAsia="zh-CN"/>
              </w:rPr>
              <w:t xml:space="preserve"> for multicast,</w:t>
            </w:r>
            <w:r w:rsidR="00182C5B">
              <w:rPr>
                <w:bCs/>
                <w:lang w:eastAsia="zh-CN"/>
              </w:rPr>
              <w:t xml:space="preserve"> and unicast</w:t>
            </w:r>
            <w:r w:rsidR="00354ECF">
              <w:rPr>
                <w:bCs/>
                <w:lang w:eastAsia="zh-CN"/>
              </w:rPr>
              <w:t xml:space="preserve"> SPS</w:t>
            </w:r>
            <w:r w:rsidR="00182C5B">
              <w:rPr>
                <w:bCs/>
                <w:lang w:eastAsia="zh-CN"/>
              </w:rPr>
              <w:t xml:space="preserve"> and multicast</w:t>
            </w:r>
            <w:r w:rsidR="00354ECF">
              <w:rPr>
                <w:bCs/>
                <w:lang w:eastAsia="zh-CN"/>
              </w:rPr>
              <w:t xml:space="preserve"> SPS</w:t>
            </w:r>
            <w:r w:rsidR="00182C5B">
              <w:rPr>
                <w:bCs/>
                <w:lang w:eastAsia="zh-CN"/>
              </w:rPr>
              <w:t xml:space="preserve"> are configured with different SPS configuration indexes. </w:t>
            </w:r>
            <w:r w:rsidR="00182C5B" w:rsidRPr="00354ECF">
              <w:rPr>
                <w:i/>
              </w:rPr>
              <w:t>pdsch-AggregationFactor</w:t>
            </w:r>
            <w:r w:rsidR="00182C5B">
              <w:t xml:space="preserve"> has been one existing parameter in SPS-Config</w:t>
            </w:r>
            <w:r w:rsidR="00354ECF">
              <w:t xml:space="preserve">. </w:t>
            </w:r>
          </w:p>
        </w:tc>
      </w:tr>
    </w:tbl>
    <w:p w14:paraId="2069E050" w14:textId="77777777" w:rsidR="004900DB" w:rsidRPr="00354ECF"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06B8D46F"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sidR="00330369">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1</w:t>
      </w:r>
    </w:p>
    <w:p w14:paraId="709C6DCD" w14:textId="77777777" w:rsidR="004710EC" w:rsidRDefault="004710EC" w:rsidP="004710EC">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tbl>
      <w:tblPr>
        <w:tblStyle w:val="TableGrid"/>
        <w:tblW w:w="0" w:type="auto"/>
        <w:tblLook w:val="04A0" w:firstRow="1" w:lastRow="0" w:firstColumn="1" w:lastColumn="0" w:noHBand="0" w:noVBand="1"/>
      </w:tblPr>
      <w:tblGrid>
        <w:gridCol w:w="1271"/>
        <w:gridCol w:w="8691"/>
      </w:tblGrid>
      <w:tr w:rsidR="00654E9F" w:rsidRPr="00654E9F" w14:paraId="1F75B1F9" w14:textId="77777777" w:rsidTr="001C4A26">
        <w:tc>
          <w:tcPr>
            <w:tcW w:w="1271" w:type="dxa"/>
            <w:tcBorders>
              <w:top w:val="single" w:sz="4" w:space="0" w:color="auto"/>
              <w:left w:val="single" w:sz="4" w:space="0" w:color="auto"/>
              <w:bottom w:val="single" w:sz="4" w:space="0" w:color="auto"/>
              <w:right w:val="single" w:sz="4" w:space="0" w:color="auto"/>
            </w:tcBorders>
          </w:tcPr>
          <w:p w14:paraId="7E3ECFAA" w14:textId="77777777" w:rsidR="00654E9F" w:rsidRPr="00654E9F" w:rsidRDefault="00654E9F" w:rsidP="00654E9F">
            <w:pPr>
              <w:widowControl w:val="0"/>
              <w:spacing w:before="0" w:after="120" w:line="240" w:lineRule="auto"/>
              <w:rPr>
                <w:rFonts w:eastAsia="Malgun Gothic"/>
                <w:b/>
                <w:lang w:eastAsia="zh-CN"/>
              </w:rPr>
            </w:pPr>
            <w:r w:rsidRPr="00654E9F">
              <w:rPr>
                <w:rFonts w:eastAsia="Malgun Gothic"/>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4AB1BB92" w14:textId="77777777" w:rsidR="00654E9F" w:rsidRPr="00654E9F" w:rsidRDefault="00654E9F" w:rsidP="00654E9F">
            <w:pPr>
              <w:widowControl w:val="0"/>
              <w:spacing w:before="0" w:after="120" w:line="240" w:lineRule="auto"/>
              <w:rPr>
                <w:rFonts w:eastAsia="Malgun Gothic"/>
                <w:b/>
                <w:lang w:eastAsia="zh-CN"/>
              </w:rPr>
            </w:pPr>
            <w:r w:rsidRPr="00654E9F">
              <w:rPr>
                <w:rFonts w:eastAsia="Malgun Gothic"/>
                <w:b/>
                <w:lang w:eastAsia="zh-CN"/>
              </w:rPr>
              <w:t>Input</w:t>
            </w:r>
          </w:p>
        </w:tc>
      </w:tr>
      <w:tr w:rsidR="00C471DB" w:rsidRPr="00654E9F" w14:paraId="4EE1B056" w14:textId="77777777" w:rsidTr="001C4A26">
        <w:tc>
          <w:tcPr>
            <w:tcW w:w="1271" w:type="dxa"/>
            <w:tcBorders>
              <w:top w:val="single" w:sz="4" w:space="0" w:color="auto"/>
              <w:left w:val="single" w:sz="4" w:space="0" w:color="auto"/>
              <w:bottom w:val="single" w:sz="4" w:space="0" w:color="auto"/>
              <w:right w:val="single" w:sz="4" w:space="0" w:color="auto"/>
            </w:tcBorders>
          </w:tcPr>
          <w:p w14:paraId="72376E0D" w14:textId="44BCF032" w:rsidR="00C471DB" w:rsidRPr="00654E9F" w:rsidRDefault="00C471DB" w:rsidP="00C471DB">
            <w:pPr>
              <w:widowControl w:val="0"/>
              <w:spacing w:after="120"/>
              <w:rPr>
                <w:rFonts w:eastAsia="Malgun Gothic"/>
                <w:b/>
                <w:lang w:eastAsia="zh-CN"/>
              </w:rPr>
            </w:pPr>
            <w:r w:rsidRPr="003B21CC">
              <w:rPr>
                <w:bCs/>
                <w:lang w:eastAsia="zh-CN"/>
              </w:rPr>
              <w:t>Apple</w:t>
            </w:r>
          </w:p>
        </w:tc>
        <w:tc>
          <w:tcPr>
            <w:tcW w:w="8691" w:type="dxa"/>
            <w:tcBorders>
              <w:top w:val="single" w:sz="4" w:space="0" w:color="auto"/>
              <w:left w:val="single" w:sz="4" w:space="0" w:color="auto"/>
              <w:bottom w:val="single" w:sz="4" w:space="0" w:color="auto"/>
              <w:right w:val="single" w:sz="4" w:space="0" w:color="auto"/>
            </w:tcBorders>
          </w:tcPr>
          <w:p w14:paraId="1F5781A3" w14:textId="77777777" w:rsidR="00C471DB" w:rsidRDefault="00C471DB" w:rsidP="00C471DB">
            <w:pPr>
              <w:rPr>
                <w:bCs/>
                <w:lang w:eastAsia="zh-CN"/>
              </w:rPr>
            </w:pPr>
            <w:r>
              <w:rPr>
                <w:bCs/>
                <w:lang w:eastAsia="zh-CN"/>
              </w:rPr>
              <w:t xml:space="preserve">For parameter </w:t>
            </w:r>
            <w:r w:rsidRPr="00182446">
              <w:rPr>
                <w:bCs/>
                <w:lang w:eastAsia="zh-CN"/>
              </w:rPr>
              <w:t>sps-PUCCH-AN-List-Multicast</w:t>
            </w:r>
            <w:r>
              <w:rPr>
                <w:bCs/>
                <w:lang w:eastAsia="zh-CN"/>
              </w:rPr>
              <w:t xml:space="preserve">, the corresponding parameter </w:t>
            </w:r>
            <w:r w:rsidRPr="00182446">
              <w:rPr>
                <w:bCs/>
                <w:lang w:eastAsia="zh-CN"/>
              </w:rPr>
              <w:t>sps-PUCCH-AN-Multicast</w:t>
            </w:r>
            <w:r>
              <w:rPr>
                <w:bCs/>
                <w:lang w:eastAsia="zh-CN"/>
              </w:rPr>
              <w:t xml:space="preserve"> is missing. According to below agreements, if separate </w:t>
            </w:r>
            <w:r w:rsidRPr="00182446">
              <w:rPr>
                <w:bCs/>
                <w:lang w:eastAsia="zh-CN"/>
              </w:rPr>
              <w:t>sps-PUCCH-AN-List</w:t>
            </w:r>
            <w:r>
              <w:rPr>
                <w:bCs/>
                <w:lang w:eastAsia="zh-CN"/>
              </w:rPr>
              <w:t xml:space="preserve"> for multicast is configured, the separate </w:t>
            </w:r>
            <w:r w:rsidRPr="00182446">
              <w:rPr>
                <w:bCs/>
                <w:lang w:eastAsia="zh-CN"/>
              </w:rPr>
              <w:t>sps-PUCCH-AN</w:t>
            </w:r>
            <w:r>
              <w:rPr>
                <w:bCs/>
                <w:lang w:eastAsia="zh-CN"/>
              </w:rPr>
              <w:t xml:space="preserve"> for multicast should be configured as well. </w:t>
            </w:r>
          </w:p>
          <w:p w14:paraId="7B150B06" w14:textId="77777777" w:rsidR="00C471DB" w:rsidRPr="00F96985" w:rsidRDefault="00C471DB" w:rsidP="00C471DB">
            <w:pPr>
              <w:rPr>
                <w:rFonts w:cs="Times"/>
                <w:lang w:eastAsia="x-none"/>
              </w:rPr>
            </w:pPr>
            <w:r w:rsidRPr="00F96985">
              <w:rPr>
                <w:rFonts w:cs="Times"/>
                <w:highlight w:val="green"/>
                <w:lang w:eastAsia="x-none"/>
              </w:rPr>
              <w:t>Agreement:</w:t>
            </w:r>
          </w:p>
          <w:p w14:paraId="7154E9F3" w14:textId="77777777" w:rsidR="00C471DB" w:rsidRPr="00F96985" w:rsidRDefault="00C471DB" w:rsidP="00C471DB">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61A00A62" w14:textId="77777777" w:rsidR="00C471DB" w:rsidRPr="00F96985" w:rsidRDefault="00C471DB" w:rsidP="00C471DB">
            <w:pPr>
              <w:numPr>
                <w:ilvl w:val="0"/>
                <w:numId w:val="26"/>
              </w:numPr>
              <w:autoSpaceDE/>
              <w:autoSpaceDN/>
              <w:adjustRightInd/>
              <w:ind w:left="420"/>
              <w:contextualSpacing/>
              <w:textAlignment w:val="auto"/>
              <w:rPr>
                <w:rFonts w:cs="Times"/>
                <w:lang w:eastAsia="zh-CN"/>
              </w:rPr>
            </w:pPr>
            <w:r w:rsidRPr="00F96985">
              <w:rPr>
                <w:rFonts w:cs="Times"/>
                <w:lang w:eastAsia="zh-CN"/>
              </w:rPr>
              <w:t xml:space="preserve">the HARQ-ACK codebook index corresponding the HARQ-ACK codebook for SPS PDSCH is included in the configuration for SPS multicast. </w:t>
            </w:r>
          </w:p>
          <w:p w14:paraId="53BB3C39" w14:textId="77777777" w:rsidR="00C471DB" w:rsidRPr="00F96985" w:rsidRDefault="00C471DB" w:rsidP="00C471DB">
            <w:pPr>
              <w:numPr>
                <w:ilvl w:val="1"/>
                <w:numId w:val="26"/>
              </w:numPr>
              <w:autoSpaceDE/>
              <w:autoSpaceDN/>
              <w:adjustRightInd/>
              <w:ind w:left="840"/>
              <w:contextualSpacing/>
              <w:textAlignment w:val="auto"/>
              <w:rPr>
                <w:rFonts w:cs="Times"/>
                <w:lang w:eastAsia="zh-CN"/>
              </w:rPr>
            </w:pPr>
            <w:r w:rsidRPr="00F96985">
              <w:rPr>
                <w:rFonts w:cs="Times"/>
              </w:rPr>
              <w:t xml:space="preserve">UE determines a priority index from the </w:t>
            </w:r>
            <w:r w:rsidRPr="00F96985">
              <w:rPr>
                <w:rFonts w:eastAsia="Times New Roman" w:cs="Times"/>
                <w:lang w:eastAsia="zh-CN"/>
              </w:rPr>
              <w:t>HARQ-ACK codebook index</w:t>
            </w:r>
          </w:p>
          <w:p w14:paraId="510242C1" w14:textId="77777777" w:rsidR="00C471DB" w:rsidRPr="00BB6693" w:rsidRDefault="00C471DB" w:rsidP="00C471DB">
            <w:pPr>
              <w:numPr>
                <w:ilvl w:val="0"/>
                <w:numId w:val="26"/>
              </w:numPr>
              <w:autoSpaceDE/>
              <w:autoSpaceDN/>
              <w:adjustRightInd/>
              <w:ind w:left="420"/>
              <w:contextualSpacing/>
              <w:textAlignment w:val="auto"/>
              <w:rPr>
                <w:rFonts w:cs="Times"/>
                <w:highlight w:val="yellow"/>
                <w:lang w:eastAsia="zh-CN"/>
              </w:rPr>
            </w:pPr>
            <w:r w:rsidRPr="00BB6693">
              <w:rPr>
                <w:rFonts w:cs="Times"/>
                <w:highlight w:val="yellow"/>
                <w:lang w:eastAsia="zh-CN"/>
              </w:rPr>
              <w:t>UE can be optionally configured a separate SPS-PUCCH-AN-List for all SPS multicast configurations. Otherwise, a common SPS-PUCCH-AN-List applies to all SPS unicast and SPS multicast configurations.</w:t>
            </w:r>
          </w:p>
          <w:p w14:paraId="5385CBA1" w14:textId="77777777" w:rsidR="00C471DB" w:rsidRPr="00654E9F" w:rsidRDefault="00C471DB" w:rsidP="00C471DB">
            <w:pPr>
              <w:widowControl w:val="0"/>
              <w:spacing w:after="120"/>
              <w:rPr>
                <w:rFonts w:eastAsia="Malgun Gothic"/>
                <w:b/>
                <w:lang w:eastAsia="zh-CN"/>
              </w:rPr>
            </w:pPr>
          </w:p>
        </w:tc>
      </w:tr>
      <w:tr w:rsidR="00C471DB" w:rsidRPr="00654E9F" w14:paraId="79E9EB73" w14:textId="77777777" w:rsidTr="001C4A26">
        <w:tc>
          <w:tcPr>
            <w:tcW w:w="1271" w:type="dxa"/>
            <w:tcBorders>
              <w:top w:val="single" w:sz="4" w:space="0" w:color="auto"/>
              <w:left w:val="single" w:sz="4" w:space="0" w:color="auto"/>
              <w:bottom w:val="single" w:sz="4" w:space="0" w:color="auto"/>
              <w:right w:val="single" w:sz="4" w:space="0" w:color="auto"/>
            </w:tcBorders>
          </w:tcPr>
          <w:p w14:paraId="66D2B3A9" w14:textId="6D5724BC" w:rsidR="00C471DB" w:rsidRPr="003B21CC" w:rsidRDefault="00C471DB" w:rsidP="00C471DB">
            <w:pPr>
              <w:widowControl w:val="0"/>
              <w:spacing w:after="120"/>
              <w:rPr>
                <w:bCs/>
                <w:lang w:eastAsia="zh-CN"/>
              </w:rPr>
            </w:pPr>
            <w:r w:rsidRPr="005774C2">
              <w:rPr>
                <w:rFonts w:hint="eastAsia"/>
                <w:bCs/>
                <w:highlight w:val="yellow"/>
                <w:lang w:eastAsia="zh-CN"/>
              </w:rPr>
              <w:t>F</w:t>
            </w:r>
            <w:r w:rsidRPr="005774C2">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3C4338E1" w14:textId="306C0E57" w:rsidR="00C471DB" w:rsidRDefault="00C471DB" w:rsidP="00C471DB">
            <w:pPr>
              <w:rPr>
                <w:bCs/>
                <w:lang w:eastAsia="zh-CN"/>
              </w:rPr>
            </w:pPr>
            <w:r>
              <w:rPr>
                <w:rFonts w:hint="eastAsia"/>
                <w:bCs/>
                <w:lang w:eastAsia="zh-CN"/>
              </w:rPr>
              <w:t>@</w:t>
            </w:r>
            <w:r>
              <w:rPr>
                <w:bCs/>
                <w:lang w:eastAsia="zh-CN"/>
              </w:rPr>
              <w:t xml:space="preserve">Apple, added as Apple suggested. </w:t>
            </w:r>
          </w:p>
        </w:tc>
      </w:tr>
    </w:tbl>
    <w:p w14:paraId="7E569E54" w14:textId="6369AB91" w:rsidR="00A97B83" w:rsidRDefault="00A97B83" w:rsidP="006723CD">
      <w:pPr>
        <w:widowControl w:val="0"/>
        <w:spacing w:after="120"/>
        <w:jc w:val="both"/>
        <w:rPr>
          <w:rFonts w:eastAsiaTheme="minorEastAsia"/>
          <w:lang w:eastAsia="zh-CN"/>
        </w:rPr>
      </w:pPr>
    </w:p>
    <w:p w14:paraId="5626A3C9" w14:textId="3AF70C8A" w:rsidR="00C471DB" w:rsidRDefault="00C471DB" w:rsidP="00C471DB">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C471DB">
        <w:rPr>
          <w:rFonts w:ascii="Times New Roman" w:eastAsia="等线 Light" w:hAnsi="Times New Roman"/>
          <w:sz w:val="28"/>
          <w:szCs w:val="26"/>
          <w:lang w:val="en-US" w:eastAsia="ko-KR"/>
        </w:rPr>
        <w:t>Inputs on version-0</w:t>
      </w:r>
      <w:r w:rsidRPr="00C471DB">
        <w:rPr>
          <w:rFonts w:ascii="Times New Roman" w:eastAsia="等线 Light" w:hAnsi="Times New Roman" w:hint="eastAsia"/>
          <w:sz w:val="28"/>
          <w:szCs w:val="26"/>
          <w:lang w:val="en-US" w:eastAsia="ko-KR"/>
        </w:rPr>
        <w:t>0</w:t>
      </w:r>
      <w:r w:rsidRPr="00C471DB">
        <w:rPr>
          <w:rFonts w:ascii="Times New Roman" w:eastAsia="等线 Light" w:hAnsi="Times New Roman"/>
          <w:sz w:val="28"/>
          <w:szCs w:val="26"/>
          <w:lang w:val="en-US" w:eastAsia="ko-KR"/>
        </w:rPr>
        <w:t>2</w:t>
      </w:r>
    </w:p>
    <w:p w14:paraId="5F10F887" w14:textId="77777777" w:rsidR="00C07190" w:rsidRPr="00C07190" w:rsidRDefault="00C07190" w:rsidP="00C07190">
      <w:pPr>
        <w:rPr>
          <w:rFonts w:eastAsia="Malgun Gothic"/>
          <w:lang w:eastAsia="ko-KR"/>
        </w:rPr>
      </w:pPr>
    </w:p>
    <w:tbl>
      <w:tblPr>
        <w:tblStyle w:val="TableGrid"/>
        <w:tblW w:w="0" w:type="auto"/>
        <w:tblLook w:val="04A0" w:firstRow="1" w:lastRow="0" w:firstColumn="1" w:lastColumn="0" w:noHBand="0" w:noVBand="1"/>
      </w:tblPr>
      <w:tblGrid>
        <w:gridCol w:w="1271"/>
        <w:gridCol w:w="8691"/>
      </w:tblGrid>
      <w:tr w:rsidR="00C07190" w:rsidRPr="00C07190" w14:paraId="4904B324" w14:textId="77777777" w:rsidTr="001C4A26">
        <w:tc>
          <w:tcPr>
            <w:tcW w:w="1271" w:type="dxa"/>
            <w:tcBorders>
              <w:top w:val="single" w:sz="4" w:space="0" w:color="auto"/>
              <w:left w:val="single" w:sz="4" w:space="0" w:color="auto"/>
              <w:bottom w:val="single" w:sz="4" w:space="0" w:color="auto"/>
              <w:right w:val="single" w:sz="4" w:space="0" w:color="auto"/>
            </w:tcBorders>
          </w:tcPr>
          <w:p w14:paraId="53A8A054" w14:textId="77777777" w:rsidR="00C07190" w:rsidRPr="00C07190" w:rsidRDefault="00C07190" w:rsidP="00C07190">
            <w:pPr>
              <w:widowControl w:val="0"/>
              <w:spacing w:before="0" w:after="120" w:line="240" w:lineRule="auto"/>
              <w:rPr>
                <w:rFonts w:eastAsiaTheme="minorEastAsia"/>
                <w:b/>
                <w:lang w:eastAsia="zh-CN"/>
              </w:rPr>
            </w:pPr>
            <w:r w:rsidRPr="00C07190">
              <w:rPr>
                <w:rFonts w:eastAsiaTheme="minorEastAsia"/>
                <w:b/>
                <w:lang w:eastAsia="zh-CN"/>
              </w:rPr>
              <w:lastRenderedPageBreak/>
              <w:t>Company</w:t>
            </w:r>
          </w:p>
        </w:tc>
        <w:tc>
          <w:tcPr>
            <w:tcW w:w="8691" w:type="dxa"/>
            <w:tcBorders>
              <w:top w:val="single" w:sz="4" w:space="0" w:color="auto"/>
              <w:left w:val="single" w:sz="4" w:space="0" w:color="auto"/>
              <w:bottom w:val="single" w:sz="4" w:space="0" w:color="auto"/>
              <w:right w:val="single" w:sz="4" w:space="0" w:color="auto"/>
            </w:tcBorders>
          </w:tcPr>
          <w:p w14:paraId="071B9A8C" w14:textId="77777777" w:rsidR="00C07190" w:rsidRPr="00C07190" w:rsidRDefault="00C07190" w:rsidP="00C07190">
            <w:pPr>
              <w:widowControl w:val="0"/>
              <w:spacing w:before="0" w:after="120" w:line="240" w:lineRule="auto"/>
              <w:rPr>
                <w:rFonts w:eastAsiaTheme="minorEastAsia"/>
                <w:b/>
                <w:lang w:eastAsia="zh-CN"/>
              </w:rPr>
            </w:pPr>
            <w:r w:rsidRPr="00C07190">
              <w:rPr>
                <w:rFonts w:eastAsiaTheme="minorEastAsia"/>
                <w:b/>
                <w:lang w:eastAsia="zh-CN"/>
              </w:rPr>
              <w:t>Input</w:t>
            </w:r>
          </w:p>
        </w:tc>
      </w:tr>
      <w:tr w:rsidR="00C07190" w:rsidRPr="00C07190" w14:paraId="7A297046" w14:textId="77777777" w:rsidTr="001C4A26">
        <w:tc>
          <w:tcPr>
            <w:tcW w:w="1271" w:type="dxa"/>
            <w:tcBorders>
              <w:top w:val="single" w:sz="4" w:space="0" w:color="auto"/>
              <w:left w:val="single" w:sz="4" w:space="0" w:color="auto"/>
              <w:bottom w:val="single" w:sz="4" w:space="0" w:color="auto"/>
              <w:right w:val="single" w:sz="4" w:space="0" w:color="auto"/>
            </w:tcBorders>
          </w:tcPr>
          <w:p w14:paraId="0C9B6699" w14:textId="5C6809CF" w:rsidR="00C07190" w:rsidRPr="00225369" w:rsidRDefault="00225369" w:rsidP="00C07190">
            <w:pPr>
              <w:widowControl w:val="0"/>
              <w:spacing w:after="120"/>
              <w:rPr>
                <w:rFonts w:eastAsiaTheme="minorEastAsia"/>
                <w:lang w:eastAsia="zh-CN"/>
              </w:rPr>
            </w:pPr>
            <w:r w:rsidRPr="00225369">
              <w:rPr>
                <w:rFonts w:eastAsiaTheme="minorEastAsia" w:hint="eastAsia"/>
                <w:lang w:eastAsia="zh-CN"/>
              </w:rPr>
              <w:t>Z</w:t>
            </w:r>
            <w:r w:rsidRPr="00225369">
              <w:rPr>
                <w:rFonts w:eastAsiaTheme="minorEastAsia"/>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1D0A7AFB" w14:textId="00917DE8" w:rsidR="00225369" w:rsidRPr="00225369" w:rsidRDefault="00225369" w:rsidP="00225369">
            <w:pPr>
              <w:widowControl w:val="0"/>
              <w:spacing w:after="120"/>
              <w:rPr>
                <w:rFonts w:eastAsiaTheme="minorEastAsia"/>
                <w:lang w:eastAsia="zh-CN"/>
              </w:rPr>
            </w:pPr>
            <w:r w:rsidRPr="00225369">
              <w:rPr>
                <w:rFonts w:eastAsiaTheme="minorEastAsia" w:hint="eastAsia"/>
                <w:lang w:eastAsia="zh-CN"/>
              </w:rPr>
              <w:t>R</w:t>
            </w:r>
            <w:r w:rsidRPr="00225369">
              <w:rPr>
                <w:rFonts w:eastAsiaTheme="minorEastAsia"/>
                <w:lang w:eastAsia="zh-CN"/>
              </w:rPr>
              <w:t xml:space="preserve">egarding harq-FeedbackEnabler-Multicast, the current value range is {dci-enabler, enabled}. However, based on the yellow highlighted parts in previous agreements, it seems we need to update the value range to “{ dci-enabler, enabled, </w:t>
            </w:r>
            <w:r w:rsidRPr="00225369">
              <w:rPr>
                <w:rFonts w:eastAsiaTheme="minorEastAsia"/>
                <w:color w:val="FF0000"/>
                <w:u w:val="single"/>
                <w:lang w:eastAsia="zh-CN"/>
              </w:rPr>
              <w:t>disable</w:t>
            </w:r>
            <w:r w:rsidRPr="00225369">
              <w:rPr>
                <w:rFonts w:eastAsiaTheme="minorEastAsia"/>
                <w:lang w:eastAsia="zh-CN"/>
              </w:rPr>
              <w:t>}”</w:t>
            </w:r>
          </w:p>
          <w:p w14:paraId="361C9EC4" w14:textId="77777777" w:rsidR="00225369" w:rsidRPr="00225369" w:rsidRDefault="00225369" w:rsidP="00225369">
            <w:pPr>
              <w:widowControl w:val="0"/>
              <w:spacing w:after="120"/>
              <w:rPr>
                <w:rFonts w:eastAsiaTheme="minorEastAsia"/>
                <w:lang w:eastAsia="zh-CN"/>
              </w:rPr>
            </w:pPr>
          </w:p>
          <w:p w14:paraId="466B21A1" w14:textId="77777777" w:rsidR="00225369" w:rsidRPr="00225369" w:rsidRDefault="00225369" w:rsidP="00225369">
            <w:pPr>
              <w:rPr>
                <w:lang w:eastAsia="x-none"/>
              </w:rPr>
            </w:pPr>
            <w:r w:rsidRPr="00225369">
              <w:rPr>
                <w:highlight w:val="green"/>
                <w:lang w:eastAsia="x-none"/>
              </w:rPr>
              <w:t>Agreement:</w:t>
            </w:r>
          </w:p>
          <w:p w14:paraId="16F5FF59" w14:textId="77777777" w:rsidR="00225369" w:rsidRPr="00225369" w:rsidRDefault="00225369" w:rsidP="00225369">
            <w:pPr>
              <w:rPr>
                <w:lang w:eastAsia="zh-CN"/>
              </w:rPr>
            </w:pPr>
            <w:r w:rsidRPr="00225369">
              <w:rPr>
                <w:lang w:eastAsia="zh-CN"/>
              </w:rPr>
              <w:t>Update the WA made in RAN1#105-e meeting regarding enabling/disabling HARQ-ACK feedback as follows:</w:t>
            </w:r>
          </w:p>
          <w:p w14:paraId="7651B559" w14:textId="77777777" w:rsidR="00225369" w:rsidRPr="00225369" w:rsidRDefault="00225369" w:rsidP="00225369">
            <w:pPr>
              <w:contextualSpacing/>
              <w:rPr>
                <w:iCs/>
                <w:lang w:eastAsia="x-none"/>
              </w:rPr>
            </w:pPr>
            <w:r w:rsidRPr="00225369">
              <w:rPr>
                <w:iCs/>
                <w:highlight w:val="darkYellow"/>
                <w:lang w:eastAsia="x-none"/>
              </w:rPr>
              <w:t>Working assumption:</w:t>
            </w:r>
          </w:p>
          <w:p w14:paraId="37A70421" w14:textId="77777777" w:rsidR="00225369" w:rsidRPr="00225369" w:rsidRDefault="00225369" w:rsidP="00225369">
            <w:pPr>
              <w:contextualSpacing/>
              <w:rPr>
                <w:iCs/>
                <w:lang w:eastAsia="zh-CN"/>
              </w:rPr>
            </w:pPr>
            <w:r w:rsidRPr="00225369">
              <w:rPr>
                <w:iCs/>
              </w:rPr>
              <w:t>For enabling/disabling ACK/NACK-based HARQ-ACK feedback for RRC_CONNECTED UE receiving multicast via dynamic group-common PDSCH:</w:t>
            </w:r>
          </w:p>
          <w:p w14:paraId="1D5635F0" w14:textId="77777777" w:rsidR="00225369" w:rsidRPr="00225369" w:rsidRDefault="00225369" w:rsidP="00225369">
            <w:pPr>
              <w:numPr>
                <w:ilvl w:val="0"/>
                <w:numId w:val="26"/>
              </w:numPr>
              <w:adjustRightInd/>
              <w:contextualSpacing/>
              <w:textAlignment w:val="auto"/>
              <w:rPr>
                <w:iCs/>
                <w:lang w:eastAsia="zh-CN"/>
              </w:rPr>
            </w:pPr>
            <w:r w:rsidRPr="00225369">
              <w:rPr>
                <w:iCs/>
                <w:lang w:eastAsia="zh-CN"/>
              </w:rPr>
              <w:t>RRC signaling configures the enabling/ disabling function of group-common DCI indicating the enabling /disabling ACK/NACK based HARQ-ACK feedback.</w:t>
            </w:r>
          </w:p>
          <w:p w14:paraId="0F600AC3" w14:textId="77777777" w:rsidR="00225369" w:rsidRPr="00225369" w:rsidRDefault="00225369" w:rsidP="00225369">
            <w:pPr>
              <w:numPr>
                <w:ilvl w:val="1"/>
                <w:numId w:val="79"/>
              </w:numPr>
              <w:adjustRightInd/>
              <w:contextualSpacing/>
              <w:textAlignment w:val="auto"/>
              <w:rPr>
                <w:iCs/>
              </w:rPr>
            </w:pPr>
            <w:r w:rsidRPr="00225369">
              <w:rPr>
                <w:iCs/>
              </w:rPr>
              <w:t xml:space="preserve">If RRC signaling configures the function of group-common DCI based indication, group-common DCI indicates (explicitly or implicitly) whether ACK/NACK based HARQ-ACK feedback is enabled/disabled </w:t>
            </w:r>
          </w:p>
          <w:p w14:paraId="728994C2" w14:textId="77777777" w:rsidR="00225369" w:rsidRPr="00225369" w:rsidRDefault="00225369" w:rsidP="00225369">
            <w:pPr>
              <w:numPr>
                <w:ilvl w:val="1"/>
                <w:numId w:val="79"/>
              </w:numPr>
              <w:adjustRightInd/>
              <w:contextualSpacing/>
              <w:textAlignment w:val="auto"/>
              <w:rPr>
                <w:iCs/>
                <w:highlight w:val="yellow"/>
                <w:lang w:eastAsia="ja-JP"/>
              </w:rPr>
            </w:pPr>
            <w:r w:rsidRPr="00225369">
              <w:rPr>
                <w:iCs/>
                <w:highlight w:val="yellow"/>
                <w:lang w:eastAsia="ja-JP"/>
              </w:rPr>
              <w:t>Otherwise</w:t>
            </w:r>
            <w:r w:rsidRPr="00225369">
              <w:rPr>
                <w:iCs/>
                <w:highlight w:val="yellow"/>
              </w:rPr>
              <w:t xml:space="preserve">, enabling/disabling ACK/NACK based HARQ-ACK feedback is configured by RRC signaling. </w:t>
            </w:r>
          </w:p>
          <w:p w14:paraId="231CBFFA" w14:textId="77777777" w:rsidR="00225369" w:rsidRPr="00225369" w:rsidRDefault="00225369" w:rsidP="00225369">
            <w:pPr>
              <w:numPr>
                <w:ilvl w:val="1"/>
                <w:numId w:val="79"/>
              </w:numPr>
              <w:adjustRightInd/>
              <w:contextualSpacing/>
              <w:textAlignment w:val="auto"/>
              <w:rPr>
                <w:iCs/>
                <w:lang w:eastAsia="ja-JP"/>
              </w:rPr>
            </w:pPr>
            <w:r w:rsidRPr="00225369">
              <w:rPr>
                <w:iCs/>
                <w:lang w:eastAsia="ja-JP"/>
              </w:rPr>
              <w:t xml:space="preserve">FFS details on RRC signaling and group-common DCI indicating. </w:t>
            </w:r>
          </w:p>
          <w:p w14:paraId="20FDAA12" w14:textId="77777777" w:rsidR="00225369" w:rsidRPr="00225369" w:rsidRDefault="00225369" w:rsidP="00225369">
            <w:pPr>
              <w:numPr>
                <w:ilvl w:val="0"/>
                <w:numId w:val="26"/>
              </w:numPr>
              <w:adjustRightInd/>
              <w:contextualSpacing/>
              <w:textAlignment w:val="auto"/>
              <w:rPr>
                <w:iCs/>
                <w:lang w:eastAsia="zh-CN"/>
              </w:rPr>
            </w:pPr>
            <w:r w:rsidRPr="00225369">
              <w:rPr>
                <w:iCs/>
                <w:lang w:eastAsia="zh-CN"/>
              </w:rPr>
              <w:t xml:space="preserve">FFS whether/how this option is extended to apply to NACK-only based feedback and multiple G-RNTI cases. </w:t>
            </w:r>
          </w:p>
          <w:p w14:paraId="3E723C9F" w14:textId="77777777" w:rsidR="00225369" w:rsidRPr="00225369" w:rsidRDefault="00225369" w:rsidP="00225369">
            <w:pPr>
              <w:numPr>
                <w:ilvl w:val="0"/>
                <w:numId w:val="26"/>
              </w:numPr>
              <w:adjustRightInd/>
              <w:contextualSpacing/>
              <w:textAlignment w:val="auto"/>
              <w:rPr>
                <w:iCs/>
                <w:lang w:eastAsia="zh-CN"/>
              </w:rPr>
            </w:pPr>
            <w:r w:rsidRPr="00225369">
              <w:rPr>
                <w:iCs/>
                <w:lang w:eastAsia="zh-CN"/>
              </w:rPr>
              <w:t>FFS the relation to the HARQ-ACK codebook types and HARQ-ACK codebook construction.</w:t>
            </w:r>
          </w:p>
          <w:p w14:paraId="3F8C6F90" w14:textId="77777777" w:rsidR="00225369" w:rsidRPr="00225369" w:rsidRDefault="00225369" w:rsidP="00225369">
            <w:pPr>
              <w:numPr>
                <w:ilvl w:val="0"/>
                <w:numId w:val="26"/>
              </w:numPr>
              <w:adjustRightInd/>
              <w:contextualSpacing/>
              <w:textAlignment w:val="auto"/>
              <w:rPr>
                <w:iCs/>
                <w:lang w:eastAsia="zh-CN"/>
              </w:rPr>
            </w:pPr>
            <w:r w:rsidRPr="00225369">
              <w:rPr>
                <w:iCs/>
                <w:lang w:eastAsia="zh-CN"/>
              </w:rPr>
              <w:t xml:space="preserve">FFS the relation to the enabling/disabling ACK/NACK based HARQ-ACK feedback for retransmission.  </w:t>
            </w:r>
          </w:p>
          <w:p w14:paraId="09A0ABF3" w14:textId="77777777" w:rsidR="00225369" w:rsidRPr="00225369" w:rsidRDefault="00225369" w:rsidP="00225369">
            <w:pPr>
              <w:numPr>
                <w:ilvl w:val="0"/>
                <w:numId w:val="26"/>
              </w:numPr>
              <w:adjustRightInd/>
              <w:contextualSpacing/>
              <w:textAlignment w:val="auto"/>
              <w:rPr>
                <w:iCs/>
                <w:lang w:eastAsia="zh-CN"/>
              </w:rPr>
            </w:pPr>
            <w:r w:rsidRPr="00225369">
              <w:rPr>
                <w:iCs/>
                <w:lang w:eastAsia="zh-CN"/>
              </w:rPr>
              <w:t>FFS whether/how to allow UE not to react to the DCI signaling, but instead follow UE-specific RRC configuration for HARQ feedback.</w:t>
            </w:r>
          </w:p>
          <w:p w14:paraId="73F14B70" w14:textId="77777777" w:rsidR="00225369" w:rsidRPr="00225369" w:rsidRDefault="00225369" w:rsidP="00225369">
            <w:pPr>
              <w:numPr>
                <w:ilvl w:val="0"/>
                <w:numId w:val="26"/>
              </w:numPr>
              <w:adjustRightInd/>
              <w:contextualSpacing/>
              <w:textAlignment w:val="auto"/>
              <w:rPr>
                <w:iCs/>
                <w:lang w:eastAsia="zh-CN"/>
              </w:rPr>
            </w:pPr>
            <w:r w:rsidRPr="00225369">
              <w:rPr>
                <w:iCs/>
                <w:lang w:eastAsia="zh-CN"/>
              </w:rPr>
              <w:t>FFS whether/how to apply it to SPS group-common PDSCH.</w:t>
            </w:r>
          </w:p>
          <w:p w14:paraId="0AE7F071" w14:textId="77777777" w:rsidR="00225369" w:rsidRPr="00225369" w:rsidRDefault="00225369" w:rsidP="00225369">
            <w:pPr>
              <w:numPr>
                <w:ilvl w:val="0"/>
                <w:numId w:val="26"/>
              </w:numPr>
              <w:adjustRightInd/>
              <w:contextualSpacing/>
              <w:textAlignment w:val="auto"/>
              <w:rPr>
                <w:iCs/>
                <w:color w:val="FF0000"/>
                <w:lang w:eastAsia="zh-CN"/>
              </w:rPr>
            </w:pPr>
            <w:r w:rsidRPr="00225369">
              <w:rPr>
                <w:rFonts w:hint="eastAsia"/>
                <w:iCs/>
                <w:color w:val="FF0000"/>
                <w:lang w:eastAsia="zh-CN"/>
              </w:rPr>
              <w:t>U</w:t>
            </w:r>
            <w:r w:rsidRPr="00225369">
              <w:rPr>
                <w:iCs/>
                <w:color w:val="FF0000"/>
                <w:lang w:eastAsia="zh-CN"/>
              </w:rPr>
              <w:t xml:space="preserve">E capability for enabling/ disabling function of group-common DCI indicating the enabling /disabling ACK/NACK based HARQ-ACK feedback is introduced and FFS details. </w:t>
            </w:r>
          </w:p>
          <w:p w14:paraId="40BBA804" w14:textId="60843C7B" w:rsidR="00225369" w:rsidRPr="00225369" w:rsidRDefault="00225369" w:rsidP="00225369">
            <w:pPr>
              <w:numPr>
                <w:ilvl w:val="0"/>
                <w:numId w:val="26"/>
              </w:numPr>
              <w:adjustRightInd/>
              <w:contextualSpacing/>
              <w:textAlignment w:val="auto"/>
              <w:rPr>
                <w:iCs/>
                <w:color w:val="FF0000"/>
                <w:lang w:eastAsia="ja-JP"/>
              </w:rPr>
            </w:pPr>
            <w:r w:rsidRPr="00225369">
              <w:rPr>
                <w:iCs/>
                <w:color w:val="FF0000"/>
                <w:lang w:eastAsia="zh-CN"/>
              </w:rPr>
              <w:t>Note: It is up to network implementation to avoid any potential HARQ ACK mismatch between different UEs in the same multicast group</w:t>
            </w:r>
          </w:p>
        </w:tc>
      </w:tr>
      <w:tr w:rsidR="009F57DE" w:rsidRPr="00C07190" w14:paraId="516AEB91" w14:textId="77777777" w:rsidTr="001C4A26">
        <w:tc>
          <w:tcPr>
            <w:tcW w:w="1271" w:type="dxa"/>
            <w:tcBorders>
              <w:top w:val="single" w:sz="4" w:space="0" w:color="auto"/>
              <w:left w:val="single" w:sz="4" w:space="0" w:color="auto"/>
              <w:bottom w:val="single" w:sz="4" w:space="0" w:color="auto"/>
              <w:right w:val="single" w:sz="4" w:space="0" w:color="auto"/>
            </w:tcBorders>
          </w:tcPr>
          <w:p w14:paraId="51D77953" w14:textId="05F9855A" w:rsidR="009F57DE" w:rsidRPr="00225369" w:rsidRDefault="009F57DE" w:rsidP="009F57DE">
            <w:pPr>
              <w:widowControl w:val="0"/>
              <w:spacing w:after="120"/>
              <w:rPr>
                <w:rFonts w:eastAsiaTheme="minorEastAsia"/>
                <w:lang w:eastAsia="zh-CN"/>
              </w:rPr>
            </w:pPr>
            <w:r>
              <w:rPr>
                <w:rFonts w:eastAsiaTheme="minorEastAsia" w:hint="eastAsia"/>
                <w:lang w:eastAsia="zh-CN"/>
              </w:rPr>
              <w:t>F</w:t>
            </w:r>
            <w:r>
              <w:rPr>
                <w:rFonts w:eastAsiaTheme="minorEastAsia"/>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3C2D8A63" w14:textId="77777777" w:rsidR="009F57DE" w:rsidRDefault="009F57DE" w:rsidP="00225369">
            <w:pPr>
              <w:widowControl w:val="0"/>
              <w:spacing w:after="120"/>
              <w:rPr>
                <w:rFonts w:eastAsiaTheme="minorEastAsia"/>
                <w:lang w:eastAsia="zh-CN"/>
              </w:rPr>
            </w:pPr>
            <w:r w:rsidRPr="007238FD">
              <w:rPr>
                <w:rFonts w:eastAsiaTheme="minorEastAsia" w:hint="eastAsia"/>
                <w:highlight w:val="yellow"/>
                <w:lang w:eastAsia="zh-CN"/>
              </w:rPr>
              <w:t>@</w:t>
            </w:r>
            <w:r w:rsidRPr="007238FD">
              <w:rPr>
                <w:rFonts w:eastAsiaTheme="minorEastAsia"/>
                <w:highlight w:val="yellow"/>
                <w:lang w:eastAsia="zh-CN"/>
              </w:rPr>
              <w:t>ZTE,</w:t>
            </w:r>
          </w:p>
          <w:p w14:paraId="52563CE5" w14:textId="730263F2" w:rsidR="009F57DE" w:rsidRPr="009F57DE" w:rsidRDefault="009F57DE" w:rsidP="00225369">
            <w:pPr>
              <w:widowControl w:val="0"/>
              <w:spacing w:after="120"/>
              <w:rPr>
                <w:rFonts w:eastAsiaTheme="minorEastAsia"/>
                <w:lang w:eastAsia="zh-CN"/>
              </w:rPr>
            </w:pPr>
            <w:r>
              <w:rPr>
                <w:rFonts w:eastAsiaTheme="minorEastAsia"/>
                <w:lang w:eastAsia="zh-CN"/>
              </w:rPr>
              <w:t xml:space="preserve">Since the configuration of </w:t>
            </w:r>
            <w:r w:rsidRPr="009F57DE">
              <w:rPr>
                <w:rFonts w:eastAsiaTheme="minorEastAsia"/>
                <w:i/>
                <w:lang w:eastAsia="zh-CN"/>
              </w:rPr>
              <w:t>harq-FeedbackEnabler-Multicast</w:t>
            </w:r>
            <w:r>
              <w:rPr>
                <w:rFonts w:eastAsiaTheme="minorEastAsia"/>
                <w:i/>
                <w:lang w:eastAsia="zh-CN"/>
              </w:rPr>
              <w:t xml:space="preserve"> </w:t>
            </w:r>
            <w:r>
              <w:rPr>
                <w:rFonts w:eastAsiaTheme="minorEastAsia"/>
                <w:lang w:eastAsia="zh-CN"/>
              </w:rPr>
              <w:t xml:space="preserve">will be optional and the default value when this parameter is absent will be discussed anyway, I formulated “disabled” as the default. I wonder whether it is ok to ZTE and if not, what is the essential difference between what you suggested and what I formulated for now? </w:t>
            </w:r>
          </w:p>
        </w:tc>
      </w:tr>
      <w:tr w:rsidR="00E25853" w:rsidRPr="00C07190" w14:paraId="19BD7A54" w14:textId="77777777" w:rsidTr="001C4A26">
        <w:tc>
          <w:tcPr>
            <w:tcW w:w="1271" w:type="dxa"/>
            <w:tcBorders>
              <w:top w:val="single" w:sz="4" w:space="0" w:color="auto"/>
              <w:left w:val="single" w:sz="4" w:space="0" w:color="auto"/>
              <w:bottom w:val="single" w:sz="4" w:space="0" w:color="auto"/>
              <w:right w:val="single" w:sz="4" w:space="0" w:color="auto"/>
            </w:tcBorders>
          </w:tcPr>
          <w:p w14:paraId="0B6B263C" w14:textId="5719C7DC" w:rsidR="00E25853" w:rsidRDefault="00E25853" w:rsidP="009F57DE">
            <w:pPr>
              <w:widowControl w:val="0"/>
              <w:spacing w:after="120"/>
              <w:rPr>
                <w:rFonts w:eastAsiaTheme="minorEastAsia"/>
                <w:lang w:eastAsia="zh-CN"/>
              </w:rPr>
            </w:pPr>
            <w:r>
              <w:rPr>
                <w:rFonts w:eastAsiaTheme="minorEastAsia"/>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6B3E75F6" w14:textId="4CEDFAEA" w:rsidR="00E25853" w:rsidRDefault="00E25853" w:rsidP="00225369">
            <w:pPr>
              <w:widowControl w:val="0"/>
              <w:spacing w:after="120"/>
              <w:rPr>
                <w:rFonts w:eastAsiaTheme="minorEastAsia"/>
                <w:lang w:eastAsia="zh-CN"/>
              </w:rPr>
            </w:pPr>
            <w:r w:rsidRPr="00E25853">
              <w:rPr>
                <w:rFonts w:eastAsiaTheme="minorEastAsia"/>
                <w:lang w:eastAsia="zh-CN"/>
              </w:rPr>
              <w:t xml:space="preserve">Regarding </w:t>
            </w:r>
            <w:r>
              <w:rPr>
                <w:rFonts w:eastAsiaTheme="minorEastAsia"/>
                <w:lang w:eastAsia="zh-CN"/>
              </w:rPr>
              <w:t xml:space="preserve">our </w:t>
            </w:r>
            <w:r w:rsidRPr="00E25853">
              <w:rPr>
                <w:rFonts w:eastAsiaTheme="minorEastAsia"/>
                <w:highlight w:val="cyan"/>
                <w:lang w:eastAsia="zh-CN"/>
              </w:rPr>
              <w:t>comments</w:t>
            </w:r>
            <w:r w:rsidRPr="00E25853">
              <w:rPr>
                <w:rFonts w:eastAsiaTheme="minorEastAsia"/>
                <w:lang w:eastAsia="zh-CN"/>
              </w:rPr>
              <w:t xml:space="preserve"> in Sect. 1</w:t>
            </w:r>
            <w:r>
              <w:rPr>
                <w:rFonts w:eastAsiaTheme="minorEastAsia"/>
                <w:lang w:eastAsia="zh-CN"/>
              </w:rPr>
              <w:t xml:space="preserve">, </w:t>
            </w:r>
          </w:p>
          <w:p w14:paraId="22B854CB" w14:textId="5EFE5E66" w:rsidR="00E25853" w:rsidRPr="00E25853" w:rsidRDefault="00E25853" w:rsidP="00225369">
            <w:pPr>
              <w:widowControl w:val="0"/>
              <w:spacing w:after="120"/>
              <w:rPr>
                <w:rFonts w:eastAsiaTheme="minorEastAsia"/>
                <w:lang w:eastAsia="zh-CN"/>
              </w:rPr>
            </w:pPr>
            <w:r>
              <w:rPr>
                <w:rFonts w:eastAsiaTheme="minorEastAsia"/>
                <w:lang w:eastAsia="zh-CN"/>
              </w:rPr>
              <w:t>Our intention is to add the agreement below in column P for the row of “</w:t>
            </w:r>
            <w:r>
              <w:rPr>
                <w:bCs/>
                <w:lang w:eastAsia="zh-CN"/>
              </w:rPr>
              <w:t xml:space="preserve">parameters </w:t>
            </w:r>
            <w:r w:rsidRPr="0069716B">
              <w:rPr>
                <w:bCs/>
                <w:i/>
                <w:lang w:eastAsia="zh-CN"/>
              </w:rPr>
              <w:t>pdsch-HARQ-ACK-Codebook/pdsch-HARQ-ACK-</w:t>
            </w:r>
            <w:r w:rsidRPr="0069716B">
              <w:rPr>
                <w:i/>
              </w:rPr>
              <w:t xml:space="preserve"> </w:t>
            </w:r>
            <w:r w:rsidRPr="0069716B">
              <w:rPr>
                <w:bCs/>
                <w:i/>
                <w:lang w:eastAsia="zh-CN"/>
              </w:rPr>
              <w:t>CodebookList</w:t>
            </w:r>
            <w:r w:rsidRPr="00E25853">
              <w:rPr>
                <w:bCs/>
                <w:iCs/>
                <w:lang w:eastAsia="zh-CN"/>
              </w:rPr>
              <w:t>”</w:t>
            </w:r>
            <w:r>
              <w:rPr>
                <w:rFonts w:eastAsiaTheme="minorEastAsia"/>
                <w:lang w:eastAsia="zh-CN"/>
              </w:rPr>
              <w:t xml:space="preserve">. It indicates RAN2 that the parameters are applied to all G-RNTIs. </w:t>
            </w:r>
          </w:p>
          <w:p w14:paraId="3101EC99" w14:textId="77777777" w:rsidR="00E25853" w:rsidRDefault="00E25853" w:rsidP="00E25853">
            <w:pPr>
              <w:ind w:left="288"/>
              <w:rPr>
                <w:lang w:eastAsia="x-none"/>
              </w:rPr>
            </w:pPr>
            <w:r w:rsidRPr="00D77E17">
              <w:rPr>
                <w:highlight w:val="green"/>
                <w:lang w:eastAsia="x-none"/>
              </w:rPr>
              <w:t>Agreement:</w:t>
            </w:r>
          </w:p>
          <w:p w14:paraId="31DE793B" w14:textId="77777777" w:rsidR="00E25853" w:rsidRDefault="00E25853" w:rsidP="00E25853">
            <w:pPr>
              <w:pStyle w:val="3GPPAgreements"/>
              <w:numPr>
                <w:ilvl w:val="0"/>
                <w:numId w:val="0"/>
              </w:numPr>
              <w:spacing w:before="0" w:after="0"/>
              <w:ind w:left="288"/>
              <w:contextualSpacing/>
            </w:pPr>
            <w:r>
              <w:rPr>
                <w:lang w:val="en-GB"/>
              </w:rPr>
              <w:lastRenderedPageBreak/>
              <w:t xml:space="preserve">When </w:t>
            </w:r>
            <w:r>
              <w:t>UE is configured with t</w:t>
            </w:r>
            <w:r w:rsidRPr="004263DB">
              <w:t xml:space="preserve">he </w:t>
            </w:r>
            <w:r w:rsidRPr="000C7D56">
              <w:rPr>
                <w:i/>
              </w:rPr>
              <w:t>pdsch-HARQ-ACK-Codebook/</w:t>
            </w:r>
            <w:r w:rsidRPr="004263DB">
              <w:rPr>
                <w:i/>
              </w:rPr>
              <w:t xml:space="preserve">pdsch-HARQ-ACK-CodebookList </w:t>
            </w:r>
            <w:r w:rsidRPr="004263DB">
              <w:t>for</w:t>
            </w:r>
            <w:r>
              <w:t xml:space="preserve"> </w:t>
            </w:r>
            <w:r w:rsidRPr="00CA6E10">
              <w:t xml:space="preserve">ACK/NACK based feedback for </w:t>
            </w:r>
            <w:r w:rsidRPr="004263DB">
              <w:t>multicast</w:t>
            </w:r>
            <w:r>
              <w:t xml:space="preserve">, </w:t>
            </w:r>
            <w:r w:rsidRPr="0011157C">
              <w:t>it is applied to all G-RNTIs configured to UE</w:t>
            </w:r>
            <w:r>
              <w:t>.</w:t>
            </w:r>
          </w:p>
          <w:p w14:paraId="1E6513D2" w14:textId="009CD1BA" w:rsidR="00E25853" w:rsidRDefault="00E25853" w:rsidP="00E25853">
            <w:pPr>
              <w:jc w:val="left"/>
              <w:rPr>
                <w:bCs/>
                <w:lang w:eastAsia="zh-CN"/>
              </w:rPr>
            </w:pPr>
            <w:r w:rsidRPr="00E25853">
              <w:rPr>
                <w:rFonts w:eastAsiaTheme="minorEastAsia"/>
                <w:lang w:eastAsia="zh-CN"/>
              </w:rPr>
              <w:t>Regarding</w:t>
            </w:r>
            <w:r w:rsidRPr="00B356EF">
              <w:rPr>
                <w:bCs/>
                <w:lang w:eastAsia="zh-CN"/>
              </w:rPr>
              <w:t xml:space="preserve"> harq-FeedbackEnabler-Multicast</w:t>
            </w:r>
          </w:p>
          <w:p w14:paraId="00804A1E" w14:textId="25057FAE" w:rsidR="00C104ED" w:rsidRDefault="00E25853" w:rsidP="00E25853">
            <w:pPr>
              <w:ind w:left="288"/>
              <w:rPr>
                <w:bCs/>
                <w:lang w:eastAsia="zh-CN"/>
              </w:rPr>
            </w:pPr>
            <w:r>
              <w:rPr>
                <w:bCs/>
                <w:lang w:eastAsia="zh-CN"/>
              </w:rPr>
              <w:t xml:space="preserve">We have different understanding as FL. The default value means the case of no explicit configuration. </w:t>
            </w:r>
            <w:r w:rsidR="00C104ED">
              <w:rPr>
                <w:bCs/>
                <w:lang w:eastAsia="zh-CN"/>
              </w:rPr>
              <w:t>Now</w:t>
            </w:r>
            <w:r>
              <w:rPr>
                <w:bCs/>
                <w:lang w:eastAsia="zh-CN"/>
              </w:rPr>
              <w:t xml:space="preserve">, the default value is ‘disabled’ in column </w:t>
            </w:r>
            <w:r w:rsidR="00C104ED">
              <w:rPr>
                <w:bCs/>
                <w:lang w:eastAsia="zh-CN"/>
              </w:rPr>
              <w:t>L, which we understand it only means that the DCI cannot be used to dynamically enabling/disabling HARQ feedback</w:t>
            </w:r>
            <w:r>
              <w:rPr>
                <w:bCs/>
                <w:lang w:eastAsia="zh-CN"/>
              </w:rPr>
              <w:t>.</w:t>
            </w:r>
          </w:p>
          <w:p w14:paraId="6288C1B6" w14:textId="77777777" w:rsidR="00E25853" w:rsidRDefault="00C104ED" w:rsidP="00C104ED">
            <w:pPr>
              <w:ind w:left="288"/>
              <w:rPr>
                <w:bCs/>
                <w:lang w:eastAsia="zh-CN"/>
              </w:rPr>
            </w:pPr>
            <w:r>
              <w:rPr>
                <w:bCs/>
                <w:lang w:eastAsia="zh-CN"/>
              </w:rPr>
              <w:t>A</w:t>
            </w:r>
            <w:r w:rsidR="00E25853">
              <w:rPr>
                <w:bCs/>
                <w:lang w:eastAsia="zh-CN"/>
              </w:rPr>
              <w:t xml:space="preserve"> new RRC parameter should be introduced for RRC-configured enabling/disabling</w:t>
            </w:r>
            <w:r>
              <w:rPr>
                <w:bCs/>
                <w:lang w:eastAsia="zh-CN"/>
              </w:rPr>
              <w:t xml:space="preserve"> when </w:t>
            </w:r>
            <w:r w:rsidRPr="00B356EF">
              <w:rPr>
                <w:bCs/>
                <w:lang w:eastAsia="zh-CN"/>
              </w:rPr>
              <w:t>harq-FeedbackEnabler-Multicast</w:t>
            </w:r>
            <w:r>
              <w:rPr>
                <w:bCs/>
                <w:lang w:eastAsia="zh-CN"/>
              </w:rPr>
              <w:t xml:space="preserve"> is absent</w:t>
            </w:r>
            <w:r w:rsidR="00E25853">
              <w:rPr>
                <w:bCs/>
                <w:lang w:eastAsia="zh-CN"/>
              </w:rPr>
              <w:t xml:space="preserve">. </w:t>
            </w:r>
          </w:p>
          <w:p w14:paraId="337C5BFA" w14:textId="36BBC1DD" w:rsidR="00C104ED" w:rsidRDefault="00C104ED" w:rsidP="00C104ED">
            <w:pPr>
              <w:rPr>
                <w:bCs/>
                <w:lang w:eastAsia="zh-CN"/>
              </w:rPr>
            </w:pPr>
            <w:r>
              <w:rPr>
                <w:bCs/>
                <w:lang w:eastAsia="zh-CN"/>
              </w:rPr>
              <w:t xml:space="preserve">Regarding </w:t>
            </w:r>
            <w:r w:rsidRPr="00D16696">
              <w:rPr>
                <w:bCs/>
                <w:lang w:eastAsia="zh-CN"/>
              </w:rPr>
              <w:t>pdsch-AggregationFactor-Multicast</w:t>
            </w:r>
          </w:p>
          <w:p w14:paraId="2F7EF82D" w14:textId="551B79B0" w:rsidR="00C104ED" w:rsidRDefault="00C104ED" w:rsidP="00C104ED">
            <w:pPr>
              <w:ind w:left="288"/>
              <w:rPr>
                <w:bCs/>
                <w:lang w:eastAsia="zh-CN"/>
              </w:rPr>
            </w:pPr>
            <w:r>
              <w:rPr>
                <w:bCs/>
                <w:lang w:eastAsia="zh-CN"/>
              </w:rPr>
              <w:t xml:space="preserve">Based on FL’s answer, if </w:t>
            </w:r>
            <w:r w:rsidR="005A0F3F">
              <w:rPr>
                <w:bCs/>
                <w:lang w:eastAsia="zh-CN"/>
              </w:rPr>
              <w:t xml:space="preserve">it is common understanding that </w:t>
            </w:r>
            <w:r w:rsidRPr="00D16696">
              <w:rPr>
                <w:bCs/>
                <w:lang w:eastAsia="zh-CN"/>
              </w:rPr>
              <w:t>pdsch-AggregationFactor-Multicast</w:t>
            </w:r>
            <w:r w:rsidR="005A0F3F">
              <w:rPr>
                <w:bCs/>
                <w:lang w:eastAsia="zh-CN"/>
              </w:rPr>
              <w:t xml:space="preserve"> can be</w:t>
            </w:r>
            <w:r>
              <w:rPr>
                <w:bCs/>
                <w:lang w:eastAsia="zh-CN"/>
              </w:rPr>
              <w:t xml:space="preserve"> </w:t>
            </w:r>
            <w:r w:rsidR="005A0F3F">
              <w:rPr>
                <w:bCs/>
                <w:lang w:eastAsia="zh-CN"/>
              </w:rPr>
              <w:t>included in SPS-Config-Multicast</w:t>
            </w:r>
            <w:r>
              <w:rPr>
                <w:bCs/>
                <w:lang w:eastAsia="zh-CN"/>
              </w:rPr>
              <w:t xml:space="preserve">, we are fine with it. </w:t>
            </w:r>
            <w:r w:rsidR="001E4E70">
              <w:rPr>
                <w:bCs/>
                <w:lang w:eastAsia="zh-CN"/>
              </w:rPr>
              <w:t>For multicast,</w:t>
            </w:r>
            <w:r w:rsidR="005A0F3F">
              <w:rPr>
                <w:bCs/>
                <w:lang w:eastAsia="zh-CN"/>
              </w:rPr>
              <w:t xml:space="preserve"> the aggregation factor can be independently configured for dynamic and SPS GC-PDSCH.</w:t>
            </w:r>
          </w:p>
          <w:p w14:paraId="28A69561" w14:textId="79187298" w:rsidR="00C104ED" w:rsidRPr="00C104ED" w:rsidRDefault="00C104ED" w:rsidP="005A0F3F">
            <w:pPr>
              <w:ind w:left="288"/>
              <w:rPr>
                <w:bCs/>
                <w:lang w:eastAsia="zh-CN"/>
              </w:rPr>
            </w:pPr>
            <w:r>
              <w:rPr>
                <w:bCs/>
                <w:lang w:eastAsia="zh-CN"/>
              </w:rPr>
              <w:t>However, the default value</w:t>
            </w:r>
            <w:r w:rsidR="005A0F3F">
              <w:rPr>
                <w:bCs/>
                <w:lang w:eastAsia="zh-CN"/>
              </w:rPr>
              <w:t xml:space="preserve"> of this </w:t>
            </w:r>
            <w:r w:rsidR="005A0F3F" w:rsidRPr="00D16696">
              <w:rPr>
                <w:bCs/>
                <w:lang w:eastAsia="zh-CN"/>
              </w:rPr>
              <w:t>pdsch-AggregationFactor-Multicast</w:t>
            </w:r>
            <w:r w:rsidR="005A0F3F">
              <w:rPr>
                <w:bCs/>
                <w:lang w:eastAsia="zh-CN"/>
              </w:rPr>
              <w:t xml:space="preserve"> for SPS GC-PDSCH is not clear. A separate row should be added to note that the default value is FFS for now and RAN1 to discuss whether the default value is </w:t>
            </w:r>
            <w:r w:rsidR="001E4E70">
              <w:rPr>
                <w:bCs/>
                <w:lang w:eastAsia="zh-CN"/>
              </w:rPr>
              <w:t xml:space="preserve">fixed as no repetition, </w:t>
            </w:r>
            <w:r w:rsidRPr="001E4E70">
              <w:rPr>
                <w:bCs/>
                <w:lang w:eastAsia="zh-CN"/>
              </w:rPr>
              <w:t xml:space="preserve">PDSCH aggregation factor </w:t>
            </w:r>
            <w:r w:rsidR="005A0F3F" w:rsidRPr="001E4E70">
              <w:rPr>
                <w:bCs/>
                <w:lang w:eastAsia="zh-CN"/>
              </w:rPr>
              <w:t>indicated in</w:t>
            </w:r>
            <w:r w:rsidRPr="001E4E70">
              <w:rPr>
                <w:bCs/>
                <w:lang w:eastAsia="zh-CN"/>
              </w:rPr>
              <w:t> PDSCH-Config</w:t>
            </w:r>
            <w:r w:rsidR="005A0F3F" w:rsidRPr="001E4E70">
              <w:rPr>
                <w:bCs/>
                <w:lang w:eastAsia="zh-CN"/>
              </w:rPr>
              <w:t>-Multicast</w:t>
            </w:r>
            <w:r w:rsidRPr="001E4E70">
              <w:rPr>
                <w:bCs/>
                <w:lang w:eastAsia="zh-CN"/>
              </w:rPr>
              <w:t xml:space="preserve"> in the same CFR</w:t>
            </w:r>
            <w:r w:rsidR="001E4E70">
              <w:rPr>
                <w:bCs/>
                <w:lang w:eastAsia="zh-CN"/>
              </w:rPr>
              <w:t xml:space="preserve">, or </w:t>
            </w:r>
            <w:r w:rsidR="001E4E70" w:rsidRPr="001E4E70">
              <w:rPr>
                <w:bCs/>
                <w:lang w:eastAsia="zh-CN"/>
              </w:rPr>
              <w:t xml:space="preserve">PDSCH aggregation factor indicated in PDSCH-Config </w:t>
            </w:r>
            <w:r w:rsidR="001E4E70">
              <w:rPr>
                <w:bCs/>
                <w:lang w:eastAsia="zh-CN"/>
              </w:rPr>
              <w:t>of unicast dedicated BWP.</w:t>
            </w:r>
          </w:p>
        </w:tc>
      </w:tr>
      <w:tr w:rsidR="00D100F0" w:rsidRPr="00C07190" w14:paraId="5A6C8DDA" w14:textId="77777777" w:rsidTr="001C4A26">
        <w:tc>
          <w:tcPr>
            <w:tcW w:w="1271" w:type="dxa"/>
            <w:tcBorders>
              <w:top w:val="single" w:sz="4" w:space="0" w:color="auto"/>
              <w:left w:val="single" w:sz="4" w:space="0" w:color="auto"/>
              <w:bottom w:val="single" w:sz="4" w:space="0" w:color="auto"/>
              <w:right w:val="single" w:sz="4" w:space="0" w:color="auto"/>
            </w:tcBorders>
          </w:tcPr>
          <w:p w14:paraId="70E889DD" w14:textId="30D00849" w:rsidR="00D100F0" w:rsidRDefault="00D100F0" w:rsidP="009F57DE">
            <w:pPr>
              <w:widowControl w:val="0"/>
              <w:spacing w:after="120"/>
              <w:rPr>
                <w:rFonts w:eastAsiaTheme="minorEastAsia"/>
                <w:lang w:eastAsia="zh-CN"/>
              </w:rPr>
            </w:pPr>
            <w:r>
              <w:rPr>
                <w:rFonts w:eastAsiaTheme="minorEastAsia"/>
                <w:lang w:eastAsia="zh-CN"/>
              </w:rPr>
              <w:lastRenderedPageBreak/>
              <w:t>FL’s responses</w:t>
            </w:r>
          </w:p>
        </w:tc>
        <w:tc>
          <w:tcPr>
            <w:tcW w:w="8691" w:type="dxa"/>
            <w:tcBorders>
              <w:top w:val="single" w:sz="4" w:space="0" w:color="auto"/>
              <w:left w:val="single" w:sz="4" w:space="0" w:color="auto"/>
              <w:bottom w:val="single" w:sz="4" w:space="0" w:color="auto"/>
              <w:right w:val="single" w:sz="4" w:space="0" w:color="auto"/>
            </w:tcBorders>
          </w:tcPr>
          <w:p w14:paraId="237AAE03" w14:textId="77777777" w:rsidR="00D100F0" w:rsidRDefault="00D100F0" w:rsidP="00225369">
            <w:pPr>
              <w:widowControl w:val="0"/>
              <w:spacing w:after="120"/>
              <w:rPr>
                <w:rFonts w:eastAsiaTheme="minorEastAsia"/>
                <w:lang w:eastAsia="zh-CN"/>
              </w:rPr>
            </w:pPr>
            <w:r w:rsidRPr="00D100F0">
              <w:rPr>
                <w:rFonts w:eastAsiaTheme="minorEastAsia" w:hint="eastAsia"/>
                <w:highlight w:val="yellow"/>
                <w:lang w:eastAsia="zh-CN"/>
              </w:rPr>
              <w:t>@</w:t>
            </w:r>
            <w:r w:rsidRPr="00D100F0">
              <w:rPr>
                <w:rFonts w:eastAsiaTheme="minorEastAsia"/>
                <w:highlight w:val="yellow"/>
                <w:lang w:eastAsia="zh-CN"/>
              </w:rPr>
              <w:t>QC</w:t>
            </w:r>
            <w:r>
              <w:rPr>
                <w:rFonts w:eastAsiaTheme="minorEastAsia"/>
                <w:lang w:eastAsia="zh-CN"/>
              </w:rPr>
              <w:t>,</w:t>
            </w:r>
          </w:p>
          <w:p w14:paraId="3531F2D5" w14:textId="4F87E3C6" w:rsidR="00D100F0" w:rsidRDefault="00D100F0" w:rsidP="00D100F0">
            <w:pPr>
              <w:widowControl w:val="0"/>
              <w:spacing w:after="120"/>
              <w:rPr>
                <w:rFonts w:eastAsiaTheme="minorEastAsia"/>
                <w:lang w:eastAsia="zh-CN"/>
              </w:rPr>
            </w:pPr>
            <w:r>
              <w:rPr>
                <w:rFonts w:eastAsiaTheme="minorEastAsia"/>
                <w:lang w:eastAsia="zh-CN"/>
              </w:rPr>
              <w:t>Adding the agreement into column P is fine (sorry for not getting this point</w:t>
            </w:r>
            <w:r w:rsidR="003D1D07">
              <w:rPr>
                <w:rFonts w:eastAsiaTheme="minorEastAsia"/>
                <w:lang w:eastAsia="zh-CN"/>
              </w:rPr>
              <w:t xml:space="preserve"> earlier</w:t>
            </w:r>
            <w:r>
              <w:rPr>
                <w:rFonts w:eastAsiaTheme="minorEastAsia"/>
                <w:lang w:eastAsia="zh-CN"/>
              </w:rPr>
              <w:t xml:space="preserve">) but I want to clarify again that the “per UE” is right to address the agreement of “applied to all G-RNTI”. </w:t>
            </w:r>
          </w:p>
          <w:p w14:paraId="68757A2D" w14:textId="77777777" w:rsidR="00D100F0" w:rsidRDefault="00D100F0" w:rsidP="00D100F0">
            <w:pPr>
              <w:widowControl w:val="0"/>
              <w:spacing w:after="120"/>
              <w:rPr>
                <w:rFonts w:eastAsiaTheme="minorEastAsia"/>
                <w:bCs/>
                <w:i/>
                <w:lang w:eastAsia="zh-CN"/>
              </w:rPr>
            </w:pPr>
            <w:r w:rsidRPr="00D100F0">
              <w:rPr>
                <w:rFonts w:eastAsiaTheme="minorEastAsia"/>
                <w:lang w:eastAsia="zh-CN"/>
              </w:rPr>
              <w:t>Regarding</w:t>
            </w:r>
            <w:r w:rsidRPr="00D100F0">
              <w:rPr>
                <w:rFonts w:eastAsiaTheme="minorEastAsia"/>
                <w:bCs/>
                <w:lang w:eastAsia="zh-CN"/>
              </w:rPr>
              <w:t xml:space="preserve"> </w:t>
            </w:r>
            <w:r w:rsidRPr="00D100F0">
              <w:rPr>
                <w:rFonts w:eastAsiaTheme="minorEastAsia"/>
                <w:bCs/>
                <w:i/>
                <w:lang w:eastAsia="zh-CN"/>
              </w:rPr>
              <w:t>harq-FeedbackEnabler-Multicast</w:t>
            </w:r>
          </w:p>
          <w:p w14:paraId="59FA6F3E" w14:textId="77777777" w:rsidR="00D100F0" w:rsidRDefault="00D100F0" w:rsidP="001C4A26">
            <w:pPr>
              <w:widowControl w:val="0"/>
              <w:spacing w:after="120"/>
              <w:rPr>
                <w:rFonts w:eastAsiaTheme="minorEastAsia"/>
                <w:bCs/>
                <w:lang w:eastAsia="zh-CN"/>
              </w:rPr>
            </w:pPr>
            <w:r>
              <w:rPr>
                <w:rFonts w:eastAsiaTheme="minorEastAsia"/>
                <w:bCs/>
                <w:lang w:eastAsia="zh-CN"/>
              </w:rPr>
              <w:t>The outcome from RRC configuration are three</w:t>
            </w:r>
            <w:r w:rsidR="00E5647D">
              <w:rPr>
                <w:rFonts w:eastAsiaTheme="minorEastAsia"/>
                <w:bCs/>
                <w:lang w:eastAsia="zh-CN"/>
              </w:rPr>
              <w:t xml:space="preserve"> from UE perspective</w:t>
            </w:r>
            <w:r>
              <w:rPr>
                <w:rFonts w:eastAsiaTheme="minorEastAsia"/>
                <w:bCs/>
                <w:lang w:eastAsia="zh-CN"/>
              </w:rPr>
              <w:t xml:space="preserve">: listening to DCI (by value of </w:t>
            </w:r>
            <w:r w:rsidRPr="00D100F0">
              <w:rPr>
                <w:rFonts w:eastAsiaTheme="minorEastAsia"/>
                <w:bCs/>
                <w:lang w:eastAsia="zh-CN"/>
              </w:rPr>
              <w:t>dci-enabler</w:t>
            </w:r>
            <w:r>
              <w:rPr>
                <w:rFonts w:eastAsiaTheme="minorEastAsia"/>
                <w:bCs/>
                <w:lang w:eastAsia="zh-CN"/>
              </w:rPr>
              <w:t xml:space="preserve">), RRC indicating “enabling” (by value of </w:t>
            </w:r>
            <w:r w:rsidRPr="00D100F0">
              <w:rPr>
                <w:rFonts w:eastAsiaTheme="minorEastAsia"/>
                <w:bCs/>
                <w:lang w:eastAsia="zh-CN"/>
              </w:rPr>
              <w:t>enabled</w:t>
            </w:r>
            <w:r>
              <w:rPr>
                <w:rFonts w:eastAsiaTheme="minorEastAsia"/>
                <w:bCs/>
                <w:lang w:eastAsia="zh-CN"/>
              </w:rPr>
              <w:t xml:space="preserve">), and </w:t>
            </w:r>
            <w:r w:rsidRPr="00D100F0">
              <w:rPr>
                <w:rFonts w:eastAsiaTheme="minorEastAsia"/>
                <w:bCs/>
                <w:lang w:eastAsia="zh-CN"/>
              </w:rPr>
              <w:t>RRC indicating “</w:t>
            </w:r>
            <w:r>
              <w:rPr>
                <w:rFonts w:eastAsiaTheme="minorEastAsia"/>
                <w:bCs/>
                <w:lang w:eastAsia="zh-CN"/>
              </w:rPr>
              <w:t>dis</w:t>
            </w:r>
            <w:r w:rsidRPr="00D100F0">
              <w:rPr>
                <w:rFonts w:eastAsiaTheme="minorEastAsia"/>
                <w:bCs/>
                <w:lang w:eastAsia="zh-CN"/>
              </w:rPr>
              <w:t>abling”</w:t>
            </w:r>
            <w:r>
              <w:rPr>
                <w:rFonts w:eastAsiaTheme="minorEastAsia"/>
                <w:bCs/>
                <w:lang w:eastAsia="zh-CN"/>
              </w:rPr>
              <w:t xml:space="preserve"> (by default “disabled”). </w:t>
            </w:r>
            <w:r w:rsidR="001C4A26">
              <w:rPr>
                <w:rFonts w:eastAsiaTheme="minorEastAsia"/>
                <w:bCs/>
                <w:lang w:eastAsia="zh-CN"/>
              </w:rPr>
              <w:t xml:space="preserve">It is described from UE perspective was because it is UE getting the configuration and how to understand the configuration. </w:t>
            </w:r>
            <w:r w:rsidR="00E5647D">
              <w:rPr>
                <w:rFonts w:eastAsiaTheme="minorEastAsia"/>
                <w:bCs/>
                <w:lang w:eastAsia="zh-CN"/>
              </w:rPr>
              <w:t xml:space="preserve">Whether the default “disabled” from UE perspective meaning UE does not feedback also means the DCI </w:t>
            </w:r>
            <w:r w:rsidR="001C4A26">
              <w:rPr>
                <w:rFonts w:eastAsiaTheme="minorEastAsia"/>
                <w:bCs/>
                <w:lang w:eastAsia="zh-CN"/>
              </w:rPr>
              <w:t>does not indicating the enabling/disabling may depend on whether it is per  UE per G</w:t>
            </w:r>
            <w:r w:rsidR="001C4A26">
              <w:rPr>
                <w:rFonts w:eastAsiaTheme="minorEastAsia" w:hint="eastAsia"/>
                <w:bCs/>
                <w:lang w:eastAsia="zh-CN"/>
              </w:rPr>
              <w:t>-</w:t>
            </w:r>
            <w:r w:rsidR="001C4A26">
              <w:rPr>
                <w:rFonts w:eastAsiaTheme="minorEastAsia"/>
                <w:bCs/>
                <w:lang w:eastAsia="zh-CN"/>
              </w:rPr>
              <w:t xml:space="preserve">RNTI or just per G-RNTI which is FFS based on the last meeting discussion. In addition, if it is going to be per UE, whether there is another configuration (same to all UEs) </w:t>
            </w:r>
            <w:r w:rsidR="001C4A26" w:rsidRPr="001C4A26">
              <w:rPr>
                <w:rFonts w:eastAsiaTheme="minorEastAsia"/>
                <w:bCs/>
                <w:lang w:eastAsia="zh-CN"/>
              </w:rPr>
              <w:t>indicating whether the GC-DCI includes the field indicating HARQ-ACK enabling/disabling could also be FFS.</w:t>
            </w:r>
            <w:r w:rsidR="001C4A26">
              <w:rPr>
                <w:rFonts w:eastAsiaTheme="minorEastAsia"/>
                <w:bCs/>
                <w:lang w:eastAsia="zh-CN"/>
              </w:rPr>
              <w:t xml:space="preserve"> I updated the column J (description) in red to clarify all these. Please check whether the comment addressed. </w:t>
            </w:r>
          </w:p>
          <w:p w14:paraId="10857409" w14:textId="77777777" w:rsidR="00682512" w:rsidRPr="00682512" w:rsidRDefault="00682512" w:rsidP="00682512">
            <w:pPr>
              <w:widowControl w:val="0"/>
              <w:spacing w:after="120"/>
              <w:rPr>
                <w:rFonts w:eastAsiaTheme="minorEastAsia"/>
                <w:bCs/>
                <w:lang w:eastAsia="zh-CN"/>
              </w:rPr>
            </w:pPr>
            <w:r w:rsidRPr="00682512">
              <w:rPr>
                <w:rFonts w:eastAsiaTheme="minorEastAsia"/>
                <w:bCs/>
                <w:lang w:eastAsia="zh-CN"/>
              </w:rPr>
              <w:t>Regarding pdsch-AggregationFactor-Multicast</w:t>
            </w:r>
          </w:p>
          <w:p w14:paraId="23FDCB4A" w14:textId="7FC00BC8" w:rsidR="00682512" w:rsidRPr="00682512" w:rsidRDefault="00682512" w:rsidP="001C4A26">
            <w:pPr>
              <w:widowControl w:val="0"/>
              <w:spacing w:after="120"/>
              <w:rPr>
                <w:rFonts w:eastAsiaTheme="minorEastAsia"/>
                <w:lang w:eastAsia="zh-CN"/>
              </w:rPr>
            </w:pPr>
            <w:r>
              <w:rPr>
                <w:rFonts w:eastAsiaTheme="minorEastAsia" w:hint="eastAsia"/>
                <w:lang w:eastAsia="zh-CN"/>
              </w:rPr>
              <w:t>F</w:t>
            </w:r>
            <w:r>
              <w:rPr>
                <w:rFonts w:eastAsiaTheme="minorEastAsia"/>
                <w:lang w:eastAsia="zh-CN"/>
              </w:rPr>
              <w:t xml:space="preserve">or unicast SPS, when </w:t>
            </w:r>
            <w:r w:rsidRPr="00682512">
              <w:rPr>
                <w:rFonts w:eastAsiaTheme="minorEastAsia"/>
                <w:i/>
                <w:lang w:eastAsia="zh-CN"/>
              </w:rPr>
              <w:t>pdsch-AggregationFactor</w:t>
            </w:r>
            <w:r>
              <w:rPr>
                <w:rFonts w:eastAsiaTheme="minorEastAsia"/>
                <w:i/>
                <w:lang w:eastAsia="zh-CN"/>
              </w:rPr>
              <w:t xml:space="preserve"> </w:t>
            </w:r>
            <w:r>
              <w:rPr>
                <w:szCs w:val="22"/>
              </w:rPr>
              <w:t xml:space="preserve">is absent, the UE applies </w:t>
            </w:r>
            <w:r>
              <w:rPr>
                <w:lang w:eastAsia="ko-KR"/>
              </w:rPr>
              <w:t xml:space="preserve">PDSCH aggregation factor of </w:t>
            </w:r>
            <w:r>
              <w:rPr>
                <w:szCs w:val="22"/>
              </w:rPr>
              <w:t>PDSCH-Config.</w:t>
            </w:r>
            <w:r>
              <w:rPr>
                <w:szCs w:val="22"/>
              </w:rPr>
              <w:t xml:space="preserve"> Since there are more open options as default when </w:t>
            </w:r>
            <w:r w:rsidRPr="00682512">
              <w:rPr>
                <w:bCs/>
                <w:szCs w:val="22"/>
              </w:rPr>
              <w:t>pdsch-AggregationFactor-Multicast</w:t>
            </w:r>
            <w:r>
              <w:rPr>
                <w:bCs/>
                <w:szCs w:val="22"/>
              </w:rPr>
              <w:t xml:space="preserve"> is absent. I will take the suggestion to add more row as suggested. </w:t>
            </w:r>
          </w:p>
        </w:tc>
      </w:tr>
    </w:tbl>
    <w:p w14:paraId="0663962B" w14:textId="289C9E26" w:rsidR="00760460" w:rsidRDefault="00760460" w:rsidP="00760460"/>
    <w:p w14:paraId="24CF6520" w14:textId="77777777" w:rsidR="00760460" w:rsidRPr="00760460" w:rsidRDefault="00760460" w:rsidP="00760460"/>
    <w:p w14:paraId="4DE7D7B8" w14:textId="23495A84" w:rsidR="00C7315E" w:rsidRDefault="00C7315E" w:rsidP="00C7315E">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C7315E">
        <w:rPr>
          <w:rFonts w:ascii="Times New Roman" w:eastAsia="等线 Light" w:hAnsi="Times New Roman"/>
          <w:sz w:val="28"/>
          <w:szCs w:val="26"/>
          <w:lang w:val="en-US" w:eastAsia="ko-KR"/>
        </w:rPr>
        <w:t>Inputs on version-0</w:t>
      </w:r>
      <w:r w:rsidRPr="00C7315E">
        <w:rPr>
          <w:rFonts w:ascii="Times New Roman" w:eastAsia="等线 Light" w:hAnsi="Times New Roman" w:hint="eastAsia"/>
          <w:sz w:val="28"/>
          <w:szCs w:val="26"/>
          <w:lang w:val="en-US" w:eastAsia="ko-KR"/>
        </w:rPr>
        <w:t>0</w:t>
      </w:r>
      <w:r>
        <w:rPr>
          <w:rFonts w:ascii="Times New Roman" w:eastAsia="等线 Light" w:hAnsi="Times New Roman"/>
          <w:sz w:val="28"/>
          <w:szCs w:val="26"/>
          <w:lang w:val="en-US" w:eastAsia="ko-KR"/>
        </w:rPr>
        <w:t>3</w:t>
      </w:r>
    </w:p>
    <w:p w14:paraId="601FDEBC" w14:textId="77777777" w:rsidR="000605E7" w:rsidRPr="000605E7" w:rsidRDefault="000605E7" w:rsidP="000605E7">
      <w:pPr>
        <w:rPr>
          <w:rFonts w:eastAsia="Malgun Gothic" w:hint="eastAsia"/>
          <w:lang w:eastAsia="ko-KR"/>
        </w:rPr>
      </w:pPr>
    </w:p>
    <w:tbl>
      <w:tblPr>
        <w:tblStyle w:val="TableGrid"/>
        <w:tblW w:w="0" w:type="auto"/>
        <w:tblLook w:val="04A0" w:firstRow="1" w:lastRow="0" w:firstColumn="1" w:lastColumn="0" w:noHBand="0" w:noVBand="1"/>
      </w:tblPr>
      <w:tblGrid>
        <w:gridCol w:w="1271"/>
        <w:gridCol w:w="8691"/>
      </w:tblGrid>
      <w:tr w:rsidR="000605E7" w:rsidRPr="000605E7" w14:paraId="1EDE6F0B" w14:textId="77777777" w:rsidTr="00B660C2">
        <w:tc>
          <w:tcPr>
            <w:tcW w:w="1271" w:type="dxa"/>
            <w:tcBorders>
              <w:top w:val="single" w:sz="4" w:space="0" w:color="auto"/>
              <w:left w:val="single" w:sz="4" w:space="0" w:color="auto"/>
              <w:bottom w:val="single" w:sz="4" w:space="0" w:color="auto"/>
              <w:right w:val="single" w:sz="4" w:space="0" w:color="auto"/>
            </w:tcBorders>
          </w:tcPr>
          <w:p w14:paraId="0535148A" w14:textId="77777777" w:rsidR="000605E7" w:rsidRPr="000605E7" w:rsidRDefault="000605E7" w:rsidP="000605E7">
            <w:pPr>
              <w:widowControl w:val="0"/>
              <w:spacing w:before="0" w:after="120" w:line="240" w:lineRule="auto"/>
              <w:rPr>
                <w:rFonts w:eastAsiaTheme="minorEastAsia"/>
                <w:b/>
                <w:lang w:eastAsia="zh-CN"/>
              </w:rPr>
            </w:pPr>
            <w:r w:rsidRPr="000605E7">
              <w:rPr>
                <w:rFonts w:eastAsiaTheme="minorEastAsia"/>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6061B15F" w14:textId="77777777" w:rsidR="000605E7" w:rsidRPr="000605E7" w:rsidRDefault="000605E7" w:rsidP="000605E7">
            <w:pPr>
              <w:widowControl w:val="0"/>
              <w:spacing w:before="0" w:after="120" w:line="240" w:lineRule="auto"/>
              <w:rPr>
                <w:rFonts w:eastAsiaTheme="minorEastAsia"/>
                <w:b/>
                <w:lang w:eastAsia="zh-CN"/>
              </w:rPr>
            </w:pPr>
            <w:r w:rsidRPr="000605E7">
              <w:rPr>
                <w:rFonts w:eastAsiaTheme="minorEastAsia"/>
                <w:b/>
                <w:lang w:eastAsia="zh-CN"/>
              </w:rPr>
              <w:t>Input</w:t>
            </w:r>
          </w:p>
        </w:tc>
      </w:tr>
      <w:tr w:rsidR="000605E7" w:rsidRPr="000605E7" w14:paraId="7800E1C8" w14:textId="77777777" w:rsidTr="00B660C2">
        <w:tc>
          <w:tcPr>
            <w:tcW w:w="1271" w:type="dxa"/>
            <w:tcBorders>
              <w:top w:val="single" w:sz="4" w:space="0" w:color="auto"/>
              <w:left w:val="single" w:sz="4" w:space="0" w:color="auto"/>
              <w:bottom w:val="single" w:sz="4" w:space="0" w:color="auto"/>
              <w:right w:val="single" w:sz="4" w:space="0" w:color="auto"/>
            </w:tcBorders>
          </w:tcPr>
          <w:p w14:paraId="576479CB" w14:textId="77777777" w:rsidR="000605E7" w:rsidRPr="000605E7" w:rsidRDefault="000605E7" w:rsidP="000605E7">
            <w:pPr>
              <w:widowControl w:val="0"/>
              <w:spacing w:after="120"/>
              <w:rPr>
                <w:rFonts w:eastAsiaTheme="minorEastAsia"/>
                <w:b/>
                <w:lang w:eastAsia="zh-CN"/>
              </w:rPr>
            </w:pPr>
            <w:bookmarkStart w:id="0" w:name="_GoBack"/>
            <w:bookmarkEnd w:id="0"/>
          </w:p>
        </w:tc>
        <w:tc>
          <w:tcPr>
            <w:tcW w:w="8691" w:type="dxa"/>
            <w:tcBorders>
              <w:top w:val="single" w:sz="4" w:space="0" w:color="auto"/>
              <w:left w:val="single" w:sz="4" w:space="0" w:color="auto"/>
              <w:bottom w:val="single" w:sz="4" w:space="0" w:color="auto"/>
              <w:right w:val="single" w:sz="4" w:space="0" w:color="auto"/>
            </w:tcBorders>
          </w:tcPr>
          <w:p w14:paraId="44A1387D" w14:textId="77777777" w:rsidR="000605E7" w:rsidRPr="000605E7" w:rsidRDefault="000605E7" w:rsidP="000605E7">
            <w:pPr>
              <w:widowControl w:val="0"/>
              <w:spacing w:after="120"/>
              <w:rPr>
                <w:rFonts w:eastAsiaTheme="minorEastAsia"/>
                <w:b/>
                <w:lang w:eastAsia="zh-CN"/>
              </w:rPr>
            </w:pPr>
          </w:p>
        </w:tc>
      </w:tr>
    </w:tbl>
    <w:p w14:paraId="071B8DE0" w14:textId="77777777" w:rsidR="00C471DB" w:rsidRPr="00C471DB" w:rsidRDefault="00C471DB" w:rsidP="006723CD">
      <w:pPr>
        <w:widowControl w:val="0"/>
        <w:spacing w:after="120"/>
        <w:jc w:val="both"/>
        <w:rPr>
          <w:rFonts w:eastAsiaTheme="minorEastAsia"/>
          <w:lang w:eastAsia="zh-CN"/>
        </w:rPr>
      </w:pPr>
    </w:p>
    <w:sectPr w:rsidR="00C471DB" w:rsidRPr="00C471DB"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990B0" w14:textId="77777777" w:rsidR="00205E2A" w:rsidRDefault="00205E2A">
      <w:r>
        <w:separator/>
      </w:r>
    </w:p>
  </w:endnote>
  <w:endnote w:type="continuationSeparator" w:id="0">
    <w:p w14:paraId="25853849" w14:textId="77777777" w:rsidR="00205E2A" w:rsidRDefault="0020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1C4A26" w:rsidRDefault="001C4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1C4A26" w:rsidRDefault="001C4A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1CD76E9" w:rsidR="001C4A26" w:rsidRDefault="001C4A26">
    <w:pPr>
      <w:pStyle w:val="Footer"/>
      <w:ind w:right="360"/>
    </w:pPr>
    <w:r>
      <w:rPr>
        <w:rStyle w:val="PageNumber"/>
      </w:rPr>
      <w:fldChar w:fldCharType="begin"/>
    </w:r>
    <w:r>
      <w:rPr>
        <w:rStyle w:val="PageNumber"/>
      </w:rPr>
      <w:instrText xml:space="preserve"> PAGE </w:instrText>
    </w:r>
    <w:r>
      <w:rPr>
        <w:rStyle w:val="PageNumber"/>
      </w:rPr>
      <w:fldChar w:fldCharType="separate"/>
    </w:r>
    <w:r w:rsidR="000605E7">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05E7">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8B738" w14:textId="77777777" w:rsidR="00205E2A" w:rsidRDefault="00205E2A">
      <w:r>
        <w:separator/>
      </w:r>
    </w:p>
  </w:footnote>
  <w:footnote w:type="continuationSeparator" w:id="0">
    <w:p w14:paraId="18837C7C" w14:textId="77777777" w:rsidR="00205E2A" w:rsidRDefault="00205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1C4A26" w:rsidRDefault="001C4A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6"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3"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4"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1"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2"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3"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4"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6"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8"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9"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7"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8"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abstractNum w:abstractNumId="83" w15:restartNumberingAfterBreak="0">
    <w:nsid w:val="7F995DFC"/>
    <w:multiLevelType w:val="hybridMultilevel"/>
    <w:tmpl w:val="F9CCA32E"/>
    <w:lvl w:ilvl="0" w:tplc="3828CA0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32"/>
  </w:num>
  <w:num w:numId="4">
    <w:abstractNumId w:val="42"/>
  </w:num>
  <w:num w:numId="5">
    <w:abstractNumId w:val="48"/>
  </w:num>
  <w:num w:numId="6">
    <w:abstractNumId w:val="53"/>
  </w:num>
  <w:num w:numId="7">
    <w:abstractNumId w:val="82"/>
  </w:num>
  <w:num w:numId="8">
    <w:abstractNumId w:val="56"/>
  </w:num>
  <w:num w:numId="9">
    <w:abstractNumId w:val="80"/>
  </w:num>
  <w:num w:numId="10">
    <w:abstractNumId w:val="45"/>
  </w:num>
  <w:num w:numId="11">
    <w:abstractNumId w:val="66"/>
  </w:num>
  <w:num w:numId="12">
    <w:abstractNumId w:val="50"/>
  </w:num>
  <w:num w:numId="13">
    <w:abstractNumId w:val="33"/>
  </w:num>
  <w:num w:numId="14">
    <w:abstractNumId w:val="76"/>
  </w:num>
  <w:num w:numId="15">
    <w:abstractNumId w:val="47"/>
  </w:num>
  <w:num w:numId="16">
    <w:abstractNumId w:val="77"/>
  </w:num>
  <w:num w:numId="17">
    <w:abstractNumId w:val="43"/>
  </w:num>
  <w:num w:numId="18">
    <w:abstractNumId w:val="61"/>
  </w:num>
  <w:num w:numId="19">
    <w:abstractNumId w:val="0"/>
  </w:num>
  <w:num w:numId="20">
    <w:abstractNumId w:val="70"/>
  </w:num>
  <w:num w:numId="21">
    <w:abstractNumId w:val="39"/>
  </w:num>
  <w:num w:numId="22">
    <w:abstractNumId w:val="21"/>
  </w:num>
  <w:num w:numId="23">
    <w:abstractNumId w:val="51"/>
  </w:num>
  <w:num w:numId="24">
    <w:abstractNumId w:val="58"/>
  </w:num>
  <w:num w:numId="25">
    <w:abstractNumId w:val="52"/>
  </w:num>
  <w:num w:numId="26">
    <w:abstractNumId w:val="57"/>
  </w:num>
  <w:num w:numId="27">
    <w:abstractNumId w:val="40"/>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7"/>
  </w:num>
  <w:num w:numId="35">
    <w:abstractNumId w:val="63"/>
  </w:num>
  <w:num w:numId="36">
    <w:abstractNumId w:val="55"/>
  </w:num>
  <w:num w:numId="37">
    <w:abstractNumId w:val="15"/>
  </w:num>
  <w:num w:numId="38">
    <w:abstractNumId w:val="28"/>
  </w:num>
  <w:num w:numId="39">
    <w:abstractNumId w:val="74"/>
  </w:num>
  <w:num w:numId="40">
    <w:abstractNumId w:val="62"/>
  </w:num>
  <w:num w:numId="41">
    <w:abstractNumId w:val="54"/>
  </w:num>
  <w:num w:numId="42">
    <w:abstractNumId w:val="34"/>
  </w:num>
  <w:num w:numId="43">
    <w:abstractNumId w:val="79"/>
  </w:num>
  <w:num w:numId="44">
    <w:abstractNumId w:val="14"/>
  </w:num>
  <w:num w:numId="45">
    <w:abstractNumId w:val="18"/>
  </w:num>
  <w:num w:numId="46">
    <w:abstractNumId w:val="11"/>
  </w:num>
  <w:num w:numId="47">
    <w:abstractNumId w:val="37"/>
  </w:num>
  <w:num w:numId="48">
    <w:abstractNumId w:val="30"/>
  </w:num>
  <w:num w:numId="49">
    <w:abstractNumId w:val="25"/>
  </w:num>
  <w:num w:numId="50">
    <w:abstractNumId w:val="6"/>
  </w:num>
  <w:num w:numId="51">
    <w:abstractNumId w:val="60"/>
  </w:num>
  <w:num w:numId="52">
    <w:abstractNumId w:val="20"/>
  </w:num>
  <w:num w:numId="53">
    <w:abstractNumId w:val="38"/>
  </w:num>
  <w:num w:numId="54">
    <w:abstractNumId w:val="46"/>
  </w:num>
  <w:num w:numId="55">
    <w:abstractNumId w:val="5"/>
  </w:num>
  <w:num w:numId="56">
    <w:abstractNumId w:val="31"/>
  </w:num>
  <w:num w:numId="57">
    <w:abstractNumId w:val="9"/>
  </w:num>
  <w:num w:numId="58">
    <w:abstractNumId w:val="75"/>
  </w:num>
  <w:num w:numId="59">
    <w:abstractNumId w:val="59"/>
  </w:num>
  <w:num w:numId="60">
    <w:abstractNumId w:val="2"/>
  </w:num>
  <w:num w:numId="61">
    <w:abstractNumId w:val="49"/>
  </w:num>
  <w:num w:numId="62">
    <w:abstractNumId w:val="10"/>
  </w:num>
  <w:num w:numId="63">
    <w:abstractNumId w:val="16"/>
  </w:num>
  <w:num w:numId="64">
    <w:abstractNumId w:val="26"/>
  </w:num>
  <w:num w:numId="65">
    <w:abstractNumId w:val="78"/>
  </w:num>
  <w:num w:numId="66">
    <w:abstractNumId w:val="12"/>
  </w:num>
  <w:num w:numId="67">
    <w:abstractNumId w:val="68"/>
  </w:num>
  <w:num w:numId="68">
    <w:abstractNumId w:val="72"/>
  </w:num>
  <w:num w:numId="69">
    <w:abstractNumId w:val="81"/>
  </w:num>
  <w:num w:numId="70">
    <w:abstractNumId w:val="3"/>
  </w:num>
  <w:num w:numId="71">
    <w:abstractNumId w:val="3"/>
  </w:num>
  <w:num w:numId="72">
    <w:abstractNumId w:val="1"/>
  </w:num>
  <w:num w:numId="73">
    <w:abstractNumId w:val="65"/>
  </w:num>
  <w:num w:numId="74">
    <w:abstractNumId w:val="22"/>
  </w:num>
  <w:num w:numId="75">
    <w:abstractNumId w:val="23"/>
  </w:num>
  <w:num w:numId="76">
    <w:abstractNumId w:val="29"/>
  </w:num>
  <w:num w:numId="77">
    <w:abstractNumId w:val="24"/>
  </w:num>
  <w:num w:numId="78">
    <w:abstractNumId w:val="64"/>
  </w:num>
  <w:num w:numId="79">
    <w:abstractNumId w:val="44"/>
  </w:num>
  <w:num w:numId="80">
    <w:abstractNumId w:val="36"/>
  </w:num>
  <w:num w:numId="81">
    <w:abstractNumId w:val="41"/>
  </w:num>
  <w:num w:numId="82">
    <w:abstractNumId w:val="71"/>
  </w:num>
  <w:num w:numId="83">
    <w:abstractNumId w:val="73"/>
  </w:num>
  <w:num w:numId="84">
    <w:abstractNumId w:val="69"/>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5E7"/>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BC"/>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46"/>
    <w:rsid w:val="0018246F"/>
    <w:rsid w:val="00182716"/>
    <w:rsid w:val="00182718"/>
    <w:rsid w:val="00182B68"/>
    <w:rsid w:val="00182C5B"/>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26"/>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549"/>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E70"/>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E2A"/>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369"/>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8D6"/>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BF"/>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69"/>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ECF"/>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0DF9"/>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049"/>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1C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D07"/>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BCD"/>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4C2"/>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3F"/>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976"/>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5C3"/>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4E9F"/>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BE"/>
    <w:rsid w:val="006813E1"/>
    <w:rsid w:val="00681432"/>
    <w:rsid w:val="006815B8"/>
    <w:rsid w:val="00681972"/>
    <w:rsid w:val="006820C0"/>
    <w:rsid w:val="0068226B"/>
    <w:rsid w:val="00682508"/>
    <w:rsid w:val="00682512"/>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6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8FD"/>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460"/>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32B"/>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9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936"/>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7DE"/>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6EF"/>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554"/>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3"/>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C92"/>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77"/>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190"/>
    <w:rsid w:val="00C07470"/>
    <w:rsid w:val="00C078DC"/>
    <w:rsid w:val="00C07A6C"/>
    <w:rsid w:val="00C07A84"/>
    <w:rsid w:val="00C07AE3"/>
    <w:rsid w:val="00C07AE4"/>
    <w:rsid w:val="00C07AE7"/>
    <w:rsid w:val="00C07C5C"/>
    <w:rsid w:val="00C1023B"/>
    <w:rsid w:val="00C102BD"/>
    <w:rsid w:val="00C104CE"/>
    <w:rsid w:val="00C104ED"/>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1DB"/>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5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15B"/>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168"/>
    <w:rsid w:val="00D073D1"/>
    <w:rsid w:val="00D078A7"/>
    <w:rsid w:val="00D078A9"/>
    <w:rsid w:val="00D078C9"/>
    <w:rsid w:val="00D07AF8"/>
    <w:rsid w:val="00D07D73"/>
    <w:rsid w:val="00D07DCA"/>
    <w:rsid w:val="00D07E5F"/>
    <w:rsid w:val="00D100F0"/>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6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2C"/>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C55"/>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0F"/>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853"/>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7D"/>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965"/>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C04"/>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0FF7EE1"/>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customStyle="1" w:styleId="tal0">
    <w:name w:val="tal"/>
    <w:basedOn w:val="Normal"/>
    <w:rsid w:val="00D07168"/>
    <w:pPr>
      <w:overflowPunct/>
      <w:autoSpaceDE/>
      <w:autoSpaceDN/>
      <w:adjustRightInd/>
      <w:spacing w:before="100" w:beforeAutospacing="1" w:after="100" w:afterAutospacing="1"/>
      <w:textAlignment w:val="auto"/>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31986988">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525655">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79172173">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7263300">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2321239">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9358B9-F9FF-4FAF-BA6F-52A5D3C0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5</Pages>
  <Words>1454</Words>
  <Characters>8293</Characters>
  <Application>Microsoft Office Word</Application>
  <DocSecurity>0</DocSecurity>
  <Lines>69</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xiajinhuan2</cp:lastModifiedBy>
  <cp:revision>8</cp:revision>
  <cp:lastPrinted>2014-11-07T12:38:00Z</cp:lastPrinted>
  <dcterms:created xsi:type="dcterms:W3CDTF">2021-09-07T16:32:00Z</dcterms:created>
  <dcterms:modified xsi:type="dcterms:W3CDTF">2021-09-08T03:02:00Z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(3)Vs1PrWOlC1O0K48sGkW3TnDawxSQ5HZryygACFeb/psmKRNQdum88zXaRd09i6BnsaG9zRlU
oxcpA4shxJFrI0R9Xciqg34ggIelrZWMCr1KyUf/VLuFXlE1Rvezmeyi+LJCKlCHss61Dm3i
iDqiQ1XE7pvXlaQ21fUp9W3LSHMBmNYpCTl8JsCD+4lNK/INdRqpB44vBkaP1tbhCceLKB89
dd/x/qD6/CLPj9jdef</vt:lpwstr>
  </property>
  <property fmtid="{D5CDD505-2E9C-101B-9397-08002B2CF9AE}" pid="14" name="_2015_ms_pID_7253431">
    <vt:lpwstr>eCAAGFlLyIk5ImUdJjzd5/ESmuWdbunt21PnDAuOLzGiIc1yTKi1Pq
kcYXZXEh4h9PEyAg8Rl447jJj5zKz3JMb2PYYK0L1wkaCup4EgP63JWhS5DNlD4qxrMN8TxE
6D7bWnx8WSrNwNBFaKTNmMhim0a51z1i/KqEV/7ONLMTDt6F7kkdCwZqXeiAJ6WYkF1SUAH0
xl9FJi309plsicE5ExVl7UEe+7kg9SWo9ZAb</vt:lpwstr>
  </property>
  <property fmtid="{D5CDD505-2E9C-101B-9397-08002B2CF9AE}" pid="15" name="_2015_ms_pID_7253432">
    <vt:lpwstr>imgdh4HUV+XVkyGlTvngiwU=</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1631016384</vt:lpwstr>
  </property>
</Properties>
</file>