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ListParagraph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r>
        <w:rPr>
          <w:i/>
          <w:iCs/>
          <w:sz w:val="20"/>
          <w:szCs w:val="20"/>
        </w:rPr>
        <w:t>n+k</w:t>
      </w:r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SimSun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SimSun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ListParagraph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i/>
          <w:iCs/>
          <w:sz w:val="20"/>
          <w:szCs w:val="20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FFS: The configurable value range of K1 needs to be extended, and impact to related DCI field bitwidth.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SimSun"/>
          <w:sz w:val="21"/>
          <w:szCs w:val="21"/>
          <w:lang w:val="en-GB"/>
        </w:rPr>
      </w:pPr>
      <w:r w:rsidRPr="003709B4">
        <w:rPr>
          <w:rFonts w:eastAsia="SimSun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ListParagraph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Consistent behavior between slot-based and sub-slot-based HARQ-ACK feedback timing</w:t>
      </w:r>
    </w:p>
    <w:p w14:paraId="6B386069" w14:textId="2319EBCF" w:rsidR="007C1C89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ListParagraph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  <w:lang w:eastAsia="ko-KR"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Caption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Heading2"/>
      </w:pPr>
      <w:r>
        <w:t>3.1</w:t>
      </w:r>
      <w:r>
        <w:tab/>
        <w:t>First Round of Email Discussion</w:t>
      </w:r>
    </w:p>
    <w:p w14:paraId="235D1BA5" w14:textId="4FC53599" w:rsidR="007169F3" w:rsidRPr="00DE5865" w:rsidRDefault="00DE5865" w:rsidP="007169F3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</w:t>
      </w:r>
      <w:r w:rsidR="007169F3" w:rsidRPr="007169F3">
        <w:rPr>
          <w:sz w:val="20"/>
          <w:szCs w:val="20"/>
        </w:rPr>
        <w:t xml:space="preserve"> </w:t>
      </w:r>
      <w:r w:rsidR="007169F3" w:rsidRPr="00DE5865">
        <w:rPr>
          <w:sz w:val="20"/>
          <w:szCs w:val="20"/>
        </w:rPr>
        <w:t>ACK timing in Rel-16 with sub-slot-based HARQ-ACK feedback,</w:t>
      </w:r>
    </w:p>
    <w:p w14:paraId="45FA4F99" w14:textId="77777777" w:rsidR="007169F3" w:rsidRPr="00DE5865" w:rsidRDefault="007169F3" w:rsidP="007169F3">
      <w:pPr>
        <w:pStyle w:val="ListParagraph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2ECC8570" w14:textId="77777777" w:rsidR="007169F3" w:rsidRPr="00DE5865" w:rsidRDefault="007169F3" w:rsidP="007169F3">
      <w:pPr>
        <w:pStyle w:val="ListParagraph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1568FA2A" w14:textId="7727DFE4" w:rsidR="007169F3" w:rsidRDefault="007169F3" w:rsidP="007169F3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indicate which option </w:t>
      </w:r>
      <w:r w:rsidR="00DE5865" w:rsidRPr="00DE5865">
        <w:rPr>
          <w:sz w:val="20"/>
          <w:szCs w:val="20"/>
        </w:rPr>
        <w:t>-</w:t>
      </w:r>
    </w:p>
    <w:p w14:paraId="497B8009" w14:textId="5A6918AB" w:rsidR="00221E7A" w:rsidRDefault="00E97A77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lastRenderedPageBreak/>
        <w:t xml:space="preserve"> you support.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4EA57709" w:rsidR="00221E7A" w:rsidRPr="00362DEA" w:rsidRDefault="00142A0B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 xml:space="preserve">Nokia/NSB, </w:t>
            </w:r>
            <w:r w:rsidR="000C12E1">
              <w:rPr>
                <w:sz w:val="20"/>
                <w:szCs w:val="21"/>
              </w:rPr>
              <w:t>Qualcomm</w:t>
            </w:r>
            <w:r w:rsidR="003749A1" w:rsidRPr="003749A1">
              <w:rPr>
                <w:rFonts w:hint="eastAsia"/>
                <w:sz w:val="20"/>
                <w:szCs w:val="21"/>
              </w:rPr>
              <w:t>,</w:t>
            </w:r>
            <w:r w:rsidR="003749A1">
              <w:rPr>
                <w:sz w:val="20"/>
                <w:szCs w:val="21"/>
              </w:rPr>
              <w:t xml:space="preserve"> </w:t>
            </w:r>
            <w:r w:rsidR="003749A1" w:rsidRPr="003749A1">
              <w:rPr>
                <w:sz w:val="20"/>
                <w:szCs w:val="21"/>
              </w:rPr>
              <w:t>OPPO</w:t>
            </w:r>
            <w:r w:rsidR="003E18F0">
              <w:rPr>
                <w:sz w:val="20"/>
                <w:szCs w:val="21"/>
              </w:rPr>
              <w:t>,</w:t>
            </w:r>
            <w:r w:rsidR="009A1303"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 w:rsidR="003E18F0">
              <w:rPr>
                <w:sz w:val="20"/>
                <w:szCs w:val="21"/>
              </w:rPr>
              <w:t>vivo</w:t>
            </w:r>
            <w:r w:rsidR="009A1303">
              <w:rPr>
                <w:rFonts w:eastAsiaTheme="minorEastAsia" w:hint="eastAsia"/>
                <w:sz w:val="20"/>
                <w:szCs w:val="21"/>
              </w:rPr>
              <w:t>, CATT</w:t>
            </w:r>
            <w:r w:rsidR="003B3C70">
              <w:rPr>
                <w:rFonts w:eastAsiaTheme="minorEastAsia"/>
                <w:sz w:val="20"/>
                <w:szCs w:val="21"/>
              </w:rPr>
              <w:t>, HW/HiSi (slight preference)</w:t>
            </w:r>
            <w:r w:rsidR="00DE3239">
              <w:rPr>
                <w:rFonts w:eastAsiaTheme="minorEastAsia"/>
                <w:sz w:val="20"/>
                <w:szCs w:val="21"/>
              </w:rPr>
              <w:t>, DOCOMO</w:t>
            </w:r>
            <w:r w:rsidR="00362DEA"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 w:rsidR="00362DEA">
              <w:rPr>
                <w:rFonts w:eastAsia="MS Mincho"/>
                <w:sz w:val="20"/>
                <w:szCs w:val="21"/>
                <w:lang w:eastAsia="ja-JP"/>
              </w:rPr>
              <w:t xml:space="preserve"> Sharp</w:t>
            </w:r>
            <w:r w:rsidR="007F2E61">
              <w:rPr>
                <w:rFonts w:eastAsia="MS Mincho"/>
                <w:sz w:val="20"/>
                <w:szCs w:val="21"/>
                <w:lang w:eastAsia="ja-JP"/>
              </w:rPr>
              <w:t>, Intel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42E18AC1" w:rsidR="00221E7A" w:rsidRPr="00706EA6" w:rsidRDefault="007F2E61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TableGrid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1611BD38" w:rsidR="00221E7A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Qualcomm</w:t>
            </w:r>
          </w:p>
        </w:tc>
        <w:tc>
          <w:tcPr>
            <w:tcW w:w="8374" w:type="dxa"/>
          </w:tcPr>
          <w:p w14:paraId="35FBED54" w14:textId="77777777" w:rsidR="007E0257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We support Option 1. As pointed out by Nokia, Option 1 is what we agreed in RAN1 Rel-16 URLLC, and is what’s been implemented in the spec (TS 38.213, v16.6.0). </w:t>
            </w:r>
          </w:p>
          <w:p w14:paraId="6AAD7D09" w14:textId="77777777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  <w:p w14:paraId="36160EDB" w14:textId="374238DA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On the type-1 CB, Rel-16 doesn’t support sub-slot based Type-1 HARQ-ACK CB. So we are not sure why this should be taken into account for a Rel-16 CR discussion (at this late stage). 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7CADB824" w:rsidR="00221E7A" w:rsidRPr="00BC7B5F" w:rsidRDefault="00BC7B5F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>PPO</w:t>
            </w:r>
          </w:p>
        </w:tc>
        <w:tc>
          <w:tcPr>
            <w:tcW w:w="8374" w:type="dxa"/>
          </w:tcPr>
          <w:p w14:paraId="2E20F643" w14:textId="1C32D775" w:rsidR="000C1B7C" w:rsidRPr="000C1B7C" w:rsidRDefault="000C1B7C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</w:t>
            </w:r>
            <w:r>
              <w:rPr>
                <w:rFonts w:eastAsiaTheme="minorEastAsia"/>
                <w:sz w:val="20"/>
                <w:szCs w:val="21"/>
              </w:rPr>
              <w:t xml:space="preserve"> support option 1. As commented by Nokia and QC, option 1 can reduce the HARQ feedback latency, which is </w:t>
            </w:r>
            <w:r w:rsidRPr="000C1B7C">
              <w:rPr>
                <w:rFonts w:eastAsiaTheme="minorEastAsia"/>
                <w:sz w:val="20"/>
                <w:szCs w:val="21"/>
              </w:rPr>
              <w:t>the intention to introduce sub-slot based HARQ-ACK feedback in Rel-16.</w:t>
            </w:r>
            <w:r>
              <w:rPr>
                <w:rFonts w:eastAsiaTheme="minorEastAsia"/>
                <w:sz w:val="20"/>
                <w:szCs w:val="21"/>
              </w:rPr>
              <w:t xml:space="preserve"> </w:t>
            </w:r>
            <w:r w:rsidR="00283833">
              <w:rPr>
                <w:rFonts w:eastAsiaTheme="minorEastAsia"/>
                <w:sz w:val="20"/>
                <w:szCs w:val="21"/>
              </w:rPr>
              <w:t>And we share similar view with QC that Rel-16 does not support sub-slot based Type-1 HARQ-ACK CB so some changes (if needed) can leave to Rel-17 HARQ-ACK AI.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1CA55A53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321BDF6D" w14:textId="3A5D740D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Agree with Nokia, Qualcomm and OPPO. </w:t>
            </w:r>
            <w:r w:rsidR="00216127">
              <w:rPr>
                <w:rFonts w:eastAsiaTheme="minorEastAsia"/>
                <w:sz w:val="20"/>
                <w:szCs w:val="21"/>
              </w:rPr>
              <w:t>Option 2 is against t</w:t>
            </w:r>
            <w:r>
              <w:rPr>
                <w:rFonts w:eastAsiaTheme="minorEastAsia"/>
                <w:sz w:val="20"/>
                <w:szCs w:val="21"/>
              </w:rPr>
              <w:t>he intention of sub-slot</w:t>
            </w:r>
            <w:r w:rsidR="00216127">
              <w:rPr>
                <w:rFonts w:eastAsiaTheme="minorEastAsia"/>
                <w:sz w:val="20"/>
                <w:szCs w:val="21"/>
              </w:rPr>
              <w:t xml:space="preserve"> to reduce the</w:t>
            </w:r>
            <w:r>
              <w:rPr>
                <w:rFonts w:eastAsiaTheme="minorEastAsia"/>
                <w:sz w:val="20"/>
                <w:szCs w:val="21"/>
              </w:rPr>
              <w:t xml:space="preserve"> HAQ-ACK feedback latency. </w:t>
            </w:r>
            <w:r w:rsidR="00216127">
              <w:rPr>
                <w:rFonts w:eastAsiaTheme="minorEastAsia"/>
                <w:sz w:val="20"/>
                <w:szCs w:val="21"/>
              </w:rPr>
              <w:t>Sub-slot based type-1 CB is not supported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7916EECE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1F70FB9" w14:textId="7FD452DD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Same view as above.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291C2D90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HW/HiSi</w:t>
            </w:r>
          </w:p>
        </w:tc>
        <w:tc>
          <w:tcPr>
            <w:tcW w:w="8374" w:type="dxa"/>
          </w:tcPr>
          <w:p w14:paraId="09C74257" w14:textId="6B27F407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We have a slight preference for Option 1, since it does not extent the feedback delay, which could be the case with Option 2, if the PDSCH is scheduled in the front-part of the slot.  Additionally, Option 1 is </w:t>
            </w:r>
            <w:r w:rsidR="0038444F">
              <w:rPr>
                <w:sz w:val="20"/>
                <w:szCs w:val="21"/>
              </w:rPr>
              <w:t>aligned with the previous agreement.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1266D143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D</w:t>
            </w:r>
            <w:r>
              <w:rPr>
                <w:rFonts w:eastAsia="MS Mincho"/>
                <w:sz w:val="20"/>
                <w:szCs w:val="21"/>
                <w:lang w:eastAsia="ja-JP"/>
              </w:rPr>
              <w:t>OCOMO</w:t>
            </w:r>
          </w:p>
        </w:tc>
        <w:tc>
          <w:tcPr>
            <w:tcW w:w="8374" w:type="dxa"/>
          </w:tcPr>
          <w:p w14:paraId="37283128" w14:textId="641DD532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ption 1 should be supported based on the </w:t>
            </w:r>
            <w:r w:rsidRPr="00DE3239">
              <w:rPr>
                <w:rFonts w:eastAsia="MS Mincho"/>
                <w:sz w:val="20"/>
                <w:szCs w:val="21"/>
                <w:lang w:eastAsia="ja-JP"/>
              </w:rPr>
              <w:t>RAN1#97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agreement. We need to revert the agreement to support Option 2.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346B5352" w:rsidR="00705A00" w:rsidRPr="00705A00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03D60270" w14:textId="2ECE238C" w:rsidR="0089677E" w:rsidRPr="0089677E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At least, our preference is to have unified design regardless of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whether slot-based or sub-slot-based HARQ-ACK feedback is configured. So, before deciding which option is supported for sub-slot based HARQ-ACK feedback, we would like to hear other companies’ view on this aspect firstly.</w:t>
            </w:r>
            <w:r w:rsidR="008B3331">
              <w:rPr>
                <w:rFonts w:eastAsia="Malgun Gothic"/>
                <w:sz w:val="20"/>
                <w:szCs w:val="21"/>
                <w:lang w:eastAsia="ko-KR"/>
              </w:rPr>
              <w:t xml:space="preserve"> </w:t>
            </w:r>
          </w:p>
        </w:tc>
      </w:tr>
      <w:tr w:rsidR="00362DEA" w14:paraId="14C9D763" w14:textId="77777777">
        <w:tc>
          <w:tcPr>
            <w:tcW w:w="1255" w:type="dxa"/>
          </w:tcPr>
          <w:p w14:paraId="111A041D" w14:textId="08E3261A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S</w:t>
            </w:r>
            <w:r>
              <w:rPr>
                <w:rFonts w:eastAsia="MS Mincho"/>
                <w:sz w:val="20"/>
                <w:szCs w:val="21"/>
                <w:lang w:eastAsia="ja-JP"/>
              </w:rPr>
              <w:t>harp</w:t>
            </w:r>
          </w:p>
        </w:tc>
        <w:tc>
          <w:tcPr>
            <w:tcW w:w="8374" w:type="dxa"/>
          </w:tcPr>
          <w:p w14:paraId="2E1C7539" w14:textId="0D396C2B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>ption 2 increases latency for sub-slot based HARQ-ACK reporting. Option 1 reduces the latency.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2E64674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16507CC1" w14:textId="5D6118DB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see the motivation behind Option 2 and do not see the latency impact as significant. However, given that we have an explicit agreement from RAN1 #97 that points towards Option 1, it would be appropriate to go with Option 1.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171679F9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DB6A697" w14:textId="23E8050D" w:rsidR="00E2209E" w:rsidRDefault="00E2209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6AB318DE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2A764DFA" w14:textId="54520C6A" w:rsidR="00FE3727" w:rsidRDefault="00FE372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40C044FD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64E3F8B6" w14:textId="73CDFF19" w:rsidR="00DE3307" w:rsidRDefault="00DE3307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43117AB3" w14:textId="4F50AED3" w:rsidR="00221E7A" w:rsidRDefault="00221E7A">
      <w:pPr>
        <w:jc w:val="both"/>
        <w:rPr>
          <w:sz w:val="20"/>
          <w:szCs w:val="21"/>
        </w:rPr>
      </w:pPr>
    </w:p>
    <w:p w14:paraId="654FBEC0" w14:textId="212C789C" w:rsidR="004F40AC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Heading2"/>
      </w:pPr>
      <w:r>
        <w:t>3.2</w:t>
      </w:r>
      <w:r>
        <w:tab/>
        <w:t>Second Round of Email Discussion</w:t>
      </w:r>
    </w:p>
    <w:p w14:paraId="287A127F" w14:textId="77777777" w:rsidR="00942841" w:rsidRDefault="00942841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Heading1"/>
        <w:rPr>
          <w:lang w:val="en-US"/>
        </w:rPr>
      </w:pPr>
      <w:bookmarkStart w:id="1" w:name="_Toc503902285"/>
      <w:bookmarkStart w:id="2" w:name="_Toc415085486"/>
      <w:r>
        <w:rPr>
          <w:lang w:val="en-US"/>
        </w:rPr>
        <w:lastRenderedPageBreak/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1"/>
    <w:bookmarkEnd w:id="2"/>
    <w:p w14:paraId="6A2EFD87" w14:textId="77777777" w:rsidR="00221E7A" w:rsidRDefault="00E97A77">
      <w:pPr>
        <w:pStyle w:val="Heading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782F4" w14:textId="77777777" w:rsidR="00FC6422" w:rsidRDefault="00FC6422">
      <w:pPr>
        <w:spacing w:after="0" w:line="240" w:lineRule="auto"/>
      </w:pPr>
      <w:r>
        <w:separator/>
      </w:r>
    </w:p>
  </w:endnote>
  <w:endnote w:type="continuationSeparator" w:id="0">
    <w:p w14:paraId="70C95E63" w14:textId="77777777" w:rsidR="00FC6422" w:rsidRDefault="00FC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 Unicode MS"/>
    <w:charset w:val="02"/>
    <w:family w:val="modern"/>
    <w:pitch w:val="fixed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F8F0D" w14:textId="77777777" w:rsidR="007F2E61" w:rsidRDefault="007F2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2341477"/>
    </w:sdtPr>
    <w:sdtEndPr/>
    <w:sdtContent>
      <w:p w14:paraId="0DA33853" w14:textId="084B381E" w:rsidR="00221E7A" w:rsidRDefault="00E97A7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331" w:rsidRPr="008B3331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14:paraId="49B48405" w14:textId="77777777" w:rsidR="00221E7A" w:rsidRDefault="00221E7A">
    <w:pPr>
      <w:pStyle w:val="Footer"/>
    </w:pPr>
  </w:p>
  <w:p w14:paraId="2D3992AD" w14:textId="77777777" w:rsidR="00221E7A" w:rsidRDefault="00221E7A"/>
  <w:p w14:paraId="14BCCF0B" w14:textId="77777777" w:rsidR="00221E7A" w:rsidRDefault="00221E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3A43" w14:textId="77777777" w:rsidR="007F2E61" w:rsidRDefault="007F2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CDFE5" w14:textId="77777777" w:rsidR="00FC6422" w:rsidRDefault="00FC6422">
      <w:pPr>
        <w:spacing w:after="0" w:line="240" w:lineRule="auto"/>
      </w:pPr>
      <w:r>
        <w:separator/>
      </w:r>
    </w:p>
  </w:footnote>
  <w:footnote w:type="continuationSeparator" w:id="0">
    <w:p w14:paraId="6CEEE404" w14:textId="77777777" w:rsidR="00FC6422" w:rsidRDefault="00FC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DAEAE" w14:textId="77777777" w:rsidR="007F2E61" w:rsidRDefault="007F2E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5E592" w14:textId="77777777" w:rsidR="00221E7A" w:rsidRDefault="00E97A77">
    <w:pPr>
      <w:pStyle w:val="Header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7409" w14:textId="77777777" w:rsidR="007F2E61" w:rsidRDefault="007F2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 w15:restartNumberingAfterBreak="0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B7E55A4"/>
    <w:rsid w:val="0000011C"/>
    <w:rsid w:val="000005A9"/>
    <w:rsid w:val="000005C0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4A4D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12E1"/>
    <w:rsid w:val="000C1B7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0B2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582C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12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833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DEA"/>
    <w:rsid w:val="00362FF9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49A1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444F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2505"/>
    <w:rsid w:val="003B2C06"/>
    <w:rsid w:val="003B32CD"/>
    <w:rsid w:val="003B3B37"/>
    <w:rsid w:val="003B3C70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8F0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3BE9"/>
    <w:rsid w:val="00444734"/>
    <w:rsid w:val="0044535D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2FFF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C0F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3FC4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3D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74E6"/>
    <w:rsid w:val="00640446"/>
    <w:rsid w:val="006409E6"/>
    <w:rsid w:val="00641245"/>
    <w:rsid w:val="0064194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9AC"/>
    <w:rsid w:val="00671F57"/>
    <w:rsid w:val="006720A4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C13"/>
    <w:rsid w:val="006D5D23"/>
    <w:rsid w:val="006D5E08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9F3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3E0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0EBA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2E61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331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874"/>
    <w:rsid w:val="00955913"/>
    <w:rsid w:val="0095596B"/>
    <w:rsid w:val="00955CEF"/>
    <w:rsid w:val="00956571"/>
    <w:rsid w:val="009604F2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3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38A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B94"/>
    <w:rsid w:val="00B13095"/>
    <w:rsid w:val="00B1320C"/>
    <w:rsid w:val="00B136AB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4DA2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C7B5F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1E8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88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5AD"/>
    <w:rsid w:val="00DA3F2A"/>
    <w:rsid w:val="00DA4182"/>
    <w:rsid w:val="00DA480D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239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1F"/>
    <w:rsid w:val="00E468E3"/>
    <w:rsid w:val="00E50416"/>
    <w:rsid w:val="00E5072C"/>
    <w:rsid w:val="00E50D27"/>
    <w:rsid w:val="00E50F07"/>
    <w:rsid w:val="00E516FC"/>
    <w:rsid w:val="00E518C8"/>
    <w:rsid w:val="00E51A9B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422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85549380-ACA0-4CA1-9DF1-3810A5E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BalloonText">
    <w:name w:val="Balloon Text"/>
    <w:basedOn w:val="Normal"/>
    <w:semiHidden/>
    <w:qFormat/>
    <w:pPr>
      <w:spacing w:after="180"/>
    </w:pPr>
    <w:rPr>
      <w:rFonts w:ascii="Tahoma" w:eastAsia="SimSu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CommentReference">
    <w:name w:val="annotation reference"/>
    <w:semiHidden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80"/>
    </w:pPr>
    <w:rPr>
      <w:rFonts w:eastAsia="SimSu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</w:rPr>
  </w:style>
  <w:style w:type="paragraph" w:styleId="Header">
    <w:name w:val="header"/>
    <w:qFormat/>
    <w:pPr>
      <w:widowControl w:val="0"/>
    </w:pPr>
    <w:rPr>
      <w:rFonts w:ascii="Arial" w:eastAsia="SimSun" w:hAnsi="Arial"/>
      <w:b/>
      <w:sz w:val="18"/>
      <w:lang w:val="en-GB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styleId="FootnoteText">
    <w:name w:val="footnote text"/>
    <w:basedOn w:val="Normal"/>
    <w:semiHidden/>
    <w:qFormat/>
    <w:pPr>
      <w:keepLines/>
      <w:ind w:left="454" w:hanging="454"/>
    </w:pPr>
    <w:rPr>
      <w:rFonts w:eastAsia="SimSun"/>
      <w:sz w:val="16"/>
      <w:szCs w:val="20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keepLines/>
    </w:pPr>
    <w:rPr>
      <w:rFonts w:eastAsia="SimSun"/>
      <w:sz w:val="20"/>
      <w:szCs w:val="20"/>
      <w:lang w:val="en-GB" w:eastAsia="en-US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List">
    <w:name w:val="List"/>
    <w:basedOn w:val="Normal"/>
    <w:qFormat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paragraph" w:styleId="List2">
    <w:name w:val="List 2"/>
    <w:basedOn w:val="List"/>
    <w:qFormat/>
    <w:pPr>
      <w:ind w:left="851"/>
    </w:pPr>
  </w:style>
  <w:style w:type="paragraph" w:styleId="List3">
    <w:name w:val="List 3"/>
    <w:basedOn w:val="List2"/>
    <w:qFormat/>
    <w:pPr>
      <w:ind w:left="1135"/>
    </w:pPr>
  </w:style>
  <w:style w:type="paragraph" w:styleId="List4">
    <w:name w:val="List 4"/>
    <w:basedOn w:val="List3"/>
    <w:qFormat/>
    <w:pPr>
      <w:ind w:left="1418"/>
    </w:pPr>
  </w:style>
  <w:style w:type="paragraph" w:styleId="List5">
    <w:name w:val="List 5"/>
    <w:basedOn w:val="List4"/>
    <w:qFormat/>
    <w:pPr>
      <w:ind w:left="1702"/>
    </w:pPr>
  </w:style>
  <w:style w:type="paragraph" w:styleId="ListBullet">
    <w:name w:val="List Bullet"/>
    <w:basedOn w:val="List"/>
    <w:qFormat/>
  </w:style>
  <w:style w:type="paragraph" w:styleId="ListBullet2">
    <w:name w:val="List Bullet 2"/>
    <w:basedOn w:val="ListBullet"/>
    <w:qFormat/>
    <w:pPr>
      <w:ind w:left="851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">
    <w:name w:val="List Number"/>
    <w:basedOn w:val="List"/>
    <w:qFormat/>
  </w:style>
  <w:style w:type="paragraph" w:styleId="ListNumber2">
    <w:name w:val="List Number 2"/>
    <w:basedOn w:val="ListNumber"/>
    <w:qFormat/>
    <w:pPr>
      <w:ind w:left="851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BodyText"/>
    <w:next w:val="Normal"/>
    <w:uiPriority w:val="99"/>
    <w:unhideWhenUsed/>
    <w:qFormat/>
    <w:pPr>
      <w:ind w:left="1701" w:hanging="1701"/>
      <w:jc w:val="left"/>
    </w:pPr>
    <w:rPr>
      <w:b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SimSun"/>
      <w:sz w:val="22"/>
      <w:lang w:val="en-GB"/>
    </w:r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paragraph" w:customStyle="1" w:styleId="NO">
    <w:name w:val="NO"/>
    <w:basedOn w:val="Normal"/>
    <w:qFormat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EX">
    <w:name w:val="EX"/>
    <w:basedOn w:val="Normal"/>
    <w:qFormat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qFormat/>
    <w:rPr>
      <w:rFonts w:eastAsia="SimSun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SimSun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SimSun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SimSun" w:hAnsi="Arial"/>
      <w:lang w:val="en-GB"/>
    </w:rPr>
  </w:style>
  <w:style w:type="paragraph" w:customStyle="1" w:styleId="tdoc-header">
    <w:name w:val="tdoc-header"/>
    <w:qFormat/>
    <w:rPr>
      <w:rFonts w:ascii="Arial" w:eastAsia="SimSun" w:hAnsi="Arial"/>
      <w:sz w:val="24"/>
      <w:lang w:val="en-GB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pPr>
      <w:spacing w:after="180"/>
      <w:ind w:left="720"/>
      <w:contextualSpacing/>
    </w:pPr>
    <w:rPr>
      <w:rFonts w:eastAsia="SimSun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">
    <w:name w:val="未解決のメンション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aptionChar">
    <w:name w:val="Caption Char"/>
    <w:link w:val="Caption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DefaultParagraphFont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BodyText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BodyText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">
    <w:name w:val="列出段落3"/>
    <w:basedOn w:val="Normal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">
    <w:name w:val="列出段落7"/>
    <w:basedOn w:val="Normal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Normal"/>
    <w:qFormat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TableNormal"/>
    <w:qFormat/>
    <w:rPr>
      <w:rFonts w:ascii="Calibri" w:eastAsia="SimSu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Normal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qFormat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F240B3-C0E3-4964-B116-A3C05167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3GPP Contribution</vt:lpstr>
      <vt:lpstr>3GPP Contribution</vt:lpstr>
      <vt:lpstr>3GPP Contribution</vt:lpstr>
    </vt:vector>
  </TitlesOfParts>
  <Company>Apple Inc.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Chatterjee, Debdeep</cp:lastModifiedBy>
  <cp:revision>3</cp:revision>
  <cp:lastPrinted>1900-12-31T16:00:00Z</cp:lastPrinted>
  <dcterms:created xsi:type="dcterms:W3CDTF">2021-08-17T08:28:00Z</dcterms:created>
  <dcterms:modified xsi:type="dcterms:W3CDTF">2021-08-17T21:00:00Z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