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af8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굴림"/>
          <w:i/>
          <w:iCs/>
          <w:sz w:val="21"/>
          <w:szCs w:val="21"/>
        </w:rPr>
      </w:pPr>
      <w:r w:rsidRPr="00DF1DC5">
        <w:rPr>
          <w:rFonts w:eastAsia="굴림"/>
          <w:i/>
          <w:iCs/>
          <w:sz w:val="20"/>
          <w:szCs w:val="20"/>
        </w:rPr>
        <w:t>-</w:t>
      </w:r>
      <w:r w:rsidRPr="00DF1DC5">
        <w:rPr>
          <w:rFonts w:eastAsia="굴림"/>
          <w:i/>
          <w:iCs/>
          <w:sz w:val="11"/>
          <w:szCs w:val="11"/>
        </w:rPr>
        <w:t>       </w:t>
      </w:r>
      <w:r w:rsidRPr="00DF1DC5"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굴림"/>
          <w:i/>
          <w:iCs/>
          <w:sz w:val="21"/>
          <w:szCs w:val="21"/>
        </w:rPr>
      </w:pPr>
      <w:r w:rsidRPr="00DF1DC5">
        <w:rPr>
          <w:rFonts w:eastAsia="굴림"/>
          <w:i/>
          <w:iCs/>
          <w:sz w:val="20"/>
          <w:szCs w:val="20"/>
        </w:rPr>
        <w:t>-</w:t>
      </w:r>
      <w:r w:rsidRPr="00DF1DC5">
        <w:rPr>
          <w:rFonts w:eastAsia="굴림"/>
          <w:i/>
          <w:iCs/>
          <w:sz w:val="11"/>
          <w:szCs w:val="11"/>
        </w:rPr>
        <w:t>       </w:t>
      </w:r>
      <w:r w:rsidRPr="00DF1DC5"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바탕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바탕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바탕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바탕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바탕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바탕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바탕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SimSun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바탕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af8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af8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바탕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바탕"/>
          <w:sz w:val="22"/>
          <w:szCs w:val="32"/>
        </w:rPr>
        <w:t xml:space="preserve"> </w:t>
      </w:r>
      <w:r w:rsidRPr="003709B4">
        <w:rPr>
          <w:rFonts w:eastAsia="바탕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바탕"/>
          <w:sz w:val="22"/>
          <w:szCs w:val="32"/>
        </w:rPr>
        <w:t xml:space="preserve"> </w:t>
      </w:r>
      <w:r w:rsidRPr="003709B4">
        <w:rPr>
          <w:rFonts w:eastAsia="바탕"/>
          <w:sz w:val="22"/>
          <w:szCs w:val="32"/>
          <w:lang w:val="en-GB"/>
        </w:rPr>
        <w:t xml:space="preserve">2 is aligned with the working assumption that </w:t>
      </w:r>
      <w:r>
        <w:rPr>
          <w:rFonts w:eastAsia="바탕"/>
          <w:sz w:val="22"/>
          <w:szCs w:val="32"/>
          <w:lang w:val="en-GB"/>
        </w:rPr>
        <w:t>was</w:t>
      </w:r>
      <w:r w:rsidRPr="003709B4">
        <w:rPr>
          <w:rFonts w:eastAsia="바탕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바탕"/>
          <w:i/>
          <w:iCs/>
          <w:sz w:val="20"/>
          <w:szCs w:val="20"/>
          <w:lang w:val="en-GB"/>
        </w:rPr>
      </w:pPr>
      <w:r w:rsidRPr="003709B4">
        <w:rPr>
          <w:rFonts w:eastAsia="바탕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바탕"/>
          <w:i/>
          <w:iCs/>
          <w:sz w:val="20"/>
          <w:szCs w:val="20"/>
          <w:lang w:val="en-GB"/>
        </w:rPr>
        <w:t>:</w:t>
      </w:r>
      <w:r w:rsidR="00DE5865">
        <w:rPr>
          <w:rFonts w:eastAsia="바탕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FFS: The configurable value range of K1 needs to be extended, and impact to related DCI field bitwidth.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sz w:val="21"/>
          <w:szCs w:val="21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af8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af8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Consistent behavior between slot-based and sub-slot-based HARQ-ACK feedback timing</w:t>
      </w:r>
    </w:p>
    <w:p w14:paraId="6B386069" w14:textId="2319EBCF" w:rsidR="007C1C89" w:rsidRDefault="00E518C8" w:rsidP="007C1C89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  <w:lang w:eastAsia="ko-KR"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a5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235D1BA5" w14:textId="4FC53599" w:rsidR="007169F3" w:rsidRPr="00DE5865" w:rsidRDefault="00DE5865" w:rsidP="007169F3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</w:t>
      </w:r>
      <w:r w:rsidR="007169F3" w:rsidRPr="007169F3">
        <w:rPr>
          <w:sz w:val="20"/>
          <w:szCs w:val="20"/>
        </w:rPr>
        <w:t xml:space="preserve"> </w:t>
      </w:r>
      <w:r w:rsidR="007169F3" w:rsidRPr="00DE5865">
        <w:rPr>
          <w:sz w:val="20"/>
          <w:szCs w:val="20"/>
        </w:rPr>
        <w:t>ACK timing in Rel-16 with sub-slot-based HARQ-ACK feedback,</w:t>
      </w:r>
    </w:p>
    <w:p w14:paraId="45FA4F99" w14:textId="77777777" w:rsidR="007169F3" w:rsidRPr="00DE5865" w:rsidRDefault="007169F3" w:rsidP="007169F3">
      <w:pPr>
        <w:pStyle w:val="af8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2ECC8570" w14:textId="77777777" w:rsidR="007169F3" w:rsidRPr="00DE5865" w:rsidRDefault="007169F3" w:rsidP="007169F3">
      <w:pPr>
        <w:pStyle w:val="af8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1568FA2A" w14:textId="7727DFE4" w:rsidR="007169F3" w:rsidRDefault="007169F3" w:rsidP="007169F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option </w:t>
      </w:r>
      <w:r w:rsidR="00DE5865" w:rsidRPr="00DE5865">
        <w:rPr>
          <w:sz w:val="20"/>
          <w:szCs w:val="20"/>
        </w:rPr>
        <w:t>-</w:t>
      </w:r>
    </w:p>
    <w:p w14:paraId="497B8009" w14:textId="5A6918AB" w:rsidR="00221E7A" w:rsidRDefault="00E97A77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lastRenderedPageBreak/>
        <w:t xml:space="preserve"> you support.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07D0FE1C" w:rsidR="00221E7A" w:rsidRPr="009A1303" w:rsidRDefault="00142A0B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  <w:r w:rsidR="003E18F0">
              <w:rPr>
                <w:sz w:val="20"/>
                <w:szCs w:val="21"/>
              </w:rPr>
              <w:t>,</w:t>
            </w:r>
            <w:r w:rsidR="009A1303"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 w:rsidR="003E18F0">
              <w:rPr>
                <w:sz w:val="20"/>
                <w:szCs w:val="21"/>
              </w:rPr>
              <w:t>vivo</w:t>
            </w:r>
            <w:r w:rsidR="009A1303">
              <w:rPr>
                <w:rFonts w:eastAsiaTheme="minorEastAsia" w:hint="eastAsia"/>
                <w:sz w:val="20"/>
                <w:szCs w:val="21"/>
              </w:rPr>
              <w:t>, CATT</w:t>
            </w:r>
            <w:r w:rsidR="003B3C70">
              <w:rPr>
                <w:rFonts w:eastAsiaTheme="minorEastAsia"/>
                <w:sz w:val="20"/>
                <w:szCs w:val="21"/>
              </w:rPr>
              <w:t>, HW/HiSi (slight preference)</w:t>
            </w:r>
            <w:r w:rsidR="00DE3239">
              <w:rPr>
                <w:rFonts w:eastAsiaTheme="minorEastAsia"/>
                <w:sz w:val="20"/>
                <w:szCs w:val="21"/>
              </w:rPr>
              <w:t>, DOCOMO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3982563B" w:rsidR="00221E7A" w:rsidRPr="00706EA6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On the type-1 CB, Rel-16 doesn’t support sub-slot based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1CA55A53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321BDF6D" w14:textId="3A5D740D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Agree with Nokia, Qualcomm and OPPO. </w:t>
            </w:r>
            <w:r w:rsidR="00216127">
              <w:rPr>
                <w:rFonts w:eastAsiaTheme="minorEastAsia"/>
                <w:sz w:val="20"/>
                <w:szCs w:val="21"/>
              </w:rPr>
              <w:t>Option 2 is against t</w:t>
            </w:r>
            <w:r>
              <w:rPr>
                <w:rFonts w:eastAsiaTheme="minorEastAsia"/>
                <w:sz w:val="20"/>
                <w:szCs w:val="21"/>
              </w:rPr>
              <w:t>he intention of sub-slot</w:t>
            </w:r>
            <w:r w:rsidR="00216127">
              <w:rPr>
                <w:rFonts w:eastAsiaTheme="minorEastAsia"/>
                <w:sz w:val="20"/>
                <w:szCs w:val="21"/>
              </w:rPr>
              <w:t xml:space="preserve"> to reduce the</w:t>
            </w:r>
            <w:r>
              <w:rPr>
                <w:rFonts w:eastAsiaTheme="minorEastAsia"/>
                <w:sz w:val="20"/>
                <w:szCs w:val="21"/>
              </w:rPr>
              <w:t xml:space="preserve"> HAQ-ACK feedback latency. </w:t>
            </w:r>
            <w:r w:rsidR="00216127">
              <w:rPr>
                <w:rFonts w:eastAsiaTheme="minorEastAsia"/>
                <w:sz w:val="20"/>
                <w:szCs w:val="21"/>
              </w:rPr>
              <w:t>Sub-slot based type-1 CB is not supported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7916EECE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1F70FB9" w14:textId="7FD452DD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Same view as above.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291C2D90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HW/HiSi</w:t>
            </w:r>
          </w:p>
        </w:tc>
        <w:tc>
          <w:tcPr>
            <w:tcW w:w="8374" w:type="dxa"/>
          </w:tcPr>
          <w:p w14:paraId="09C74257" w14:textId="6B27F407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We have a slight preference for Option 1, since it does not extent the feedback delay, which could be the case with Option 2, if the PDSCH is scheduled in the front-part of the slot.  Additionally, Option 1 is </w:t>
            </w:r>
            <w:r w:rsidR="0038444F">
              <w:rPr>
                <w:sz w:val="20"/>
                <w:szCs w:val="21"/>
              </w:rPr>
              <w:t>aligned with the previous agreement.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1266D143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D</w:t>
            </w:r>
            <w:r>
              <w:rPr>
                <w:rFonts w:eastAsia="MS Mincho"/>
                <w:sz w:val="20"/>
                <w:szCs w:val="21"/>
                <w:lang w:eastAsia="ja-JP"/>
              </w:rPr>
              <w:t>OCOMO</w:t>
            </w:r>
          </w:p>
        </w:tc>
        <w:tc>
          <w:tcPr>
            <w:tcW w:w="8374" w:type="dxa"/>
          </w:tcPr>
          <w:p w14:paraId="37283128" w14:textId="641DD532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ption 1 should be supported based on the </w:t>
            </w:r>
            <w:r w:rsidRPr="00DE3239">
              <w:rPr>
                <w:rFonts w:eastAsia="MS Mincho"/>
                <w:sz w:val="20"/>
                <w:szCs w:val="21"/>
                <w:lang w:eastAsia="ja-JP"/>
              </w:rPr>
              <w:t>RAN1#97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agreement. We need to revert the agreement to support Option 2.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346B5352" w:rsidR="00705A00" w:rsidRPr="00705A00" w:rsidRDefault="00AD238A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03D60270" w14:textId="2ECE238C" w:rsidR="0089677E" w:rsidRPr="0089677E" w:rsidRDefault="00AD238A" w:rsidP="00DE5865">
            <w:pPr>
              <w:spacing w:after="0" w:line="240" w:lineRule="auto"/>
              <w:jc w:val="both"/>
              <w:rPr>
                <w:rFonts w:eastAsia="맑은 고딕" w:hint="eastAsia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At least, our preference is to have unified design regardless of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whether slot-based or sub-slot-based HARQ-ACK feedback is configured. So, before deciding which option is supported for sub-slot based HARQ-ACK feedback, we would like to hear other companies’ view on this aspect firstly.</w:t>
            </w:r>
            <w:r w:rsidR="008B3331">
              <w:rPr>
                <w:rFonts w:eastAsia="맑은 고딕"/>
                <w:sz w:val="20"/>
                <w:szCs w:val="21"/>
                <w:lang w:eastAsia="ko-KR"/>
              </w:rPr>
              <w:t xml:space="preserve"> </w:t>
            </w:r>
            <w:bookmarkStart w:id="1" w:name="_GoBack"/>
            <w:bookmarkEnd w:id="1"/>
          </w:p>
        </w:tc>
      </w:tr>
      <w:tr w:rsidR="009D212D" w14:paraId="14C9D763" w14:textId="77777777">
        <w:tc>
          <w:tcPr>
            <w:tcW w:w="1255" w:type="dxa"/>
          </w:tcPr>
          <w:p w14:paraId="111A041D" w14:textId="0D0B7F47" w:rsidR="009D212D" w:rsidRDefault="009D212D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E1C7539" w14:textId="7F73803C" w:rsidR="000E5E9E" w:rsidRDefault="000E5E9E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648D8303" w:rsidR="00706EA6" w:rsidRDefault="00706EA6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6507CC1" w14:textId="0D1E757A" w:rsidR="00706EA6" w:rsidRDefault="00706EA6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171679F9" w:rsidR="00E2209E" w:rsidRDefault="00E2209E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DB6A697" w14:textId="23E8050D" w:rsidR="00E2209E" w:rsidRDefault="00E2209E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6AB318DE" w:rsidR="00FE3727" w:rsidRDefault="00FE3727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A764DFA" w14:textId="54520C6A" w:rsidR="00FE3727" w:rsidRDefault="00FE3727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40C044FD" w:rsidR="00DE3307" w:rsidRDefault="00DE3307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64E3F8B6" w14:textId="73CDFF19" w:rsidR="00DE3307" w:rsidRDefault="00DE3307" w:rsidP="00DE5865">
            <w:pPr>
              <w:spacing w:after="0" w:line="240" w:lineRule="auto"/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</w:p>
        </w:tc>
      </w:tr>
    </w:tbl>
    <w:p w14:paraId="43117AB3" w14:textId="4F50AED3" w:rsidR="00221E7A" w:rsidRDefault="00221E7A">
      <w:pPr>
        <w:jc w:val="both"/>
        <w:rPr>
          <w:sz w:val="20"/>
          <w:szCs w:val="21"/>
        </w:rPr>
      </w:pPr>
    </w:p>
    <w:p w14:paraId="654FBEC0" w14:textId="212C789C" w:rsidR="004F40AC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lastRenderedPageBreak/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1E9F0" w14:textId="77777777" w:rsidR="00014A4D" w:rsidRDefault="00014A4D">
      <w:pPr>
        <w:spacing w:after="0" w:line="240" w:lineRule="auto"/>
      </w:pPr>
      <w:r>
        <w:separator/>
      </w:r>
    </w:p>
  </w:endnote>
  <w:endnote w:type="continuationSeparator" w:id="0">
    <w:p w14:paraId="67FD4705" w14:textId="77777777" w:rsidR="00014A4D" w:rsidRDefault="0001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341477"/>
    </w:sdtPr>
    <w:sdtEndPr/>
    <w:sdtContent>
      <w:p w14:paraId="0DA33853" w14:textId="084B381E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31" w:rsidRPr="008B3331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1186" w14:textId="77777777" w:rsidR="00014A4D" w:rsidRDefault="00014A4D">
      <w:pPr>
        <w:spacing w:after="0" w:line="240" w:lineRule="auto"/>
      </w:pPr>
      <w:r>
        <w:separator/>
      </w:r>
    </w:p>
  </w:footnote>
  <w:footnote w:type="continuationSeparator" w:id="0">
    <w:p w14:paraId="11CA7B47" w14:textId="77777777" w:rsidR="00014A4D" w:rsidRDefault="0001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4A4D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0B2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582C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12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444F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3C70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8F0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2FFF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C0F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3FC4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3D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9F3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0EBA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331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4F2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3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38A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1E8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239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1F"/>
    <w:rsid w:val="00E468E3"/>
    <w:rsid w:val="00E50416"/>
    <w:rsid w:val="00E5072C"/>
    <w:rsid w:val="00E50D27"/>
    <w:rsid w:val="00E50F07"/>
    <w:rsid w:val="00E516FC"/>
    <w:rsid w:val="00E518C8"/>
    <w:rsid w:val="00E51A9B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85549380-ACA0-4CA1-9DF1-3810A5E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4A7ED-6AE6-4E26-A340-8C83EDA3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박성진/표준연구팀(SR)/Staff Engineer/삼성전자</cp:lastModifiedBy>
  <cp:revision>9</cp:revision>
  <cp:lastPrinted>1900-12-31T16:00:00Z</cp:lastPrinted>
  <dcterms:created xsi:type="dcterms:W3CDTF">2021-08-17T08:11:00Z</dcterms:created>
  <dcterms:modified xsi:type="dcterms:W3CDTF">2021-08-17T08:13:00Z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