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proofErr w:type="gramStart"/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proofErr w:type="gramEnd"/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</w:t>
            </w:r>
            <w:proofErr w:type="spellStart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minDFI</w:t>
            </w:r>
            <w:proofErr w:type="spellEnd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54DD12A8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3D7A6239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5D8C4AA" w14:textId="777C1CB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561AA9CA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02B769B1" w14:textId="77777777" w:rsidTr="001E557C">
        <w:tc>
          <w:tcPr>
            <w:tcW w:w="1337" w:type="dxa"/>
          </w:tcPr>
          <w:p w14:paraId="3F9C41EF" w14:textId="3F9749E0" w:rsidR="001D700C" w:rsidRPr="001D700C" w:rsidRDefault="001D700C" w:rsidP="001D700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1337" w:type="dxa"/>
          </w:tcPr>
          <w:p w14:paraId="689A4A4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6884687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1338" w:type="dxa"/>
          </w:tcPr>
          <w:p w14:paraId="65BA6905" w14:textId="65068F3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  <w:tc>
          <w:tcPr>
            <w:tcW w:w="1338" w:type="dxa"/>
          </w:tcPr>
          <w:p w14:paraId="3B5BBF6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47B2346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</w:tr>
      <w:tr w:rsidR="001D700C" w14:paraId="71A1AC14" w14:textId="77777777" w:rsidTr="001E557C">
        <w:tc>
          <w:tcPr>
            <w:tcW w:w="1337" w:type="dxa"/>
          </w:tcPr>
          <w:p w14:paraId="515E56E9" w14:textId="20763558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1337" w:type="dxa"/>
          </w:tcPr>
          <w:p w14:paraId="2B38F78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269F336E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15A66D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4030AE65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D6031C" w14:paraId="39DF3329" w14:textId="77777777" w:rsidTr="001E557C">
        <w:tc>
          <w:tcPr>
            <w:tcW w:w="1337" w:type="dxa"/>
          </w:tcPr>
          <w:p w14:paraId="6BF9FCF2" w14:textId="6E9E3A1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</w:t>
            </w:r>
            <w:r>
              <w:t>G</w:t>
            </w:r>
          </w:p>
        </w:tc>
        <w:tc>
          <w:tcPr>
            <w:tcW w:w="1337" w:type="dxa"/>
          </w:tcPr>
          <w:p w14:paraId="7069BF7B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3E3BD5C" w14:textId="4727E524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7" w:type="dxa"/>
          </w:tcPr>
          <w:p w14:paraId="72E426A5" w14:textId="608E6CE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8" w:type="dxa"/>
          </w:tcPr>
          <w:p w14:paraId="35AB78E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E4B3F5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7CACB1E" w14:textId="52F56137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</w:tr>
      <w:tr w:rsidR="00822FFC" w14:paraId="1559FE75" w14:textId="77777777" w:rsidTr="001E557C">
        <w:tc>
          <w:tcPr>
            <w:tcW w:w="1337" w:type="dxa"/>
          </w:tcPr>
          <w:p w14:paraId="77F758C5" w14:textId="17E8A1BD" w:rsidR="00822FFC" w:rsidRDefault="00822FFC" w:rsidP="00822FFC">
            <w:r>
              <w:rPr>
                <w:lang w:eastAsia="en-US"/>
              </w:rPr>
              <w:t>Intel</w:t>
            </w:r>
          </w:p>
        </w:tc>
        <w:tc>
          <w:tcPr>
            <w:tcW w:w="1337" w:type="dxa"/>
          </w:tcPr>
          <w:p w14:paraId="67157693" w14:textId="52919C76" w:rsidR="00822FFC" w:rsidRDefault="00822FF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7" w:type="dxa"/>
          </w:tcPr>
          <w:p w14:paraId="3D72CCBB" w14:textId="372C3BAD" w:rsidR="00822FFC" w:rsidRDefault="00822FFC" w:rsidP="00822FFC">
            <w:r>
              <w:rPr>
                <w:lang w:eastAsia="en-US"/>
              </w:rPr>
              <w:t>Y</w:t>
            </w:r>
          </w:p>
        </w:tc>
        <w:tc>
          <w:tcPr>
            <w:tcW w:w="1337" w:type="dxa"/>
          </w:tcPr>
          <w:p w14:paraId="7824E7EA" w14:textId="36FA2966" w:rsidR="00822FFC" w:rsidRDefault="00822FFC" w:rsidP="00822FFC"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3AE1EEE0" w14:textId="7D29FADE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895CC63" w14:textId="5E61A183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CEB09A" w14:textId="462E66C9" w:rsidR="00822FFC" w:rsidRDefault="00822FFC" w:rsidP="00822FFC">
            <w:r>
              <w:rPr>
                <w:lang w:eastAsia="en-US"/>
              </w:rPr>
              <w:t>Y</w:t>
            </w:r>
          </w:p>
        </w:tc>
      </w:tr>
      <w:tr w:rsidR="007D6D0C" w14:paraId="1DA918D6" w14:textId="77777777" w:rsidTr="001E557C">
        <w:tc>
          <w:tcPr>
            <w:tcW w:w="1337" w:type="dxa"/>
          </w:tcPr>
          <w:p w14:paraId="6A8CD42B" w14:textId="7CA25680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MediaTek</w:t>
            </w:r>
          </w:p>
        </w:tc>
        <w:tc>
          <w:tcPr>
            <w:tcW w:w="1337" w:type="dxa"/>
          </w:tcPr>
          <w:p w14:paraId="37B471DA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080982E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05AEA57" w14:textId="7B2A92CB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3ADCC5FA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2A3CE68" w14:textId="2B4E79C5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213231B1" w14:textId="5F2607FD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75"/>
        <w:gridCol w:w="775"/>
        <w:gridCol w:w="775"/>
        <w:gridCol w:w="775"/>
        <w:gridCol w:w="775"/>
        <w:gridCol w:w="770"/>
        <w:gridCol w:w="775"/>
        <w:gridCol w:w="775"/>
        <w:gridCol w:w="775"/>
        <w:gridCol w:w="2092"/>
      </w:tblGrid>
      <w:tr w:rsidR="00B4673E" w14:paraId="133DA8DF" w14:textId="77777777" w:rsidTr="00822FFC">
        <w:trPr>
          <w:trHeight w:val="290"/>
        </w:trPr>
        <w:tc>
          <w:tcPr>
            <w:tcW w:w="107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775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775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775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775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77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775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775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775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2092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822FFC">
        <w:trPr>
          <w:trHeight w:val="290"/>
        </w:trPr>
        <w:tc>
          <w:tcPr>
            <w:tcW w:w="1075" w:type="dxa"/>
          </w:tcPr>
          <w:p w14:paraId="3F8424B1" w14:textId="39C2F7FC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775" w:type="dxa"/>
          </w:tcPr>
          <w:p w14:paraId="2248A169" w14:textId="3930B67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B805E2F" w14:textId="7695F45B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6AA20A5" w14:textId="1E159DD9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7B31F2E" w14:textId="21CB173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4FFF56BF" w14:textId="7C32FE72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1AFB282" w14:textId="1B47BB8A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1C5FE5E4" w14:textId="44EE7ECD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1754F544" w14:textId="77777777" w:rsidTr="00822FFC">
        <w:trPr>
          <w:trHeight w:val="290"/>
        </w:trPr>
        <w:tc>
          <w:tcPr>
            <w:tcW w:w="1075" w:type="dxa"/>
          </w:tcPr>
          <w:p w14:paraId="5A805E0A" w14:textId="0181800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775" w:type="dxa"/>
          </w:tcPr>
          <w:p w14:paraId="09A47D01" w14:textId="601A4E3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065C3AE7" w14:textId="6C373F23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1B4C517D" w14:textId="1E7E1EF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59DEEA45" w14:textId="6777EB16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0" w:type="dxa"/>
          </w:tcPr>
          <w:p w14:paraId="57CE4C4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052341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CA605F8" w14:textId="7E828BA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583FAED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1E246832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1D700C" w14:paraId="2F30BEBA" w14:textId="77777777" w:rsidTr="00822FFC">
        <w:trPr>
          <w:trHeight w:val="290"/>
        </w:trPr>
        <w:tc>
          <w:tcPr>
            <w:tcW w:w="1075" w:type="dxa"/>
          </w:tcPr>
          <w:p w14:paraId="1B697C5D" w14:textId="5709D647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775" w:type="dxa"/>
          </w:tcPr>
          <w:p w14:paraId="38D4BC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45CB7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3FC7DB1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86EB49D" w14:textId="01205D79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1A139F30" w14:textId="33EC9C46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7DCEB818" w14:textId="1733F58F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7E7971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140D7E2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64ACBEC8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D6031C" w14:paraId="725FF33C" w14:textId="77777777" w:rsidTr="00822FFC">
        <w:trPr>
          <w:trHeight w:val="290"/>
        </w:trPr>
        <w:tc>
          <w:tcPr>
            <w:tcW w:w="1075" w:type="dxa"/>
          </w:tcPr>
          <w:p w14:paraId="71CF03D3" w14:textId="1FD306B9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LG</w:t>
            </w:r>
          </w:p>
        </w:tc>
        <w:tc>
          <w:tcPr>
            <w:tcW w:w="775" w:type="dxa"/>
          </w:tcPr>
          <w:p w14:paraId="2DD2B628" w14:textId="7DB5A8E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7A2E3CB" w14:textId="3D1E24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F098C42" w14:textId="4871CA81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C568B93" w14:textId="50727F8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0" w:type="dxa"/>
          </w:tcPr>
          <w:p w14:paraId="1F35912C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650F07BE" w14:textId="5393D8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CA8FE29" w14:textId="69EC553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4A2B2138" w14:textId="2A8EF0AF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092" w:type="dxa"/>
          </w:tcPr>
          <w:p w14:paraId="73A62F44" w14:textId="3C56F912" w:rsidR="00D6031C" w:rsidRDefault="009E2FF4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 (</w:t>
            </w:r>
            <w:r>
              <w:t xml:space="preserve">only </w:t>
            </w:r>
            <w:r>
              <w:rPr>
                <w:rFonts w:hint="eastAsia"/>
              </w:rPr>
              <w:t>CR for 38.213)</w:t>
            </w:r>
          </w:p>
        </w:tc>
      </w:tr>
      <w:tr w:rsidR="00822FFC" w14:paraId="287934BD" w14:textId="77777777" w:rsidTr="00822FFC">
        <w:trPr>
          <w:trHeight w:val="290"/>
        </w:trPr>
        <w:tc>
          <w:tcPr>
            <w:tcW w:w="1075" w:type="dxa"/>
          </w:tcPr>
          <w:p w14:paraId="49614E6D" w14:textId="29EDD35F" w:rsidR="00822FFC" w:rsidRDefault="00822FFC" w:rsidP="00822FFC">
            <w:r>
              <w:rPr>
                <w:lang w:eastAsia="en-US"/>
              </w:rPr>
              <w:t>Intel</w:t>
            </w:r>
          </w:p>
        </w:tc>
        <w:tc>
          <w:tcPr>
            <w:tcW w:w="775" w:type="dxa"/>
          </w:tcPr>
          <w:p w14:paraId="350A8F1A" w14:textId="4CE98499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120BAAC" w14:textId="0F9AAB92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FA65DB6" w14:textId="1D354DB0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C65C117" w14:textId="05A438B4" w:rsidR="00822FFC" w:rsidRDefault="00822FFC" w:rsidP="00822FFC">
            <w:r w:rsidRPr="00B86B38">
              <w:rPr>
                <w:rFonts w:hint="eastAsia"/>
              </w:rPr>
              <w:t>Y</w:t>
            </w:r>
            <w:bookmarkStart w:id="0" w:name="_GoBack"/>
            <w:bookmarkEnd w:id="0"/>
          </w:p>
        </w:tc>
        <w:tc>
          <w:tcPr>
            <w:tcW w:w="770" w:type="dxa"/>
          </w:tcPr>
          <w:p w14:paraId="66AD957A" w14:textId="22D91B4E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C4C488E" w14:textId="4BF96A00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5884442" w14:textId="37E4B01D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57AF5531" w14:textId="0510FC63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2092" w:type="dxa"/>
          </w:tcPr>
          <w:p w14:paraId="7C6421FF" w14:textId="55E36E1B" w:rsidR="00822FFC" w:rsidRDefault="00822FFC" w:rsidP="00822FFC">
            <w:r>
              <w:rPr>
                <w:lang w:eastAsia="en-US"/>
              </w:rPr>
              <w:t>Y - Requires discussion – not all changes are agreeable and editorials</w:t>
            </w:r>
          </w:p>
        </w:tc>
      </w:tr>
    </w:tbl>
    <w:p w14:paraId="6AA7A0CC" w14:textId="3CCD474D" w:rsidR="001E557C" w:rsidRDefault="001E557C" w:rsidP="0014402E">
      <w:pPr>
        <w:rPr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55"/>
        <w:gridCol w:w="8107"/>
      </w:tblGrid>
      <w:tr w:rsidR="00B21ACD" w14:paraId="4560113E" w14:textId="77777777" w:rsidTr="00B21ACD">
        <w:tc>
          <w:tcPr>
            <w:tcW w:w="1255" w:type="dxa"/>
          </w:tcPr>
          <w:p w14:paraId="19BC4286" w14:textId="29DA34C2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7" w:type="dxa"/>
          </w:tcPr>
          <w:p w14:paraId="6650D09D" w14:textId="74D9D354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B21ACD" w14:paraId="3EA34792" w14:textId="77777777" w:rsidTr="00B21ACD">
        <w:tc>
          <w:tcPr>
            <w:tcW w:w="1255" w:type="dxa"/>
          </w:tcPr>
          <w:p w14:paraId="11825B2E" w14:textId="68153701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8107" w:type="dxa"/>
          </w:tcPr>
          <w:p w14:paraId="009C3028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T1, seems not update of the status of the regulation, so we prefer to delay the discussion. </w:t>
            </w:r>
          </w:p>
          <w:p w14:paraId="143455EF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T2, we didn’t see an essential issue with current wording in the specification. </w:t>
            </w:r>
          </w:p>
          <w:p w14:paraId="64854B2D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T4, no need for the specification change. </w:t>
            </w:r>
            <w:proofErr w:type="gramStart"/>
            <w:r>
              <w:rPr>
                <w:lang w:eastAsia="en-US"/>
              </w:rPr>
              <w:t>gNB</w:t>
            </w:r>
            <w:proofErr w:type="gramEnd"/>
            <w:r>
              <w:rPr>
                <w:lang w:eastAsia="en-US"/>
              </w:rPr>
              <w:t xml:space="preserve"> can ensure a proper scheduling by implementation. </w:t>
            </w:r>
          </w:p>
          <w:p w14:paraId="0FC08292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T5, the TP is not essential, and didn’t see a difference of UE behaviour with/without the TP. </w:t>
            </w:r>
          </w:p>
          <w:p w14:paraId="288A2E70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E5, seems all timelines in current specification didn’t use the wording “at least”, and it should be ok to keep current wording. </w:t>
            </w:r>
          </w:p>
          <w:p w14:paraId="4B5656E0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E6, the TP is correct, but may not be that essential. It can be understood as a general description in the beginning, and an exception in the later paragraph. Even with current wording, UE will not implement in an alternative way. </w:t>
            </w:r>
          </w:p>
          <w:p w14:paraId="50F0BD84" w14:textId="4AE0090F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E8, the TP is not essential, and may not be beneficial for future compatibility. </w:t>
            </w:r>
          </w:p>
        </w:tc>
      </w:tr>
      <w:tr w:rsidR="003333DE" w:rsidRPr="003333DE" w14:paraId="07B5D402" w14:textId="77777777" w:rsidTr="00B21ACD">
        <w:tc>
          <w:tcPr>
            <w:tcW w:w="1255" w:type="dxa"/>
          </w:tcPr>
          <w:p w14:paraId="7F10DED7" w14:textId="3B646ADA" w:rsidR="003333DE" w:rsidRPr="003333DE" w:rsidRDefault="003333DE" w:rsidP="00B21ACD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7" w:type="dxa"/>
          </w:tcPr>
          <w:p w14:paraId="005E7381" w14:textId="7F4C9DA5" w:rsidR="00071A8B" w:rsidRDefault="00071A8B" w:rsidP="00B21ACD">
            <w:pPr>
              <w:pStyle w:val="a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T5: We also do not see the need for the spec change as we don't see an ambiguity; it seems the behavior would be the same (without ambiguity) both with and without the CR.</w:t>
            </w:r>
          </w:p>
          <w:p w14:paraId="4541C881" w14:textId="6D08A994" w:rsidR="003333DE" w:rsidRPr="003333DE" w:rsidRDefault="003333DE" w:rsidP="00B21ACD">
            <w:pPr>
              <w:pStyle w:val="a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E6: I believe the spec would benefit from clarification to avoid ambiguity on which OCC index is applied (0 or 1)</w:t>
            </w:r>
          </w:p>
        </w:tc>
      </w:tr>
      <w:tr w:rsidR="007D6D0C" w:rsidRPr="003333DE" w14:paraId="1C5ED4F7" w14:textId="77777777" w:rsidTr="00B21ACD">
        <w:tc>
          <w:tcPr>
            <w:tcW w:w="1255" w:type="dxa"/>
          </w:tcPr>
          <w:p w14:paraId="6560A720" w14:textId="688F8442" w:rsidR="007D6D0C" w:rsidRDefault="007D6D0C" w:rsidP="007D6D0C">
            <w:pPr>
              <w:rPr>
                <w:lang w:eastAsia="en-US"/>
              </w:rPr>
            </w:pPr>
            <w:r w:rsidRPr="005D47BE">
              <w:rPr>
                <w:rFonts w:hint="eastAsia"/>
                <w:lang w:eastAsia="en-US"/>
              </w:rPr>
              <w:t>MediaTek</w:t>
            </w:r>
          </w:p>
        </w:tc>
        <w:tc>
          <w:tcPr>
            <w:tcW w:w="8107" w:type="dxa"/>
          </w:tcPr>
          <w:p w14:paraId="47F85196" w14:textId="64D1C957" w:rsidR="007D6D0C" w:rsidRDefault="007D6D0C" w:rsidP="007D6D0C">
            <w:pPr>
              <w:pStyle w:val="a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 w:rsidRPr="005D47BE">
              <w:rPr>
                <w:rFonts w:hint="eastAsia"/>
                <w:lang w:eastAsia="en-US"/>
              </w:rPr>
              <w:t>For T5,</w:t>
            </w:r>
            <w:r w:rsidRPr="005D47BE">
              <w:rPr>
                <w:rFonts w:ascii="新細明體" w:eastAsia="新細明體" w:hAnsi="新細明體" w:hint="eastAsia"/>
                <w:lang w:eastAsia="zh-TW"/>
              </w:rPr>
              <w:t xml:space="preserve"> w</w:t>
            </w:r>
            <w:r w:rsidRPr="005D47BE">
              <w:rPr>
                <w:rFonts w:hint="eastAsia"/>
                <w:lang w:eastAsia="en-US"/>
              </w:rPr>
              <w:t xml:space="preserve">e are fine if </w:t>
            </w:r>
            <w:r w:rsidRPr="005D47BE">
              <w:rPr>
                <w:lang w:eastAsia="en-US"/>
              </w:rPr>
              <w:t>companies have common understanding</w:t>
            </w:r>
            <w:r>
              <w:rPr>
                <w:lang w:eastAsia="en-US"/>
              </w:rPr>
              <w:t xml:space="preserve"> that UE behavior would be the same with or without the CR. If not, we concern the ambiguity </w:t>
            </w:r>
            <w:r w:rsidRPr="005D47BE">
              <w:rPr>
                <w:lang w:eastAsia="en-US"/>
              </w:rPr>
              <w:t>whether UE shou</w:t>
            </w:r>
            <w:r>
              <w:rPr>
                <w:lang w:eastAsia="en-US"/>
              </w:rPr>
              <w:t>ld perform SSSG switching</w:t>
            </w:r>
            <w:r w:rsidRPr="005D47BE">
              <w:rPr>
                <w:lang w:eastAsia="en-US"/>
              </w:rPr>
              <w:t xml:space="preserve"> if UE detects a DCI on a PDCCH candidate associated with multiple search space sets and not all of the associated search space sets belong to SSSG#0</w:t>
            </w:r>
            <w:r>
              <w:rPr>
                <w:lang w:eastAsia="en-US"/>
              </w:rPr>
              <w:t>.</w:t>
            </w:r>
          </w:p>
        </w:tc>
      </w:tr>
    </w:tbl>
    <w:p w14:paraId="2A352BAB" w14:textId="77777777" w:rsidR="00B21ACD" w:rsidRPr="0014402E" w:rsidRDefault="00B21ACD" w:rsidP="0014402E">
      <w:pPr>
        <w:rPr>
          <w:lang w:eastAsia="en-US"/>
        </w:rPr>
      </w:pPr>
    </w:p>
    <w:p w14:paraId="7E9D7115" w14:textId="5ED9E16D" w:rsidR="00614B95" w:rsidRDefault="00DB1D06">
      <w:pPr>
        <w:pStyle w:val="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R1-2106441, Changes of channel access procedure in TS 37.213, Huawei, </w:t>
      </w:r>
      <w:proofErr w:type="spellStart"/>
      <w:r>
        <w:rPr>
          <w:lang w:eastAsia="en-US"/>
        </w:rPr>
        <w:t>HiSilicon</w:t>
      </w:r>
      <w:proofErr w:type="spellEnd"/>
    </w:p>
    <w:p w14:paraId="2CE6586F" w14:textId="7811F0A5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lastRenderedPageBreak/>
        <w:t xml:space="preserve">R1-2106507, Discussion on the impact of MIIT consultation to channel access procedure, Huawei, </w:t>
      </w:r>
      <w:proofErr w:type="spellStart"/>
      <w:r>
        <w:rPr>
          <w:lang w:eastAsia="en-US"/>
        </w:rPr>
        <w:t>HiSilicon</w:t>
      </w:r>
      <w:proofErr w:type="spellEnd"/>
    </w:p>
    <w:p w14:paraId="1BDB6A0D" w14:textId="0240E8E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R1-2106508, Correction on RRC parameter name of HARQ-ACK codebook in TS37.213, Huawei, </w:t>
      </w:r>
      <w:proofErr w:type="spellStart"/>
      <w:r>
        <w:rPr>
          <w:lang w:eastAsia="en-US"/>
        </w:rPr>
        <w:t>HiSilicon</w:t>
      </w:r>
      <w:proofErr w:type="spellEnd"/>
    </w:p>
    <w:p w14:paraId="4B803263" w14:textId="5B295B95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R1-2106509, Correction on DFI flag in DCI format 0-1 in TS38.212, Huawei, </w:t>
      </w:r>
      <w:proofErr w:type="spellStart"/>
      <w:r>
        <w:rPr>
          <w:lang w:eastAsia="en-US"/>
        </w:rPr>
        <w:t>HiSilicon</w:t>
      </w:r>
      <w:proofErr w:type="spellEnd"/>
    </w:p>
    <w:p w14:paraId="1019EC9D" w14:textId="0E19C806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R1-2106510, Changes of channel access procedure according to MIIT regulation in TS 38.212, Huawei, </w:t>
      </w:r>
      <w:proofErr w:type="spellStart"/>
      <w:r>
        <w:rPr>
          <w:lang w:eastAsia="en-US"/>
        </w:rPr>
        <w:t>HiSilicon</w:t>
      </w:r>
      <w:proofErr w:type="spellEnd"/>
    </w:p>
    <w:p w14:paraId="4D97050C" w14:textId="6020934A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R1-2106518, Corrections on CG-UCI multiplexing in TS38.212, Huawei, </w:t>
      </w:r>
      <w:proofErr w:type="spellStart"/>
      <w:r>
        <w:rPr>
          <w:lang w:eastAsia="en-US"/>
        </w:rPr>
        <w:t>HiSilicon</w:t>
      </w:r>
      <w:proofErr w:type="spellEnd"/>
    </w:p>
    <w:p w14:paraId="35A9782C" w14:textId="720DD6A2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R1-2107010, Editorial correction on the channel access for type-2 random access, ZTE, </w:t>
      </w:r>
      <w:proofErr w:type="spellStart"/>
      <w:r>
        <w:rPr>
          <w:lang w:eastAsia="en-US"/>
        </w:rPr>
        <w:t>Sanechips</w:t>
      </w:r>
      <w:proofErr w:type="spellEnd"/>
    </w:p>
    <w:p w14:paraId="1C842B7F" w14:textId="258B42C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R1-2107012, Alignment CR on the parameter name of discovery burst window length, ZTE, </w:t>
      </w:r>
      <w:proofErr w:type="spellStart"/>
      <w:r>
        <w:rPr>
          <w:lang w:eastAsia="en-US"/>
        </w:rPr>
        <w:t>Sanechips</w:t>
      </w:r>
      <w:proofErr w:type="spellEnd"/>
    </w:p>
    <w:p w14:paraId="15857A3C" w14:textId="3538A8F3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R1-2107236, Draft CR on LBT bandwidth, OPPO</w:t>
      </w:r>
    </w:p>
    <w:p w14:paraId="334112A1" w14:textId="5187EA27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R1-2108049, Correction on channel access type and CP extension </w:t>
      </w:r>
      <w:proofErr w:type="spellStart"/>
      <w:r>
        <w:rPr>
          <w:lang w:eastAsia="en-US"/>
        </w:rPr>
        <w:t>indictaion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ASUSTeK</w:t>
      </w:r>
      <w:proofErr w:type="spellEnd"/>
    </w:p>
    <w:p w14:paraId="2E26061C" w14:textId="358F4B18" w:rsidR="00F61BA1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R1-2108051, Correction on </w:t>
      </w:r>
      <w:proofErr w:type="spellStart"/>
      <w:r>
        <w:rPr>
          <w:lang w:eastAsia="en-US"/>
        </w:rPr>
        <w:t>ChannelAccess-CPext</w:t>
      </w:r>
      <w:proofErr w:type="spellEnd"/>
      <w:r>
        <w:rPr>
          <w:lang w:eastAsia="en-US"/>
        </w:rPr>
        <w:t xml:space="preserve"> field in RAR, </w:t>
      </w:r>
      <w:proofErr w:type="spellStart"/>
      <w:r>
        <w:rPr>
          <w:lang w:eastAsia="en-US"/>
        </w:rPr>
        <w:t>ASUSTeK</w:t>
      </w:r>
      <w:proofErr w:type="spellEnd"/>
    </w:p>
    <w:p w14:paraId="32D8083D" w14:textId="1AD79BD5" w:rsidR="00227D0A" w:rsidRDefault="00227D0A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8FF4E" w14:textId="77777777" w:rsidR="00CF47BC" w:rsidRDefault="00CF47BC">
      <w:pPr>
        <w:spacing w:after="0"/>
      </w:pPr>
      <w:r>
        <w:separator/>
      </w:r>
    </w:p>
  </w:endnote>
  <w:endnote w:type="continuationSeparator" w:id="0">
    <w:p w14:paraId="617BBA59" w14:textId="77777777" w:rsidR="00CF47BC" w:rsidRDefault="00CF4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B6F36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4063733" w14:textId="77777777" w:rsidR="00614B95" w:rsidRDefault="00614B95">
    <w:pPr>
      <w:pStyle w:val="af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5370" w14:textId="2A738E3F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D6D0C">
      <w:rPr>
        <w:rStyle w:val="af9"/>
        <w:noProof/>
      </w:rPr>
      <w:t>2</w:t>
    </w:r>
    <w:r>
      <w:rPr>
        <w:rStyle w:val="af9"/>
      </w:rPr>
      <w:fldChar w:fldCharType="end"/>
    </w:r>
  </w:p>
  <w:p w14:paraId="0D73B958" w14:textId="77777777" w:rsidR="00614B95" w:rsidRDefault="00614B95">
    <w:pPr>
      <w:pStyle w:val="af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0227" w14:textId="77777777" w:rsidR="00822FFC" w:rsidRDefault="00822F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1AD41" w14:textId="77777777" w:rsidR="00CF47BC" w:rsidRDefault="00CF47BC">
      <w:pPr>
        <w:spacing w:after="0"/>
      </w:pPr>
      <w:r>
        <w:separator/>
      </w:r>
    </w:p>
  </w:footnote>
  <w:footnote w:type="continuationSeparator" w:id="0">
    <w:p w14:paraId="55CE18B0" w14:textId="77777777" w:rsidR="00CF47BC" w:rsidRDefault="00CF4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E1DC" w14:textId="77777777" w:rsidR="00822FFC" w:rsidRDefault="00822FF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72422" w14:textId="77777777" w:rsidR="00822FFC" w:rsidRDefault="00822FF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E97BC" w14:textId="77777777" w:rsidR="00822FFC" w:rsidRDefault="00822FF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2BC6"/>
    <w:multiLevelType w:val="hybridMultilevel"/>
    <w:tmpl w:val="259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A8B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E4B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0EC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456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0C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DE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9BB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6D0C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2FFC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2FF4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ACD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7BC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31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2F82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2F9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a6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7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8">
    <w:name w:val="annotation text"/>
    <w:basedOn w:val="a1"/>
    <w:link w:val="a9"/>
    <w:qFormat/>
    <w:pPr>
      <w:jc w:val="left"/>
    </w:pPr>
  </w:style>
  <w:style w:type="paragraph" w:styleId="aa">
    <w:name w:val="Body Text"/>
    <w:basedOn w:val="a1"/>
    <w:link w:val="ab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2">
    <w:name w:val="toc 3"/>
    <w:basedOn w:val="a1"/>
    <w:next w:val="a1"/>
    <w:qFormat/>
    <w:pPr>
      <w:spacing w:after="100"/>
      <w:ind w:left="400"/>
    </w:pPr>
  </w:style>
  <w:style w:type="paragraph" w:styleId="ac">
    <w:name w:val="Plain Text"/>
    <w:basedOn w:val="a1"/>
    <w:link w:val="ad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e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">
    <w:name w:val="footer"/>
    <w:basedOn w:val="a1"/>
    <w:link w:val="af0"/>
    <w:qFormat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1"/>
    <w:link w:val="af2"/>
    <w:qFormat/>
    <w:pPr>
      <w:tabs>
        <w:tab w:val="center" w:pos="4252"/>
        <w:tab w:val="right" w:pos="8504"/>
      </w:tabs>
      <w:snapToGrid w:val="0"/>
    </w:pPr>
  </w:style>
  <w:style w:type="paragraph" w:styleId="af3">
    <w:name w:val="List"/>
    <w:basedOn w:val="a1"/>
    <w:qFormat/>
    <w:pPr>
      <w:ind w:left="360" w:hanging="360"/>
      <w:contextualSpacing/>
    </w:pPr>
  </w:style>
  <w:style w:type="paragraph" w:styleId="af4">
    <w:name w:val="footnote text"/>
    <w:basedOn w:val="a1"/>
    <w:link w:val="af5"/>
    <w:qFormat/>
    <w:pPr>
      <w:snapToGrid w:val="0"/>
      <w:jc w:val="left"/>
    </w:pPr>
    <w:rPr>
      <w:lang w:val="zh-CN" w:eastAsia="zh-CN"/>
    </w:rPr>
  </w:style>
  <w:style w:type="paragraph" w:styleId="Web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af6">
    <w:name w:val="annotation subject"/>
    <w:basedOn w:val="a8"/>
    <w:next w:val="a8"/>
    <w:semiHidden/>
    <w:qFormat/>
    <w:rPr>
      <w:b/>
      <w:bCs/>
    </w:rPr>
  </w:style>
  <w:style w:type="table" w:styleId="af7">
    <w:name w:val="Table Grid"/>
    <w:aliases w:val="Table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page number"/>
    <w:basedOn w:val="a2"/>
    <w:qFormat/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c">
    <w:name w:val="annotation reference"/>
    <w:qFormat/>
    <w:rPr>
      <w:sz w:val="18"/>
      <w:szCs w:val="18"/>
    </w:rPr>
  </w:style>
  <w:style w:type="character" w:styleId="afd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6">
    <w:name w:val="標號 字元"/>
    <w:link w:val="a5"/>
    <w:qFormat/>
    <w:rPr>
      <w:b/>
      <w:lang w:val="en-GB" w:eastAsia="en-US" w:bidi="ar-SA"/>
    </w:rPr>
  </w:style>
  <w:style w:type="character" w:customStyle="1" w:styleId="ab">
    <w:name w:val="本文 字元"/>
    <w:link w:val="aa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f2">
    <w:name w:val="頁首 字元"/>
    <w:link w:val="af1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af5">
    <w:name w:val="註腳文字 字元"/>
    <w:link w:val="af4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"/>
    <w:basedOn w:val="a1"/>
    <w:link w:val="afe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d">
    <w:name w:val="純文字 字元"/>
    <w:link w:val="ac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f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e">
    <w:name w:val="清單段落 字元"/>
    <w:aliases w:val="- Bullets 字元,Lista1 字元,?? ?? 字元,????? 字元,???? 字元,列出段落1 字元,中等深浅网格 1 - 着色 21 字元,列表段落1 字元,—ño’i—Ž 字元,¥¡¡¡¡ì¬º¥¹¥È¶ÎÂä 字元,ÁÐ³ö¶ÎÂä 字元,¥ê¥¹¥È¶ÎÂä 字元,1st level - Bullet List Paragraph 字元,Lettre d'introduction 字元,Paragrafo elenco 字元,Normal bullet 2 字元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標題 3 字元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0">
    <w:name w:val="頁尾 字元"/>
    <w:link w:val="af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3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9">
    <w:name w:val="註解文字 字元"/>
    <w:link w:val="a8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4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FC2496-1B10-4FA8-89D6-34CE20C2EA2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E6EDC99-75F6-4BD3-B384-E6E88347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Darcy Tsai</cp:lastModifiedBy>
  <cp:revision>3</cp:revision>
  <cp:lastPrinted>2019-01-10T09:30:00Z</cp:lastPrinted>
  <dcterms:created xsi:type="dcterms:W3CDTF">2021-08-11T03:39:00Z</dcterms:created>
  <dcterms:modified xsi:type="dcterms:W3CDTF">2021-08-11T04:22:00Z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