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8608C" w14:textId="6D891585" w:rsidR="00557990" w:rsidRPr="00297FDC" w:rsidRDefault="00557990" w:rsidP="00557990">
      <w:pPr>
        <w:tabs>
          <w:tab w:val="right" w:pos="9639"/>
        </w:tabs>
        <w:spacing w:after="60"/>
        <w:rPr>
          <w:rFonts w:ascii="Arial" w:hAnsi="Arial" w:cs="Arial"/>
          <w:b/>
          <w:sz w:val="22"/>
          <w:szCs w:val="22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297FDC">
        <w:rPr>
          <w:rFonts w:ascii="Arial" w:hAnsi="Arial" w:cs="Arial"/>
          <w:b/>
          <w:sz w:val="22"/>
          <w:szCs w:val="22"/>
        </w:rPr>
        <w:t xml:space="preserve">3GPP TSG-RAN WG1 Meeting #106-e </w:t>
      </w:r>
      <w:r w:rsidRPr="00297FDC">
        <w:rPr>
          <w:rFonts w:ascii="Arial" w:hAnsi="Arial" w:cs="Arial"/>
          <w:b/>
          <w:sz w:val="22"/>
          <w:szCs w:val="22"/>
        </w:rPr>
        <w:tab/>
        <w:t>R1-</w:t>
      </w:r>
      <w:r w:rsidR="00E45380" w:rsidRPr="00297FDC">
        <w:rPr>
          <w:rFonts w:ascii="Arial" w:hAnsi="Arial" w:cs="Arial"/>
          <w:b/>
          <w:sz w:val="22"/>
          <w:szCs w:val="22"/>
        </w:rPr>
        <w:t>21</w:t>
      </w:r>
      <w:r w:rsidR="00C9725E" w:rsidRPr="00297FDC">
        <w:rPr>
          <w:rFonts w:ascii="Arial" w:hAnsi="Arial" w:cs="Arial"/>
          <w:b/>
          <w:sz w:val="22"/>
          <w:szCs w:val="22"/>
        </w:rPr>
        <w:t>08088</w:t>
      </w:r>
    </w:p>
    <w:p w14:paraId="045CD140" w14:textId="0BC483EC" w:rsidR="00557990" w:rsidRPr="00297FDC" w:rsidRDefault="00557990" w:rsidP="00557990">
      <w:pPr>
        <w:rPr>
          <w:rFonts w:ascii="Arial" w:hAnsi="Arial" w:cs="Arial"/>
          <w:b/>
          <w:sz w:val="22"/>
          <w:szCs w:val="22"/>
          <w:lang w:val="en-AU"/>
        </w:rPr>
      </w:pPr>
      <w:r w:rsidRPr="00297FDC">
        <w:rPr>
          <w:rFonts w:ascii="Arial" w:hAnsi="Arial" w:cs="Arial"/>
          <w:b/>
          <w:sz w:val="22"/>
          <w:szCs w:val="22"/>
          <w:lang w:val="en-AU"/>
        </w:rPr>
        <w:t>Online, 16</w:t>
      </w:r>
      <w:r w:rsidRPr="00297FDC">
        <w:rPr>
          <w:rFonts w:ascii="Arial" w:hAnsi="Arial" w:cs="Arial"/>
          <w:b/>
          <w:sz w:val="22"/>
          <w:szCs w:val="22"/>
          <w:vertAlign w:val="superscript"/>
          <w:lang w:val="en-AU"/>
        </w:rPr>
        <w:t>th</w:t>
      </w:r>
      <w:r w:rsidRPr="00297FDC">
        <w:rPr>
          <w:rFonts w:ascii="Arial" w:hAnsi="Arial" w:cs="Arial"/>
          <w:b/>
          <w:sz w:val="22"/>
          <w:szCs w:val="22"/>
          <w:lang w:val="en-AU"/>
        </w:rPr>
        <w:t xml:space="preserve"> – 27</w:t>
      </w:r>
      <w:r w:rsidRPr="00297FDC">
        <w:rPr>
          <w:rFonts w:ascii="Arial" w:hAnsi="Arial" w:cs="Arial"/>
          <w:b/>
          <w:sz w:val="22"/>
          <w:szCs w:val="22"/>
          <w:vertAlign w:val="superscript"/>
          <w:lang w:val="en-AU"/>
        </w:rPr>
        <w:t>th</w:t>
      </w:r>
      <w:r w:rsidRPr="00297FDC">
        <w:rPr>
          <w:rFonts w:ascii="Arial" w:hAnsi="Arial" w:cs="Arial"/>
          <w:b/>
          <w:sz w:val="22"/>
          <w:szCs w:val="22"/>
          <w:lang w:val="en-AU"/>
        </w:rPr>
        <w:t xml:space="preserve"> August 2021</w:t>
      </w:r>
    </w:p>
    <w:p w14:paraId="77D4376C" w14:textId="25AE164E" w:rsidR="00557990" w:rsidRPr="00297FDC" w:rsidRDefault="00557990" w:rsidP="00557990">
      <w:pPr>
        <w:tabs>
          <w:tab w:val="left" w:pos="1800"/>
        </w:tabs>
        <w:spacing w:after="60"/>
        <w:rPr>
          <w:rFonts w:ascii="Arial" w:hAnsi="Arial" w:cs="Arial"/>
          <w:b/>
          <w:sz w:val="24"/>
          <w:szCs w:val="22"/>
        </w:rPr>
      </w:pPr>
      <w:r w:rsidRPr="00297FDC">
        <w:rPr>
          <w:rFonts w:ascii="Arial" w:hAnsi="Arial" w:cs="Arial"/>
          <w:b/>
          <w:sz w:val="24"/>
          <w:szCs w:val="22"/>
        </w:rPr>
        <w:t>Agenda Item:</w:t>
      </w:r>
      <w:r w:rsidRPr="00297FDC">
        <w:rPr>
          <w:rFonts w:ascii="Arial" w:hAnsi="Arial" w:cs="Arial"/>
          <w:b/>
          <w:sz w:val="24"/>
          <w:szCs w:val="22"/>
        </w:rPr>
        <w:tab/>
        <w:t>8.6.1.4</w:t>
      </w:r>
    </w:p>
    <w:p w14:paraId="235F2CC3" w14:textId="7565E4A8" w:rsidR="00557990" w:rsidRPr="00297FDC" w:rsidRDefault="00557990" w:rsidP="00557990">
      <w:pPr>
        <w:tabs>
          <w:tab w:val="left" w:pos="1800"/>
        </w:tabs>
        <w:spacing w:after="60"/>
        <w:rPr>
          <w:rFonts w:ascii="Arial" w:hAnsi="Arial" w:cs="Arial"/>
          <w:b/>
          <w:sz w:val="24"/>
          <w:szCs w:val="22"/>
        </w:rPr>
      </w:pPr>
      <w:r w:rsidRPr="00297FDC">
        <w:rPr>
          <w:rFonts w:ascii="Arial" w:hAnsi="Arial" w:cs="Arial"/>
          <w:b/>
          <w:sz w:val="24"/>
          <w:szCs w:val="22"/>
        </w:rPr>
        <w:t xml:space="preserve">Source: </w:t>
      </w:r>
      <w:r w:rsidRPr="00297FDC">
        <w:rPr>
          <w:rFonts w:ascii="Arial" w:hAnsi="Arial" w:cs="Arial"/>
          <w:b/>
          <w:sz w:val="24"/>
          <w:szCs w:val="22"/>
        </w:rPr>
        <w:tab/>
        <w:t>u-blox AG</w:t>
      </w:r>
    </w:p>
    <w:p w14:paraId="1544F881" w14:textId="31C8750E" w:rsidR="00557990" w:rsidRPr="00297FDC" w:rsidRDefault="00557990" w:rsidP="00557990">
      <w:pPr>
        <w:tabs>
          <w:tab w:val="left" w:pos="1800"/>
        </w:tabs>
        <w:spacing w:after="60"/>
        <w:ind w:left="1980" w:hanging="1980"/>
        <w:rPr>
          <w:rFonts w:ascii="Arial" w:hAnsi="Arial" w:cs="Arial"/>
          <w:b/>
          <w:sz w:val="24"/>
          <w:szCs w:val="22"/>
        </w:rPr>
      </w:pPr>
      <w:r w:rsidRPr="00297FDC">
        <w:rPr>
          <w:rFonts w:ascii="Arial" w:hAnsi="Arial" w:cs="Arial"/>
          <w:b/>
          <w:color w:val="000000"/>
          <w:sz w:val="24"/>
          <w:szCs w:val="22"/>
        </w:rPr>
        <w:t>Title:</w:t>
      </w:r>
      <w:r w:rsidRPr="00297FDC">
        <w:rPr>
          <w:rFonts w:ascii="Arial" w:hAnsi="Arial" w:cs="Arial"/>
          <w:b/>
          <w:color w:val="000000"/>
          <w:sz w:val="24"/>
          <w:szCs w:val="22"/>
        </w:rPr>
        <w:tab/>
      </w:r>
      <w:r w:rsidR="00E45380" w:rsidRPr="00297FDC">
        <w:rPr>
          <w:rFonts w:ascii="Arial" w:hAnsi="Arial" w:cs="Arial"/>
          <w:b/>
          <w:color w:val="000000"/>
          <w:sz w:val="24"/>
          <w:szCs w:val="22"/>
        </w:rPr>
        <w:t xml:space="preserve">RedCap </w:t>
      </w:r>
      <w:r w:rsidR="006608FC" w:rsidRPr="00297FDC">
        <w:rPr>
          <w:rFonts w:ascii="Arial" w:hAnsi="Arial" w:cs="Arial"/>
          <w:b/>
          <w:color w:val="000000"/>
          <w:sz w:val="24"/>
          <w:szCs w:val="22"/>
        </w:rPr>
        <w:t xml:space="preserve">UE </w:t>
      </w:r>
      <w:r w:rsidR="00E45380" w:rsidRPr="00297FDC">
        <w:rPr>
          <w:rFonts w:ascii="Arial" w:hAnsi="Arial" w:cs="Arial"/>
          <w:b/>
          <w:color w:val="000000"/>
          <w:sz w:val="24"/>
          <w:szCs w:val="22"/>
        </w:rPr>
        <w:t xml:space="preserve">Further Complexity Reduction Considerations </w:t>
      </w:r>
    </w:p>
    <w:p w14:paraId="11FE212B" w14:textId="77777777" w:rsidR="00557990" w:rsidRPr="00297FDC" w:rsidRDefault="00557990" w:rsidP="00557990">
      <w:pPr>
        <w:tabs>
          <w:tab w:val="left" w:pos="1800"/>
        </w:tabs>
        <w:spacing w:after="60"/>
        <w:rPr>
          <w:rFonts w:ascii="Arial" w:hAnsi="Arial" w:cs="Arial"/>
          <w:b/>
          <w:sz w:val="24"/>
          <w:szCs w:val="22"/>
        </w:rPr>
      </w:pPr>
      <w:r w:rsidRPr="00297FDC">
        <w:rPr>
          <w:rFonts w:ascii="Arial" w:hAnsi="Arial" w:cs="Arial"/>
          <w:b/>
          <w:sz w:val="24"/>
          <w:szCs w:val="22"/>
        </w:rPr>
        <w:t>Document for:</w:t>
      </w:r>
      <w:r w:rsidRPr="00297FDC">
        <w:rPr>
          <w:rFonts w:ascii="Arial" w:hAnsi="Arial" w:cs="Arial"/>
          <w:b/>
          <w:sz w:val="24"/>
          <w:szCs w:val="22"/>
        </w:rPr>
        <w:tab/>
        <w:t>Discussion / Decision</w:t>
      </w:r>
    </w:p>
    <w:p w14:paraId="5D4B19DA" w14:textId="77777777" w:rsidR="00557990" w:rsidRPr="00297FDC" w:rsidRDefault="00557990" w:rsidP="00557990">
      <w:pPr>
        <w:pStyle w:val="Heading1"/>
        <w:numPr>
          <w:ilvl w:val="0"/>
          <w:numId w:val="1"/>
        </w:numPr>
        <w:rPr>
          <w:rFonts w:cs="Arial"/>
        </w:rPr>
      </w:pPr>
      <w:r w:rsidRPr="00297FDC">
        <w:rPr>
          <w:rFonts w:cs="Arial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297FDC">
        <w:rPr>
          <w:rFonts w:cs="Arial"/>
        </w:rPr>
        <w:t xml:space="preserve"> </w:t>
      </w:r>
    </w:p>
    <w:p w14:paraId="614B9014" w14:textId="761E2536" w:rsidR="00306AF4" w:rsidRPr="00297FDC" w:rsidRDefault="00306AF4" w:rsidP="00306AF4">
      <w:r w:rsidRPr="00297FDC">
        <w:t xml:space="preserve">Release 17 NR_redcap WI </w:t>
      </w:r>
      <w:r w:rsidRPr="00297FDC">
        <w:fldChar w:fldCharType="begin"/>
      </w:r>
      <w:r w:rsidRPr="00297FDC">
        <w:instrText xml:space="preserve"> REF _Ref71581645 \n \h </w:instrText>
      </w:r>
      <w:r w:rsidR="00297FDC" w:rsidRPr="00297FDC">
        <w:instrText xml:space="preserve"> \* MERGEFORMAT </w:instrText>
      </w:r>
      <w:r w:rsidRPr="00297FDC">
        <w:fldChar w:fldCharType="separate"/>
      </w:r>
      <w:r w:rsidR="004B5EA6" w:rsidRPr="00297FDC">
        <w:t>[1]</w:t>
      </w:r>
      <w:r w:rsidRPr="00297FDC">
        <w:fldChar w:fldCharType="end"/>
      </w:r>
      <w:r w:rsidRPr="00297FDC">
        <w:t xml:space="preserve"> is </w:t>
      </w:r>
      <w:r w:rsidR="004B01F1" w:rsidRPr="00297FDC">
        <w:t>expected</w:t>
      </w:r>
      <w:r w:rsidR="003264B4" w:rsidRPr="00297FDC">
        <w:t xml:space="preserve"> </w:t>
      </w:r>
      <w:r w:rsidR="000B239A" w:rsidRPr="00297FDC">
        <w:t>to</w:t>
      </w:r>
      <w:r w:rsidRPr="00297FDC">
        <w:t xml:space="preserve"> “</w:t>
      </w:r>
      <w:r w:rsidRPr="00297FDC">
        <w:rPr>
          <w:i/>
          <w:iCs/>
        </w:rPr>
        <w:t>specify a UE feature and parameter list with lower end capabilities, relative to Release 16 eMBB and URLLC NR</w:t>
      </w:r>
      <w:r w:rsidRPr="00297FDC">
        <w:t>” to serve three use cases</w:t>
      </w:r>
      <w:r w:rsidR="000B239A" w:rsidRPr="00297FDC">
        <w:t>: “</w:t>
      </w:r>
      <w:r w:rsidR="000B239A" w:rsidRPr="00297FDC">
        <w:rPr>
          <w:i/>
          <w:iCs/>
        </w:rPr>
        <w:t>industrial wireless sensors</w:t>
      </w:r>
      <w:r w:rsidR="000B239A" w:rsidRPr="00297FDC">
        <w:t>”, “</w:t>
      </w:r>
      <w:r w:rsidR="000B239A" w:rsidRPr="00297FDC">
        <w:rPr>
          <w:i/>
          <w:iCs/>
        </w:rPr>
        <w:t>video</w:t>
      </w:r>
      <w:r w:rsidR="000B239A" w:rsidRPr="00297FDC">
        <w:t xml:space="preserve"> </w:t>
      </w:r>
      <w:r w:rsidR="000B239A" w:rsidRPr="00297FDC">
        <w:rPr>
          <w:i/>
          <w:iCs/>
        </w:rPr>
        <w:t>surveillance</w:t>
      </w:r>
      <w:r w:rsidR="000B239A" w:rsidRPr="00297FDC">
        <w:t>”, and “</w:t>
      </w:r>
      <w:r w:rsidR="000B239A" w:rsidRPr="00297FDC">
        <w:rPr>
          <w:i/>
          <w:iCs/>
        </w:rPr>
        <w:t>wearables</w:t>
      </w:r>
      <w:r w:rsidR="000B239A" w:rsidRPr="00297FDC">
        <w:t>”</w:t>
      </w:r>
      <w:r w:rsidR="003264B4" w:rsidRPr="00297FDC">
        <w:t xml:space="preserve">. </w:t>
      </w:r>
    </w:p>
    <w:p w14:paraId="0E8EDA3B" w14:textId="2A44D42E" w:rsidR="009968E3" w:rsidRPr="00297FDC" w:rsidRDefault="004A37C9" w:rsidP="00306AF4">
      <w:r w:rsidRPr="00297FDC">
        <w:t>More specifically</w:t>
      </w:r>
      <w:r w:rsidR="00F45C7C" w:rsidRPr="00297FDC">
        <w:t xml:space="preserve"> </w:t>
      </w:r>
      <w:r w:rsidR="00EC70A6" w:rsidRPr="00297FDC">
        <w:fldChar w:fldCharType="begin"/>
      </w:r>
      <w:r w:rsidR="00EC70A6" w:rsidRPr="00297FDC">
        <w:instrText xml:space="preserve"> REF _Ref71581645 \n \h </w:instrText>
      </w:r>
      <w:r w:rsidR="00297FDC" w:rsidRPr="00297FDC">
        <w:instrText xml:space="preserve"> \* MERGEFORMAT </w:instrText>
      </w:r>
      <w:r w:rsidR="00EC70A6" w:rsidRPr="00297FDC">
        <w:fldChar w:fldCharType="separate"/>
      </w:r>
      <w:r w:rsidR="004B5EA6" w:rsidRPr="00297FDC">
        <w:t>[1]</w:t>
      </w:r>
      <w:r w:rsidR="00EC70A6" w:rsidRPr="00297FDC">
        <w:fldChar w:fldCharType="end"/>
      </w:r>
      <w:r w:rsidR="00F45C7C" w:rsidRPr="00297FDC">
        <w:fldChar w:fldCharType="begin"/>
      </w:r>
      <w:r w:rsidR="00F45C7C" w:rsidRPr="00297FDC">
        <w:instrText xml:space="preserve"> REF _Ref79053030 \n \h </w:instrText>
      </w:r>
      <w:r w:rsidR="00297FDC" w:rsidRPr="00297FDC">
        <w:instrText xml:space="preserve"> \* MERGEFORMAT </w:instrText>
      </w:r>
      <w:r w:rsidR="00F45C7C" w:rsidRPr="00297FDC">
        <w:fldChar w:fldCharType="separate"/>
      </w:r>
      <w:r w:rsidR="004B5EA6" w:rsidRPr="00297FDC">
        <w:t>[2]</w:t>
      </w:r>
      <w:r w:rsidR="00F45C7C" w:rsidRPr="00297FDC">
        <w:fldChar w:fldCharType="end"/>
      </w:r>
      <w:r w:rsidRPr="00297FDC">
        <w:t xml:space="preserve">: </w:t>
      </w:r>
    </w:p>
    <w:p w14:paraId="5A60B3EB" w14:textId="79275109" w:rsidR="004A37C9" w:rsidRPr="00297FDC" w:rsidRDefault="004A37C9" w:rsidP="004A37C9">
      <w:pPr>
        <w:pStyle w:val="ListParagraph"/>
        <w:numPr>
          <w:ilvl w:val="0"/>
          <w:numId w:val="5"/>
        </w:numPr>
      </w:pPr>
      <w:r w:rsidRPr="00297FDC">
        <w:rPr>
          <w:i/>
          <w:iCs/>
        </w:rPr>
        <w:t>Industrial wireless sensors</w:t>
      </w:r>
      <w:r w:rsidRPr="00297FDC">
        <w:t>: reference bit rate is less than 2 Mbps (potentially asymmetric e.g. UL heavy traffic) for all use cases and the device is stationary.</w:t>
      </w:r>
    </w:p>
    <w:p w14:paraId="745CB4B6" w14:textId="480FCF46" w:rsidR="004A37C9" w:rsidRPr="00297FDC" w:rsidRDefault="004A37C9" w:rsidP="004A37C9">
      <w:pPr>
        <w:pStyle w:val="ListParagraph"/>
        <w:numPr>
          <w:ilvl w:val="0"/>
          <w:numId w:val="5"/>
        </w:numPr>
      </w:pPr>
      <w:r w:rsidRPr="00297FDC">
        <w:rPr>
          <w:i/>
          <w:iCs/>
        </w:rPr>
        <w:t>Video surveillance</w:t>
      </w:r>
      <w:r w:rsidR="00F45C7C" w:rsidRPr="00297FDC">
        <w:t>: reference economic video bitrate would be 2-4 Mbps; High-end video e.g. for farming would require 7.5-25 Mbps</w:t>
      </w:r>
    </w:p>
    <w:p w14:paraId="218F9EF3" w14:textId="39B02998" w:rsidR="00F45C7C" w:rsidRPr="00297FDC" w:rsidRDefault="00F45C7C" w:rsidP="004A37C9">
      <w:pPr>
        <w:pStyle w:val="ListParagraph"/>
        <w:numPr>
          <w:ilvl w:val="0"/>
          <w:numId w:val="5"/>
        </w:numPr>
      </w:pPr>
      <w:r w:rsidRPr="00297FDC">
        <w:rPr>
          <w:i/>
          <w:iCs/>
        </w:rPr>
        <w:t>Wearables</w:t>
      </w:r>
      <w:r w:rsidRPr="00297FDC">
        <w:t xml:space="preserve">: </w:t>
      </w:r>
      <w:r w:rsidR="004B01F1" w:rsidRPr="00297FDC">
        <w:t>r</w:t>
      </w:r>
      <w:r w:rsidRPr="00297FDC">
        <w:t>eference bitrate for smart wearable application can be 5-50 Mbps in DL and 2-5 Mbps in UL, and peak bit rate of the device can be higher, up to 150 Mbps for downlink and up to 50 Mbps for uplink</w:t>
      </w:r>
    </w:p>
    <w:p w14:paraId="65EB76CB" w14:textId="78FA3CE2" w:rsidR="00557990" w:rsidRPr="00297FDC" w:rsidRDefault="003264B4">
      <w:r w:rsidRPr="00297FDC">
        <w:t xml:space="preserve">This contribution discusses some additional </w:t>
      </w:r>
      <w:r w:rsidR="00650252" w:rsidRPr="00297FDC">
        <w:t>aspects to consider</w:t>
      </w:r>
      <w:r w:rsidRPr="00297FDC">
        <w:t xml:space="preserve"> for </w:t>
      </w:r>
      <w:r w:rsidR="00650252" w:rsidRPr="00297FDC">
        <w:t xml:space="preserve">complexity reduction for RedCap </w:t>
      </w:r>
      <w:r w:rsidR="008A347A" w:rsidRPr="00297FDC">
        <w:t xml:space="preserve">UE </w:t>
      </w:r>
      <w:r w:rsidR="00650252" w:rsidRPr="00297FDC">
        <w:t xml:space="preserve">to address </w:t>
      </w:r>
      <w:r w:rsidR="00A13323" w:rsidRPr="00297FDC">
        <w:t xml:space="preserve">the </w:t>
      </w:r>
      <w:r w:rsidR="00A948FA" w:rsidRPr="00297FDC">
        <w:t>above target</w:t>
      </w:r>
      <w:r w:rsidR="00650252" w:rsidRPr="00297FDC">
        <w:t xml:space="preserve"> use cases. </w:t>
      </w:r>
    </w:p>
    <w:p w14:paraId="7C195229" w14:textId="17153CBF" w:rsidR="009968E3" w:rsidRPr="00297FDC" w:rsidRDefault="009968E3" w:rsidP="009968E3">
      <w:pPr>
        <w:pStyle w:val="Heading1"/>
        <w:numPr>
          <w:ilvl w:val="0"/>
          <w:numId w:val="1"/>
        </w:numPr>
        <w:rPr>
          <w:rFonts w:cs="Arial"/>
        </w:rPr>
      </w:pPr>
      <w:r w:rsidRPr="00297FDC">
        <w:rPr>
          <w:rFonts w:cs="Arial"/>
        </w:rPr>
        <w:t>Discussions</w:t>
      </w:r>
    </w:p>
    <w:p w14:paraId="01188CDB" w14:textId="2D8CB092" w:rsidR="008A7ADF" w:rsidRPr="00297FDC" w:rsidRDefault="004B01F1">
      <w:r w:rsidRPr="00297FDC">
        <w:t xml:space="preserve">The justifications of </w:t>
      </w:r>
      <w:r w:rsidR="001E7ECE" w:rsidRPr="00297FDC">
        <w:t xml:space="preserve">additional </w:t>
      </w:r>
      <w:r w:rsidRPr="00297FDC">
        <w:t>s</w:t>
      </w:r>
      <w:r w:rsidR="008A7ADF" w:rsidRPr="00297FDC">
        <w:t>caling factor</w:t>
      </w:r>
      <w:r w:rsidRPr="00297FDC">
        <w:t>s</w:t>
      </w:r>
      <w:r w:rsidR="008A7ADF" w:rsidRPr="00297FDC">
        <w:t xml:space="preserve"> </w:t>
      </w:r>
      <w:r w:rsidRPr="00297FDC">
        <w:t>were</w:t>
      </w:r>
      <w:r w:rsidR="008A7ADF" w:rsidRPr="00297FDC">
        <w:t xml:space="preserve"> discussed in RAN1</w:t>
      </w:r>
      <w:r w:rsidR="00A16393" w:rsidRPr="00297FDC">
        <w:t>,</w:t>
      </w:r>
      <w:r w:rsidR="008A7ADF" w:rsidRPr="00297FDC">
        <w:t xml:space="preserve"> and</w:t>
      </w:r>
      <w:r w:rsidR="00A16393" w:rsidRPr="00297FDC">
        <w:t xml:space="preserve"> a list of scalingFactor was</w:t>
      </w:r>
      <w:r w:rsidR="008A7ADF" w:rsidRPr="00297FDC">
        <w:t xml:space="preserve"> introduced in Rel-15 to resolve RF and baseband capabilities mismatch</w:t>
      </w:r>
      <w:r w:rsidRPr="00297FDC">
        <w:t xml:space="preserve"> for non-RedCap UEs </w:t>
      </w:r>
      <w:r w:rsidRPr="00297FDC">
        <w:fldChar w:fldCharType="begin"/>
      </w:r>
      <w:r w:rsidRPr="00297FDC">
        <w:instrText xml:space="preserve"> REF _Ref79061203 \n \h </w:instrText>
      </w:r>
      <w:r w:rsidR="00297FDC" w:rsidRPr="00297FDC">
        <w:instrText xml:space="preserve"> \* MERGEFORMAT </w:instrText>
      </w:r>
      <w:r w:rsidRPr="00297FDC">
        <w:fldChar w:fldCharType="separate"/>
      </w:r>
      <w:r w:rsidR="004B5EA6" w:rsidRPr="00297FDC">
        <w:t>[4]</w:t>
      </w:r>
      <w:r w:rsidRPr="00297FDC">
        <w:fldChar w:fldCharType="end"/>
      </w:r>
      <w:r w:rsidRPr="00297FDC">
        <w:t xml:space="preserve">. </w:t>
      </w:r>
    </w:p>
    <w:p w14:paraId="04EECDB7" w14:textId="77777777" w:rsidR="004B01F1" w:rsidRPr="00297FDC" w:rsidRDefault="004B01F1" w:rsidP="004B01F1">
      <w:pPr>
        <w:pStyle w:val="ListParagraph"/>
        <w:numPr>
          <w:ilvl w:val="0"/>
          <w:numId w:val="7"/>
        </w:numPr>
        <w:rPr>
          <w:i/>
          <w:iCs/>
        </w:rPr>
      </w:pPr>
      <w:r w:rsidRPr="00297FDC">
        <w:rPr>
          <w:i/>
          <w:iCs/>
        </w:rPr>
        <w:t xml:space="preserve">Scaling factor is used to reflect the association of capability mismatch between the baseband capability and RF capability for both SA UE and NSA UE.  </w:t>
      </w:r>
    </w:p>
    <w:p w14:paraId="5856A65E" w14:textId="487620DA" w:rsidR="004B01F1" w:rsidRPr="00297FDC" w:rsidRDefault="004B01F1" w:rsidP="004B01F1">
      <w:pPr>
        <w:pStyle w:val="ListParagraph"/>
        <w:numPr>
          <w:ilvl w:val="0"/>
          <w:numId w:val="7"/>
        </w:numPr>
        <w:rPr>
          <w:i/>
          <w:iCs/>
        </w:rPr>
      </w:pPr>
      <w:r w:rsidRPr="00297FDC">
        <w:rPr>
          <w:i/>
          <w:iCs/>
        </w:rPr>
        <w:t>Scaling factor is used to scale down maximum throughput of NSA UEs operating in EN-DC scenario that share</w:t>
      </w:r>
      <w:r w:rsidR="00A16393" w:rsidRPr="00297FDC">
        <w:rPr>
          <w:i/>
          <w:iCs/>
        </w:rPr>
        <w:t>s</w:t>
      </w:r>
      <w:r w:rsidRPr="00297FDC">
        <w:rPr>
          <w:i/>
          <w:iCs/>
        </w:rPr>
        <w:t xml:space="preserve"> hardware resources between LTE and NR.</w:t>
      </w:r>
    </w:p>
    <w:p w14:paraId="34B57A95" w14:textId="095E8BF0" w:rsidR="004B01F1" w:rsidRPr="00297FDC" w:rsidRDefault="004B01F1" w:rsidP="004B01F1">
      <w:pPr>
        <w:pStyle w:val="B2"/>
        <w:ind w:left="0" w:firstLine="0"/>
      </w:pPr>
      <w:r w:rsidRPr="00297FDC">
        <w:t xml:space="preserve">Specifically, four </w:t>
      </w:r>
      <w:r w:rsidRPr="00297FDC">
        <w:rPr>
          <w:i/>
        </w:rPr>
        <w:t>scalingFactor</w:t>
      </w:r>
      <w:r w:rsidRPr="00297FDC">
        <w:t xml:space="preserve"> </w:t>
      </w:r>
      <w:r w:rsidR="00367B9A" w:rsidRPr="00297FDC">
        <w:t xml:space="preserve">values are </w:t>
      </w:r>
      <w:r w:rsidRPr="00297FDC">
        <w:t xml:space="preserve">specified in </w:t>
      </w:r>
      <w:r w:rsidRPr="00297FDC">
        <w:fldChar w:fldCharType="begin"/>
      </w:r>
      <w:r w:rsidRPr="00297FDC">
        <w:instrText xml:space="preserve"> REF _Ref79061398 \n \h </w:instrText>
      </w:r>
      <w:r w:rsidR="00297FDC" w:rsidRPr="00297FDC">
        <w:instrText xml:space="preserve"> \* MERGEFORMAT </w:instrText>
      </w:r>
      <w:r w:rsidRPr="00297FDC">
        <w:fldChar w:fldCharType="separate"/>
      </w:r>
      <w:r w:rsidR="004B5EA6" w:rsidRPr="00297FDC">
        <w:t>[5]</w:t>
      </w:r>
      <w:r w:rsidRPr="00297FDC">
        <w:fldChar w:fldCharType="end"/>
      </w:r>
      <w:r w:rsidRPr="00297FDC">
        <w:t>: 1, 0.8, 0.75, and 0.4</w:t>
      </w:r>
      <w:r w:rsidR="00367B9A" w:rsidRPr="00297FDC">
        <w:t xml:space="preserve">. Applying these to the maximum bit rate calculation in [5] yields a minimum supported </w:t>
      </w:r>
      <w:r w:rsidR="00B6687A" w:rsidRPr="00297FDC">
        <w:t xml:space="preserve">full-duplex FDD downlink </w:t>
      </w:r>
      <w:r w:rsidR="00367B9A" w:rsidRPr="00297FDC">
        <w:t xml:space="preserve">data rate in the range of </w:t>
      </w:r>
      <w:r w:rsidR="00B6687A" w:rsidRPr="00297FDC">
        <w:t>64</w:t>
      </w:r>
      <w:r w:rsidR="00367B9A" w:rsidRPr="00297FDC">
        <w:t>-6</w:t>
      </w:r>
      <w:r w:rsidR="00B6687A" w:rsidRPr="00297FDC">
        <w:t>8</w:t>
      </w:r>
      <w:r w:rsidR="00367B9A" w:rsidRPr="00297FDC">
        <w:t xml:space="preserve">Mbps, </w:t>
      </w:r>
      <w:r w:rsidR="00B6687A" w:rsidRPr="00297FDC">
        <w:t>depending on</w:t>
      </w:r>
      <w:r w:rsidR="00367B9A" w:rsidRPr="00297FDC">
        <w:t xml:space="preserve"> the number of receive antennas the UE supports.</w:t>
      </w:r>
      <w:r w:rsidR="00B6687A" w:rsidRPr="00297FDC">
        <w:t xml:space="preserve"> </w:t>
      </w:r>
    </w:p>
    <w:p w14:paraId="267E4062" w14:textId="572ED891" w:rsidR="004B01F1" w:rsidRPr="00297FDC" w:rsidRDefault="00367B9A" w:rsidP="004B01F1">
      <w:pPr>
        <w:pStyle w:val="B2"/>
        <w:ind w:left="0" w:firstLine="0"/>
      </w:pPr>
      <w:r w:rsidRPr="00297FDC">
        <w:t>These data rates</w:t>
      </w:r>
      <w:r w:rsidR="001E7ECE" w:rsidRPr="00297FDC">
        <w:t xml:space="preserve"> exceed the reference bit rate</w:t>
      </w:r>
      <w:r w:rsidRPr="00297FDC">
        <w:t>s</w:t>
      </w:r>
      <w:r w:rsidR="001E7ECE" w:rsidRPr="00297FDC">
        <w:t xml:space="preserve"> specified in the above use cases, </w:t>
      </w:r>
      <w:proofErr w:type="gramStart"/>
      <w:r w:rsidR="001E7ECE" w:rsidRPr="00297FDC">
        <w:t xml:space="preserve">in particular </w:t>
      </w:r>
      <w:r w:rsidRPr="00297FDC">
        <w:t>for</w:t>
      </w:r>
      <w:proofErr w:type="gramEnd"/>
      <w:r w:rsidRPr="00297FDC">
        <w:t xml:space="preserve"> </w:t>
      </w:r>
      <w:r w:rsidR="001E7ECE" w:rsidRPr="00297FDC">
        <w:t xml:space="preserve">the aforementioned industrial wireless sensors and video surveillance use cases. </w:t>
      </w:r>
      <w:r w:rsidR="00BE268F" w:rsidRPr="00297FDC">
        <w:t>The m</w:t>
      </w:r>
      <w:r w:rsidR="006B3CB9" w:rsidRPr="00297FDC">
        <w:t>inimum supported TDD data rate varies depend</w:t>
      </w:r>
      <w:r w:rsidR="00BE268F" w:rsidRPr="00297FDC">
        <w:t>ing</w:t>
      </w:r>
      <w:r w:rsidR="006B3CB9" w:rsidRPr="00297FDC">
        <w:t xml:space="preserve"> on </w:t>
      </w:r>
      <w:r w:rsidR="00BE268F" w:rsidRPr="00297FDC">
        <w:t xml:space="preserve">the </w:t>
      </w:r>
      <w:r w:rsidR="006B3CB9" w:rsidRPr="00297FDC">
        <w:t>vendor</w:t>
      </w:r>
      <w:r w:rsidR="00BE268F" w:rsidRPr="00297FDC">
        <w:t>’s</w:t>
      </w:r>
      <w:r w:rsidR="006B3CB9" w:rsidRPr="00297FDC">
        <w:t xml:space="preserve"> </w:t>
      </w:r>
      <w:proofErr w:type="gramStart"/>
      <w:r w:rsidR="006B3CB9" w:rsidRPr="00297FDC">
        <w:t>DL:UL</w:t>
      </w:r>
      <w:proofErr w:type="gramEnd"/>
      <w:r w:rsidR="006B3CB9" w:rsidRPr="00297FDC">
        <w:t xml:space="preserve"> configuration, but they still exceed the reference bit rates mentioned above.</w:t>
      </w:r>
    </w:p>
    <w:p w14:paraId="4B0B2334" w14:textId="77777777" w:rsidR="00367B9A" w:rsidRPr="00297FDC" w:rsidRDefault="00672B03" w:rsidP="004B01F1">
      <w:pPr>
        <w:pStyle w:val="B2"/>
        <w:ind w:left="0" w:firstLine="0"/>
      </w:pPr>
      <w:r w:rsidRPr="00297FDC">
        <w:t xml:space="preserve">Furthermore, </w:t>
      </w:r>
      <w:r w:rsidR="00367B9A" w:rsidRPr="00297FDC">
        <w:t>the</w:t>
      </w:r>
      <w:r w:rsidR="008A347A" w:rsidRPr="00297FDC">
        <w:t xml:space="preserve"> </w:t>
      </w:r>
      <w:r w:rsidR="00367B9A" w:rsidRPr="00297FDC">
        <w:t xml:space="preserve">UE supported </w:t>
      </w:r>
      <w:r w:rsidR="008A347A" w:rsidRPr="00297FDC">
        <w:t xml:space="preserve">data rate </w:t>
      </w:r>
      <w:r w:rsidR="00367B9A" w:rsidRPr="00297FDC">
        <w:t xml:space="preserve">directly </w:t>
      </w:r>
      <w:r w:rsidR="008A347A" w:rsidRPr="00297FDC">
        <w:t>impact</w:t>
      </w:r>
      <w:r w:rsidR="00A16393" w:rsidRPr="00297FDC">
        <w:t>s</w:t>
      </w:r>
      <w:r w:rsidR="008A347A" w:rsidRPr="00297FDC">
        <w:t xml:space="preserve"> the memory size </w:t>
      </w:r>
      <w:r w:rsidR="00367B9A" w:rsidRPr="00297FDC">
        <w:t xml:space="preserve">and memory bandwidth </w:t>
      </w:r>
      <w:r w:rsidR="008A347A" w:rsidRPr="00297FDC">
        <w:t>for L2 and HARQ buffers</w:t>
      </w:r>
      <w:r w:rsidR="00367B9A" w:rsidRPr="00297FDC">
        <w:t xml:space="preserve">, and therefore implementation complexity and cost. </w:t>
      </w:r>
    </w:p>
    <w:p w14:paraId="1ADC90B2" w14:textId="0B2B20D3" w:rsidR="00367B9A" w:rsidRPr="00297FDC" w:rsidRDefault="00367B9A" w:rsidP="00367B9A">
      <w:pPr>
        <w:rPr>
          <w:lang w:eastAsia="en-US"/>
        </w:rPr>
      </w:pPr>
      <w:r w:rsidRPr="00297FDC">
        <w:rPr>
          <w:lang w:val="en-US"/>
        </w:rPr>
        <w:t xml:space="preserve">To help </w:t>
      </w:r>
      <w:r w:rsidR="00B6687A" w:rsidRPr="00297FDC">
        <w:rPr>
          <w:lang w:val="en-US"/>
        </w:rPr>
        <w:t xml:space="preserve">the </w:t>
      </w:r>
      <w:r w:rsidRPr="00297FDC">
        <w:rPr>
          <w:lang w:val="en-US"/>
        </w:rPr>
        <w:t xml:space="preserve">uptake </w:t>
      </w:r>
      <w:r w:rsidR="00B6687A" w:rsidRPr="00297FDC">
        <w:rPr>
          <w:lang w:val="en-US"/>
        </w:rPr>
        <w:t xml:space="preserve">of </w:t>
      </w:r>
      <w:r w:rsidRPr="00297FDC">
        <w:rPr>
          <w:lang w:val="en-US"/>
        </w:rPr>
        <w:t>Rel</w:t>
      </w:r>
      <w:r w:rsidR="00C465F8" w:rsidRPr="00297FDC">
        <w:rPr>
          <w:lang w:val="en-US"/>
        </w:rPr>
        <w:t>-</w:t>
      </w:r>
      <w:r w:rsidRPr="00297FDC">
        <w:rPr>
          <w:lang w:val="en-US"/>
        </w:rPr>
        <w:t xml:space="preserve">17 Redcap UE in </w:t>
      </w:r>
      <w:r w:rsidR="00C465F8" w:rsidRPr="00297FDC">
        <w:rPr>
          <w:lang w:val="en-US"/>
        </w:rPr>
        <w:t xml:space="preserve">a wider range of use cases specified in </w:t>
      </w:r>
      <w:r w:rsidR="00C465F8" w:rsidRPr="00297FDC">
        <w:fldChar w:fldCharType="begin"/>
      </w:r>
      <w:r w:rsidR="00C465F8" w:rsidRPr="00297FDC">
        <w:instrText xml:space="preserve"> REF _Ref71581645 \n \h </w:instrText>
      </w:r>
      <w:r w:rsidR="00297FDC" w:rsidRPr="00297FDC">
        <w:instrText xml:space="preserve"> \* MERGEFORMAT </w:instrText>
      </w:r>
      <w:r w:rsidR="00C465F8" w:rsidRPr="00297FDC">
        <w:fldChar w:fldCharType="separate"/>
      </w:r>
      <w:r w:rsidR="00C465F8" w:rsidRPr="00297FDC">
        <w:t>[1]</w:t>
      </w:r>
      <w:r w:rsidR="00C465F8" w:rsidRPr="00297FDC">
        <w:fldChar w:fldCharType="end"/>
      </w:r>
      <w:r w:rsidRPr="00297FDC">
        <w:rPr>
          <w:lang w:val="en-US"/>
        </w:rPr>
        <w:t xml:space="preserve">, we suggest relaxing buffer </w:t>
      </w:r>
      <w:r w:rsidR="00B6687A" w:rsidRPr="00297FDC">
        <w:rPr>
          <w:lang w:val="en-US"/>
        </w:rPr>
        <w:t xml:space="preserve">size </w:t>
      </w:r>
      <w:r w:rsidRPr="00297FDC">
        <w:rPr>
          <w:lang w:val="en-US"/>
        </w:rPr>
        <w:t xml:space="preserve">and buffer bandwidth requirements for both HARQ and for L2 buffers by reducing the minimum value </w:t>
      </w:r>
      <w:r w:rsidRPr="00297FDC">
        <w:t xml:space="preserve">of scalingFactor that can be signalled as UE capability, for </w:t>
      </w:r>
      <w:r w:rsidR="00C465F8" w:rsidRPr="00297FDC">
        <w:t>R</w:t>
      </w:r>
      <w:r w:rsidRPr="00297FDC">
        <w:t>ed</w:t>
      </w:r>
      <w:r w:rsidR="00C465F8" w:rsidRPr="00297FDC">
        <w:t>C</w:t>
      </w:r>
      <w:r w:rsidRPr="00297FDC">
        <w:t>ap UE only.</w:t>
      </w:r>
    </w:p>
    <w:p w14:paraId="0D693903" w14:textId="0B987B21" w:rsidR="00672B03" w:rsidRPr="00297FDC" w:rsidRDefault="00672B03" w:rsidP="004B01F1">
      <w:pPr>
        <w:pStyle w:val="B2"/>
        <w:ind w:left="0" w:firstLine="0"/>
      </w:pPr>
    </w:p>
    <w:p w14:paraId="2214A279" w14:textId="4611AA26" w:rsidR="00557990" w:rsidRPr="00297FDC" w:rsidRDefault="001E7ECE">
      <w:pPr>
        <w:rPr>
          <w:b/>
          <w:bCs/>
        </w:rPr>
      </w:pPr>
      <w:r w:rsidRPr="00297FDC">
        <w:rPr>
          <w:b/>
          <w:bCs/>
        </w:rPr>
        <w:lastRenderedPageBreak/>
        <w:t xml:space="preserve">Observation 1: Current Rel-16 specifications require a supported minimum </w:t>
      </w:r>
      <w:r w:rsidR="00765896" w:rsidRPr="00297FDC">
        <w:rPr>
          <w:b/>
          <w:bCs/>
        </w:rPr>
        <w:t xml:space="preserve">FDD downlink </w:t>
      </w:r>
      <w:r w:rsidRPr="00297FDC">
        <w:rPr>
          <w:b/>
          <w:bCs/>
        </w:rPr>
        <w:t xml:space="preserve">data rate of </w:t>
      </w:r>
      <w:r w:rsidR="00B6687A" w:rsidRPr="00297FDC">
        <w:rPr>
          <w:b/>
          <w:bCs/>
        </w:rPr>
        <w:t>at least 64</w:t>
      </w:r>
      <w:r w:rsidRPr="00297FDC">
        <w:rPr>
          <w:b/>
          <w:bCs/>
        </w:rPr>
        <w:t>Mbps, which</w:t>
      </w:r>
      <w:r w:rsidR="00A16393" w:rsidRPr="00297FDC">
        <w:rPr>
          <w:b/>
          <w:bCs/>
        </w:rPr>
        <w:t xml:space="preserve"> </w:t>
      </w:r>
      <w:r w:rsidRPr="00297FDC">
        <w:rPr>
          <w:b/>
          <w:bCs/>
        </w:rPr>
        <w:t>exceed</w:t>
      </w:r>
      <w:r w:rsidR="00A16393" w:rsidRPr="00297FDC">
        <w:rPr>
          <w:b/>
          <w:bCs/>
        </w:rPr>
        <w:t>s</w:t>
      </w:r>
      <w:r w:rsidRPr="00297FDC">
        <w:rPr>
          <w:b/>
          <w:bCs/>
        </w:rPr>
        <w:t xml:space="preserve"> the target rates for the use cases specified in the RedCap WID.</w:t>
      </w:r>
    </w:p>
    <w:p w14:paraId="7EB2D03C" w14:textId="62D3490C" w:rsidR="00537B38" w:rsidRPr="00297FDC" w:rsidRDefault="00537B38">
      <w:pPr>
        <w:rPr>
          <w:b/>
          <w:bCs/>
          <w:iCs/>
        </w:rPr>
      </w:pPr>
      <w:r w:rsidRPr="00297FDC">
        <w:rPr>
          <w:b/>
          <w:bCs/>
        </w:rPr>
        <w:t xml:space="preserve">Observation 2: </w:t>
      </w:r>
      <w:r w:rsidR="00FC5D5C" w:rsidRPr="00297FDC">
        <w:rPr>
          <w:b/>
          <w:bCs/>
        </w:rPr>
        <w:t xml:space="preserve">Reducing the </w:t>
      </w:r>
      <w:r w:rsidRPr="00297FDC">
        <w:rPr>
          <w:b/>
          <w:bCs/>
          <w:i/>
        </w:rPr>
        <w:t>scalingFactor</w:t>
      </w:r>
      <w:r w:rsidRPr="00297FDC">
        <w:rPr>
          <w:b/>
          <w:bCs/>
          <w:iCs/>
        </w:rPr>
        <w:t xml:space="preserve"> </w:t>
      </w:r>
      <w:r w:rsidR="00FC5D5C" w:rsidRPr="00297FDC">
        <w:rPr>
          <w:b/>
          <w:bCs/>
          <w:iCs/>
        </w:rPr>
        <w:t xml:space="preserve">for RedCap </w:t>
      </w:r>
      <w:r w:rsidRPr="00297FDC">
        <w:rPr>
          <w:b/>
          <w:bCs/>
          <w:iCs/>
        </w:rPr>
        <w:t xml:space="preserve">will </w:t>
      </w:r>
      <w:r w:rsidR="00FC5D5C" w:rsidRPr="00297FDC">
        <w:rPr>
          <w:b/>
          <w:bCs/>
          <w:iCs/>
        </w:rPr>
        <w:t>relax</w:t>
      </w:r>
      <w:r w:rsidRPr="00297FDC">
        <w:rPr>
          <w:b/>
          <w:bCs/>
          <w:iCs/>
        </w:rPr>
        <w:t xml:space="preserve"> L2 and HARQ buffer </w:t>
      </w:r>
      <w:r w:rsidR="00FC5D5C" w:rsidRPr="00297FDC">
        <w:rPr>
          <w:b/>
          <w:bCs/>
          <w:iCs/>
        </w:rPr>
        <w:t xml:space="preserve">requirements and can help with further UE complexity reduction.  </w:t>
      </w:r>
      <w:r w:rsidRPr="00297FDC">
        <w:rPr>
          <w:b/>
          <w:bCs/>
          <w:iCs/>
        </w:rPr>
        <w:t xml:space="preserve">  </w:t>
      </w:r>
    </w:p>
    <w:p w14:paraId="5A9C5CFA" w14:textId="1562E301" w:rsidR="001E7ECE" w:rsidRPr="00297FDC" w:rsidRDefault="001E7ECE">
      <w:pPr>
        <w:rPr>
          <w:b/>
          <w:bCs/>
          <w:iCs/>
        </w:rPr>
      </w:pPr>
      <w:r w:rsidRPr="00297FDC">
        <w:rPr>
          <w:b/>
          <w:bCs/>
        </w:rPr>
        <w:t xml:space="preserve">Observation </w:t>
      </w:r>
      <w:r w:rsidR="00FC5D5C" w:rsidRPr="00297FDC">
        <w:rPr>
          <w:b/>
          <w:bCs/>
        </w:rPr>
        <w:t>3</w:t>
      </w:r>
      <w:r w:rsidRPr="00297FDC">
        <w:rPr>
          <w:b/>
          <w:bCs/>
        </w:rPr>
        <w:t xml:space="preserve">: </w:t>
      </w:r>
      <w:r w:rsidR="00FC5D5C" w:rsidRPr="00297FDC">
        <w:rPr>
          <w:b/>
          <w:bCs/>
          <w:iCs/>
        </w:rPr>
        <w:t xml:space="preserve">Reduction in the minimum allowable </w:t>
      </w:r>
      <w:r w:rsidR="00FC5D5C" w:rsidRPr="00297FDC">
        <w:rPr>
          <w:b/>
          <w:bCs/>
          <w:i/>
        </w:rPr>
        <w:t xml:space="preserve">scalingFactor </w:t>
      </w:r>
      <w:r w:rsidR="00FC5D5C" w:rsidRPr="00297FDC">
        <w:rPr>
          <w:b/>
          <w:bCs/>
          <w:iCs/>
        </w:rPr>
        <w:t xml:space="preserve">can enable Rel-17 RedCap to be used in a wider range of </w:t>
      </w:r>
      <w:r w:rsidR="00D4548B" w:rsidRPr="00297FDC">
        <w:rPr>
          <w:b/>
          <w:bCs/>
          <w:iCs/>
        </w:rPr>
        <w:t>applications</w:t>
      </w:r>
      <w:r w:rsidR="00FC5D5C" w:rsidRPr="00297FDC">
        <w:rPr>
          <w:b/>
          <w:bCs/>
          <w:iCs/>
        </w:rPr>
        <w:t xml:space="preserve">, including industrial wireless sensors.  </w:t>
      </w:r>
    </w:p>
    <w:p w14:paraId="6B202F0A" w14:textId="0E6FF300" w:rsidR="001E7ECE" w:rsidRPr="00297FDC" w:rsidRDefault="000860E3">
      <w:pPr>
        <w:rPr>
          <w:b/>
          <w:bCs/>
          <w:iCs/>
        </w:rPr>
      </w:pPr>
      <w:r w:rsidRPr="00297FDC">
        <w:rPr>
          <w:b/>
          <w:bCs/>
        </w:rPr>
        <w:t xml:space="preserve">Proposal 1: Lower </w:t>
      </w:r>
      <w:r w:rsidRPr="00297FDC">
        <w:rPr>
          <w:b/>
          <w:bCs/>
          <w:i/>
        </w:rPr>
        <w:t>scalingFactor</w:t>
      </w:r>
      <w:r w:rsidR="007C7C2E" w:rsidRPr="00297FDC">
        <w:rPr>
          <w:b/>
          <w:bCs/>
          <w:i/>
        </w:rPr>
        <w:t xml:space="preserve">, </w:t>
      </w:r>
      <w:r w:rsidR="007C7C2E" w:rsidRPr="00297FDC">
        <w:rPr>
          <w:b/>
          <w:bCs/>
          <w:iCs/>
        </w:rPr>
        <w:t xml:space="preserve">e.g., </w:t>
      </w:r>
      <w:r w:rsidRPr="00297FDC">
        <w:rPr>
          <w:b/>
          <w:bCs/>
          <w:iCs/>
        </w:rPr>
        <w:t>0.</w:t>
      </w:r>
      <w:r w:rsidR="007C7C2E" w:rsidRPr="00297FDC">
        <w:rPr>
          <w:b/>
          <w:bCs/>
          <w:iCs/>
        </w:rPr>
        <w:t>1,</w:t>
      </w:r>
      <w:r w:rsidRPr="00297FDC">
        <w:rPr>
          <w:b/>
          <w:bCs/>
          <w:iCs/>
        </w:rPr>
        <w:t xml:space="preserve"> 0.2 shall be adopted for Rel-17 RedCap </w:t>
      </w:r>
      <w:proofErr w:type="gramStart"/>
      <w:r w:rsidRPr="00297FDC">
        <w:rPr>
          <w:b/>
          <w:bCs/>
          <w:iCs/>
        </w:rPr>
        <w:t>in order to</w:t>
      </w:r>
      <w:proofErr w:type="gramEnd"/>
      <w:r w:rsidRPr="00297FDC">
        <w:rPr>
          <w:b/>
          <w:bCs/>
          <w:iCs/>
        </w:rPr>
        <w:t xml:space="preserve"> </w:t>
      </w:r>
      <w:r w:rsidR="00B6687A" w:rsidRPr="00297FDC">
        <w:rPr>
          <w:b/>
          <w:bCs/>
          <w:iCs/>
        </w:rPr>
        <w:t>relax HARQ and L2</w:t>
      </w:r>
      <w:r w:rsidRPr="00297FDC">
        <w:rPr>
          <w:b/>
          <w:bCs/>
          <w:iCs/>
        </w:rPr>
        <w:t xml:space="preserve"> buffer requirements for</w:t>
      </w:r>
      <w:r w:rsidR="00765896" w:rsidRPr="00297FDC">
        <w:rPr>
          <w:b/>
          <w:bCs/>
          <w:iCs/>
        </w:rPr>
        <w:t xml:space="preserve"> the industrial wireless sensor and the video surveillance use cases identified in [1]</w:t>
      </w:r>
      <w:r w:rsidRPr="00297FDC">
        <w:rPr>
          <w:b/>
          <w:bCs/>
          <w:iCs/>
        </w:rPr>
        <w:t>.</w:t>
      </w:r>
      <w:r w:rsidRPr="00297FDC">
        <w:rPr>
          <w:b/>
          <w:bCs/>
          <w:i/>
        </w:rPr>
        <w:t xml:space="preserve"> </w:t>
      </w:r>
    </w:p>
    <w:p w14:paraId="0496A0D6" w14:textId="404C8704" w:rsidR="001E7ECE" w:rsidRPr="00297FDC" w:rsidRDefault="000860E3">
      <w:pPr>
        <w:rPr>
          <w:iCs/>
        </w:rPr>
      </w:pPr>
      <w:r w:rsidRPr="00297FDC">
        <w:rPr>
          <w:iCs/>
        </w:rPr>
        <w:t>The other approach is to add new separate L2 buffer scaling factor</w:t>
      </w:r>
      <w:r w:rsidR="00C465F8" w:rsidRPr="00297FDC">
        <w:rPr>
          <w:iCs/>
        </w:rPr>
        <w:t>s</w:t>
      </w:r>
      <w:r w:rsidR="007C7C2E" w:rsidRPr="00297FDC">
        <w:rPr>
          <w:iCs/>
        </w:rPr>
        <w:t xml:space="preserve"> and the associated signalling mechanisms. W</w:t>
      </w:r>
      <w:r w:rsidRPr="00297FDC">
        <w:rPr>
          <w:iCs/>
        </w:rPr>
        <w:t xml:space="preserve">e acknowledge the merits of such </w:t>
      </w:r>
      <w:r w:rsidR="00A16393" w:rsidRPr="00297FDC">
        <w:rPr>
          <w:iCs/>
        </w:rPr>
        <w:t xml:space="preserve">an </w:t>
      </w:r>
      <w:r w:rsidRPr="00297FDC">
        <w:rPr>
          <w:iCs/>
        </w:rPr>
        <w:t>approach</w:t>
      </w:r>
      <w:r w:rsidR="007C7C2E" w:rsidRPr="00297FDC">
        <w:rPr>
          <w:iCs/>
        </w:rPr>
        <w:t>. H</w:t>
      </w:r>
      <w:r w:rsidRPr="00297FDC">
        <w:rPr>
          <w:iCs/>
        </w:rPr>
        <w:t xml:space="preserve">owever, </w:t>
      </w:r>
      <w:r w:rsidR="007C7C2E" w:rsidRPr="00297FDC">
        <w:rPr>
          <w:iCs/>
        </w:rPr>
        <w:t xml:space="preserve">the above approach (Proposal 1) gives the minimum specification impact, </w:t>
      </w:r>
      <w:r w:rsidR="00765896" w:rsidRPr="00297FDC">
        <w:rPr>
          <w:iCs/>
        </w:rPr>
        <w:t>and</w:t>
      </w:r>
      <w:r w:rsidR="007C7C2E" w:rsidRPr="00297FDC">
        <w:rPr>
          <w:iCs/>
        </w:rPr>
        <w:t xml:space="preserve"> it</w:t>
      </w:r>
      <w:r w:rsidR="007C7C2E" w:rsidRPr="00297FDC">
        <w:rPr>
          <w:i/>
        </w:rPr>
        <w:t xml:space="preserve"> </w:t>
      </w:r>
      <w:r w:rsidR="00765896" w:rsidRPr="00297FDC">
        <w:rPr>
          <w:iCs/>
        </w:rPr>
        <w:t xml:space="preserve">also </w:t>
      </w:r>
      <w:r w:rsidR="007C7C2E" w:rsidRPr="00297FDC">
        <w:rPr>
          <w:iCs/>
        </w:rPr>
        <w:t>explicitly scale</w:t>
      </w:r>
      <w:r w:rsidR="00765896" w:rsidRPr="00297FDC">
        <w:rPr>
          <w:iCs/>
        </w:rPr>
        <w:t>s</w:t>
      </w:r>
      <w:r w:rsidR="007C7C2E" w:rsidRPr="00297FDC">
        <w:rPr>
          <w:iCs/>
        </w:rPr>
        <w:t xml:space="preserve"> the HARQ bandwidth as well as the L</w:t>
      </w:r>
      <w:r w:rsidR="00765896" w:rsidRPr="00297FDC">
        <w:rPr>
          <w:iCs/>
        </w:rPr>
        <w:t>2</w:t>
      </w:r>
      <w:r w:rsidR="007C7C2E" w:rsidRPr="00297FDC">
        <w:rPr>
          <w:iCs/>
        </w:rPr>
        <w:t xml:space="preserve"> buffer size, which directly </w:t>
      </w:r>
      <w:r w:rsidR="006B1862" w:rsidRPr="00297FDC">
        <w:rPr>
          <w:iCs/>
        </w:rPr>
        <w:t xml:space="preserve">contributes to </w:t>
      </w:r>
      <w:r w:rsidR="00D57F1F" w:rsidRPr="00297FDC">
        <w:rPr>
          <w:iCs/>
        </w:rPr>
        <w:t xml:space="preserve">RedCap </w:t>
      </w:r>
      <w:r w:rsidR="006B1862" w:rsidRPr="00297FDC">
        <w:rPr>
          <w:iCs/>
        </w:rPr>
        <w:t xml:space="preserve">UE complexity reduction. </w:t>
      </w:r>
      <w:r w:rsidR="007C7C2E" w:rsidRPr="00297FDC">
        <w:rPr>
          <w:iCs/>
        </w:rPr>
        <w:t xml:space="preserve"> </w:t>
      </w:r>
    </w:p>
    <w:p w14:paraId="6C1D95A3" w14:textId="708721A2" w:rsidR="00765896" w:rsidRPr="00297FDC" w:rsidRDefault="00DB4F14" w:rsidP="00765896">
      <w:r w:rsidRPr="00297FDC">
        <w:t>Finally, t</w:t>
      </w:r>
      <w:r w:rsidR="00765896" w:rsidRPr="00297FDC">
        <w:t xml:space="preserve">he requirement in Section 4.1.2 in [5] requires a minimum scalingFactor dependent on the number of </w:t>
      </w:r>
      <w:r w:rsidR="00C465F8" w:rsidRPr="00297FDC">
        <w:t xml:space="preserve">MIMO </w:t>
      </w:r>
      <w:r w:rsidR="00765896" w:rsidRPr="00297FDC">
        <w:t>layers and the maximum supported QAM order. We propose that this requirement does not apply to RedCap UE.</w:t>
      </w:r>
    </w:p>
    <w:p w14:paraId="184B9BE4" w14:textId="45E63FEB" w:rsidR="00765896" w:rsidRPr="00297FDC" w:rsidRDefault="00765896" w:rsidP="00765896">
      <w:pPr>
        <w:rPr>
          <w:b/>
          <w:bCs/>
        </w:rPr>
      </w:pPr>
      <w:r w:rsidRPr="00297FDC">
        <w:rPr>
          <w:b/>
          <w:bCs/>
        </w:rPr>
        <w:t xml:space="preserve">Proposal 2: Exclude RedCap UE from the </w:t>
      </w:r>
      <w:r w:rsidR="00A65A8C" w:rsidRPr="00297FDC">
        <w:rPr>
          <w:b/>
          <w:bCs/>
        </w:rPr>
        <w:t>minimum scalingFactor requirement in [5], Section 4.1.2.</w:t>
      </w:r>
    </w:p>
    <w:p w14:paraId="0D12A3A9" w14:textId="77777777" w:rsidR="00557990" w:rsidRPr="00297FDC" w:rsidRDefault="00557990" w:rsidP="00557990">
      <w:pPr>
        <w:pStyle w:val="Heading1"/>
        <w:numPr>
          <w:ilvl w:val="0"/>
          <w:numId w:val="1"/>
        </w:numPr>
        <w:rPr>
          <w:rFonts w:cs="Arial"/>
        </w:rPr>
      </w:pPr>
      <w:r w:rsidRPr="00297FDC">
        <w:rPr>
          <w:rFonts w:cs="Arial"/>
        </w:rPr>
        <w:t>Conclusion</w:t>
      </w:r>
    </w:p>
    <w:p w14:paraId="3B6D0C91" w14:textId="46978EB2" w:rsidR="00557990" w:rsidRPr="00297FDC" w:rsidRDefault="00557990" w:rsidP="00557990">
      <w:r w:rsidRPr="00297FDC">
        <w:t xml:space="preserve">In this contribution, we presented our views </w:t>
      </w:r>
      <w:r w:rsidR="00B75099" w:rsidRPr="00297FDC">
        <w:t xml:space="preserve">on </w:t>
      </w:r>
      <w:r w:rsidR="00EC3CCF" w:rsidRPr="00297FDC">
        <w:t>aspects to further reduce RedCap UE complexity, by introducing smaller values to the</w:t>
      </w:r>
      <w:r w:rsidR="00B75099" w:rsidRPr="00297FDC">
        <w:t xml:space="preserve"> scalingfactor</w:t>
      </w:r>
      <w:r w:rsidR="00EC3CCF" w:rsidRPr="00297FDC">
        <w:rPr>
          <w:lang w:eastAsia="zh-CN"/>
        </w:rPr>
        <w:t xml:space="preserve"> capability field.</w:t>
      </w:r>
      <w:r w:rsidRPr="00297FDC">
        <w:rPr>
          <w:lang w:eastAsia="zh-CN"/>
        </w:rPr>
        <w:t xml:space="preserve"> </w:t>
      </w:r>
      <w:r w:rsidRPr="00297FDC">
        <w:t>Based on the discussion</w:t>
      </w:r>
      <w:r w:rsidR="00EC3CCF" w:rsidRPr="00297FDC">
        <w:t xml:space="preserve">, we summarise our views through the following observations and proposals. </w:t>
      </w:r>
    </w:p>
    <w:p w14:paraId="2D621A72" w14:textId="2618E393" w:rsidR="0013046C" w:rsidRPr="00297FDC" w:rsidRDefault="0013046C" w:rsidP="0013046C">
      <w:pPr>
        <w:rPr>
          <w:b/>
          <w:bCs/>
          <w:i/>
          <w:iCs/>
        </w:rPr>
      </w:pPr>
      <w:r w:rsidRPr="00297FDC">
        <w:rPr>
          <w:b/>
          <w:bCs/>
          <w:i/>
          <w:iCs/>
        </w:rPr>
        <w:t xml:space="preserve">Observation 1: </w:t>
      </w:r>
      <w:r w:rsidR="00A65A8C" w:rsidRPr="00297FDC">
        <w:rPr>
          <w:b/>
          <w:bCs/>
          <w:i/>
          <w:iCs/>
        </w:rPr>
        <w:t>Current Rel-16 specifications require a supported minimum FDD downlink data rate of at least 64Mbps, which exceeds the target rates for the use cases specified in the RedCap WID.</w:t>
      </w:r>
    </w:p>
    <w:p w14:paraId="279D65C0" w14:textId="063933E4" w:rsidR="0013046C" w:rsidRPr="00297FDC" w:rsidRDefault="0013046C" w:rsidP="0013046C">
      <w:pPr>
        <w:rPr>
          <w:b/>
          <w:bCs/>
          <w:i/>
          <w:iCs/>
        </w:rPr>
      </w:pPr>
      <w:r w:rsidRPr="00297FDC">
        <w:rPr>
          <w:b/>
          <w:bCs/>
          <w:i/>
          <w:iCs/>
        </w:rPr>
        <w:t>Observation 2:</w:t>
      </w:r>
      <w:r w:rsidR="00A65A8C" w:rsidRPr="00297FDC">
        <w:rPr>
          <w:b/>
          <w:bCs/>
          <w:i/>
          <w:iCs/>
        </w:rPr>
        <w:t xml:space="preserve"> Reducing the scalingFactor for RedCap will relax L2 and HARQ buffer requirements and can help with further UE complexity reduction</w:t>
      </w:r>
      <w:r w:rsidRPr="00297FDC">
        <w:rPr>
          <w:b/>
          <w:bCs/>
          <w:i/>
          <w:iCs/>
        </w:rPr>
        <w:t xml:space="preserve">.    </w:t>
      </w:r>
    </w:p>
    <w:p w14:paraId="5C554486" w14:textId="3D6AD92A" w:rsidR="0013046C" w:rsidRPr="00297FDC" w:rsidRDefault="0013046C" w:rsidP="0013046C">
      <w:pPr>
        <w:rPr>
          <w:b/>
          <w:bCs/>
          <w:i/>
          <w:iCs/>
        </w:rPr>
      </w:pPr>
      <w:r w:rsidRPr="00297FDC">
        <w:rPr>
          <w:b/>
          <w:bCs/>
          <w:i/>
          <w:iCs/>
        </w:rPr>
        <w:t xml:space="preserve">Observation 3: Reduction in the minimum allowable scalingFactor can enable Rel-17 RedCap to be used in a wider range of </w:t>
      </w:r>
      <w:r w:rsidR="00D4548B" w:rsidRPr="00297FDC">
        <w:rPr>
          <w:b/>
          <w:bCs/>
          <w:i/>
          <w:iCs/>
        </w:rPr>
        <w:t>applications</w:t>
      </w:r>
      <w:r w:rsidRPr="00297FDC">
        <w:rPr>
          <w:b/>
          <w:bCs/>
          <w:i/>
          <w:iCs/>
        </w:rPr>
        <w:t xml:space="preserve">, including industrial wireless sensors.  </w:t>
      </w:r>
    </w:p>
    <w:p w14:paraId="4E32B759" w14:textId="7E3F0AD2" w:rsidR="0013046C" w:rsidRPr="00297FDC" w:rsidRDefault="0013046C" w:rsidP="0013046C">
      <w:pPr>
        <w:rPr>
          <w:b/>
          <w:bCs/>
          <w:i/>
          <w:iCs/>
        </w:rPr>
      </w:pPr>
      <w:r w:rsidRPr="00297FDC">
        <w:rPr>
          <w:b/>
          <w:bCs/>
          <w:i/>
          <w:iCs/>
          <w:u w:val="single"/>
        </w:rPr>
        <w:t>Proposal 1</w:t>
      </w:r>
      <w:r w:rsidRPr="00297FDC">
        <w:rPr>
          <w:b/>
          <w:bCs/>
          <w:i/>
          <w:iCs/>
        </w:rPr>
        <w:t xml:space="preserve">: </w:t>
      </w:r>
      <w:r w:rsidR="00A65A8C" w:rsidRPr="00297FDC">
        <w:rPr>
          <w:b/>
          <w:bCs/>
          <w:i/>
          <w:iCs/>
        </w:rPr>
        <w:t xml:space="preserve">Lower scalingFactor, e.g., 0.1, 0.2 shall be adopted for Rel-17 RedCap </w:t>
      </w:r>
      <w:proofErr w:type="gramStart"/>
      <w:r w:rsidR="00A65A8C" w:rsidRPr="00297FDC">
        <w:rPr>
          <w:b/>
          <w:bCs/>
          <w:i/>
          <w:iCs/>
        </w:rPr>
        <w:t>in order to</w:t>
      </w:r>
      <w:proofErr w:type="gramEnd"/>
      <w:r w:rsidR="00A65A8C" w:rsidRPr="00297FDC">
        <w:rPr>
          <w:b/>
          <w:bCs/>
          <w:i/>
          <w:iCs/>
        </w:rPr>
        <w:t xml:space="preserve"> relax HARQ and L2 buffer requirements for the industrial wireless sensor and the video surveillance use cases identified in [1]</w:t>
      </w:r>
      <w:r w:rsidRPr="00297FDC">
        <w:rPr>
          <w:b/>
          <w:bCs/>
          <w:i/>
          <w:iCs/>
        </w:rPr>
        <w:t xml:space="preserve">. </w:t>
      </w:r>
    </w:p>
    <w:p w14:paraId="34E2E51A" w14:textId="77777777" w:rsidR="00A65A8C" w:rsidRPr="00297FDC" w:rsidRDefault="00A65A8C" w:rsidP="00A65A8C">
      <w:pPr>
        <w:rPr>
          <w:b/>
          <w:bCs/>
          <w:i/>
          <w:iCs/>
        </w:rPr>
      </w:pPr>
      <w:r w:rsidRPr="00297FDC">
        <w:rPr>
          <w:b/>
          <w:bCs/>
          <w:i/>
          <w:iCs/>
          <w:u w:val="single"/>
        </w:rPr>
        <w:t>Proposal 2:</w:t>
      </w:r>
      <w:r w:rsidRPr="00297FDC">
        <w:rPr>
          <w:b/>
          <w:bCs/>
          <w:i/>
          <w:iCs/>
        </w:rPr>
        <w:t xml:space="preserve"> Exclude RedCap UE from the minimum scalingFactor requirement in [5], Section 4.1.2.</w:t>
      </w:r>
    </w:p>
    <w:p w14:paraId="473CA4C7" w14:textId="77777777" w:rsidR="00557990" w:rsidRPr="00297FDC" w:rsidRDefault="00557990" w:rsidP="00557990">
      <w:pPr>
        <w:pStyle w:val="Heading1"/>
        <w:numPr>
          <w:ilvl w:val="0"/>
          <w:numId w:val="1"/>
        </w:numPr>
        <w:rPr>
          <w:rFonts w:cs="Arial"/>
        </w:rPr>
      </w:pPr>
      <w:r w:rsidRPr="00297FDC">
        <w:rPr>
          <w:rFonts w:cs="Arial"/>
        </w:rPr>
        <w:t>References</w:t>
      </w:r>
    </w:p>
    <w:p w14:paraId="1511286C" w14:textId="183932A4" w:rsidR="008B7618" w:rsidRPr="00297FDC" w:rsidRDefault="008B7618" w:rsidP="00306AF4">
      <w:pPr>
        <w:pStyle w:val="Reference"/>
        <w:numPr>
          <w:ilvl w:val="0"/>
          <w:numId w:val="4"/>
        </w:numPr>
        <w:rPr>
          <w:rFonts w:ascii="Times New Roman" w:hAnsi="Times New Roman" w:cs="Times New Roman"/>
        </w:rPr>
      </w:pPr>
      <w:bookmarkStart w:id="10" w:name="_Ref71581645"/>
      <w:bookmarkStart w:id="11" w:name="_Ref65143491"/>
      <w:r w:rsidRPr="00297FDC">
        <w:rPr>
          <w:rFonts w:ascii="Times New Roman" w:hAnsi="Times New Roman" w:cs="Times New Roman"/>
        </w:rPr>
        <w:t>RP-21</w:t>
      </w:r>
      <w:r w:rsidR="00306AF4" w:rsidRPr="00297FDC">
        <w:rPr>
          <w:rFonts w:ascii="Times New Roman" w:hAnsi="Times New Roman" w:cs="Times New Roman"/>
        </w:rPr>
        <w:t>1574</w:t>
      </w:r>
      <w:r w:rsidRPr="00297FDC">
        <w:rPr>
          <w:rFonts w:ascii="Times New Roman" w:hAnsi="Times New Roman" w:cs="Times New Roman"/>
        </w:rPr>
        <w:t>, “Revised WID on support of reduced capability NR devices”, Nokia and Ericsson, 3GPP TSG RAN #9</w:t>
      </w:r>
      <w:r w:rsidR="00306AF4" w:rsidRPr="00297FDC">
        <w:rPr>
          <w:rFonts w:ascii="Times New Roman" w:hAnsi="Times New Roman" w:cs="Times New Roman"/>
        </w:rPr>
        <w:t>2</w:t>
      </w:r>
      <w:r w:rsidRPr="00297FDC">
        <w:rPr>
          <w:rFonts w:ascii="Times New Roman" w:hAnsi="Times New Roman" w:cs="Times New Roman"/>
        </w:rPr>
        <w:t xml:space="preserve">e, </w:t>
      </w:r>
      <w:r w:rsidR="00306AF4" w:rsidRPr="00297FDC">
        <w:rPr>
          <w:rFonts w:ascii="Times New Roman" w:hAnsi="Times New Roman" w:cs="Times New Roman"/>
        </w:rPr>
        <w:t>June</w:t>
      </w:r>
      <w:r w:rsidRPr="00297FDC">
        <w:rPr>
          <w:rFonts w:ascii="Times New Roman" w:hAnsi="Times New Roman" w:cs="Times New Roman"/>
        </w:rPr>
        <w:t xml:space="preserve"> 2021</w:t>
      </w:r>
      <w:bookmarkEnd w:id="10"/>
      <w:bookmarkEnd w:id="11"/>
    </w:p>
    <w:p w14:paraId="655878C5" w14:textId="2EEE58AE" w:rsidR="004A37C9" w:rsidRPr="00297FDC" w:rsidRDefault="004A37C9" w:rsidP="00306AF4">
      <w:pPr>
        <w:pStyle w:val="Reference"/>
        <w:numPr>
          <w:ilvl w:val="0"/>
          <w:numId w:val="4"/>
        </w:numPr>
        <w:rPr>
          <w:rFonts w:ascii="Times New Roman" w:hAnsi="Times New Roman" w:cs="Times New Roman"/>
        </w:rPr>
      </w:pPr>
      <w:bookmarkStart w:id="12" w:name="_Ref79053030"/>
      <w:r w:rsidRPr="00297FDC">
        <w:rPr>
          <w:rFonts w:ascii="Times New Roman" w:hAnsi="Times New Roman" w:cs="Times New Roman"/>
        </w:rPr>
        <w:t>TR 22.804</w:t>
      </w:r>
      <w:bookmarkEnd w:id="12"/>
      <w:r w:rsidR="00EC45EF" w:rsidRPr="00297FDC">
        <w:rPr>
          <w:rFonts w:ascii="Times New Roman" w:hAnsi="Times New Roman" w:cs="Times New Roman"/>
        </w:rPr>
        <w:t>, “Study on Communication for Automation in Vertical Domains”, Release 16</w:t>
      </w:r>
    </w:p>
    <w:p w14:paraId="743D28D5" w14:textId="562AD7B7" w:rsidR="008A7ADF" w:rsidRPr="00297FDC" w:rsidRDefault="008A7ADF" w:rsidP="00306AF4">
      <w:pPr>
        <w:pStyle w:val="Reference"/>
        <w:numPr>
          <w:ilvl w:val="0"/>
          <w:numId w:val="4"/>
        </w:numPr>
        <w:rPr>
          <w:rFonts w:ascii="Times New Roman" w:hAnsi="Times New Roman" w:cs="Times New Roman"/>
        </w:rPr>
      </w:pPr>
      <w:r w:rsidRPr="00297FDC">
        <w:rPr>
          <w:rFonts w:ascii="Times New Roman" w:hAnsi="Times New Roman" w:cs="Times New Roman"/>
        </w:rPr>
        <w:t xml:space="preserve">R1-1802438, “Discussion on L1 Data rate”, Intel, TSG RAN WG1 Meeting #92, </w:t>
      </w:r>
      <w:r w:rsidR="00E9624D" w:rsidRPr="00297FDC">
        <w:rPr>
          <w:rFonts w:ascii="Times New Roman" w:hAnsi="Times New Roman" w:cs="Times New Roman"/>
        </w:rPr>
        <w:t>March</w:t>
      </w:r>
      <w:r w:rsidRPr="00297FDC">
        <w:rPr>
          <w:rFonts w:ascii="Times New Roman" w:hAnsi="Times New Roman" w:cs="Times New Roman"/>
        </w:rPr>
        <w:t xml:space="preserve"> 2018</w:t>
      </w:r>
    </w:p>
    <w:p w14:paraId="02DD4074" w14:textId="0A63E920" w:rsidR="00DB4F14" w:rsidRPr="00297FDC" w:rsidRDefault="008A7ADF" w:rsidP="00306AF4">
      <w:pPr>
        <w:pStyle w:val="Reference"/>
        <w:numPr>
          <w:ilvl w:val="0"/>
          <w:numId w:val="4"/>
        </w:numPr>
        <w:rPr>
          <w:rFonts w:ascii="Times New Roman" w:hAnsi="Times New Roman" w:cs="Times New Roman"/>
        </w:rPr>
      </w:pPr>
      <w:bookmarkStart w:id="13" w:name="_Ref79061203"/>
      <w:r w:rsidRPr="00297FDC">
        <w:rPr>
          <w:rFonts w:ascii="Times New Roman" w:hAnsi="Times New Roman" w:cs="Times New Roman"/>
        </w:rPr>
        <w:t>R</w:t>
      </w:r>
      <w:r w:rsidR="003A0F85" w:rsidRPr="00297FDC">
        <w:rPr>
          <w:rFonts w:ascii="Times New Roman" w:hAnsi="Times New Roman" w:cs="Times New Roman"/>
        </w:rPr>
        <w:t>1-180</w:t>
      </w:r>
      <w:r w:rsidR="004B01F1" w:rsidRPr="00297FDC">
        <w:rPr>
          <w:rFonts w:ascii="Times New Roman" w:hAnsi="Times New Roman" w:cs="Times New Roman"/>
        </w:rPr>
        <w:t>7651</w:t>
      </w:r>
      <w:r w:rsidR="003A0F85" w:rsidRPr="00297FDC">
        <w:rPr>
          <w:rFonts w:ascii="Times New Roman" w:hAnsi="Times New Roman" w:cs="Times New Roman"/>
        </w:rPr>
        <w:t>, “Reply LS on formula or table for L1 data rate”, May 2018</w:t>
      </w:r>
      <w:bookmarkEnd w:id="13"/>
    </w:p>
    <w:p w14:paraId="7C11CC40" w14:textId="21ABD571" w:rsidR="00557990" w:rsidRPr="00297FDC" w:rsidRDefault="004B01F1" w:rsidP="00AC26EA">
      <w:pPr>
        <w:pStyle w:val="Reference"/>
        <w:numPr>
          <w:ilvl w:val="0"/>
          <w:numId w:val="4"/>
        </w:numPr>
        <w:rPr>
          <w:rFonts w:ascii="Times New Roman" w:hAnsi="Times New Roman" w:cs="Times New Roman"/>
        </w:rPr>
      </w:pPr>
      <w:bookmarkStart w:id="14" w:name="_Ref79061398"/>
      <w:r w:rsidRPr="00297FDC">
        <w:rPr>
          <w:rFonts w:ascii="Times New Roman" w:hAnsi="Times New Roman" w:cs="Times New Roman"/>
        </w:rPr>
        <w:t>38.306</w:t>
      </w:r>
      <w:bookmarkEnd w:id="14"/>
      <w:r w:rsidR="00EC45EF" w:rsidRPr="00297FDC">
        <w:rPr>
          <w:rFonts w:ascii="Times New Roman" w:hAnsi="Times New Roman" w:cs="Times New Roman"/>
        </w:rPr>
        <w:t>, “User Equipment (UE) radio access capabilities”</w:t>
      </w:r>
      <w:r w:rsidR="001B7319" w:rsidRPr="00297FDC">
        <w:rPr>
          <w:rFonts w:ascii="Times New Roman" w:hAnsi="Times New Roman" w:cs="Times New Roman"/>
        </w:rPr>
        <w:t>,</w:t>
      </w:r>
      <w:r w:rsidR="00EC45EF" w:rsidRPr="00297FDC">
        <w:rPr>
          <w:rFonts w:ascii="Times New Roman" w:hAnsi="Times New Roman" w:cs="Times New Roman"/>
        </w:rPr>
        <w:t xml:space="preserve"> Release 16</w:t>
      </w:r>
    </w:p>
    <w:sectPr w:rsidR="00557990" w:rsidRPr="00297FDC" w:rsidSect="00297FDC">
      <w:footerReference w:type="default" r:id="rId8"/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3B8DC" w14:textId="77777777" w:rsidR="00E0086D" w:rsidRDefault="00E0086D" w:rsidP="00110CF8">
      <w:pPr>
        <w:spacing w:after="0"/>
      </w:pPr>
      <w:r>
        <w:separator/>
      </w:r>
    </w:p>
  </w:endnote>
  <w:endnote w:type="continuationSeparator" w:id="0">
    <w:p w14:paraId="2D2671C5" w14:textId="77777777" w:rsidR="00E0086D" w:rsidRDefault="00E0086D" w:rsidP="00110C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88402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B073BE" w14:textId="3BA2BB76" w:rsidR="00110CF8" w:rsidRDefault="00110C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AECB43" w14:textId="77777777" w:rsidR="00110CF8" w:rsidRDefault="00110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A478" w14:textId="77777777" w:rsidR="00E0086D" w:rsidRDefault="00E0086D" w:rsidP="00110CF8">
      <w:pPr>
        <w:spacing w:after="0"/>
      </w:pPr>
      <w:r>
        <w:separator/>
      </w:r>
    </w:p>
  </w:footnote>
  <w:footnote w:type="continuationSeparator" w:id="0">
    <w:p w14:paraId="01823CE2" w14:textId="77777777" w:rsidR="00E0086D" w:rsidRDefault="00E0086D" w:rsidP="00110C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4B64DC9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4070B55"/>
    <w:multiLevelType w:val="hybridMultilevel"/>
    <w:tmpl w:val="CE12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E204B1"/>
    <w:multiLevelType w:val="hybridMultilevel"/>
    <w:tmpl w:val="5C966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C8498C"/>
    <w:multiLevelType w:val="multilevel"/>
    <w:tmpl w:val="6A1E9FEE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90"/>
    <w:rsid w:val="000860E3"/>
    <w:rsid w:val="000B239A"/>
    <w:rsid w:val="000C40C4"/>
    <w:rsid w:val="00110CF8"/>
    <w:rsid w:val="0013046C"/>
    <w:rsid w:val="001914F9"/>
    <w:rsid w:val="001B7319"/>
    <w:rsid w:val="001E7ECE"/>
    <w:rsid w:val="00297FDC"/>
    <w:rsid w:val="002F2AD1"/>
    <w:rsid w:val="00306AF4"/>
    <w:rsid w:val="0032076C"/>
    <w:rsid w:val="003264B4"/>
    <w:rsid w:val="00367B9A"/>
    <w:rsid w:val="003A0F85"/>
    <w:rsid w:val="0044405F"/>
    <w:rsid w:val="004605D8"/>
    <w:rsid w:val="004A37C9"/>
    <w:rsid w:val="004B01F1"/>
    <w:rsid w:val="004B5EA6"/>
    <w:rsid w:val="00537B38"/>
    <w:rsid w:val="00557990"/>
    <w:rsid w:val="005F3394"/>
    <w:rsid w:val="00650252"/>
    <w:rsid w:val="006608FC"/>
    <w:rsid w:val="00672B03"/>
    <w:rsid w:val="006B1862"/>
    <w:rsid w:val="006B3CB9"/>
    <w:rsid w:val="006C0DF1"/>
    <w:rsid w:val="00765896"/>
    <w:rsid w:val="007C7C2E"/>
    <w:rsid w:val="0086368D"/>
    <w:rsid w:val="008A347A"/>
    <w:rsid w:val="008A7ADF"/>
    <w:rsid w:val="008B7618"/>
    <w:rsid w:val="008D7B25"/>
    <w:rsid w:val="00954058"/>
    <w:rsid w:val="009968E3"/>
    <w:rsid w:val="00A13323"/>
    <w:rsid w:val="00A16393"/>
    <w:rsid w:val="00A65A8C"/>
    <w:rsid w:val="00A92D88"/>
    <w:rsid w:val="00A948FA"/>
    <w:rsid w:val="00AF794F"/>
    <w:rsid w:val="00B50C0B"/>
    <w:rsid w:val="00B6687A"/>
    <w:rsid w:val="00B75099"/>
    <w:rsid w:val="00BA4D5B"/>
    <w:rsid w:val="00BE268F"/>
    <w:rsid w:val="00C05BE2"/>
    <w:rsid w:val="00C12022"/>
    <w:rsid w:val="00C465F8"/>
    <w:rsid w:val="00C9725E"/>
    <w:rsid w:val="00D4548B"/>
    <w:rsid w:val="00D57F1F"/>
    <w:rsid w:val="00DB4F14"/>
    <w:rsid w:val="00E0086D"/>
    <w:rsid w:val="00E45380"/>
    <w:rsid w:val="00E7612B"/>
    <w:rsid w:val="00E9624D"/>
    <w:rsid w:val="00EC3CCF"/>
    <w:rsid w:val="00EC45EF"/>
    <w:rsid w:val="00EC70A6"/>
    <w:rsid w:val="00F264E0"/>
    <w:rsid w:val="00F45C7C"/>
    <w:rsid w:val="00FC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1EA8F"/>
  <w15:chartTrackingRefBased/>
  <w15:docId w15:val="{DD484032-F4E3-485D-82C0-48E4BDA6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0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579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57990"/>
    <w:rPr>
      <w:rFonts w:ascii="Arial" w:eastAsia="Times New Roman" w:hAnsi="Arial" w:cs="Times New Roman"/>
      <w:sz w:val="36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110CF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10CF8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10CF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10CF8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qFormat/>
    <w:rsid w:val="008B7618"/>
    <w:rPr>
      <w:color w:val="0000FF"/>
      <w:u w:val="single"/>
    </w:rPr>
  </w:style>
  <w:style w:type="paragraph" w:customStyle="1" w:styleId="Reference">
    <w:name w:val="Reference"/>
    <w:basedOn w:val="BodyText"/>
    <w:rsid w:val="008B7618"/>
    <w:pPr>
      <w:numPr>
        <w:numId w:val="2"/>
      </w:numPr>
      <w:tabs>
        <w:tab w:val="clear" w:pos="567"/>
        <w:tab w:val="num" w:pos="360"/>
      </w:tabs>
      <w:overflowPunct/>
      <w:autoSpaceDE/>
      <w:autoSpaceDN/>
      <w:adjustRightInd/>
      <w:spacing w:line="256" w:lineRule="auto"/>
      <w:ind w:left="0" w:firstLine="0"/>
      <w:jc w:val="both"/>
      <w:textAlignment w:val="auto"/>
    </w:pPr>
    <w:rPr>
      <w:rFonts w:ascii="Arial" w:eastAsiaTheme="minorHAnsi" w:hAnsi="Arial" w:cstheme="minorBidi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8B76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B7618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8B761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37C9"/>
    <w:pPr>
      <w:ind w:left="720"/>
      <w:contextualSpacing/>
    </w:pPr>
  </w:style>
  <w:style w:type="paragraph" w:customStyle="1" w:styleId="B2">
    <w:name w:val="B2"/>
    <w:basedOn w:val="List2"/>
    <w:link w:val="B2Char"/>
    <w:rsid w:val="004B01F1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B01F1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Normal"/>
    <w:uiPriority w:val="99"/>
    <w:semiHidden/>
    <w:unhideWhenUsed/>
    <w:rsid w:val="004B01F1"/>
    <w:pPr>
      <w:ind w:left="72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7E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7ECE"/>
  </w:style>
  <w:style w:type="character" w:customStyle="1" w:styleId="CommentTextChar">
    <w:name w:val="Comment Text Char"/>
    <w:basedOn w:val="DefaultParagraphFont"/>
    <w:link w:val="CommentText"/>
    <w:uiPriority w:val="99"/>
    <w:rsid w:val="001E7ECE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E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ECE"/>
    <w:rPr>
      <w:rFonts w:ascii="Times New Roman" w:eastAsia="Times New Roman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3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A58A7-2DF8-4082-9A34-26DA9002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Sylvia Lu</dc:creator>
  <cp:keywords/>
  <dc:description/>
  <cp:lastModifiedBy>Sylvia Lu</cp:lastModifiedBy>
  <cp:revision>3</cp:revision>
  <dcterms:created xsi:type="dcterms:W3CDTF">2021-08-06T08:02:00Z</dcterms:created>
  <dcterms:modified xsi:type="dcterms:W3CDTF">2021-08-06T21:44:00Z</dcterms:modified>
</cp:coreProperties>
</file>