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78FB4664"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AF56E9" w:rsidRPr="00AF56E9">
        <w:rPr>
          <w:rFonts w:eastAsia="MS Mincho"/>
          <w:b/>
          <w:bCs/>
          <w:sz w:val="24"/>
          <w:szCs w:val="24"/>
        </w:rPr>
        <w:t>R1-2107424</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41AE9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3409F85B"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A75E66">
        <w:rPr>
          <w:rFonts w:eastAsia="等线" w:hint="eastAsia"/>
          <w:sz w:val="24"/>
          <w:lang w:eastAsia="zh-CN"/>
        </w:rPr>
        <w:t>1</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61312"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252DE9" w:rsidRDefault="00252DE9">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252DE9" w:rsidRDefault="00252DE9">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lastRenderedPageBreak/>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It is based on gNB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A9706F">
      <w:pPr>
        <w:widowControl w:val="0"/>
        <w:numPr>
          <w:ilvl w:val="0"/>
          <w:numId w:val="56"/>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A9706F">
      <w:pPr>
        <w:widowControl w:val="0"/>
        <w:numPr>
          <w:ilvl w:val="0"/>
          <w:numId w:val="56"/>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A9706F">
      <w:pPr>
        <w:numPr>
          <w:ilvl w:val="0"/>
          <w:numId w:val="57"/>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A9706F">
      <w:pPr>
        <w:numPr>
          <w:ilvl w:val="0"/>
          <w:numId w:val="57"/>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246E26BC" w14:textId="77777777" w:rsidR="00AA06B2" w:rsidRPr="00CA25E7" w:rsidRDefault="00AA06B2" w:rsidP="00A9706F">
      <w:pPr>
        <w:numPr>
          <w:ilvl w:val="0"/>
          <w:numId w:val="57"/>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Proposal 1: Confirm the working assumption that Option 2B for CFR associated with UE active BWP other than 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lastRenderedPageBreak/>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lastRenderedPageBreak/>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Proposal 3: when CFR is not associated with initial BWP by RRC configuration, the bandwidth of CFR can be larger than initial BWP, it is gNB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Proposal-2: The association between CFR and initial BWP should be left to gNB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Proposal-3: The size of the CFR relative to the initial BWP could also be left to gNB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Proposal 2: The UE does not expect a CFR larger than the initial BWP if the initial BWP is the active BWP of the UE. In case of a CFR larger than initial BWP, it should be configured within an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t xml:space="preserve">Proposal 1: For a connected UE receiving multicast (as well as idle/inactive UEs receiving broadcast), CFR associated to initial DL BWP can be configured with a wider bandwidth than the initial DL BWP or a bandwidth </w:t>
      </w:r>
      <w:r w:rsidRPr="000F043A">
        <w:lastRenderedPageBreak/>
        <w:t>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Proposal 4. If the CFR is equal to the unicast BWP, the signalling of starting PRB and the length of PRBs is not 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lastRenderedPageBreak/>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Huawei, HiSilicon</w:t>
      </w:r>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lastRenderedPageBreak/>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t xml:space="preserve">Proposal 8: When some fields in PDSCH-Config for MBS are same as the fields in PDSCH-Config of the dedicated unicast BWP, the corresponding fields in PDSCH-Config of the dedicated unicast BWP can be the default </w:t>
      </w:r>
      <w:r w:rsidRPr="000F043A">
        <w:lastRenderedPageBreak/>
        <w:t>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r w:rsidRPr="000F043A">
        <w:t>xOverhead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It is up to gNB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Proposal-23: The parameters such as mcs-table, xOverhead,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t>Proposal 9: Define a xOverhead-MBS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lastRenderedPageBreak/>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Proposal 4: For RRC_CONNECTED UEs, the xOverhead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maxMIMO-Layers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mcs-Table in PDSCH-Config for MBS; if mcs-Table in PDSCH-Config for MBS is not provided, a default value or a value determined from mcs-Table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r w:rsidRPr="000F043A">
        <w:t>xOverhead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Proposal 40: xOverhead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Proposal 5: The xOverhead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Proposal 6: The current mechanism for semi-persistent ZP CSI RS is reused, i.e. do NOT introduce common trigger signalling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BWP-InactivityTimer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lastRenderedPageBreak/>
        <w:t>Samsung</w:t>
      </w:r>
    </w:p>
    <w:p w14:paraId="2BE61AD3" w14:textId="77777777" w:rsidR="00866328" w:rsidRPr="000F043A" w:rsidRDefault="00866328" w:rsidP="00866328">
      <w:pPr>
        <w:pStyle w:val="ListParagraph"/>
        <w:widowControl w:val="0"/>
        <w:numPr>
          <w:ilvl w:val="1"/>
          <w:numId w:val="42"/>
        </w:numPr>
        <w:spacing w:after="120"/>
        <w:jc w:val="both"/>
      </w:pPr>
      <w:r w:rsidRPr="000F043A">
        <w:t xml:space="preserve">Proposal 1: Introduce MBS-BWP-InactivityTimer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lastRenderedPageBreak/>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Proposal 6: support transmission of multiple TDMed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TDMed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Observation 9: In the current specification, the QCL assumption of group-common PDSCH will not be aligned among UEs in the same group if the offset between the group-common PDCCH and the corresponding PDSCH is less than the threshold timeDurationForQCL.</w:t>
      </w:r>
    </w:p>
    <w:p w14:paraId="4F6D0073" w14:textId="77777777" w:rsidR="009531EE" w:rsidRPr="000F043A" w:rsidRDefault="009531EE" w:rsidP="009531EE">
      <w:pPr>
        <w:pStyle w:val="ListParagraph"/>
        <w:widowControl w:val="0"/>
        <w:numPr>
          <w:ilvl w:val="1"/>
          <w:numId w:val="42"/>
        </w:numPr>
        <w:spacing w:after="120"/>
        <w:jc w:val="both"/>
      </w:pPr>
      <w:r w:rsidRPr="000F043A">
        <w:t>Proposal 17: The default QCL assumption of group-common PDSCH should be specified for the case that the time offset between the group-common PDCCH and the corresponding PDSCH is less than the threshold timeDurationForQCL.</w:t>
      </w:r>
    </w:p>
    <w:p w14:paraId="0A33FE37" w14:textId="77777777" w:rsidR="00C9127F" w:rsidRPr="000F043A" w:rsidRDefault="00C9127F" w:rsidP="007937A7">
      <w:pPr>
        <w:pStyle w:val="ListParagraph"/>
        <w:widowControl w:val="0"/>
        <w:numPr>
          <w:ilvl w:val="0"/>
          <w:numId w:val="42"/>
        </w:numPr>
        <w:spacing w:after="120"/>
        <w:jc w:val="both"/>
      </w:pPr>
      <w:r w:rsidRPr="000F043A">
        <w:rPr>
          <w:i/>
          <w:iCs/>
          <w:u w:val="single"/>
        </w:rPr>
        <w:t>ASUSTeK</w:t>
      </w:r>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86732">
      <w:pPr>
        <w:pStyle w:val="ListParagraph"/>
        <w:widowControl w:val="0"/>
        <w:numPr>
          <w:ilvl w:val="1"/>
          <w:numId w:val="42"/>
        </w:numPr>
        <w:spacing w:after="120"/>
        <w:jc w:val="both"/>
      </w:pPr>
      <w:r w:rsidRPr="000F043A">
        <w:t>Proposal 2: When the UE constructs a Type-1 HARQ-ACK codebook for unicast service, the PDSCH configured outside CFR should not be included in the occasions for candidate PDSCH receptions if the HARQ-ACK feedback for MBS is disabled by gNB.</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gNB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companies [OPPO, Futurewei</w:t>
      </w:r>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However</w:t>
      </w:r>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signalling</w:t>
      </w:r>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signalling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t xml:space="preserve">A UE may change the active unicast DL BWP to the default/initial DL BWP when </w:t>
      </w:r>
      <w:r>
        <w:rPr>
          <w:i/>
        </w:rPr>
        <w:t xml:space="preserve">BWP-InactivityTimer </w:t>
      </w:r>
      <w:r>
        <w:t xml:space="preserve">expires, and the </w:t>
      </w:r>
      <w:r>
        <w:lastRenderedPageBreak/>
        <w:t xml:space="preserve">default/initial BWP may not contain the CFR. This is because in Rel-16, </w:t>
      </w:r>
      <w:r>
        <w:rPr>
          <w:i/>
        </w:rPr>
        <w:t xml:space="preserve">BWP-InactivityTimer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BWP-InactivityTimer</w:t>
      </w:r>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MBS-BWP-InactivityTimer</w:t>
      </w:r>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 xml:space="preserve">MBS-BWP-InactivityTimer </w:t>
      </w:r>
      <w:r>
        <w:t xml:space="preserve">and </w:t>
      </w:r>
      <w:r>
        <w:rPr>
          <w:i/>
        </w:rPr>
        <w:t xml:space="preserve">BWP-InactivityTimer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Option 2B for CFR associated with UE active BWP other than initial BWP is supported at least for multicast of RRC-CONNECTED U</w:t>
      </w:r>
      <w:r w:rsidR="00DC6613" w:rsidRPr="00CA25E7">
        <w:t>e</w:t>
      </w:r>
      <w:r w:rsidRPr="00CA25E7">
        <w:t>s.</w:t>
      </w:r>
    </w:p>
    <w:p w14:paraId="1465BBD1" w14:textId="77777777" w:rsidR="009B316B" w:rsidRPr="00CA25E7" w:rsidRDefault="009B316B" w:rsidP="00A9706F">
      <w:pPr>
        <w:widowControl w:val="0"/>
        <w:numPr>
          <w:ilvl w:val="0"/>
          <w:numId w:val="56"/>
        </w:numPr>
        <w:overflowPunct/>
        <w:autoSpaceDE/>
        <w:autoSpaceDN/>
        <w:adjustRightInd/>
        <w:jc w:val="both"/>
        <w:textAlignment w:val="auto"/>
      </w:pPr>
      <w:r w:rsidRPr="00CA25E7">
        <w:t>FFS: CFR associated with initial BWP</w:t>
      </w:r>
    </w:p>
    <w:p w14:paraId="1DE30111" w14:textId="77777777" w:rsidR="009B316B" w:rsidRPr="00CA25E7" w:rsidRDefault="009B316B" w:rsidP="00A9706F">
      <w:pPr>
        <w:widowControl w:val="0"/>
        <w:numPr>
          <w:ilvl w:val="0"/>
          <w:numId w:val="56"/>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242B9">
      <w:pPr>
        <w:widowControl w:val="0"/>
        <w:numPr>
          <w:ilvl w:val="0"/>
          <w:numId w:val="56"/>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242B9">
      <w:pPr>
        <w:widowControl w:val="0"/>
        <w:numPr>
          <w:ilvl w:val="0"/>
          <w:numId w:val="56"/>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2E38F6">
      <w:pPr>
        <w:widowControl w:val="0"/>
        <w:numPr>
          <w:ilvl w:val="0"/>
          <w:numId w:val="56"/>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8B664E">
      <w:pPr>
        <w:widowControl w:val="0"/>
        <w:numPr>
          <w:ilvl w:val="0"/>
          <w:numId w:val="56"/>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8B664E">
      <w:pPr>
        <w:widowControl w:val="0"/>
        <w:numPr>
          <w:ilvl w:val="0"/>
          <w:numId w:val="56"/>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w:t>
      </w:r>
      <w:r w:rsidR="00103C02">
        <w:t xml:space="preserve"> in CFR</w:t>
      </w:r>
      <w:r>
        <w:t xml:space="preserve">; if </w:t>
      </w:r>
      <w:r w:rsidRPr="00103C02">
        <w:rPr>
          <w:i/>
          <w:iCs/>
        </w:rPr>
        <w:t>mcs-Table</w:t>
      </w:r>
      <w:r>
        <w:t xml:space="preserve"> in </w:t>
      </w:r>
      <w:r w:rsidRPr="00103C02">
        <w:rPr>
          <w:i/>
          <w:iCs/>
        </w:rPr>
        <w:t>PDSCH-Config</w:t>
      </w:r>
      <w:r>
        <w:t xml:space="preserve"> for MBS is not </w:t>
      </w:r>
      <w:r w:rsidR="00103C02">
        <w:t>configured in CFR</w:t>
      </w:r>
      <w:r>
        <w:t xml:space="preserve">, a value determined from </w:t>
      </w:r>
      <w:r w:rsidRPr="00103C02">
        <w:rPr>
          <w:i/>
          <w:iCs/>
        </w:rPr>
        <w:t>mcs-Table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8B664E">
      <w:pPr>
        <w:widowControl w:val="0"/>
        <w:numPr>
          <w:ilvl w:val="0"/>
          <w:numId w:val="56"/>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8B664E">
      <w:pPr>
        <w:widowControl w:val="0"/>
        <w:numPr>
          <w:ilvl w:val="0"/>
          <w:numId w:val="56"/>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D52D75">
      <w:pPr>
        <w:widowControl w:val="0"/>
        <w:numPr>
          <w:ilvl w:val="0"/>
          <w:numId w:val="56"/>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38594654" w14:textId="700340E2" w:rsidR="00EB727E" w:rsidRDefault="00EB727E" w:rsidP="00D52D75">
      <w:pPr>
        <w:widowControl w:val="0"/>
        <w:numPr>
          <w:ilvl w:val="0"/>
          <w:numId w:val="56"/>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MBS-BWP-InactivityTimer</w:t>
      </w:r>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2801C0">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2801C0">
            <w:pPr>
              <w:jc w:val="center"/>
              <w:rPr>
                <w:b/>
                <w:lang w:eastAsia="zh-CN"/>
              </w:rPr>
            </w:pPr>
            <w:r>
              <w:rPr>
                <w:b/>
                <w:lang w:eastAsia="zh-CN"/>
              </w:rPr>
              <w:t>Comment</w:t>
            </w:r>
          </w:p>
        </w:tc>
      </w:tr>
      <w:tr w:rsidR="004900DB" w14:paraId="24B28F14" w14:textId="77777777" w:rsidTr="002801C0">
        <w:tc>
          <w:tcPr>
            <w:tcW w:w="2122" w:type="dxa"/>
            <w:tcBorders>
              <w:top w:val="single" w:sz="4" w:space="0" w:color="auto"/>
              <w:left w:val="single" w:sz="4" w:space="0" w:color="auto"/>
              <w:bottom w:val="single" w:sz="4" w:space="0" w:color="auto"/>
              <w:right w:val="single" w:sz="4" w:space="0" w:color="auto"/>
            </w:tcBorders>
          </w:tcPr>
          <w:p w14:paraId="53CCF9AE" w14:textId="77777777" w:rsidR="004900DB" w:rsidRPr="00BA3EA3" w:rsidRDefault="004900D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9935862" w14:textId="77777777" w:rsidR="004900DB" w:rsidRPr="00BA3EA3" w:rsidRDefault="004900DB" w:rsidP="002801C0">
            <w:pPr>
              <w:jc w:val="left"/>
              <w:rPr>
                <w:bCs/>
                <w:lang w:eastAsia="zh-CN"/>
              </w:rPr>
            </w:pPr>
          </w:p>
        </w:tc>
      </w:tr>
      <w:tr w:rsidR="004900DB" w14:paraId="4574799A" w14:textId="77777777" w:rsidTr="002801C0">
        <w:tc>
          <w:tcPr>
            <w:tcW w:w="2122" w:type="dxa"/>
            <w:tcBorders>
              <w:top w:val="single" w:sz="4" w:space="0" w:color="auto"/>
              <w:left w:val="single" w:sz="4" w:space="0" w:color="auto"/>
              <w:bottom w:val="single" w:sz="4" w:space="0" w:color="auto"/>
              <w:right w:val="single" w:sz="4" w:space="0" w:color="auto"/>
            </w:tcBorders>
          </w:tcPr>
          <w:p w14:paraId="7127C642" w14:textId="77777777" w:rsidR="004900DB" w:rsidRPr="00BA3EA3" w:rsidRDefault="004900D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DEDC392" w14:textId="77777777" w:rsidR="004900DB" w:rsidRPr="00BA3EA3" w:rsidRDefault="004900DB" w:rsidP="002801C0">
            <w:pPr>
              <w:jc w:val="left"/>
              <w:rPr>
                <w:bCs/>
                <w:lang w:eastAsia="zh-CN"/>
              </w:rPr>
            </w:pPr>
          </w:p>
        </w:tc>
      </w:tr>
    </w:tbl>
    <w:p w14:paraId="2069E050" w14:textId="77777777" w:rsidR="004900DB"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E569E54" w14:textId="486A7080" w:rsidR="00A97B83" w:rsidRPr="00D82D76" w:rsidRDefault="00A97B83" w:rsidP="006723CD">
      <w:pPr>
        <w:widowControl w:val="0"/>
        <w:spacing w:after="120"/>
        <w:jc w:val="both"/>
        <w:rPr>
          <w:lang w:eastAsia="zh-CN"/>
        </w:rPr>
      </w:pPr>
    </w:p>
    <w:p w14:paraId="366AB558" w14:textId="77777777" w:rsidR="00A33501" w:rsidRPr="00A97B83" w:rsidRDefault="00A33501" w:rsidP="006723CD">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w:t>
      </w:r>
      <w:r w:rsidRPr="00CA25E7">
        <w:rPr>
          <w:rFonts w:eastAsia="Times New Roman"/>
          <w:lang w:eastAsia="zh-CN"/>
        </w:rPr>
        <w:lastRenderedPageBreak/>
        <w:t>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A9706F">
      <w:pPr>
        <w:pStyle w:val="ListParagraph"/>
        <w:widowControl w:val="0"/>
        <w:numPr>
          <w:ilvl w:val="0"/>
          <w:numId w:val="58"/>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A9706F">
      <w:pPr>
        <w:pStyle w:val="ListParagraph"/>
        <w:widowControl w:val="0"/>
        <w:numPr>
          <w:ilvl w:val="1"/>
          <w:numId w:val="58"/>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A9706F">
      <w:pPr>
        <w:pStyle w:val="ListParagraph"/>
        <w:widowControl w:val="0"/>
        <w:numPr>
          <w:ilvl w:val="0"/>
          <w:numId w:val="58"/>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1"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1"/>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2" w:name="_Hlk71962917"/>
      <w:r w:rsidRPr="00C94674">
        <w:rPr>
          <w:lang w:eastAsia="x-none"/>
        </w:rPr>
        <w:t xml:space="preserve">Details of the reuse (or not) of DCI format 1_0, 1_1 or 1_2 fields </w:t>
      </w:r>
      <w:bookmarkEnd w:id="12"/>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A9706F">
      <w:pPr>
        <w:pStyle w:val="ListParagraph"/>
        <w:numPr>
          <w:ilvl w:val="0"/>
          <w:numId w:val="60"/>
        </w:numPr>
        <w:overflowPunct w:val="0"/>
        <w:autoSpaceDE w:val="0"/>
        <w:autoSpaceDN w:val="0"/>
        <w:adjustRightInd w:val="0"/>
        <w:spacing w:after="180"/>
        <w:contextualSpacing/>
        <w:textAlignment w:val="baseline"/>
      </w:pPr>
      <w:r w:rsidRPr="00CA25E7">
        <w:lastRenderedPageBreak/>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A9706F">
      <w:pPr>
        <w:pStyle w:val="ListParagraph"/>
        <w:numPr>
          <w:ilvl w:val="0"/>
          <w:numId w:val="60"/>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A9706F">
      <w:pPr>
        <w:pStyle w:val="ListParagraph"/>
        <w:numPr>
          <w:ilvl w:val="0"/>
          <w:numId w:val="60"/>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A9706F">
      <w:pPr>
        <w:pStyle w:val="ListParagraph"/>
        <w:numPr>
          <w:ilvl w:val="0"/>
          <w:numId w:val="60"/>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ListParagraph"/>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lastRenderedPageBreak/>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 xml:space="preserve">Proposal 6: Confirm the WA that the number of CORESETs remains as in Rel-16 and that it is a gNB choice how </w:t>
      </w:r>
      <w:r w:rsidRPr="0082236E">
        <w:lastRenderedPageBreak/>
        <w:t>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Observation 7: Whether or not a UE monitors PDCCH for detection of unicast DCIs and multicast DCIs in a same CORESET is a gNB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The maximum number of CORESETs per BWP is not increased for support of MBS, and the number of CORESETs configured within the CFR is left to gNB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3"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4"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4"/>
    </w:p>
    <w:bookmarkEnd w:id="13"/>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5" w:name="_Hlk79497380"/>
      <w:r w:rsidRPr="0082236E">
        <w:t>only DCI formats with CRC scrambled with g-RNTI for multicast scheduling can be monitored in the search space</w:t>
      </w:r>
      <w:bookmarkEnd w:id="15"/>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r w:rsidRPr="0082236E">
        <w:rPr>
          <w:i/>
          <w:iCs/>
          <w:u w:val="single"/>
        </w:rPr>
        <w:t>Convida</w:t>
      </w:r>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6" w:name="_Hlk79513459"/>
      <w:r w:rsidRPr="0082236E">
        <w:t>For each member UE, each field could be interpreted  in light of its specific configuration</w:t>
      </w:r>
    </w:p>
    <w:bookmarkEnd w:id="16"/>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7" w:name="_Hlk79513500"/>
      <w:r w:rsidRPr="0082236E">
        <w:t>The fields of ‘carrier indicator’ and ‘Bandwidth part indicator’ in DCI format 1_1 can be reused in the second DCI format with CRC scrambled with G-RNTI.</w:t>
      </w:r>
    </w:p>
    <w:bookmarkEnd w:id="17"/>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8" w:name="_Hlk79513539"/>
      <w:r w:rsidRPr="0082236E">
        <w:t>‘Carrier indicator’ and ‘Bandwidth part indicator’ can leave to gNB to configuration.</w:t>
      </w:r>
    </w:p>
    <w:bookmarkEnd w:id="18"/>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9"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9"/>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20"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20"/>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21"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21"/>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22"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22"/>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23"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23"/>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24"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24"/>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25"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25"/>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DCI format 1_1/1_2: they are counted as “other RNTI”, and gNB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26" w:name="_Hlk79532816"/>
      <w:r>
        <w:t xml:space="preserve">For </w:t>
      </w:r>
      <w:bookmarkStart w:id="27" w:name="_Hlk79390873"/>
      <w:r>
        <w:t>initializing</w:t>
      </w:r>
      <w:bookmarkEnd w:id="27"/>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ListParagraph"/>
        <w:widowControl w:val="0"/>
        <w:numPr>
          <w:ilvl w:val="2"/>
          <w:numId w:val="42"/>
        </w:numPr>
        <w:spacing w:after="120"/>
        <w:jc w:val="both"/>
      </w:pPr>
      <w:r>
        <w:t>n</w:t>
      </w:r>
      <w:r w:rsidRPr="00FC2078">
        <w:rPr>
          <w:vertAlign w:val="subscript"/>
        </w:rPr>
        <w:t>RNTI</w:t>
      </w:r>
      <w:r>
        <w:t xml:space="preserve"> is given by the G-RNTI.</w:t>
      </w:r>
    </w:p>
    <w:bookmarkEnd w:id="26"/>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28" w:name="_Hlk79532427"/>
      <w:r>
        <w:t>When scheduling with non-fallback DCI, Scrambling parameters n_ID and n_RNTI for group PDCCH DMRS in the CSS is given by pdcch-DMRS-ScramblingID and the group PDCCH G-RNTI, respectively.</w:t>
      </w:r>
      <w:bookmarkEnd w:id="28"/>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29" w:name="_Hlk79532582"/>
      <w:r>
        <w:t xml:space="preserve">Scrambling parameters n_ID and n_RNTI for group PDSCH schedule by the multicast non-fallback DCI in CSS is given by </w:t>
      </w:r>
      <w:bookmarkEnd w:id="29"/>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t>n_ID =  the higher-layer parameter dataScramblingIdentityPDSCH  if CORESETPoolIndex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ListParagraph"/>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ListParagraph"/>
        <w:widowControl w:val="0"/>
        <w:numPr>
          <w:ilvl w:val="3"/>
          <w:numId w:val="42"/>
        </w:numPr>
        <w:spacing w:after="120"/>
        <w:jc w:val="both"/>
      </w:pPr>
      <w:r>
        <w:t>ii.</w:t>
      </w:r>
      <w:r>
        <w:tab/>
        <w:t>n_ID = the higher-layer parameter dataScramblingIdentityPDSCH2 if the codeword is scheduled 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It was also raised that,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0E242A" w:rsidRPr="002625EB">
        <w:rPr>
          <w:position w:val="-10"/>
        </w:rPr>
        <w:object w:dxaOrig="675" w:dyaOrig="330" w14:anchorId="51DE4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6.65pt" o:ole="">
            <v:imagedata r:id="rId15" o:title=""/>
          </v:shape>
          <o:OLEObject Type="Embed" ProgID="Equation.3" ShapeID="_x0000_i1025" DrawAspect="Content" ObjectID="_1690552276" r:id="rId16"/>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0E242A" w:rsidRPr="002625EB">
        <w:rPr>
          <w:position w:val="-10"/>
        </w:rPr>
        <w:object w:dxaOrig="675" w:dyaOrig="330" w14:anchorId="06D1FA6F">
          <v:shape id="_x0000_i1026" type="#_x0000_t75" style="width:33.55pt;height:16.65pt" o:ole="">
            <v:imagedata r:id="rId15" o:title=""/>
          </v:shape>
          <o:OLEObject Type="Embed" ProgID="Equation.3" ShapeID="_x0000_i1026" DrawAspect="Content" ObjectID="_1690552277" r:id="rId17"/>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044093" w:rsidRPr="002625EB">
        <w:rPr>
          <w:position w:val="-10"/>
        </w:rPr>
        <w:object w:dxaOrig="675" w:dyaOrig="330" w14:anchorId="1ECB93E6">
          <v:shape id="_x0000_i1027" type="#_x0000_t75" style="width:33.55pt;height:16.65pt" o:ole="">
            <v:imagedata r:id="rId15" o:title=""/>
          </v:shape>
          <o:OLEObject Type="Embed" ProgID="Equation.3" ShapeID="_x0000_i1027" DrawAspect="Content" ObjectID="_1690552278" r:id="rId18"/>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366B52">
      <w:pPr>
        <w:pStyle w:val="ListParagraph"/>
        <w:widowControl w:val="0"/>
        <w:numPr>
          <w:ilvl w:val="0"/>
          <w:numId w:val="7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366B52">
      <w:pPr>
        <w:pStyle w:val="ListParagraph"/>
        <w:widowControl w:val="0"/>
        <w:numPr>
          <w:ilvl w:val="1"/>
          <w:numId w:val="79"/>
        </w:numPr>
        <w:spacing w:after="120"/>
        <w:jc w:val="both"/>
      </w:pPr>
      <w:r>
        <w:t>Supporting companies: Nokia, MediaTek, CMCC, Nokia, Ericsson</w:t>
      </w:r>
    </w:p>
    <w:p w14:paraId="1A09F04D" w14:textId="77777777" w:rsidR="00366B52" w:rsidRDefault="00CC2390" w:rsidP="00CC2390">
      <w:pPr>
        <w:pStyle w:val="ListParagraph"/>
        <w:widowControl w:val="0"/>
        <w:numPr>
          <w:ilvl w:val="0"/>
          <w:numId w:val="79"/>
        </w:numPr>
        <w:spacing w:after="120"/>
        <w:jc w:val="both"/>
      </w:pPr>
      <w:r>
        <w:rPr>
          <w:rFonts w:hint="eastAsia"/>
        </w:rPr>
        <w:t>A</w:t>
      </w:r>
      <w:r>
        <w:t>lt-2: G-RNTI is counted as “other RNTI”</w:t>
      </w:r>
    </w:p>
    <w:p w14:paraId="1AACFFCD" w14:textId="57A17CC0" w:rsidR="00CC2390" w:rsidRDefault="00366B52" w:rsidP="00366B52">
      <w:pPr>
        <w:pStyle w:val="ListParagraph"/>
        <w:widowControl w:val="0"/>
        <w:numPr>
          <w:ilvl w:val="1"/>
          <w:numId w:val="79"/>
        </w:numPr>
        <w:spacing w:after="120"/>
        <w:jc w:val="both"/>
      </w:pPr>
      <w:r>
        <w:t>Supporting companies: Lenovo, NTT Docomo, OPPO</w:t>
      </w:r>
    </w:p>
    <w:p w14:paraId="378DEFD8" w14:textId="40B17CE5" w:rsidR="00CC2390" w:rsidRDefault="00CC2390" w:rsidP="00CC2390">
      <w:pPr>
        <w:pStyle w:val="ListParagraph"/>
        <w:widowControl w:val="0"/>
        <w:numPr>
          <w:ilvl w:val="0"/>
          <w:numId w:val="7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366B52">
      <w:pPr>
        <w:pStyle w:val="ListParagraph"/>
        <w:widowControl w:val="0"/>
        <w:numPr>
          <w:ilvl w:val="1"/>
          <w:numId w:val="79"/>
        </w:numPr>
        <w:spacing w:after="120"/>
        <w:jc w:val="both"/>
      </w:pPr>
      <w:r>
        <w:t>Supporting companies: CATT, Intel</w:t>
      </w:r>
    </w:p>
    <w:p w14:paraId="6E8093B6" w14:textId="5DABF6B9" w:rsidR="00187A52" w:rsidRPr="00096974" w:rsidRDefault="00187A52" w:rsidP="00CC2390">
      <w:pPr>
        <w:pStyle w:val="ListParagraph"/>
        <w:widowControl w:val="0"/>
        <w:numPr>
          <w:ilvl w:val="0"/>
          <w:numId w:val="7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096974">
      <w:pPr>
        <w:pStyle w:val="ListParagraph"/>
        <w:widowControl w:val="0"/>
        <w:numPr>
          <w:ilvl w:val="1"/>
          <w:numId w:val="7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Regarding the scrambling parameters n_ID and n_RNTI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8A3DBD">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30" w:name="_Hlk79504433"/>
    <w:p w14:paraId="3F648FC4" w14:textId="3A04ACB1" w:rsidR="00FB3467" w:rsidRPr="001B2EC3" w:rsidRDefault="00F12F48" w:rsidP="00327D47">
      <w:pPr>
        <w:pStyle w:val="ListParagraph"/>
        <w:widowControl w:val="0"/>
        <w:numPr>
          <w:ilvl w:val="1"/>
          <w:numId w:val="32"/>
        </w:numPr>
        <w:jc w:val="both"/>
      </w:pPr>
      <w:r w:rsidRPr="002625EB">
        <w:rPr>
          <w:position w:val="-10"/>
        </w:rPr>
        <w:object w:dxaOrig="675" w:dyaOrig="330" w14:anchorId="0B3D063A">
          <v:shape id="_x0000_i1028" type="#_x0000_t75" style="width:33.55pt;height:16.65pt" o:ole="">
            <v:imagedata r:id="rId15" o:title=""/>
          </v:shape>
          <o:OLEObject Type="Embed" ProgID="Equation.3" ShapeID="_x0000_i1028" DrawAspect="Content" ObjectID="_1690552279" r:id="rId19"/>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30"/>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31" w:name="_Hlk71970089"/>
      <w:r>
        <w:rPr>
          <w:b/>
          <w:highlight w:val="yellow"/>
          <w:lang w:eastAsia="zh-CN"/>
        </w:rPr>
        <w:t>[High] Initial Proposal 2-7</w:t>
      </w:r>
      <w:bookmarkEnd w:id="31"/>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381442"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381442"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2801C0">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2801C0">
            <w:pPr>
              <w:jc w:val="center"/>
              <w:rPr>
                <w:b/>
                <w:lang w:eastAsia="zh-CN"/>
              </w:rPr>
            </w:pPr>
            <w:r>
              <w:rPr>
                <w:b/>
                <w:lang w:eastAsia="zh-CN"/>
              </w:rPr>
              <w:t>Comment</w:t>
            </w:r>
          </w:p>
        </w:tc>
      </w:tr>
      <w:tr w:rsidR="0071305B" w14:paraId="406DE49A" w14:textId="77777777" w:rsidTr="002801C0">
        <w:tc>
          <w:tcPr>
            <w:tcW w:w="2122" w:type="dxa"/>
            <w:tcBorders>
              <w:top w:val="single" w:sz="4" w:space="0" w:color="auto"/>
              <w:left w:val="single" w:sz="4" w:space="0" w:color="auto"/>
              <w:bottom w:val="single" w:sz="4" w:space="0" w:color="auto"/>
              <w:right w:val="single" w:sz="4" w:space="0" w:color="auto"/>
            </w:tcBorders>
          </w:tcPr>
          <w:p w14:paraId="6B4C8340" w14:textId="77777777" w:rsidR="0071305B" w:rsidRPr="00BA3EA3" w:rsidRDefault="0071305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1540C6F" w14:textId="77777777" w:rsidR="0071305B" w:rsidRPr="00BA3EA3" w:rsidRDefault="0071305B" w:rsidP="002801C0">
            <w:pPr>
              <w:jc w:val="left"/>
              <w:rPr>
                <w:bCs/>
                <w:lang w:eastAsia="zh-CN"/>
              </w:rPr>
            </w:pPr>
          </w:p>
        </w:tc>
      </w:tr>
      <w:tr w:rsidR="0071305B" w14:paraId="1D93AFF9" w14:textId="77777777" w:rsidTr="002801C0">
        <w:tc>
          <w:tcPr>
            <w:tcW w:w="2122" w:type="dxa"/>
            <w:tcBorders>
              <w:top w:val="single" w:sz="4" w:space="0" w:color="auto"/>
              <w:left w:val="single" w:sz="4" w:space="0" w:color="auto"/>
              <w:bottom w:val="single" w:sz="4" w:space="0" w:color="auto"/>
              <w:right w:val="single" w:sz="4" w:space="0" w:color="auto"/>
            </w:tcBorders>
          </w:tcPr>
          <w:p w14:paraId="52E7BF89" w14:textId="77777777" w:rsidR="0071305B" w:rsidRPr="00BA3EA3" w:rsidRDefault="0071305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FABD193" w14:textId="77777777" w:rsidR="0071305B" w:rsidRPr="00BA3EA3" w:rsidRDefault="0071305B" w:rsidP="002801C0">
            <w:pPr>
              <w:jc w:val="left"/>
              <w:rPr>
                <w:bCs/>
                <w:lang w:eastAsia="zh-CN"/>
              </w:rPr>
            </w:pPr>
          </w:p>
        </w:tc>
      </w:tr>
    </w:tbl>
    <w:p w14:paraId="45D2A671" w14:textId="77777777" w:rsidR="0071305B"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3DC20E5" w14:textId="77777777" w:rsidR="0071305B" w:rsidRPr="00D82D76" w:rsidRDefault="0071305B" w:rsidP="0071305B">
      <w:pPr>
        <w:widowControl w:val="0"/>
        <w:spacing w:after="120"/>
        <w:jc w:val="both"/>
        <w:rPr>
          <w:lang w:eastAsia="zh-CN"/>
        </w:rPr>
      </w:pPr>
    </w:p>
    <w:p w14:paraId="685C4F34" w14:textId="77777777" w:rsidR="003511D2" w:rsidRDefault="003511D2" w:rsidP="003511D2">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32" w:name="_Hlk78714608"/>
      <w:r>
        <w:rPr>
          <w:rFonts w:ascii="Times New Roman" w:hAnsi="Times New Roman"/>
          <w:lang w:val="en-US"/>
        </w:rPr>
        <w:t>HARQ process management</w:t>
      </w:r>
      <w:bookmarkEnd w:id="32"/>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33" w:name="_Hlk78708133"/>
      <w:r w:rsidR="006D4761" w:rsidRPr="009B6277">
        <w:rPr>
          <w:lang w:eastAsia="zh-CN"/>
        </w:rPr>
        <w:t xml:space="preserve"> (#104)</w:t>
      </w:r>
      <w:bookmarkEnd w:id="33"/>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34" w:name="_Hlk79566445"/>
      <w:r w:rsidRPr="009B6277">
        <w:rPr>
          <w:lang w:eastAsia="x-none"/>
        </w:rPr>
        <w:t>The maximum number of HARQ processes per cell, currently supported for unicast, is kept unchanged for UE to support multicast reception.</w:t>
      </w:r>
      <w:bookmarkEnd w:id="34"/>
    </w:p>
    <w:p w14:paraId="347DA846" w14:textId="77777777" w:rsidR="00843766" w:rsidRPr="009B6277" w:rsidRDefault="00843766" w:rsidP="008435C7">
      <w:pPr>
        <w:numPr>
          <w:ilvl w:val="0"/>
          <w:numId w:val="47"/>
        </w:numPr>
        <w:overflowPunct/>
        <w:autoSpaceDE/>
        <w:autoSpaceDN/>
        <w:adjustRightInd/>
        <w:textAlignment w:val="auto"/>
        <w:rPr>
          <w:lang w:eastAsia="x-none"/>
        </w:rPr>
      </w:pPr>
      <w:r w:rsidRPr="009B6277">
        <w:rPr>
          <w:lang w:eastAsia="x-none"/>
        </w:rPr>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35" w:name="_Hlk79563465"/>
      <w:r w:rsidR="007D1A90" w:rsidRPr="009B5F8E">
        <w:rPr>
          <w:b/>
          <w:bCs/>
          <w:u w:val="single"/>
        </w:rPr>
        <w:t>for PTM reception</w:t>
      </w:r>
      <w:bookmarkEnd w:id="35"/>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Proposal 1: Downselect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36"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36"/>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37" w:name="_Hlk69054629"/>
      <w:r w:rsidRPr="000A10B8">
        <w:t>Proposal 7: For HARQ process management, there is no need differentiate the HARQ process ID used for PTP (re)transmission for unicast and PTP retransmission for multicast.</w:t>
      </w:r>
    </w:p>
    <w:bookmarkEnd w:id="37"/>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gNB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27030BD0" w14:textId="77777777" w:rsidR="00D41CE6" w:rsidRPr="000A10B8" w:rsidRDefault="00D41CE6" w:rsidP="00D41CE6">
      <w:pPr>
        <w:pStyle w:val="ListParagraph"/>
        <w:widowControl w:val="0"/>
        <w:numPr>
          <w:ilvl w:val="1"/>
          <w:numId w:val="42"/>
        </w:numPr>
        <w:spacing w:after="120"/>
        <w:jc w:val="both"/>
      </w:pPr>
      <w:bookmarkStart w:id="38" w:name="_Hlk71981145"/>
      <w:r w:rsidRPr="000A10B8">
        <w:t>Proposal 6: It is up to gNB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38"/>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39"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39"/>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40"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40"/>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solve this issue based on specification 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266728">
      <w:pPr>
        <w:pStyle w:val="ListParagraph"/>
        <w:widowControl w:val="0"/>
        <w:numPr>
          <w:ilvl w:val="0"/>
          <w:numId w:val="8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266728">
      <w:pPr>
        <w:pStyle w:val="ListParagraph"/>
        <w:widowControl w:val="0"/>
        <w:numPr>
          <w:ilvl w:val="0"/>
          <w:numId w:val="8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he NDI of PTP ReTx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2801C0">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2801C0">
            <w:pPr>
              <w:jc w:val="center"/>
              <w:rPr>
                <w:b/>
                <w:lang w:eastAsia="zh-CN"/>
              </w:rPr>
            </w:pPr>
            <w:r>
              <w:rPr>
                <w:b/>
                <w:lang w:eastAsia="zh-CN"/>
              </w:rPr>
              <w:t>Comment</w:t>
            </w:r>
          </w:p>
        </w:tc>
      </w:tr>
      <w:tr w:rsidR="00D26AA4" w14:paraId="3AC145D2" w14:textId="77777777" w:rsidTr="002801C0">
        <w:tc>
          <w:tcPr>
            <w:tcW w:w="2122" w:type="dxa"/>
            <w:tcBorders>
              <w:top w:val="single" w:sz="4" w:space="0" w:color="auto"/>
              <w:left w:val="single" w:sz="4" w:space="0" w:color="auto"/>
              <w:bottom w:val="single" w:sz="4" w:space="0" w:color="auto"/>
              <w:right w:val="single" w:sz="4" w:space="0" w:color="auto"/>
            </w:tcBorders>
          </w:tcPr>
          <w:p w14:paraId="1FCB35C3" w14:textId="77777777" w:rsidR="00D26AA4" w:rsidRPr="00BA3EA3" w:rsidRDefault="00D26AA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1DA321C" w14:textId="77777777" w:rsidR="00D26AA4" w:rsidRPr="00BA3EA3" w:rsidRDefault="00D26AA4" w:rsidP="002801C0">
            <w:pPr>
              <w:jc w:val="left"/>
              <w:rPr>
                <w:bCs/>
                <w:lang w:eastAsia="zh-CN"/>
              </w:rPr>
            </w:pPr>
          </w:p>
        </w:tc>
      </w:tr>
      <w:tr w:rsidR="00D26AA4" w14:paraId="4E84BC71" w14:textId="77777777" w:rsidTr="002801C0">
        <w:tc>
          <w:tcPr>
            <w:tcW w:w="2122" w:type="dxa"/>
            <w:tcBorders>
              <w:top w:val="single" w:sz="4" w:space="0" w:color="auto"/>
              <w:left w:val="single" w:sz="4" w:space="0" w:color="auto"/>
              <w:bottom w:val="single" w:sz="4" w:space="0" w:color="auto"/>
              <w:right w:val="single" w:sz="4" w:space="0" w:color="auto"/>
            </w:tcBorders>
          </w:tcPr>
          <w:p w14:paraId="23A0677A" w14:textId="77777777" w:rsidR="00D26AA4" w:rsidRPr="00BA3EA3" w:rsidRDefault="00D26AA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BAE7328" w14:textId="77777777" w:rsidR="00D26AA4" w:rsidRPr="00BA3EA3" w:rsidRDefault="00D26AA4" w:rsidP="002801C0">
            <w:pPr>
              <w:jc w:val="left"/>
              <w:rPr>
                <w:bCs/>
                <w:lang w:eastAsia="zh-CN"/>
              </w:rPr>
            </w:pPr>
          </w:p>
        </w:tc>
      </w:tr>
    </w:tbl>
    <w:p w14:paraId="553E1F01" w14:textId="77777777" w:rsidR="00D26AA4" w:rsidRDefault="00D26AA4" w:rsidP="00D26AA4">
      <w:pPr>
        <w:widowControl w:val="0"/>
        <w:spacing w:after="120"/>
        <w:jc w:val="both"/>
        <w:rPr>
          <w:lang w:eastAsia="zh-CN"/>
        </w:rPr>
      </w:pPr>
    </w:p>
    <w:p w14:paraId="4B384F0A" w14:textId="77777777" w:rsidR="00D26AA4" w:rsidRDefault="00D26AA4" w:rsidP="00D26AA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41" w:name="_Hlk78708458"/>
      <w:r w:rsidR="00924D62">
        <w:rPr>
          <w:highlight w:val="green"/>
          <w:lang w:eastAsia="zh-CN"/>
        </w:rPr>
        <w:t xml:space="preserve"> (#104)</w:t>
      </w:r>
      <w:bookmarkEnd w:id="41"/>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561E60">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E44360">
      <w:pPr>
        <w:numPr>
          <w:ilvl w:val="0"/>
          <w:numId w:val="47"/>
        </w:numPr>
        <w:overflowPunct/>
        <w:autoSpaceDE/>
        <w:autoSpaceDN/>
        <w:adjustRightInd/>
        <w:textAlignment w:val="auto"/>
        <w:rPr>
          <w:lang w:eastAsia="x-none"/>
        </w:rPr>
      </w:pPr>
      <w:r w:rsidRPr="00C94674">
        <w:rPr>
          <w:lang w:eastAsia="x-none"/>
        </w:rPr>
        <w:t xml:space="preserve">FFS: </w:t>
      </w:r>
      <w:bookmarkStart w:id="42" w:name="_Hlk71989305"/>
      <w:r w:rsidRPr="00C94674">
        <w:rPr>
          <w:lang w:eastAsia="x-none"/>
        </w:rPr>
        <w:t>Whether PTM scheme 1 retransmission and PTP retransmission can be used simultaneously for different UEs in the same MBS group</w:t>
      </w:r>
      <w:bookmarkEnd w:id="42"/>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43" w:name="_Hlk79582018"/>
      <w:r w:rsidRPr="0088289D">
        <w:t>Support one or more activated SPS GC-PDSCH configurations per CFR subject to UE capability.</w:t>
      </w:r>
      <w:bookmarkEnd w:id="43"/>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44" w:name="_Hlk79581802"/>
      <w:r w:rsidRPr="0088289D">
        <w:t xml:space="preserve">Proposal 19: G-CS-RNTI is configured per SPS configuration. If not configured, the UE assumes CS-RNTI is used for PDSCH. </w:t>
      </w:r>
    </w:p>
    <w:bookmarkEnd w:id="44"/>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45"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45"/>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Proposal 18: For a group common SPS configuration, UE can be optionally configured with either pdsch-AggregationFactor or TDRA table with repetitionNumber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0A2E4F">
      <w:pPr>
        <w:pStyle w:val="ListParagraph"/>
        <w:numPr>
          <w:ilvl w:val="0"/>
          <w:numId w:val="59"/>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0A2E4F">
      <w:pPr>
        <w:pStyle w:val="ListParagraph"/>
        <w:numPr>
          <w:ilvl w:val="0"/>
          <w:numId w:val="59"/>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02578B">
      <w:pPr>
        <w:pStyle w:val="ListParagraph"/>
        <w:numPr>
          <w:ilvl w:val="0"/>
          <w:numId w:val="59"/>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2801C0">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2801C0">
            <w:pPr>
              <w:jc w:val="center"/>
              <w:rPr>
                <w:b/>
                <w:lang w:eastAsia="zh-CN"/>
              </w:rPr>
            </w:pPr>
            <w:r>
              <w:rPr>
                <w:b/>
                <w:lang w:eastAsia="zh-CN"/>
              </w:rPr>
              <w:t>Comment</w:t>
            </w:r>
          </w:p>
        </w:tc>
      </w:tr>
      <w:tr w:rsidR="00E951D4" w14:paraId="124AADC8" w14:textId="77777777" w:rsidTr="002801C0">
        <w:tc>
          <w:tcPr>
            <w:tcW w:w="2122" w:type="dxa"/>
            <w:tcBorders>
              <w:top w:val="single" w:sz="4" w:space="0" w:color="auto"/>
              <w:left w:val="single" w:sz="4" w:space="0" w:color="auto"/>
              <w:bottom w:val="single" w:sz="4" w:space="0" w:color="auto"/>
              <w:right w:val="single" w:sz="4" w:space="0" w:color="auto"/>
            </w:tcBorders>
          </w:tcPr>
          <w:p w14:paraId="733C8BC1" w14:textId="77777777" w:rsidR="00E951D4" w:rsidRPr="00BA3EA3" w:rsidRDefault="00E951D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4CA5C7A" w14:textId="77777777" w:rsidR="00E951D4" w:rsidRPr="00BA3EA3" w:rsidRDefault="00E951D4" w:rsidP="002801C0">
            <w:pPr>
              <w:jc w:val="left"/>
              <w:rPr>
                <w:bCs/>
                <w:lang w:eastAsia="zh-CN"/>
              </w:rPr>
            </w:pPr>
          </w:p>
        </w:tc>
      </w:tr>
      <w:tr w:rsidR="00E951D4" w14:paraId="668FA9DB" w14:textId="77777777" w:rsidTr="002801C0">
        <w:tc>
          <w:tcPr>
            <w:tcW w:w="2122" w:type="dxa"/>
            <w:tcBorders>
              <w:top w:val="single" w:sz="4" w:space="0" w:color="auto"/>
              <w:left w:val="single" w:sz="4" w:space="0" w:color="auto"/>
              <w:bottom w:val="single" w:sz="4" w:space="0" w:color="auto"/>
              <w:right w:val="single" w:sz="4" w:space="0" w:color="auto"/>
            </w:tcBorders>
          </w:tcPr>
          <w:p w14:paraId="55F99611" w14:textId="77777777" w:rsidR="00E951D4" w:rsidRPr="00BA3EA3" w:rsidRDefault="00E951D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2FEDDCB" w14:textId="77777777" w:rsidR="00E951D4" w:rsidRPr="00BA3EA3" w:rsidRDefault="00E951D4" w:rsidP="002801C0">
            <w:pPr>
              <w:jc w:val="left"/>
              <w:rPr>
                <w:bCs/>
                <w:lang w:eastAsia="zh-CN"/>
              </w:rPr>
            </w:pPr>
          </w:p>
        </w:tc>
      </w:tr>
    </w:tbl>
    <w:p w14:paraId="30743317" w14:textId="77777777" w:rsidR="00E951D4"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3A144337" w14:textId="77777777" w:rsidR="00E951D4" w:rsidRPr="00E951D4"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2801C0">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2801C0">
            <w:pPr>
              <w:jc w:val="center"/>
              <w:rPr>
                <w:b/>
                <w:lang w:eastAsia="zh-CN"/>
              </w:rPr>
            </w:pPr>
            <w:r>
              <w:rPr>
                <w:b/>
                <w:lang w:eastAsia="zh-CN"/>
              </w:rPr>
              <w:t>Comment</w:t>
            </w:r>
          </w:p>
        </w:tc>
      </w:tr>
      <w:tr w:rsidR="004C0A91" w14:paraId="334A449B" w14:textId="77777777" w:rsidTr="002801C0">
        <w:tc>
          <w:tcPr>
            <w:tcW w:w="2122" w:type="dxa"/>
            <w:tcBorders>
              <w:top w:val="single" w:sz="4" w:space="0" w:color="auto"/>
              <w:left w:val="single" w:sz="4" w:space="0" w:color="auto"/>
              <w:bottom w:val="single" w:sz="4" w:space="0" w:color="auto"/>
              <w:right w:val="single" w:sz="4" w:space="0" w:color="auto"/>
            </w:tcBorders>
          </w:tcPr>
          <w:p w14:paraId="3F8FE85E" w14:textId="77777777" w:rsidR="004C0A91" w:rsidRPr="00BA3EA3" w:rsidRDefault="004C0A91"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ED24268" w14:textId="77777777" w:rsidR="004C0A91" w:rsidRPr="00BA3EA3" w:rsidRDefault="004C0A91" w:rsidP="002801C0">
            <w:pPr>
              <w:jc w:val="left"/>
              <w:rPr>
                <w:bCs/>
                <w:lang w:eastAsia="zh-CN"/>
              </w:rPr>
            </w:pPr>
          </w:p>
        </w:tc>
      </w:tr>
      <w:tr w:rsidR="004C0A91" w14:paraId="1DEFBF8B" w14:textId="77777777" w:rsidTr="002801C0">
        <w:tc>
          <w:tcPr>
            <w:tcW w:w="2122" w:type="dxa"/>
            <w:tcBorders>
              <w:top w:val="single" w:sz="4" w:space="0" w:color="auto"/>
              <w:left w:val="single" w:sz="4" w:space="0" w:color="auto"/>
              <w:bottom w:val="single" w:sz="4" w:space="0" w:color="auto"/>
              <w:right w:val="single" w:sz="4" w:space="0" w:color="auto"/>
            </w:tcBorders>
          </w:tcPr>
          <w:p w14:paraId="4336CA52" w14:textId="77777777" w:rsidR="004C0A91" w:rsidRPr="00BA3EA3" w:rsidRDefault="004C0A91"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7FC87BA" w14:textId="77777777" w:rsidR="004C0A91" w:rsidRPr="00BA3EA3" w:rsidRDefault="004C0A91" w:rsidP="002801C0">
            <w:pPr>
              <w:jc w:val="left"/>
              <w:rPr>
                <w:bCs/>
                <w:lang w:eastAsia="zh-CN"/>
              </w:rPr>
            </w:pPr>
          </w:p>
        </w:tc>
      </w:tr>
    </w:tbl>
    <w:p w14:paraId="1193EA3A" w14:textId="77777777" w:rsidR="004C0A91" w:rsidRDefault="004C0A91" w:rsidP="004C0A91">
      <w:pPr>
        <w:widowControl w:val="0"/>
        <w:spacing w:after="120"/>
        <w:jc w:val="both"/>
        <w:rPr>
          <w:lang w:eastAsia="zh-CN"/>
        </w:rPr>
      </w:pPr>
    </w:p>
    <w:p w14:paraId="728D656B" w14:textId="77777777" w:rsidR="004C0A91" w:rsidRDefault="004C0A91" w:rsidP="004C0A9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578BC79" w14:textId="77777777" w:rsidR="004C0A91" w:rsidRPr="00F95196"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PCell. </w:t>
      </w:r>
    </w:p>
    <w:p w14:paraId="553DE8D9" w14:textId="27EE28DE" w:rsidR="007932FE" w:rsidRPr="00F963E4" w:rsidRDefault="00534079" w:rsidP="00534079">
      <w:pPr>
        <w:pStyle w:val="ListParagraph"/>
        <w:widowControl w:val="0"/>
        <w:numPr>
          <w:ilvl w:val="1"/>
          <w:numId w:val="42"/>
        </w:numPr>
        <w:spacing w:after="120"/>
        <w:jc w:val="both"/>
      </w:pPr>
      <w:r>
        <w:t>Observation 4: When a UE requires more and more MBS/multicast services, the traffic on the PCell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46" w:name="_Ref450342757"/>
      <w:bookmarkStart w:id="47" w:name="_Ref450735844"/>
      <w:bookmarkStart w:id="48" w:name="_Ref457730460"/>
      <w:r>
        <w:rPr>
          <w:rFonts w:ascii="Times New Roman" w:hAnsi="Times New Roman"/>
          <w:lang w:val="en-US"/>
        </w:rPr>
        <w:tab/>
      </w:r>
    </w:p>
    <w:bookmarkEnd w:id="46"/>
    <w:bookmarkEnd w:id="47"/>
    <w:bookmarkEnd w:id="48"/>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49" w:name="_Hlk79573368"/>
      <w:r w:rsidRPr="00DE11B0">
        <w:rPr>
          <w:szCs w:val="20"/>
          <w:lang w:eastAsia="zh-CN"/>
        </w:rPr>
        <w:t>for different UEs in the same group</w:t>
      </w:r>
      <w:bookmarkEnd w:id="49"/>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50"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50"/>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51"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51"/>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52"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53"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52"/>
    <w:bookmarkEnd w:id="53"/>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54"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54"/>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bookmarkStart w:id="55" w:name="_Hlk79562709"/>
      <w:r w:rsidRPr="00C94674">
        <w:rPr>
          <w:lang w:eastAsia="x-none"/>
        </w:rPr>
        <w:t>How to allocate HARQ processes between unicast and multicast is up to gNB.</w:t>
      </w:r>
      <w:bookmarkEnd w:id="55"/>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56" w:name="OLE_LINK22"/>
      <w:bookmarkStart w:id="57" w:name="OLE_LINK23"/>
      <w:r w:rsidRPr="00DC3DEA">
        <w:rPr>
          <w:rFonts w:eastAsia="Times New Roman"/>
          <w:i/>
          <w:lang w:eastAsia="zh-CN"/>
        </w:rPr>
        <w:t>PUCCH-ConfigurationList</w:t>
      </w:r>
      <w:bookmarkEnd w:id="56"/>
      <w:bookmarkEnd w:id="57"/>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58" w:name="OLE_LINK28"/>
      <w:bookmarkStart w:id="59"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58"/>
    <w:bookmarkEnd w:id="59"/>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A9706F">
      <w:pPr>
        <w:pStyle w:val="ListParagraph"/>
        <w:widowControl w:val="0"/>
        <w:numPr>
          <w:ilvl w:val="0"/>
          <w:numId w:val="58"/>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A9706F">
      <w:pPr>
        <w:pStyle w:val="ListParagraph"/>
        <w:widowControl w:val="0"/>
        <w:numPr>
          <w:ilvl w:val="1"/>
          <w:numId w:val="58"/>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A9706F">
      <w:pPr>
        <w:pStyle w:val="ListParagraph"/>
        <w:widowControl w:val="0"/>
        <w:numPr>
          <w:ilvl w:val="0"/>
          <w:numId w:val="58"/>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A9706F">
      <w:pPr>
        <w:widowControl w:val="0"/>
        <w:numPr>
          <w:ilvl w:val="0"/>
          <w:numId w:val="56"/>
        </w:numPr>
        <w:overflowPunct/>
        <w:autoSpaceDE/>
        <w:autoSpaceDN/>
        <w:adjustRightInd/>
        <w:jc w:val="both"/>
        <w:textAlignment w:val="auto"/>
      </w:pPr>
      <w:r w:rsidRPr="00CA25E7">
        <w:t>FFS: CFR associated with initial BWP</w:t>
      </w:r>
    </w:p>
    <w:p w14:paraId="61F7F80A" w14:textId="77777777" w:rsidR="004F27DB" w:rsidRPr="00CA25E7" w:rsidRDefault="004F27DB" w:rsidP="00A9706F">
      <w:pPr>
        <w:widowControl w:val="0"/>
        <w:numPr>
          <w:ilvl w:val="0"/>
          <w:numId w:val="56"/>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60"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A9706F">
      <w:pPr>
        <w:numPr>
          <w:ilvl w:val="0"/>
          <w:numId w:val="57"/>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A9706F">
      <w:pPr>
        <w:numPr>
          <w:ilvl w:val="0"/>
          <w:numId w:val="57"/>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A9706F">
      <w:pPr>
        <w:numPr>
          <w:ilvl w:val="0"/>
          <w:numId w:val="57"/>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60"/>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A9706F">
      <w:pPr>
        <w:pStyle w:val="ListParagraph"/>
        <w:numPr>
          <w:ilvl w:val="0"/>
          <w:numId w:val="60"/>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A9706F">
      <w:pPr>
        <w:pStyle w:val="ListParagraph"/>
        <w:numPr>
          <w:ilvl w:val="0"/>
          <w:numId w:val="60"/>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A9706F">
      <w:pPr>
        <w:pStyle w:val="ListParagraph"/>
        <w:numPr>
          <w:ilvl w:val="0"/>
          <w:numId w:val="60"/>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A9706F">
      <w:pPr>
        <w:pStyle w:val="ListParagraph"/>
        <w:numPr>
          <w:ilvl w:val="0"/>
          <w:numId w:val="60"/>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A9706F">
      <w:pPr>
        <w:pStyle w:val="ListParagraph"/>
        <w:numPr>
          <w:ilvl w:val="0"/>
          <w:numId w:val="62"/>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A9706F">
      <w:pPr>
        <w:pStyle w:val="ListParagraph"/>
        <w:numPr>
          <w:ilvl w:val="0"/>
          <w:numId w:val="62"/>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A9706F">
      <w:pPr>
        <w:pStyle w:val="ListParagraph"/>
        <w:numPr>
          <w:ilvl w:val="0"/>
          <w:numId w:val="62"/>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A9706F">
      <w:pPr>
        <w:pStyle w:val="ListParagraph"/>
        <w:numPr>
          <w:ilvl w:val="0"/>
          <w:numId w:val="63"/>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A9706F">
      <w:pPr>
        <w:pStyle w:val="ListParagraph"/>
        <w:numPr>
          <w:ilvl w:val="0"/>
          <w:numId w:val="63"/>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A9706F">
      <w:pPr>
        <w:pStyle w:val="ListParagraph"/>
        <w:numPr>
          <w:ilvl w:val="0"/>
          <w:numId w:val="63"/>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A9706F">
      <w:pPr>
        <w:pStyle w:val="ListParagraph"/>
        <w:numPr>
          <w:ilvl w:val="0"/>
          <w:numId w:val="64"/>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A9706F">
      <w:pPr>
        <w:pStyle w:val="ListParagraph"/>
        <w:numPr>
          <w:ilvl w:val="0"/>
          <w:numId w:val="64"/>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A9706F">
      <w:pPr>
        <w:pStyle w:val="ListParagraph"/>
        <w:numPr>
          <w:ilvl w:val="1"/>
          <w:numId w:val="64"/>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A9706F">
      <w:pPr>
        <w:pStyle w:val="ListParagraph"/>
        <w:numPr>
          <w:ilvl w:val="0"/>
          <w:numId w:val="65"/>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A9706F">
      <w:pPr>
        <w:pStyle w:val="ListParagraph"/>
        <w:numPr>
          <w:ilvl w:val="1"/>
          <w:numId w:val="65"/>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A9706F">
      <w:pPr>
        <w:pStyle w:val="ListParagraph"/>
        <w:numPr>
          <w:ilvl w:val="0"/>
          <w:numId w:val="65"/>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A9706F">
      <w:pPr>
        <w:pStyle w:val="ListParagraph"/>
        <w:numPr>
          <w:ilvl w:val="0"/>
          <w:numId w:val="66"/>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A9706F">
      <w:pPr>
        <w:pStyle w:val="ListParagraph"/>
        <w:numPr>
          <w:ilvl w:val="1"/>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A9706F">
      <w:pPr>
        <w:pStyle w:val="ListParagraph"/>
        <w:numPr>
          <w:ilvl w:val="1"/>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A9706F">
      <w:pPr>
        <w:pStyle w:val="ListParagraph"/>
        <w:numPr>
          <w:ilvl w:val="1"/>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A9706F">
      <w:pPr>
        <w:pStyle w:val="ListParagraph"/>
        <w:numPr>
          <w:ilvl w:val="0"/>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A9706F">
      <w:pPr>
        <w:pStyle w:val="ListParagraph"/>
        <w:numPr>
          <w:ilvl w:val="0"/>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A9706F">
      <w:pPr>
        <w:numPr>
          <w:ilvl w:val="0"/>
          <w:numId w:val="67"/>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A9706F">
      <w:pPr>
        <w:numPr>
          <w:ilvl w:val="1"/>
          <w:numId w:val="67"/>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A9706F">
      <w:pPr>
        <w:numPr>
          <w:ilvl w:val="1"/>
          <w:numId w:val="67"/>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A9706F">
      <w:pPr>
        <w:numPr>
          <w:ilvl w:val="1"/>
          <w:numId w:val="67"/>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A9706F">
      <w:pPr>
        <w:numPr>
          <w:ilvl w:val="0"/>
          <w:numId w:val="68"/>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A9706F">
      <w:pPr>
        <w:numPr>
          <w:ilvl w:val="0"/>
          <w:numId w:val="68"/>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A9706F">
      <w:pPr>
        <w:numPr>
          <w:ilvl w:val="0"/>
          <w:numId w:val="68"/>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A9706F">
      <w:pPr>
        <w:numPr>
          <w:ilvl w:val="0"/>
          <w:numId w:val="69"/>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A9706F">
      <w:pPr>
        <w:numPr>
          <w:ilvl w:val="0"/>
          <w:numId w:val="69"/>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A9706F">
      <w:pPr>
        <w:numPr>
          <w:ilvl w:val="0"/>
          <w:numId w:val="69"/>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A9706F">
      <w:pPr>
        <w:pStyle w:val="ListParagraph"/>
        <w:numPr>
          <w:ilvl w:val="0"/>
          <w:numId w:val="71"/>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A9706F">
      <w:pPr>
        <w:numPr>
          <w:ilvl w:val="0"/>
          <w:numId w:val="70"/>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A9706F">
      <w:pPr>
        <w:numPr>
          <w:ilvl w:val="0"/>
          <w:numId w:val="73"/>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A9706F">
      <w:pPr>
        <w:numPr>
          <w:ilvl w:val="0"/>
          <w:numId w:val="73"/>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A9706F">
      <w:pPr>
        <w:numPr>
          <w:ilvl w:val="0"/>
          <w:numId w:val="73"/>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A9706F">
      <w:pPr>
        <w:pStyle w:val="ListParagraph"/>
        <w:numPr>
          <w:ilvl w:val="0"/>
          <w:numId w:val="72"/>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A9706F">
      <w:pPr>
        <w:pStyle w:val="ListParagraph"/>
        <w:numPr>
          <w:ilvl w:val="1"/>
          <w:numId w:val="72"/>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A9706F">
      <w:pPr>
        <w:pStyle w:val="ListParagraph"/>
        <w:numPr>
          <w:ilvl w:val="1"/>
          <w:numId w:val="72"/>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A9706F">
      <w:pPr>
        <w:pStyle w:val="ListParagraph"/>
        <w:numPr>
          <w:ilvl w:val="1"/>
          <w:numId w:val="72"/>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0C74" w14:textId="77777777" w:rsidR="00381442" w:rsidRDefault="00381442">
      <w:r>
        <w:separator/>
      </w:r>
    </w:p>
  </w:endnote>
  <w:endnote w:type="continuationSeparator" w:id="0">
    <w:p w14:paraId="74A281E4" w14:textId="77777777" w:rsidR="00381442" w:rsidRDefault="00381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3F2AE4" w:rsidRDefault="003F2A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3F2AE4" w:rsidRDefault="003F2A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CD76E9" w:rsidR="003F2AE4" w:rsidRDefault="003F2AE4">
    <w:pPr>
      <w:pStyle w:val="Footer"/>
      <w:ind w:right="360"/>
    </w:pPr>
    <w:r>
      <w:rPr>
        <w:rStyle w:val="PageNumber"/>
      </w:rPr>
      <w:fldChar w:fldCharType="begin"/>
    </w:r>
    <w:r>
      <w:rPr>
        <w:rStyle w:val="PageNumber"/>
      </w:rPr>
      <w:instrText xml:space="preserve"> PAGE </w:instrText>
    </w:r>
    <w:r>
      <w:rPr>
        <w:rStyle w:val="PageNumber"/>
      </w:rPr>
      <w:fldChar w:fldCharType="separate"/>
    </w:r>
    <w:r w:rsidR="00271CAF">
      <w:rPr>
        <w:rStyle w:val="PageNumber"/>
        <w:noProof/>
      </w:rPr>
      <w:t>97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CAF">
      <w:rPr>
        <w:rStyle w:val="PageNumber"/>
        <w:noProof/>
      </w:rPr>
      <w:t>116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39647" w14:textId="77777777" w:rsidR="00381442" w:rsidRDefault="00381442">
      <w:r>
        <w:separator/>
      </w:r>
    </w:p>
  </w:footnote>
  <w:footnote w:type="continuationSeparator" w:id="0">
    <w:p w14:paraId="14E92342" w14:textId="77777777" w:rsidR="00381442" w:rsidRDefault="00381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3F2AE4" w:rsidRDefault="003F2AE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7"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D85AA2"/>
    <w:multiLevelType w:val="hybridMultilevel"/>
    <w:tmpl w:val="9AECE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5"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1"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2" w15:restartNumberingAfterBreak="0">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6" w15:restartNumberingAfterBreak="0">
    <w:nsid w:val="45591E48"/>
    <w:multiLevelType w:val="hybridMultilevel"/>
    <w:tmpl w:val="77F69C82"/>
    <w:lvl w:ilvl="0" w:tplc="C20E2972">
      <w:start w:val="1"/>
      <w:numFmt w:val="decimal"/>
      <w:lvlText w:val="%1."/>
      <w:lvlJc w:val="left"/>
      <w:pPr>
        <w:ind w:left="360" w:hanging="360"/>
      </w:pPr>
      <w:rPr>
        <w:rFonts w:eastAsia="宋体"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7"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66"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9"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4"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77" w15:restartNumberingAfterBreak="0">
    <w:nsid w:val="7A310C15"/>
    <w:multiLevelType w:val="hybridMultilevel"/>
    <w:tmpl w:val="81226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4"/>
  </w:num>
  <w:num w:numId="3">
    <w:abstractNumId w:val="31"/>
  </w:num>
  <w:num w:numId="4">
    <w:abstractNumId w:val="40"/>
  </w:num>
  <w:num w:numId="5">
    <w:abstractNumId w:val="48"/>
  </w:num>
  <w:num w:numId="6">
    <w:abstractNumId w:val="53"/>
  </w:num>
  <w:num w:numId="7">
    <w:abstractNumId w:val="78"/>
  </w:num>
  <w:num w:numId="8">
    <w:abstractNumId w:val="56"/>
  </w:num>
  <w:num w:numId="9">
    <w:abstractNumId w:val="76"/>
  </w:num>
  <w:num w:numId="10">
    <w:abstractNumId w:val="43"/>
  </w:num>
  <w:num w:numId="11">
    <w:abstractNumId w:val="65"/>
  </w:num>
  <w:num w:numId="12">
    <w:abstractNumId w:val="50"/>
  </w:num>
  <w:num w:numId="13">
    <w:abstractNumId w:val="32"/>
  </w:num>
  <w:num w:numId="14">
    <w:abstractNumId w:val="72"/>
  </w:num>
  <w:num w:numId="15">
    <w:abstractNumId w:val="45"/>
  </w:num>
  <w:num w:numId="16">
    <w:abstractNumId w:val="73"/>
  </w:num>
  <w:num w:numId="17">
    <w:abstractNumId w:val="41"/>
  </w:num>
  <w:num w:numId="18">
    <w:abstractNumId w:val="62"/>
  </w:num>
  <w:num w:numId="19">
    <w:abstractNumId w:val="1"/>
  </w:num>
  <w:num w:numId="20">
    <w:abstractNumId w:val="68"/>
  </w:num>
  <w:num w:numId="21">
    <w:abstractNumId w:val="37"/>
  </w:num>
  <w:num w:numId="22">
    <w:abstractNumId w:val="24"/>
  </w:num>
  <w:num w:numId="23">
    <w:abstractNumId w:val="0"/>
  </w:num>
  <w:num w:numId="24">
    <w:abstractNumId w:val="51"/>
  </w:num>
  <w:num w:numId="25">
    <w:abstractNumId w:val="59"/>
  </w:num>
  <w:num w:numId="26">
    <w:abstractNumId w:val="52"/>
  </w:num>
  <w:num w:numId="27">
    <w:abstractNumId w:val="58"/>
  </w:num>
  <w:num w:numId="28">
    <w:abstractNumId w:val="39"/>
  </w:num>
  <w:num w:numId="29">
    <w:abstractNumId w:val="13"/>
  </w:num>
  <w:num w:numId="30">
    <w:abstractNumId w:val="3"/>
  </w:num>
  <w:num w:numId="31">
    <w:abstractNumId w:val="27"/>
  </w:num>
  <w:num w:numId="32">
    <w:abstractNumId w:val="6"/>
  </w:num>
  <w:num w:numId="33">
    <w:abstractNumId w:val="18"/>
  </w:num>
  <w:num w:numId="34">
    <w:abstractNumId w:val="21"/>
  </w:num>
  <w:num w:numId="35">
    <w:abstractNumId w:val="67"/>
  </w:num>
  <w:num w:numId="36">
    <w:abstractNumId w:val="64"/>
  </w:num>
  <w:num w:numId="37">
    <w:abstractNumId w:val="55"/>
  </w:num>
  <w:num w:numId="38">
    <w:abstractNumId w:val="16"/>
  </w:num>
  <w:num w:numId="39">
    <w:abstractNumId w:val="28"/>
  </w:num>
  <w:num w:numId="40">
    <w:abstractNumId w:val="70"/>
  </w:num>
  <w:num w:numId="41">
    <w:abstractNumId w:val="63"/>
  </w:num>
  <w:num w:numId="42">
    <w:abstractNumId w:val="22"/>
  </w:num>
  <w:num w:numId="43">
    <w:abstractNumId w:val="57"/>
  </w:num>
  <w:num w:numId="44">
    <w:abstractNumId w:val="38"/>
  </w:num>
  <w:num w:numId="45">
    <w:abstractNumId w:val="54"/>
  </w:num>
  <w:num w:numId="46">
    <w:abstractNumId w:val="33"/>
  </w:num>
  <w:num w:numId="47">
    <w:abstractNumId w:val="75"/>
  </w:num>
  <w:num w:numId="48">
    <w:abstractNumId w:val="14"/>
  </w:num>
  <w:num w:numId="49">
    <w:abstractNumId w:val="20"/>
  </w:num>
  <w:num w:numId="50">
    <w:abstractNumId w:val="11"/>
  </w:num>
  <w:num w:numId="51">
    <w:abstractNumId w:val="35"/>
  </w:num>
  <w:num w:numId="52">
    <w:abstractNumId w:val="29"/>
  </w:num>
  <w:num w:numId="53">
    <w:abstractNumId w:val="66"/>
  </w:num>
  <w:num w:numId="54">
    <w:abstractNumId w:val="7"/>
  </w:num>
  <w:num w:numId="55">
    <w:abstractNumId w:val="19"/>
  </w:num>
  <w:num w:numId="56">
    <w:abstractNumId w:val="25"/>
  </w:num>
  <w:num w:numId="57">
    <w:abstractNumId w:val="5"/>
  </w:num>
  <w:num w:numId="58">
    <w:abstractNumId w:val="61"/>
  </w:num>
  <w:num w:numId="59">
    <w:abstractNumId w:val="23"/>
  </w:num>
  <w:num w:numId="60">
    <w:abstractNumId w:val="36"/>
  </w:num>
  <w:num w:numId="61">
    <w:abstractNumId w:val="44"/>
  </w:num>
  <w:num w:numId="62">
    <w:abstractNumId w:val="4"/>
  </w:num>
  <w:num w:numId="63">
    <w:abstractNumId w:val="30"/>
  </w:num>
  <w:num w:numId="64">
    <w:abstractNumId w:val="9"/>
  </w:num>
  <w:num w:numId="65">
    <w:abstractNumId w:val="71"/>
  </w:num>
  <w:num w:numId="66">
    <w:abstractNumId w:val="60"/>
  </w:num>
  <w:num w:numId="67">
    <w:abstractNumId w:val="2"/>
  </w:num>
  <w:num w:numId="68">
    <w:abstractNumId w:val="49"/>
  </w:num>
  <w:num w:numId="69">
    <w:abstractNumId w:val="10"/>
  </w:num>
  <w:num w:numId="70">
    <w:abstractNumId w:val="17"/>
  </w:num>
  <w:num w:numId="71">
    <w:abstractNumId w:val="26"/>
  </w:num>
  <w:num w:numId="72">
    <w:abstractNumId w:val="74"/>
  </w:num>
  <w:num w:numId="73">
    <w:abstractNumId w:val="12"/>
  </w:num>
  <w:num w:numId="74">
    <w:abstractNumId w:val="66"/>
  </w:num>
  <w:num w:numId="75">
    <w:abstractNumId w:val="42"/>
  </w:num>
  <w:num w:numId="76">
    <w:abstractNumId w:val="77"/>
  </w:num>
  <w:num w:numId="77">
    <w:abstractNumId w:val="15"/>
  </w:num>
  <w:num w:numId="78">
    <w:abstractNumId w:val="46"/>
  </w:num>
  <w:num w:numId="79">
    <w:abstractNumId w:val="47"/>
  </w:num>
  <w:num w:numId="80">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2DB4"/>
    <w:rsid w:val="00062DD5"/>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AD3"/>
    <w:rsid w:val="000A1BE7"/>
    <w:rsid w:val="000A1D49"/>
    <w:rsid w:val="000A20BE"/>
    <w:rsid w:val="000A23E5"/>
    <w:rsid w:val="000A241F"/>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4DBA"/>
    <w:rsid w:val="00105082"/>
    <w:rsid w:val="001050B7"/>
    <w:rsid w:val="001050F9"/>
    <w:rsid w:val="0010511B"/>
    <w:rsid w:val="0010521E"/>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C35"/>
    <w:rsid w:val="00170D25"/>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9D"/>
    <w:rsid w:val="001A0303"/>
    <w:rsid w:val="001A0313"/>
    <w:rsid w:val="001A04A7"/>
    <w:rsid w:val="001A0676"/>
    <w:rsid w:val="001A067A"/>
    <w:rsid w:val="001A069E"/>
    <w:rsid w:val="001A06C8"/>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631"/>
    <w:rsid w:val="0028666E"/>
    <w:rsid w:val="00286801"/>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2A"/>
    <w:rsid w:val="00314FB0"/>
    <w:rsid w:val="003150FC"/>
    <w:rsid w:val="00315218"/>
    <w:rsid w:val="003153B1"/>
    <w:rsid w:val="00315514"/>
    <w:rsid w:val="0031599D"/>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CAE"/>
    <w:rsid w:val="003600CD"/>
    <w:rsid w:val="003601CA"/>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442"/>
    <w:rsid w:val="00381C1E"/>
    <w:rsid w:val="003821E7"/>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5"/>
    <w:rsid w:val="004130F8"/>
    <w:rsid w:val="00413369"/>
    <w:rsid w:val="00413471"/>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6084"/>
    <w:rsid w:val="006561FF"/>
    <w:rsid w:val="00656589"/>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B35"/>
    <w:rsid w:val="00660DC0"/>
    <w:rsid w:val="00661111"/>
    <w:rsid w:val="0066146F"/>
    <w:rsid w:val="00661621"/>
    <w:rsid w:val="00661636"/>
    <w:rsid w:val="00661886"/>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38"/>
    <w:rsid w:val="006C6527"/>
    <w:rsid w:val="006C6584"/>
    <w:rsid w:val="006C677C"/>
    <w:rsid w:val="006C67CA"/>
    <w:rsid w:val="006C67E1"/>
    <w:rsid w:val="006C6DDC"/>
    <w:rsid w:val="006C6E92"/>
    <w:rsid w:val="006C6F16"/>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4FBD"/>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9B"/>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0A"/>
    <w:rsid w:val="007F7D55"/>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A2C"/>
    <w:rsid w:val="00887FEF"/>
    <w:rsid w:val="0089015D"/>
    <w:rsid w:val="00890450"/>
    <w:rsid w:val="0089073B"/>
    <w:rsid w:val="008907B2"/>
    <w:rsid w:val="008908DD"/>
    <w:rsid w:val="00890B12"/>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3281"/>
    <w:rsid w:val="009034E3"/>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A4"/>
    <w:rsid w:val="009A7DFB"/>
    <w:rsid w:val="009A7E08"/>
    <w:rsid w:val="009A7E8D"/>
    <w:rsid w:val="009B003C"/>
    <w:rsid w:val="009B00D2"/>
    <w:rsid w:val="009B05FF"/>
    <w:rsid w:val="009B0C0C"/>
    <w:rsid w:val="009B0D73"/>
    <w:rsid w:val="009B10CB"/>
    <w:rsid w:val="009B1823"/>
    <w:rsid w:val="009B186A"/>
    <w:rsid w:val="009B1D78"/>
    <w:rsid w:val="009B2378"/>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5E66"/>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54"/>
    <w:rsid w:val="00A82C1E"/>
    <w:rsid w:val="00A82DDC"/>
    <w:rsid w:val="00A831F0"/>
    <w:rsid w:val="00A83309"/>
    <w:rsid w:val="00A8344C"/>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108"/>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6E9"/>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E"/>
    <w:rsid w:val="00B26B0A"/>
    <w:rsid w:val="00B270F7"/>
    <w:rsid w:val="00B2757B"/>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C8"/>
    <w:rsid w:val="00BD711B"/>
    <w:rsid w:val="00BD74D8"/>
    <w:rsid w:val="00BD76E0"/>
    <w:rsid w:val="00BD78B8"/>
    <w:rsid w:val="00BD7A82"/>
    <w:rsid w:val="00BD7B05"/>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810"/>
    <w:rsid w:val="00D56C31"/>
    <w:rsid w:val="00D56D40"/>
    <w:rsid w:val="00D56D65"/>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596"/>
    <w:rsid w:val="00E368A4"/>
    <w:rsid w:val="00E36AED"/>
    <w:rsid w:val="00E36F27"/>
    <w:rsid w:val="00E37346"/>
    <w:rsid w:val="00E374CD"/>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78BB"/>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B45"/>
    <w:rsid w:val="00E77040"/>
    <w:rsid w:val="00E772C4"/>
    <w:rsid w:val="00E77324"/>
    <w:rsid w:val="00E7745F"/>
    <w:rsid w:val="00E77548"/>
    <w:rsid w:val="00E77655"/>
    <w:rsid w:val="00E776A1"/>
    <w:rsid w:val="00E7795B"/>
    <w:rsid w:val="00E77FD9"/>
    <w:rsid w:val="00E8016D"/>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06"/>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B67"/>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2E338202-B150-401C-8E67-EF51DF86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列表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61"/>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03436-1CA6-4DD0-85F0-84683AA8A008}">
  <ds:schemaRefs>
    <ds:schemaRef ds:uri="http://schemas.openxmlformats.org/officeDocument/2006/bibliography"/>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4736</TotalTime>
  <Pages>19</Pages>
  <Words>27806</Words>
  <Characters>158498</Characters>
  <Application>Microsoft Office Word</Application>
  <DocSecurity>0</DocSecurity>
  <Lines>1320</Lines>
  <Paragraphs>371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185933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833</cp:revision>
  <cp:lastPrinted>2014-11-07T12:38:00Z</cp:lastPrinted>
  <dcterms:created xsi:type="dcterms:W3CDTF">2021-05-27T11:16:00Z</dcterms:created>
  <dcterms:modified xsi:type="dcterms:W3CDTF">2021-08-15T09:05:00Z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y fmtid="{D5CDD505-2E9C-101B-9397-08002B2CF9AE}" pid="23" name="EriCOLLCategoryTaxHTField0">
    <vt:lpwstr>#Research|7f1f7aab-c784-40ec-8666-825d2ac7abef</vt:lpwstr>
  </property>
  <property fmtid="{D5CDD505-2E9C-101B-9397-08002B2CF9AE}" pid="24" name="EriCOLLOrganizationUnitTaxHTField0">
    <vt:lpwstr>#GFTE ER Radio Access Technologies|692a7af5-c1f7-4d68-b1ab-a7920dfecb78</vt:lpwstr>
  </property>
  <property fmtid="{D5CDD505-2E9C-101B-9397-08002B2CF9AE}" pid="25" name="EriCOLLProjects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CustomerTaxHTField0">
    <vt:lpwstr/>
  </property>
  <property fmtid="{D5CDD505-2E9C-101B-9397-08002B2CF9AE}" pid="29" name="EriCOLLProcessTaxHTField0">
    <vt:lpwstr/>
  </property>
  <property fmtid="{D5CDD505-2E9C-101B-9397-08002B2CF9AE}" pid="30" name="EriCOLLProductsTaxHTField0">
    <vt:lpwstr/>
  </property>
</Properties>
</file>