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D14AB" w14:textId="3E501336" w:rsidR="00872977" w:rsidRPr="00DA12F7" w:rsidRDefault="00872977" w:rsidP="00872977">
      <w:pPr>
        <w:tabs>
          <w:tab w:val="right" w:pos="9630"/>
        </w:tabs>
        <w:spacing w:after="0"/>
      </w:pPr>
      <w:r w:rsidRPr="00C80A6E">
        <w:rPr>
          <w:rFonts w:ascii="Arial" w:hAnsi="Arial" w:cs="Arial"/>
          <w:b/>
          <w:sz w:val="24"/>
        </w:rPr>
        <w:t>3GPP TSG RAN WG1 Meeting #10</w:t>
      </w:r>
      <w:r w:rsidR="0060791C" w:rsidRPr="00C80A6E">
        <w:rPr>
          <w:rFonts w:ascii="Arial" w:hAnsi="Arial" w:cs="Arial"/>
          <w:b/>
          <w:sz w:val="24"/>
        </w:rPr>
        <w:t>4</w:t>
      </w:r>
      <w:r w:rsidRPr="00C80A6E">
        <w:rPr>
          <w:rFonts w:ascii="Arial" w:hAnsi="Arial" w:cs="Arial"/>
          <w:b/>
          <w:sz w:val="24"/>
        </w:rPr>
        <w:t>-e</w:t>
      </w:r>
      <w:r w:rsidRPr="00C80A6E">
        <w:rPr>
          <w:rFonts w:ascii="Arial" w:hAnsi="Arial" w:cs="Arial"/>
          <w:b/>
          <w:sz w:val="24"/>
        </w:rPr>
        <w:tab/>
      </w:r>
      <w:r w:rsidR="00814CBC" w:rsidRPr="00814CBC">
        <w:rPr>
          <w:rFonts w:ascii="Arial" w:hAnsi="Arial" w:cs="Arial"/>
          <w:b/>
          <w:sz w:val="24"/>
        </w:rPr>
        <w:t>R1-210</w:t>
      </w:r>
      <w:r w:rsidR="006529D4">
        <w:rPr>
          <w:rFonts w:ascii="Arial" w:hAnsi="Arial" w:cs="Arial"/>
          <w:b/>
          <w:sz w:val="24"/>
        </w:rPr>
        <w:t>7189</w:t>
      </w:r>
    </w:p>
    <w:p w14:paraId="7DCEDB54" w14:textId="3047A155" w:rsidR="00872977" w:rsidRPr="00DA12F7" w:rsidRDefault="00872977" w:rsidP="00872977">
      <w:pPr>
        <w:tabs>
          <w:tab w:val="right" w:pos="9630"/>
        </w:tabs>
        <w:spacing w:after="0"/>
        <w:rPr>
          <w:rFonts w:ascii="Arial" w:hAnsi="Arial" w:cs="Arial"/>
          <w:b/>
          <w:sz w:val="24"/>
          <w:szCs w:val="24"/>
        </w:rPr>
      </w:pPr>
      <w:r>
        <w:rPr>
          <w:rFonts w:ascii="Arial" w:hAnsi="Arial" w:cs="Arial"/>
          <w:b/>
          <w:sz w:val="24"/>
          <w:szCs w:val="24"/>
        </w:rPr>
        <w:t xml:space="preserve">e-Meeting, </w:t>
      </w:r>
      <w:r w:rsidR="00814CBC">
        <w:rPr>
          <w:rFonts w:ascii="Arial" w:hAnsi="Arial" w:cs="Arial"/>
          <w:b/>
          <w:sz w:val="24"/>
          <w:szCs w:val="24"/>
        </w:rPr>
        <w:t>May 10</w:t>
      </w:r>
      <w:r w:rsidR="00814CBC" w:rsidRPr="00116328">
        <w:rPr>
          <w:rFonts w:ascii="Arial" w:hAnsi="Arial" w:cs="Arial"/>
          <w:b/>
          <w:sz w:val="24"/>
          <w:szCs w:val="24"/>
          <w:vertAlign w:val="superscript"/>
        </w:rPr>
        <w:t>t</w:t>
      </w:r>
      <w:r w:rsidR="00814CBC">
        <w:rPr>
          <w:rFonts w:ascii="Arial" w:hAnsi="Arial" w:cs="Arial"/>
          <w:b/>
          <w:sz w:val="24"/>
          <w:szCs w:val="24"/>
          <w:vertAlign w:val="superscript"/>
        </w:rPr>
        <w:t>h</w:t>
      </w:r>
      <w:r w:rsidR="00814CBC">
        <w:rPr>
          <w:rFonts w:ascii="Arial" w:hAnsi="Arial" w:cs="Arial"/>
          <w:b/>
          <w:sz w:val="24"/>
          <w:szCs w:val="24"/>
        </w:rPr>
        <w:t xml:space="preserve"> – 27</w:t>
      </w:r>
      <w:r w:rsidR="00814CBC">
        <w:rPr>
          <w:rFonts w:ascii="Arial" w:hAnsi="Arial" w:cs="Arial"/>
          <w:b/>
          <w:sz w:val="24"/>
          <w:szCs w:val="24"/>
          <w:vertAlign w:val="superscript"/>
        </w:rPr>
        <w:t>th</w:t>
      </w:r>
      <w:r w:rsidR="00814CBC">
        <w:rPr>
          <w:rFonts w:ascii="Arial" w:hAnsi="Arial" w:cs="Arial"/>
          <w:b/>
          <w:sz w:val="24"/>
          <w:szCs w:val="24"/>
        </w:rPr>
        <w:t xml:space="preserve"> 2021</w:t>
      </w:r>
    </w:p>
    <w:p w14:paraId="03C1256C" w14:textId="77777777" w:rsidR="00872977" w:rsidRPr="00E624D8" w:rsidRDefault="00872977" w:rsidP="00872977">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23C5561C" w14:textId="77777777" w:rsidR="00872977" w:rsidRPr="00ED3068" w:rsidRDefault="00872977" w:rsidP="00872977">
      <w:pPr>
        <w:tabs>
          <w:tab w:val="left" w:pos="1985"/>
        </w:tabs>
        <w:rPr>
          <w:rFonts w:ascii="Arial" w:hAnsi="Arial"/>
          <w:color w:val="FF0000"/>
          <w:sz w:val="24"/>
        </w:rPr>
      </w:pPr>
      <w:r w:rsidRPr="00E624D8">
        <w:rPr>
          <w:rFonts w:ascii="Arial" w:hAnsi="Arial"/>
          <w:b/>
          <w:sz w:val="24"/>
        </w:rPr>
        <w:t>Agenda item:</w:t>
      </w:r>
      <w:bookmarkStart w:id="0" w:name="Source"/>
      <w:bookmarkEnd w:id="0"/>
      <w:r w:rsidRPr="00E624D8">
        <w:rPr>
          <w:rFonts w:ascii="Arial" w:hAnsi="Arial"/>
          <w:sz w:val="24"/>
        </w:rPr>
        <w:tab/>
      </w:r>
      <w:r>
        <w:rPr>
          <w:rFonts w:ascii="Arial" w:hAnsi="Arial"/>
          <w:sz w:val="24"/>
        </w:rPr>
        <w:t>8.10.2</w:t>
      </w:r>
    </w:p>
    <w:p w14:paraId="64853AA6" w14:textId="77777777" w:rsidR="00872977" w:rsidRPr="006E610E" w:rsidRDefault="00872977" w:rsidP="00872977">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Pr="00F4150B">
        <w:rPr>
          <w:rFonts w:ascii="Arial" w:hAnsi="Arial"/>
          <w:sz w:val="24"/>
          <w:szCs w:val="24"/>
        </w:rPr>
        <w:t>Lenovo, Motorola Mobility</w:t>
      </w:r>
    </w:p>
    <w:p w14:paraId="6627E145" w14:textId="5713FAF3" w:rsidR="00872977" w:rsidRPr="0044166C" w:rsidRDefault="00872977" w:rsidP="00872977">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rPr>
        <w:tab/>
      </w:r>
      <w:r w:rsidR="00B20DA9">
        <w:rPr>
          <w:rFonts w:ascii="Arial" w:hAnsi="Arial"/>
          <w:sz w:val="24"/>
          <w:szCs w:val="24"/>
        </w:rPr>
        <w:t>Timing, interference, and power control in enhanced</w:t>
      </w:r>
      <w:r w:rsidRPr="00F4150B">
        <w:rPr>
          <w:rFonts w:ascii="Arial" w:hAnsi="Arial"/>
          <w:sz w:val="24"/>
          <w:szCs w:val="24"/>
        </w:rPr>
        <w:t xml:space="preserve"> IAB systems</w:t>
      </w:r>
    </w:p>
    <w:p w14:paraId="22FA14A5" w14:textId="77777777" w:rsidR="00872977" w:rsidRPr="00CC27F5" w:rsidRDefault="00872977" w:rsidP="00872977">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6EF6CC17" w14:textId="1FA88A99" w:rsidR="00872977" w:rsidRDefault="00872977" w:rsidP="00872977">
      <w:pPr>
        <w:pStyle w:val="Heading1"/>
      </w:pPr>
      <w:r w:rsidRPr="00CC27F5">
        <w:tab/>
        <w:t>Introduction</w:t>
      </w:r>
    </w:p>
    <w:p w14:paraId="5ADB4AE1" w14:textId="3CA683D1" w:rsidR="00872977" w:rsidRPr="00B64FBD" w:rsidRDefault="00872977" w:rsidP="00872977">
      <w:r>
        <w:t>In a companion paper</w:t>
      </w:r>
      <w:r w:rsidR="009B35E6">
        <w:t xml:space="preserve"> </w:t>
      </w:r>
      <w:r w:rsidR="009B35E6">
        <w:fldChar w:fldCharType="begin"/>
      </w:r>
      <w:r w:rsidR="009B35E6">
        <w:instrText xml:space="preserve"> REF _Ref54187073 \r \h </w:instrText>
      </w:r>
      <w:r w:rsidR="009B35E6">
        <w:fldChar w:fldCharType="separate"/>
      </w:r>
      <w:r w:rsidR="009B35E6">
        <w:rPr>
          <w:cs/>
        </w:rPr>
        <w:t>‎</w:t>
      </w:r>
      <w:r w:rsidR="009B35E6">
        <w:t>[1]</w:t>
      </w:r>
      <w:r w:rsidR="009B35E6">
        <w:fldChar w:fldCharType="end"/>
      </w:r>
      <w:r>
        <w:t xml:space="preserve">, we provide our views on </w:t>
      </w:r>
      <w:r w:rsidR="00C113FE">
        <w:t>r</w:t>
      </w:r>
      <w:r w:rsidR="00C113FE" w:rsidRPr="00C113FE">
        <w:t>esource multiplexing in eIAB systems</w:t>
      </w:r>
      <w:r>
        <w:t xml:space="preserve">. In this paper, </w:t>
      </w:r>
      <w:r w:rsidR="00B92627">
        <w:t xml:space="preserve">we discuss enabling </w:t>
      </w:r>
      <w:r w:rsidR="007D7F79">
        <w:t>features such as timing alignment, power control, and interference management</w:t>
      </w:r>
      <w:r>
        <w:t>.</w:t>
      </w:r>
    </w:p>
    <w:p w14:paraId="29D46FC2" w14:textId="4B78D83C" w:rsidR="00872977" w:rsidRDefault="00872977" w:rsidP="00872977">
      <w:pPr>
        <w:pStyle w:val="Heading1"/>
        <w:jc w:val="both"/>
      </w:pPr>
      <w:r w:rsidRPr="00CC27F5">
        <w:tab/>
      </w:r>
      <w:r>
        <w:t>Discussion</w:t>
      </w:r>
    </w:p>
    <w:p w14:paraId="55D02D08" w14:textId="31BC4B7B" w:rsidR="00872977" w:rsidRDefault="00872977" w:rsidP="00872977">
      <w:pPr>
        <w:pStyle w:val="Heading2"/>
      </w:pPr>
      <w:r w:rsidRPr="00CC27F5">
        <w:tab/>
      </w:r>
      <w:r>
        <w:t>Timing alignment</w:t>
      </w:r>
    </w:p>
    <w:p w14:paraId="25F3FCA3" w14:textId="589B5FE1" w:rsidR="005E399C" w:rsidRDefault="004706EF" w:rsidP="00350501">
      <w:pPr>
        <w:rPr>
          <w:lang w:val="en-GB"/>
        </w:rPr>
      </w:pPr>
      <w:r>
        <w:rPr>
          <w:lang w:val="en-GB"/>
        </w:rPr>
        <w:t>T</w:t>
      </w:r>
      <w:r w:rsidR="005E399C">
        <w:rPr>
          <w:lang w:val="en-GB"/>
        </w:rPr>
        <w:t xml:space="preserve">he following agreements were made </w:t>
      </w:r>
      <w:r>
        <w:rPr>
          <w:lang w:val="en-GB"/>
        </w:rPr>
        <w:t xml:space="preserve">on IAB timing alignment enhancements </w:t>
      </w:r>
      <w:r w:rsidR="005E399C">
        <w:rPr>
          <w:lang w:val="en-GB"/>
        </w:rPr>
        <w:t xml:space="preserve">in </w:t>
      </w:r>
      <w:r w:rsidR="00350501">
        <w:rPr>
          <w:lang w:val="en-GB"/>
        </w:rPr>
        <w:t>RAN1#</w:t>
      </w:r>
      <w:r>
        <w:rPr>
          <w:lang w:val="en-GB"/>
        </w:rPr>
        <w:t>105</w:t>
      </w:r>
      <w:r w:rsidR="006A6518">
        <w:rPr>
          <w:lang w:val="en-GB"/>
        </w:rPr>
        <w:t>-e</w:t>
      </w:r>
      <w:r>
        <w:rPr>
          <w:lang w:val="en-GB"/>
        </w:rPr>
        <w:t xml:space="preserve"> </w:t>
      </w:r>
      <w:r>
        <w:rPr>
          <w:lang w:val="en-GB"/>
        </w:rPr>
        <w:fldChar w:fldCharType="begin"/>
      </w:r>
      <w:r>
        <w:rPr>
          <w:lang w:val="en-GB"/>
        </w:rPr>
        <w:instrText xml:space="preserve"> REF _Ref71645684 \r \h </w:instrText>
      </w:r>
      <w:r>
        <w:rPr>
          <w:lang w:val="en-GB"/>
        </w:rPr>
      </w:r>
      <w:r>
        <w:rPr>
          <w:lang w:val="en-GB"/>
        </w:rPr>
        <w:fldChar w:fldCharType="separate"/>
      </w:r>
      <w:r>
        <w:rPr>
          <w:cs/>
          <w:lang w:val="en-GB"/>
        </w:rPr>
        <w:t>‎</w:t>
      </w:r>
      <w:r>
        <w:rPr>
          <w:lang w:val="en-GB"/>
        </w:rPr>
        <w:t>[2]</w:t>
      </w:r>
      <w:r>
        <w:rPr>
          <w:lang w:val="en-GB"/>
        </w:rPr>
        <w:fldChar w:fldCharType="end"/>
      </w:r>
      <w:r w:rsidR="005E399C">
        <w:rPr>
          <w:lang w:val="en-GB"/>
        </w:rPr>
        <w:t>:</w:t>
      </w:r>
    </w:p>
    <w:p w14:paraId="5BBA1F5E" w14:textId="77777777" w:rsidR="004706EF" w:rsidRPr="004706EF" w:rsidRDefault="004706EF" w:rsidP="004706EF">
      <w:pPr>
        <w:rPr>
          <w:rFonts w:cs="Times"/>
          <w:b/>
          <w:bCs/>
          <w:i/>
          <w:iCs/>
          <w:szCs w:val="20"/>
          <w:highlight w:val="yellow"/>
        </w:rPr>
      </w:pPr>
      <w:r w:rsidRPr="004706EF">
        <w:rPr>
          <w:rFonts w:cs="Times"/>
          <w:b/>
          <w:bCs/>
          <w:i/>
          <w:iCs/>
          <w:szCs w:val="20"/>
          <w:highlight w:val="green"/>
        </w:rPr>
        <w:t>Agreement</w:t>
      </w:r>
    </w:p>
    <w:p w14:paraId="0E5230D1" w14:textId="77777777" w:rsidR="004706EF" w:rsidRPr="004706EF" w:rsidRDefault="004706EF" w:rsidP="004706EF">
      <w:pPr>
        <w:rPr>
          <w:rFonts w:cs="Times"/>
          <w:bCs/>
          <w:i/>
          <w:iCs/>
          <w:color w:val="000000"/>
          <w:szCs w:val="20"/>
        </w:rPr>
      </w:pPr>
      <w:r w:rsidRPr="004706EF">
        <w:rPr>
          <w:rFonts w:cs="Times"/>
          <w:bCs/>
          <w:i/>
          <w:iCs/>
          <w:color w:val="000000"/>
          <w:szCs w:val="20"/>
        </w:rPr>
        <w:t>RAN1 to downselect how the IAB-MT Tx timing is set for Case 6 timing at a given IAB-node:</w:t>
      </w:r>
    </w:p>
    <w:p w14:paraId="02278956" w14:textId="77777777" w:rsidR="004706EF" w:rsidRPr="004706EF" w:rsidRDefault="004706EF" w:rsidP="004706EF">
      <w:pPr>
        <w:pStyle w:val="ListParagraph"/>
        <w:numPr>
          <w:ilvl w:val="0"/>
          <w:numId w:val="18"/>
        </w:numPr>
        <w:spacing w:before="0" w:after="0" w:line="240" w:lineRule="auto"/>
        <w:textAlignment w:val="baseline"/>
        <w:rPr>
          <w:rFonts w:cs="Times"/>
          <w:i/>
          <w:iCs/>
          <w:szCs w:val="20"/>
        </w:rPr>
      </w:pPr>
      <w:r w:rsidRPr="004706EF">
        <w:rPr>
          <w:rFonts w:cs="Times"/>
          <w:i/>
          <w:iCs/>
          <w:szCs w:val="20"/>
        </w:rPr>
        <w:t>Alt1: the IAB-MT Tx timing is obtained by the node via the legacy TA loop plus an offset from the parent node.</w:t>
      </w:r>
    </w:p>
    <w:p w14:paraId="41CC5FB0" w14:textId="77777777" w:rsidR="004706EF" w:rsidRPr="004706EF" w:rsidRDefault="004706EF" w:rsidP="004706EF">
      <w:pPr>
        <w:pStyle w:val="ListParagraph"/>
        <w:numPr>
          <w:ilvl w:val="1"/>
          <w:numId w:val="18"/>
        </w:numPr>
        <w:spacing w:before="0" w:after="0" w:line="240" w:lineRule="auto"/>
        <w:textAlignment w:val="baseline"/>
        <w:rPr>
          <w:rFonts w:cs="Times"/>
          <w:i/>
          <w:iCs/>
          <w:szCs w:val="20"/>
        </w:rPr>
      </w:pPr>
      <w:r w:rsidRPr="004706EF">
        <w:rPr>
          <w:rFonts w:cs="Times"/>
          <w:i/>
          <w:iCs/>
          <w:szCs w:val="20"/>
        </w:rPr>
        <w:t>FFS details of the required offset.</w:t>
      </w:r>
    </w:p>
    <w:p w14:paraId="587FCCAA" w14:textId="77777777" w:rsidR="004706EF" w:rsidRPr="004706EF" w:rsidRDefault="004706EF" w:rsidP="004706EF">
      <w:pPr>
        <w:pStyle w:val="ListParagraph"/>
        <w:numPr>
          <w:ilvl w:val="0"/>
          <w:numId w:val="18"/>
        </w:numPr>
        <w:spacing w:before="0" w:after="0" w:line="240" w:lineRule="auto"/>
        <w:textAlignment w:val="baseline"/>
        <w:rPr>
          <w:rFonts w:cs="Times"/>
          <w:i/>
          <w:iCs/>
          <w:szCs w:val="20"/>
        </w:rPr>
      </w:pPr>
      <w:r w:rsidRPr="004706EF">
        <w:rPr>
          <w:rFonts w:cs="Times"/>
          <w:i/>
          <w:iCs/>
          <w:szCs w:val="20"/>
        </w:rPr>
        <w:t>Alt2: the IAB-MT Tx timing is set by the node to the timing obtained for the node’s DL Tx.</w:t>
      </w:r>
    </w:p>
    <w:p w14:paraId="39DB6B8D" w14:textId="77777777" w:rsidR="004706EF" w:rsidRPr="004706EF" w:rsidRDefault="004706EF" w:rsidP="004706EF">
      <w:pPr>
        <w:pStyle w:val="ListParagraph"/>
        <w:numPr>
          <w:ilvl w:val="0"/>
          <w:numId w:val="18"/>
        </w:numPr>
        <w:spacing w:before="0" w:after="0" w:line="240" w:lineRule="auto"/>
        <w:textAlignment w:val="baseline"/>
        <w:rPr>
          <w:rFonts w:cs="Times"/>
          <w:i/>
          <w:iCs/>
          <w:szCs w:val="20"/>
        </w:rPr>
      </w:pPr>
      <w:r w:rsidRPr="004706EF">
        <w:rPr>
          <w:rFonts w:cs="Times"/>
          <w:i/>
          <w:iCs/>
          <w:szCs w:val="20"/>
        </w:rPr>
        <w:t>Alt3: the IAB-MT Tx timing is obtained by the node jointly with the IAB-DU Tx timing via a common offset from the parent node.</w:t>
      </w:r>
    </w:p>
    <w:p w14:paraId="31B9D93D" w14:textId="77777777" w:rsidR="004706EF" w:rsidRPr="004706EF" w:rsidRDefault="004706EF" w:rsidP="004706EF">
      <w:pPr>
        <w:rPr>
          <w:rFonts w:cs="Times"/>
          <w:bCs/>
          <w:i/>
          <w:iCs/>
          <w:szCs w:val="20"/>
        </w:rPr>
      </w:pPr>
      <w:r w:rsidRPr="004706EF">
        <w:rPr>
          <w:rFonts w:cs="Times"/>
          <w:bCs/>
          <w:i/>
          <w:iCs/>
          <w:szCs w:val="20"/>
        </w:rPr>
        <w:t>Downselection to consider at least the following aspects:</w:t>
      </w:r>
    </w:p>
    <w:p w14:paraId="41CFCAE8" w14:textId="77777777" w:rsidR="004706EF" w:rsidRPr="004706EF" w:rsidRDefault="004706EF" w:rsidP="004706EF">
      <w:pPr>
        <w:pStyle w:val="ListParagraph"/>
        <w:numPr>
          <w:ilvl w:val="0"/>
          <w:numId w:val="18"/>
        </w:numPr>
        <w:spacing w:before="0" w:after="0" w:line="240" w:lineRule="auto"/>
        <w:textAlignment w:val="baseline"/>
        <w:rPr>
          <w:rFonts w:cs="Times"/>
          <w:i/>
          <w:iCs/>
          <w:szCs w:val="20"/>
        </w:rPr>
      </w:pPr>
      <w:r w:rsidRPr="004706EF">
        <w:rPr>
          <w:rFonts w:cs="Times"/>
          <w:i/>
          <w:iCs/>
          <w:szCs w:val="20"/>
        </w:rPr>
        <w:t>Dependency of DL synchronization schemes at the IAB-DU</w:t>
      </w:r>
    </w:p>
    <w:p w14:paraId="5BA806A3" w14:textId="77777777" w:rsidR="004706EF" w:rsidRPr="004706EF" w:rsidRDefault="004706EF" w:rsidP="004706EF">
      <w:pPr>
        <w:pStyle w:val="ListParagraph"/>
        <w:numPr>
          <w:ilvl w:val="0"/>
          <w:numId w:val="18"/>
        </w:numPr>
        <w:spacing w:before="0" w:after="0" w:line="240" w:lineRule="auto"/>
        <w:textAlignment w:val="baseline"/>
        <w:rPr>
          <w:rFonts w:cs="Times"/>
          <w:i/>
          <w:iCs/>
          <w:szCs w:val="20"/>
        </w:rPr>
      </w:pPr>
      <w:r w:rsidRPr="004706EF">
        <w:rPr>
          <w:rFonts w:cs="Times"/>
          <w:i/>
          <w:iCs/>
          <w:szCs w:val="20"/>
        </w:rPr>
        <w:t>Potential additional signaling overhead.</w:t>
      </w:r>
    </w:p>
    <w:p w14:paraId="58138BAE" w14:textId="77777777" w:rsidR="004706EF" w:rsidRPr="004706EF" w:rsidRDefault="004706EF" w:rsidP="004706EF">
      <w:pPr>
        <w:pStyle w:val="ListParagraph"/>
        <w:numPr>
          <w:ilvl w:val="0"/>
          <w:numId w:val="18"/>
        </w:numPr>
        <w:spacing w:before="0" w:after="0" w:line="240" w:lineRule="auto"/>
        <w:textAlignment w:val="baseline"/>
        <w:rPr>
          <w:rFonts w:cs="Times"/>
          <w:i/>
          <w:iCs/>
          <w:szCs w:val="20"/>
        </w:rPr>
      </w:pPr>
      <w:r w:rsidRPr="004706EF">
        <w:rPr>
          <w:rFonts w:cs="Times"/>
          <w:i/>
          <w:iCs/>
          <w:szCs w:val="20"/>
        </w:rPr>
        <w:t>Achievable DU Tx / MT Tx alignment error tolerance.</w:t>
      </w:r>
    </w:p>
    <w:p w14:paraId="00E284B5" w14:textId="77777777" w:rsidR="004706EF" w:rsidRPr="004706EF" w:rsidRDefault="004706EF" w:rsidP="004706EF">
      <w:pPr>
        <w:pStyle w:val="ListParagraph"/>
        <w:numPr>
          <w:ilvl w:val="0"/>
          <w:numId w:val="18"/>
        </w:numPr>
        <w:spacing w:before="0" w:after="0" w:line="240" w:lineRule="auto"/>
        <w:textAlignment w:val="baseline"/>
        <w:rPr>
          <w:rFonts w:cs="Times"/>
          <w:i/>
          <w:iCs/>
          <w:szCs w:val="20"/>
        </w:rPr>
      </w:pPr>
      <w:r w:rsidRPr="004706EF">
        <w:rPr>
          <w:rFonts w:cs="Times"/>
          <w:i/>
          <w:iCs/>
          <w:szCs w:val="20"/>
        </w:rPr>
        <w:t>Suitability for switching between timing modes.</w:t>
      </w:r>
    </w:p>
    <w:p w14:paraId="0D09B5DA" w14:textId="19955781" w:rsidR="004706EF" w:rsidRPr="004706EF" w:rsidRDefault="004706EF" w:rsidP="004706EF">
      <w:pPr>
        <w:pStyle w:val="ListParagraph"/>
        <w:rPr>
          <w:rFonts w:ascii="Calibri" w:eastAsia="Times New Roman" w:hAnsi="Calibri" w:cs="Calibri"/>
          <w:b/>
          <w:bCs/>
          <w:i/>
          <w:iCs/>
        </w:rPr>
      </w:pPr>
    </w:p>
    <w:p w14:paraId="4892121C" w14:textId="77777777" w:rsidR="004706EF" w:rsidRPr="004706EF" w:rsidRDefault="004706EF" w:rsidP="004706EF">
      <w:pPr>
        <w:rPr>
          <w:rFonts w:cs="Times"/>
          <w:b/>
          <w:bCs/>
          <w:i/>
          <w:iCs/>
          <w:szCs w:val="20"/>
          <w:highlight w:val="yellow"/>
        </w:rPr>
      </w:pPr>
      <w:r w:rsidRPr="004706EF">
        <w:rPr>
          <w:rFonts w:cs="Times"/>
          <w:b/>
          <w:bCs/>
          <w:i/>
          <w:iCs/>
          <w:szCs w:val="20"/>
          <w:highlight w:val="green"/>
        </w:rPr>
        <w:t>Agreement</w:t>
      </w:r>
    </w:p>
    <w:p w14:paraId="26CD9E11" w14:textId="77777777" w:rsidR="004706EF" w:rsidRPr="004706EF" w:rsidRDefault="004706EF" w:rsidP="004706EF">
      <w:pPr>
        <w:rPr>
          <w:bCs/>
          <w:i/>
          <w:iCs/>
          <w:color w:val="000000"/>
        </w:rPr>
      </w:pPr>
      <w:r w:rsidRPr="004706EF">
        <w:rPr>
          <w:bCs/>
          <w:i/>
          <w:iCs/>
          <w:color w:val="000000"/>
        </w:rPr>
        <w:t>RAN1 to downselect how the IAB-MT Tx timing is set at an IAB-node for Case 7 timing at the parent node:</w:t>
      </w:r>
    </w:p>
    <w:p w14:paraId="3935C4E6" w14:textId="77777777" w:rsidR="004706EF" w:rsidRPr="004706EF" w:rsidRDefault="004706EF" w:rsidP="004706EF">
      <w:pPr>
        <w:pStyle w:val="ListParagraph"/>
        <w:numPr>
          <w:ilvl w:val="0"/>
          <w:numId w:val="19"/>
        </w:numPr>
        <w:spacing w:before="0" w:after="0" w:line="240" w:lineRule="auto"/>
        <w:rPr>
          <w:bCs/>
          <w:i/>
          <w:iCs/>
          <w:color w:val="000000"/>
          <w:szCs w:val="20"/>
        </w:rPr>
      </w:pPr>
      <w:r w:rsidRPr="004706EF">
        <w:rPr>
          <w:bCs/>
          <w:i/>
          <w:iCs/>
          <w:color w:val="000000"/>
          <w:szCs w:val="20"/>
        </w:rPr>
        <w:t>Alt1: the IAB-MT Tx timing of the node is obtained via the legacy TA loop plus an offset from the parent node.</w:t>
      </w:r>
    </w:p>
    <w:p w14:paraId="5ECF7369" w14:textId="77777777" w:rsidR="004706EF" w:rsidRPr="004706EF" w:rsidRDefault="004706EF" w:rsidP="004706EF">
      <w:pPr>
        <w:pStyle w:val="ListParagraph"/>
        <w:numPr>
          <w:ilvl w:val="1"/>
          <w:numId w:val="19"/>
        </w:numPr>
        <w:spacing w:before="0" w:after="0" w:line="240" w:lineRule="auto"/>
        <w:rPr>
          <w:bCs/>
          <w:i/>
          <w:iCs/>
          <w:color w:val="000000"/>
          <w:szCs w:val="20"/>
        </w:rPr>
      </w:pPr>
      <w:r w:rsidRPr="004706EF">
        <w:rPr>
          <w:bCs/>
          <w:i/>
          <w:iCs/>
          <w:color w:val="000000"/>
          <w:szCs w:val="20"/>
        </w:rPr>
        <w:t>FFS details of the required offset</w:t>
      </w:r>
    </w:p>
    <w:p w14:paraId="578B6466" w14:textId="77777777" w:rsidR="004706EF" w:rsidRPr="004706EF" w:rsidRDefault="004706EF" w:rsidP="004706EF">
      <w:pPr>
        <w:pStyle w:val="ListParagraph"/>
        <w:numPr>
          <w:ilvl w:val="0"/>
          <w:numId w:val="19"/>
        </w:numPr>
        <w:spacing w:before="0" w:after="0" w:line="240" w:lineRule="auto"/>
        <w:rPr>
          <w:bCs/>
          <w:i/>
          <w:iCs/>
          <w:color w:val="000000"/>
          <w:szCs w:val="20"/>
        </w:rPr>
      </w:pPr>
      <w:r w:rsidRPr="004706EF">
        <w:rPr>
          <w:bCs/>
          <w:i/>
          <w:iCs/>
          <w:color w:val="000000"/>
          <w:szCs w:val="20"/>
        </w:rPr>
        <w:t>Alt2: the IAB-MT Tx timing of the node is obtained via the legacy TA loop from the parent node.</w:t>
      </w:r>
    </w:p>
    <w:p w14:paraId="1997946B" w14:textId="77777777" w:rsidR="004706EF" w:rsidRPr="004706EF" w:rsidRDefault="004706EF" w:rsidP="004706EF">
      <w:pPr>
        <w:pStyle w:val="ListParagraph"/>
        <w:numPr>
          <w:ilvl w:val="0"/>
          <w:numId w:val="19"/>
        </w:numPr>
        <w:spacing w:before="0" w:after="0" w:line="240" w:lineRule="auto"/>
        <w:rPr>
          <w:bCs/>
          <w:i/>
          <w:iCs/>
          <w:color w:val="000000"/>
          <w:szCs w:val="20"/>
        </w:rPr>
      </w:pPr>
      <w:r w:rsidRPr="004706EF">
        <w:rPr>
          <w:rStyle w:val="Emphasis"/>
          <w:bCs/>
        </w:rPr>
        <w:t>Alt3: the IAB-MT Tx timing of the node is obtained via a Case 7 specific TA loop from the parent node.</w:t>
      </w:r>
    </w:p>
    <w:p w14:paraId="67258DE8" w14:textId="77777777" w:rsidR="004706EF" w:rsidRPr="004706EF" w:rsidRDefault="004706EF" w:rsidP="004706EF">
      <w:pPr>
        <w:rPr>
          <w:bCs/>
          <w:i/>
          <w:iCs/>
        </w:rPr>
      </w:pPr>
      <w:r w:rsidRPr="004706EF">
        <w:rPr>
          <w:bCs/>
          <w:i/>
          <w:iCs/>
        </w:rPr>
        <w:t>Downselection to consider at least the following aspects:</w:t>
      </w:r>
    </w:p>
    <w:p w14:paraId="26C1F099" w14:textId="77777777" w:rsidR="004706EF" w:rsidRPr="004706EF" w:rsidRDefault="004706EF" w:rsidP="004706EF">
      <w:pPr>
        <w:pStyle w:val="ListParagraph"/>
        <w:numPr>
          <w:ilvl w:val="0"/>
          <w:numId w:val="19"/>
        </w:numPr>
        <w:spacing w:before="0" w:after="0" w:line="240" w:lineRule="auto"/>
        <w:rPr>
          <w:bCs/>
          <w:i/>
          <w:iCs/>
          <w:color w:val="000000"/>
          <w:szCs w:val="20"/>
        </w:rPr>
      </w:pPr>
      <w:r w:rsidRPr="004706EF">
        <w:rPr>
          <w:bCs/>
          <w:i/>
          <w:iCs/>
          <w:color w:val="000000"/>
          <w:szCs w:val="20"/>
        </w:rPr>
        <w:t>Potential impact to OTA synchronization availability for DU Tx at the IAB-node.</w:t>
      </w:r>
    </w:p>
    <w:p w14:paraId="7937E5F6" w14:textId="77777777" w:rsidR="004706EF" w:rsidRPr="004706EF" w:rsidRDefault="004706EF" w:rsidP="004706EF">
      <w:pPr>
        <w:pStyle w:val="ListParagraph"/>
        <w:numPr>
          <w:ilvl w:val="0"/>
          <w:numId w:val="19"/>
        </w:numPr>
        <w:spacing w:before="0" w:after="0" w:line="240" w:lineRule="auto"/>
        <w:rPr>
          <w:bCs/>
          <w:i/>
          <w:iCs/>
          <w:color w:val="000000"/>
          <w:szCs w:val="20"/>
        </w:rPr>
      </w:pPr>
      <w:r w:rsidRPr="004706EF">
        <w:rPr>
          <w:bCs/>
          <w:i/>
          <w:iCs/>
          <w:color w:val="000000"/>
          <w:szCs w:val="20"/>
        </w:rPr>
        <w:t>Potential additional signaling overhead.</w:t>
      </w:r>
    </w:p>
    <w:p w14:paraId="707DFA09" w14:textId="77777777" w:rsidR="004706EF" w:rsidRPr="004706EF" w:rsidRDefault="004706EF" w:rsidP="004706EF">
      <w:pPr>
        <w:pStyle w:val="ListParagraph"/>
        <w:numPr>
          <w:ilvl w:val="0"/>
          <w:numId w:val="19"/>
        </w:numPr>
        <w:spacing w:before="0" w:after="0" w:line="240" w:lineRule="auto"/>
        <w:rPr>
          <w:bCs/>
          <w:i/>
          <w:iCs/>
          <w:color w:val="000000"/>
          <w:szCs w:val="20"/>
        </w:rPr>
      </w:pPr>
      <w:r w:rsidRPr="004706EF">
        <w:rPr>
          <w:bCs/>
          <w:i/>
          <w:iCs/>
          <w:color w:val="000000"/>
          <w:szCs w:val="20"/>
        </w:rPr>
        <w:t>Suitability for switching between timing modes.</w:t>
      </w:r>
    </w:p>
    <w:p w14:paraId="2BEE2C39" w14:textId="77777777" w:rsidR="004706EF" w:rsidRPr="004706EF" w:rsidRDefault="004706EF" w:rsidP="004706EF">
      <w:pPr>
        <w:rPr>
          <w:i/>
          <w:iCs/>
        </w:rPr>
      </w:pPr>
    </w:p>
    <w:p w14:paraId="6B235169" w14:textId="77777777" w:rsidR="004706EF" w:rsidRPr="004706EF" w:rsidRDefault="004706EF" w:rsidP="004706EF">
      <w:pPr>
        <w:rPr>
          <w:rFonts w:cs="Times"/>
          <w:b/>
          <w:bCs/>
          <w:i/>
          <w:iCs/>
          <w:szCs w:val="20"/>
          <w:highlight w:val="yellow"/>
        </w:rPr>
      </w:pPr>
      <w:r w:rsidRPr="004706EF">
        <w:rPr>
          <w:rFonts w:cs="Times"/>
          <w:b/>
          <w:bCs/>
          <w:i/>
          <w:iCs/>
          <w:szCs w:val="20"/>
          <w:highlight w:val="green"/>
        </w:rPr>
        <w:t>Agreement</w:t>
      </w:r>
    </w:p>
    <w:p w14:paraId="44F706A8" w14:textId="77777777" w:rsidR="004706EF" w:rsidRPr="004706EF" w:rsidRDefault="004706EF" w:rsidP="004706EF">
      <w:pPr>
        <w:rPr>
          <w:bCs/>
          <w:i/>
          <w:iCs/>
        </w:rPr>
      </w:pPr>
      <w:r w:rsidRPr="004706EF">
        <w:rPr>
          <w:bCs/>
          <w:i/>
          <w:iCs/>
        </w:rPr>
        <w:t>An IAB-node is indicated when Case 6 timing is performed at the IAB-node.</w:t>
      </w:r>
    </w:p>
    <w:p w14:paraId="53C728E2" w14:textId="77777777" w:rsidR="004706EF" w:rsidRPr="004706EF" w:rsidRDefault="004706EF" w:rsidP="004706EF">
      <w:pPr>
        <w:pStyle w:val="ListParagraph"/>
        <w:numPr>
          <w:ilvl w:val="0"/>
          <w:numId w:val="19"/>
        </w:numPr>
        <w:spacing w:before="0" w:after="0" w:line="240" w:lineRule="auto"/>
        <w:rPr>
          <w:bCs/>
          <w:i/>
          <w:iCs/>
          <w:color w:val="000000"/>
          <w:szCs w:val="20"/>
        </w:rPr>
      </w:pPr>
      <w:r w:rsidRPr="004706EF">
        <w:rPr>
          <w:bCs/>
          <w:i/>
          <w:iCs/>
          <w:color w:val="000000"/>
          <w:szCs w:val="20"/>
        </w:rPr>
        <w:lastRenderedPageBreak/>
        <w:t>FFS details of the indication (e.g. semi-static and/or dynamic, implicit and/or explicit, linkage to multiplexing capability, etc.).</w:t>
      </w:r>
    </w:p>
    <w:p w14:paraId="1A783561" w14:textId="77777777" w:rsidR="004706EF" w:rsidRPr="004706EF" w:rsidRDefault="004706EF" w:rsidP="004706EF">
      <w:pPr>
        <w:pStyle w:val="ListParagraph"/>
        <w:ind w:left="0"/>
        <w:rPr>
          <w:bCs/>
          <w:i/>
          <w:iCs/>
          <w:color w:val="000000"/>
          <w:szCs w:val="20"/>
        </w:rPr>
      </w:pPr>
      <w:r w:rsidRPr="004706EF">
        <w:rPr>
          <w:bCs/>
          <w:i/>
          <w:iCs/>
          <w:color w:val="000000"/>
          <w:szCs w:val="20"/>
        </w:rPr>
        <w:t>FFS whether an IAB-node is also indicated when Case 7 timing is performed at the IAB-node.</w:t>
      </w:r>
    </w:p>
    <w:p w14:paraId="21D22832" w14:textId="77777777" w:rsidR="008E3170" w:rsidRPr="008E3170" w:rsidRDefault="008E3170" w:rsidP="008E3170">
      <w:pPr>
        <w:rPr>
          <w:rFonts w:cs="Times"/>
          <w:i/>
          <w:iCs/>
          <w:lang w:eastAsia="x-none"/>
        </w:rPr>
      </w:pPr>
    </w:p>
    <w:p w14:paraId="61E8E177" w14:textId="22574F49" w:rsidR="00872977" w:rsidRDefault="00872977" w:rsidP="00872977">
      <w:pPr>
        <w:rPr>
          <w:lang w:val="en-GB"/>
        </w:rPr>
      </w:pPr>
      <w:r>
        <w:rPr>
          <w:lang w:val="en-GB"/>
        </w:rPr>
        <w:t xml:space="preserve">Since Case-1 </w:t>
      </w:r>
      <w:r w:rsidR="005303F0">
        <w:rPr>
          <w:lang w:val="en-GB"/>
        </w:rPr>
        <w:t xml:space="preserve">timing alignment </w:t>
      </w:r>
      <w:r>
        <w:rPr>
          <w:lang w:val="en-GB"/>
        </w:rPr>
        <w:t xml:space="preserve">does not specify timing relationships for uplink, IAB nodes in Rel-16 normally follow the legacy timing advance (TA) procedure for uplink transmissions. </w:t>
      </w:r>
      <w:r w:rsidR="005303F0">
        <w:rPr>
          <w:lang w:val="en-GB"/>
        </w:rPr>
        <w:t>For an IAB node with one antenna panel/RF frontend conn</w:t>
      </w:r>
      <w:r w:rsidR="003B6C22">
        <w:rPr>
          <w:lang w:val="en-GB"/>
        </w:rPr>
        <w:t>e</w:t>
      </w:r>
      <w:r w:rsidR="005303F0">
        <w:rPr>
          <w:lang w:val="en-GB"/>
        </w:rPr>
        <w:t>cted to a baseband unit, symbol boundaries should be aligned for simultaneous transmiss</w:t>
      </w:r>
      <w:r w:rsidR="003B6C22">
        <w:rPr>
          <w:lang w:val="en-GB"/>
        </w:rPr>
        <w:t>i</w:t>
      </w:r>
      <w:r w:rsidR="005303F0">
        <w:rPr>
          <w:lang w:val="en-GB"/>
        </w:rPr>
        <w:t>ons (Case-6 timing alignment) and simultaneous receptions (Case-7 timing alignment).</w:t>
      </w:r>
    </w:p>
    <w:p w14:paraId="1514B459" w14:textId="26C6B521" w:rsidR="00326EBB" w:rsidRDefault="002E374A" w:rsidP="00872977">
      <w:pPr>
        <w:rPr>
          <w:lang w:val="en-GB"/>
        </w:rPr>
      </w:pPr>
      <w:r>
        <w:rPr>
          <w:lang w:val="en-GB"/>
        </w:rPr>
        <w:t>First, w</w:t>
      </w:r>
      <w:r w:rsidR="00326EBB">
        <w:rPr>
          <w:lang w:val="en-GB"/>
        </w:rPr>
        <w:t xml:space="preserve">hether timing alignment is needed for the case of simultaneous TX (Case A) or simultaneous </w:t>
      </w:r>
      <w:r>
        <w:rPr>
          <w:lang w:val="en-GB"/>
        </w:rPr>
        <w:t>RX (Case B) in an IAB node depends on the IAB node’s capability. Particularly if the IAB node has multiple IFFT/FFT windows for OFDM processing, it does not need to perform timing alignment further than Case-1, which can improve the possibility of simultaneous operations significantly. Therefore, we propose that the IAB node’s capability for timing alignment be reported to the IAB donor and/or the parent node.</w:t>
      </w:r>
    </w:p>
    <w:p w14:paraId="45456964" w14:textId="604C2927" w:rsidR="002E374A" w:rsidRDefault="002E374A" w:rsidP="00A302A1">
      <w:pPr>
        <w:pStyle w:val="Proposal"/>
        <w:rPr>
          <w:lang w:val="en-GB"/>
        </w:rPr>
      </w:pPr>
      <w:bookmarkStart w:id="2" w:name="_Toc61554238"/>
      <w:bookmarkStart w:id="3" w:name="_Toc61556556"/>
      <w:bookmarkStart w:id="4" w:name="_Toc61556770"/>
      <w:bookmarkStart w:id="5" w:name="_Toc61557416"/>
      <w:bookmarkStart w:id="6" w:name="_Toc61558126"/>
      <w:bookmarkStart w:id="7" w:name="_Toc61559435"/>
      <w:bookmarkStart w:id="8" w:name="_Toc61860809"/>
      <w:bookmarkStart w:id="9" w:name="_Toc61869497"/>
      <w:bookmarkStart w:id="10" w:name="_Toc61870338"/>
      <w:bookmarkStart w:id="11" w:name="_Toc61871474"/>
      <w:bookmarkStart w:id="12" w:name="_Toc61874652"/>
      <w:bookmarkStart w:id="13" w:name="_Toc61893677"/>
      <w:bookmarkStart w:id="14" w:name="_Toc71645243"/>
      <w:bookmarkStart w:id="15" w:name="_Toc71646778"/>
      <w:bookmarkStart w:id="16" w:name="_Toc71648190"/>
      <w:bookmarkStart w:id="17" w:name="_Toc71649889"/>
      <w:bookmarkStart w:id="18" w:name="_Toc71655189"/>
      <w:bookmarkStart w:id="19" w:name="_Toc71659403"/>
      <w:bookmarkStart w:id="20" w:name="_Toc71659885"/>
      <w:bookmarkStart w:id="21" w:name="_Toc71665107"/>
      <w:bookmarkStart w:id="22" w:name="_Toc71668880"/>
      <w:bookmarkStart w:id="23" w:name="_Toc71668925"/>
      <w:bookmarkStart w:id="24" w:name="_Toc71668989"/>
      <w:bookmarkStart w:id="25" w:name="_Toc71671241"/>
      <w:bookmarkStart w:id="26" w:name="_Toc71671395"/>
      <w:bookmarkStart w:id="27" w:name="_Toc79159548"/>
      <w:bookmarkStart w:id="28" w:name="_Toc79159664"/>
      <w:bookmarkStart w:id="29" w:name="_Toc79178197"/>
      <w:r>
        <w:rPr>
          <w:lang w:val="en-GB"/>
        </w:rPr>
        <w:t xml:space="preserve">Support </w:t>
      </w:r>
      <w:r w:rsidR="006A1419">
        <w:rPr>
          <w:lang w:val="en-GB"/>
        </w:rPr>
        <w:t xml:space="preserve">a </w:t>
      </w:r>
      <w:r>
        <w:rPr>
          <w:lang w:val="en-GB"/>
        </w:rPr>
        <w:t xml:space="preserve">capability </w:t>
      </w:r>
      <w:r w:rsidR="00FD6878">
        <w:rPr>
          <w:lang w:val="en-GB"/>
        </w:rPr>
        <w:t>signalling</w:t>
      </w:r>
      <w:r w:rsidR="004706EF">
        <w:rPr>
          <w:lang w:val="en-GB"/>
        </w:rPr>
        <w:t xml:space="preserve">, </w:t>
      </w:r>
      <w:r w:rsidR="00CF5F24">
        <w:rPr>
          <w:lang w:val="en-GB"/>
        </w:rPr>
        <w:t>e.g.,</w:t>
      </w:r>
      <w:r w:rsidR="004706EF">
        <w:rPr>
          <w:lang w:val="en-GB"/>
        </w:rPr>
        <w:t xml:space="preserve"> number of IFFT/FFT windows,</w:t>
      </w:r>
      <w:r w:rsidR="006A1419">
        <w:rPr>
          <w:lang w:val="en-GB"/>
        </w:rPr>
        <w:t xml:space="preserve"> </w:t>
      </w:r>
      <w:r w:rsidR="001C00AB">
        <w:rPr>
          <w:lang w:val="en-GB"/>
        </w:rPr>
        <w:t xml:space="preserve">to </w:t>
      </w:r>
      <w:r>
        <w:rPr>
          <w:lang w:val="en-GB"/>
        </w:rPr>
        <w:t>indicate whether</w:t>
      </w:r>
      <w:r w:rsidR="009D4728">
        <w:rPr>
          <w:lang w:val="en-GB"/>
        </w:rPr>
        <w:t xml:space="preserve"> the</w:t>
      </w:r>
      <w:r>
        <w:rPr>
          <w:lang w:val="en-GB"/>
        </w:rPr>
        <w:t xml:space="preserve"> IAB node requires</w:t>
      </w:r>
      <w:r w:rsidR="00EE739C">
        <w:rPr>
          <w:lang w:val="en-GB"/>
        </w:rPr>
        <w:t xml:space="preserve"> </w:t>
      </w:r>
      <w:r>
        <w:rPr>
          <w:lang w:val="en-GB"/>
        </w:rPr>
        <w:t>timing alignment</w:t>
      </w:r>
      <w:r w:rsidR="00EE739C">
        <w:rPr>
          <w:lang w:val="en-GB"/>
        </w:rPr>
        <w:t xml:space="preserve"> between IAB-MT and IAB-DU</w:t>
      </w:r>
      <w:r w:rsidR="006A1419">
        <w:rPr>
          <w:lang w:val="en-GB"/>
        </w:rPr>
        <w:t xml:space="preserve"> operations</w:t>
      </w:r>
      <w:r w:rsidR="00B363A1">
        <w:rPr>
          <w:lang w:val="en-GB"/>
        </w:rPr>
        <w:t>. If negative, the IAB node can transmit unaligned OFDM symbols (Case A) and receive</w:t>
      </w:r>
      <w:r w:rsidR="0030298C">
        <w:rPr>
          <w:lang w:val="en-GB"/>
        </w:rPr>
        <w:t>/process</w:t>
      </w:r>
      <w:r w:rsidR="00B363A1">
        <w:rPr>
          <w:lang w:val="en-GB"/>
        </w:rPr>
        <w:t xml:space="preserve"> unaligned OFDM 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B363A1">
        <w:rPr>
          <w:lang w:val="en-GB"/>
        </w:rPr>
        <w:t xml:space="preserve"> (Case B)</w:t>
      </w:r>
      <w:r w:rsidR="003C6280">
        <w:rPr>
          <w:lang w:val="en-GB"/>
        </w:rPr>
        <w:t>, which simplifies resource configurations and scheduling significantly</w:t>
      </w:r>
      <w:r w:rsidR="00B363A1">
        <w:rPr>
          <w:lang w:val="en-GB"/>
        </w:rPr>
        <w:t>.</w:t>
      </w:r>
      <w:bookmarkEnd w:id="19"/>
      <w:bookmarkEnd w:id="20"/>
      <w:bookmarkEnd w:id="21"/>
      <w:bookmarkEnd w:id="22"/>
      <w:bookmarkEnd w:id="23"/>
      <w:bookmarkEnd w:id="24"/>
      <w:bookmarkEnd w:id="25"/>
      <w:bookmarkEnd w:id="26"/>
      <w:bookmarkEnd w:id="27"/>
      <w:bookmarkEnd w:id="28"/>
      <w:bookmarkEnd w:id="29"/>
    </w:p>
    <w:p w14:paraId="7B6138E7" w14:textId="5217E2A6" w:rsidR="00B16191" w:rsidRDefault="002E374A" w:rsidP="00872977">
      <w:pPr>
        <w:rPr>
          <w:lang w:val="en-GB"/>
        </w:rPr>
      </w:pPr>
      <w:r>
        <w:rPr>
          <w:lang w:val="en-GB"/>
        </w:rPr>
        <w:t>Next</w:t>
      </w:r>
      <w:r w:rsidR="00E660E9">
        <w:rPr>
          <w:lang w:val="en-GB"/>
        </w:rPr>
        <w:t>, for an IAB node with a single antenna panel/RF frontend connected to a baseband unit</w:t>
      </w:r>
      <w:r w:rsidR="00326EBB">
        <w:rPr>
          <w:lang w:val="en-GB"/>
        </w:rPr>
        <w:t xml:space="preserve"> that has a single IFFT/FFT window</w:t>
      </w:r>
      <w:r w:rsidR="00E660E9">
        <w:rPr>
          <w:lang w:val="en-GB"/>
        </w:rPr>
        <w:t>, Case-6 timing alignment should be applied when UL resources are configured for IAB-MT and DL resources are configured for IAB-DU; and conversely, Case-7 timing alignment should be applied when DL resources are configured for IAB-MT and UL resources are configured for IAB-DU.</w:t>
      </w:r>
    </w:p>
    <w:p w14:paraId="4B21733A" w14:textId="78271CA1" w:rsidR="00872977" w:rsidRDefault="00E660E9" w:rsidP="00B16191">
      <w:pPr>
        <w:rPr>
          <w:lang w:val="en-GB"/>
        </w:rPr>
      </w:pPr>
      <w:r>
        <w:rPr>
          <w:lang w:val="en-GB"/>
        </w:rPr>
        <w:t>Therefore, we propose to specify timing alignment configuration for IAB nodes.</w:t>
      </w:r>
      <w:r w:rsidR="00B16191" w:rsidRPr="00B16191">
        <w:t xml:space="preserve"> </w:t>
      </w:r>
      <w:r w:rsidR="00393E2E">
        <w:t>The configuration can indicate a</w:t>
      </w:r>
      <w:r w:rsidR="006C066E">
        <w:t xml:space="preserve"> timing alignment for a number of slots, a semi-static scheduled (SPS) channel, and so on. Configurations work well for hard DL/UL resources, but with flexible and/or soft resources, a timing alignment mode may or may not need to be applied at a particular time slot. Hence, low</w:t>
      </w:r>
      <w:r w:rsidR="00962CED">
        <w:t>er layer control signal</w:t>
      </w:r>
      <w:r w:rsidR="00326EBB">
        <w:t xml:space="preserve">ing </w:t>
      </w:r>
      <w:r w:rsidR="00962CED">
        <w:t>can be further employed to activate or trigger a timing alignment mod</w:t>
      </w:r>
      <w:r w:rsidR="00326EBB">
        <w:t>e</w:t>
      </w:r>
      <w:r w:rsidR="00962CED">
        <w:t>.</w:t>
      </w:r>
    </w:p>
    <w:p w14:paraId="5D4E508F" w14:textId="2B64587D" w:rsidR="00872977" w:rsidRDefault="00872977" w:rsidP="00A302A1">
      <w:pPr>
        <w:pStyle w:val="Proposal"/>
      </w:pPr>
      <w:bookmarkStart w:id="30" w:name="_Toc54333407"/>
      <w:bookmarkStart w:id="31" w:name="_Toc54334221"/>
      <w:bookmarkStart w:id="32" w:name="_Toc54335452"/>
      <w:bookmarkStart w:id="33" w:name="_Toc54336346"/>
      <w:bookmarkStart w:id="34" w:name="_Toc54337822"/>
      <w:bookmarkStart w:id="35" w:name="_Toc54338579"/>
      <w:bookmarkStart w:id="36" w:name="_Toc54339091"/>
      <w:bookmarkStart w:id="37" w:name="_Toc54339223"/>
      <w:bookmarkStart w:id="38" w:name="_Toc54340304"/>
      <w:bookmarkStart w:id="39" w:name="_Toc54345672"/>
      <w:bookmarkStart w:id="40" w:name="_Toc61554239"/>
      <w:bookmarkStart w:id="41" w:name="_Toc61556557"/>
      <w:bookmarkStart w:id="42" w:name="_Toc61556771"/>
      <w:bookmarkStart w:id="43" w:name="_Toc61557417"/>
      <w:bookmarkStart w:id="44" w:name="_Toc61558127"/>
      <w:bookmarkStart w:id="45" w:name="_Toc61559436"/>
      <w:bookmarkStart w:id="46" w:name="_Toc61860810"/>
      <w:bookmarkStart w:id="47" w:name="_Toc61869498"/>
      <w:bookmarkStart w:id="48" w:name="_Toc61870339"/>
      <w:bookmarkStart w:id="49" w:name="_Toc61871475"/>
      <w:bookmarkStart w:id="50" w:name="_Toc61874653"/>
      <w:bookmarkStart w:id="51" w:name="_Toc61893678"/>
      <w:bookmarkStart w:id="52" w:name="_Toc71645244"/>
      <w:bookmarkStart w:id="53" w:name="_Toc71646779"/>
      <w:bookmarkStart w:id="54" w:name="_Toc71648191"/>
      <w:bookmarkStart w:id="55" w:name="_Toc71649890"/>
      <w:bookmarkStart w:id="56" w:name="_Toc71655190"/>
      <w:bookmarkStart w:id="57" w:name="_Toc71659405"/>
      <w:bookmarkStart w:id="58" w:name="_Toc71659887"/>
      <w:bookmarkStart w:id="59" w:name="_Toc71665109"/>
      <w:bookmarkStart w:id="60" w:name="_Toc71668882"/>
      <w:bookmarkStart w:id="61" w:name="_Toc71668927"/>
      <w:bookmarkStart w:id="62" w:name="_Toc71668991"/>
      <w:bookmarkStart w:id="63" w:name="_Toc71671243"/>
      <w:bookmarkStart w:id="64" w:name="_Toc71671397"/>
      <w:bookmarkStart w:id="65" w:name="_Toc79159549"/>
      <w:bookmarkStart w:id="66" w:name="_Toc79159665"/>
      <w:bookmarkStart w:id="67" w:name="_Toc79178198"/>
      <w:r>
        <w:t xml:space="preserve">Support </w:t>
      </w:r>
      <w:r w:rsidR="00E660E9">
        <w:t xml:space="preserve">configuration </w:t>
      </w:r>
      <w:r w:rsidR="00B16191">
        <w:t>and control signaling for applying</w:t>
      </w:r>
      <w:r w:rsidR="00E660E9">
        <w:t xml:space="preserve"> Case-6 and Case-7 timing alignment</w:t>
      </w:r>
      <w:r>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85B8715" w14:textId="312B9000" w:rsidR="00962CED" w:rsidRDefault="000F7C7A" w:rsidP="00872977">
      <w:r>
        <w:t>It was agreed in the previous meeting</w:t>
      </w:r>
      <w:r w:rsidR="00B374F2">
        <w:t>s</w:t>
      </w:r>
      <w:r>
        <w:t xml:space="preserve"> that s</w:t>
      </w:r>
      <w:r w:rsidRPr="000F7C7A">
        <w:t>witching between Case</w:t>
      </w:r>
      <w:r>
        <w:t>-</w:t>
      </w:r>
      <w:r w:rsidRPr="000F7C7A">
        <w:t>1, Case</w:t>
      </w:r>
      <w:r>
        <w:t>-</w:t>
      </w:r>
      <w:r w:rsidRPr="000F7C7A">
        <w:t>6, and Case</w:t>
      </w:r>
      <w:r>
        <w:t>-</w:t>
      </w:r>
      <w:r w:rsidRPr="000F7C7A">
        <w:t xml:space="preserve">7 timing </w:t>
      </w:r>
      <w:r>
        <w:t>will be</w:t>
      </w:r>
      <w:r w:rsidRPr="000F7C7A">
        <w:t xml:space="preserve"> supported</w:t>
      </w:r>
      <w:r>
        <w:t>. Case-1 applies to Rel-16 and Rel-17 IAB nodes while Case-6 and Case-7 will be supported by Rel-17 IAB nodes only. Since i</w:t>
      </w:r>
      <w:r w:rsidR="00962CED">
        <w:t>t is desired to support operation of IAB systems with mixed Rel-16 and Rel-17 IAB nodes</w:t>
      </w:r>
      <w:r>
        <w:t>, s</w:t>
      </w:r>
      <w:r w:rsidR="00962CED">
        <w:t>ignaling and application of enhanced timing alignment schemes should be transparent to Rel-16 IAB nodes.</w:t>
      </w:r>
    </w:p>
    <w:p w14:paraId="74FC66B1" w14:textId="588248A8" w:rsidR="00907EC1" w:rsidRDefault="00907EC1" w:rsidP="00872977">
      <w:r>
        <w:t>One issue with switching timing modes is the possibility of overlapping the last symbol of a TX/RX with one timing mode and the first symbol of the next TX/RX with another timing mode. Guard symbols can be designated for switching between timing modes if needed.</w:t>
      </w:r>
    </w:p>
    <w:p w14:paraId="2088FEFB" w14:textId="76115CE3" w:rsidR="003B661B" w:rsidRPr="00DB4B35" w:rsidRDefault="00907EC1" w:rsidP="00DB4B35">
      <w:pPr>
        <w:pStyle w:val="Proposal"/>
      </w:pPr>
      <w:bookmarkStart w:id="68" w:name="_Toc71659406"/>
      <w:bookmarkStart w:id="69" w:name="_Toc71659888"/>
      <w:bookmarkStart w:id="70" w:name="_Toc71665110"/>
      <w:bookmarkStart w:id="71" w:name="_Toc71668883"/>
      <w:bookmarkStart w:id="72" w:name="_Toc71668928"/>
      <w:bookmarkStart w:id="73" w:name="_Toc71668992"/>
      <w:bookmarkStart w:id="74" w:name="_Toc71671244"/>
      <w:bookmarkStart w:id="75" w:name="_Toc71671398"/>
      <w:bookmarkStart w:id="76" w:name="_Toc79159550"/>
      <w:bookmarkStart w:id="77" w:name="_Toc79159666"/>
      <w:bookmarkStart w:id="78" w:name="_Toc79178199"/>
      <w:r>
        <w:t xml:space="preserve">Guard </w:t>
      </w:r>
      <w:r w:rsidR="00A54007">
        <w:t>symbols</w:t>
      </w:r>
      <w:r>
        <w:t xml:space="preserve"> can be used to separate consecutive TX/RX operations when switching timing alignment modes.</w:t>
      </w:r>
      <w:bookmarkEnd w:id="68"/>
      <w:bookmarkEnd w:id="69"/>
      <w:bookmarkEnd w:id="70"/>
      <w:bookmarkEnd w:id="71"/>
      <w:bookmarkEnd w:id="72"/>
      <w:bookmarkEnd w:id="73"/>
      <w:bookmarkEnd w:id="74"/>
      <w:bookmarkEnd w:id="75"/>
      <w:bookmarkEnd w:id="76"/>
      <w:bookmarkEnd w:id="77"/>
      <w:bookmarkEnd w:id="78"/>
    </w:p>
    <w:p w14:paraId="44FB0125" w14:textId="0E04A429" w:rsidR="0092480A" w:rsidRPr="0073424D" w:rsidRDefault="0092480A" w:rsidP="00872977">
      <w:pPr>
        <w:rPr>
          <w:b/>
          <w:bCs/>
          <w:u w:val="single"/>
        </w:rPr>
      </w:pPr>
      <w:r w:rsidRPr="0073424D">
        <w:rPr>
          <w:b/>
          <w:bCs/>
          <w:u w:val="single"/>
        </w:rPr>
        <w:t>Case-6 timing alignment:</w:t>
      </w:r>
    </w:p>
    <w:p w14:paraId="628AC847" w14:textId="6F4011DC" w:rsidR="00872977" w:rsidRDefault="00872977" w:rsidP="00872977">
      <w:r>
        <w:t>In order to realize Case-6, an IAB node should align its uplink transmission with downlink trans</w:t>
      </w:r>
      <w:r w:rsidR="003B6C22">
        <w:t>m</w:t>
      </w:r>
      <w:r>
        <w:t xml:space="preserve">ission. Since downlink transmissions </w:t>
      </w:r>
      <w:r w:rsidR="0092480A">
        <w:t xml:space="preserve">should be </w:t>
      </w:r>
      <w:r>
        <w:t xml:space="preserve">aligned </w:t>
      </w:r>
      <w:r w:rsidR="0092480A">
        <w:t>across IAB nodes according to</w:t>
      </w:r>
      <w:r>
        <w:t xml:space="preserve"> Case-1, the IAB node needs no additional information to apply Case-6.</w:t>
      </w:r>
    </w:p>
    <w:p w14:paraId="07FA182A" w14:textId="1910DC44" w:rsidR="00B374F2" w:rsidRDefault="00B374F2" w:rsidP="00B374F2">
      <w:pPr>
        <w:pStyle w:val="Proposal"/>
      </w:pPr>
      <w:bookmarkStart w:id="79" w:name="_Toc79159551"/>
      <w:bookmarkStart w:id="80" w:name="_Toc79159667"/>
      <w:bookmarkStart w:id="81" w:name="_Toc79178200"/>
      <w:r>
        <w:t xml:space="preserve">Support Alt-2 for Case 6 timing, i.e., </w:t>
      </w:r>
      <w:r w:rsidRPr="00B374F2">
        <w:t>the IAB-MT Tx timing is set by the node to the timing obtained for the node’s DL Tx</w:t>
      </w:r>
      <w:r>
        <w:t>.</w:t>
      </w:r>
      <w:bookmarkEnd w:id="79"/>
      <w:bookmarkEnd w:id="80"/>
      <w:bookmarkEnd w:id="81"/>
    </w:p>
    <w:p w14:paraId="4F3E889E" w14:textId="3EC8DE9E" w:rsidR="0092480A" w:rsidRPr="0073424D" w:rsidRDefault="0092480A" w:rsidP="0092480A">
      <w:pPr>
        <w:rPr>
          <w:b/>
          <w:bCs/>
          <w:u w:val="single"/>
        </w:rPr>
      </w:pPr>
      <w:r w:rsidRPr="0073424D">
        <w:rPr>
          <w:b/>
          <w:bCs/>
          <w:u w:val="single"/>
        </w:rPr>
        <w:t>Case-7 timing alignment:</w:t>
      </w:r>
    </w:p>
    <w:p w14:paraId="01323166" w14:textId="0BE692E0" w:rsidR="00872977" w:rsidRDefault="0092480A" w:rsidP="00872977">
      <w:r>
        <w:t>In order to realize Case-7, th</w:t>
      </w:r>
      <w:r w:rsidR="00872977">
        <w:t xml:space="preserve">e IAB node does need additional information. Consider the scenario depicted in </w:t>
      </w:r>
      <w:r w:rsidR="00872977">
        <w:fldChar w:fldCharType="begin"/>
      </w:r>
      <w:r w:rsidR="00872977">
        <w:instrText xml:space="preserve"> REF _Ref47614243 \r \h </w:instrText>
      </w:r>
      <w:r w:rsidR="00872977">
        <w:fldChar w:fldCharType="separate"/>
      </w:r>
      <w:r w:rsidR="009E096F">
        <w:rPr>
          <w:cs/>
        </w:rPr>
        <w:t>‎</w:t>
      </w:r>
      <w:r w:rsidR="009E096F">
        <w:t>Figure 1</w:t>
      </w:r>
      <w:r w:rsidR="00872977">
        <w:fldChar w:fldCharType="end"/>
      </w:r>
      <w:r w:rsidR="00872977">
        <w:t>.</w:t>
      </w:r>
    </w:p>
    <w:p w14:paraId="7D9DD537" w14:textId="77777777" w:rsidR="00872977" w:rsidRDefault="00872977" w:rsidP="00A14B65">
      <w:pPr>
        <w:pStyle w:val="Figure"/>
      </w:pPr>
      <w:r w:rsidRPr="00873F9E">
        <w:rPr>
          <w:noProof/>
        </w:rPr>
        <w:lastRenderedPageBreak/>
        <w:drawing>
          <wp:inline distT="0" distB="0" distL="0" distR="0" wp14:anchorId="066E198C" wp14:editId="48D6C0A3">
            <wp:extent cx="4526280" cy="16642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6280" cy="1664208"/>
                    </a:xfrm>
                    <a:prstGeom prst="rect">
                      <a:avLst/>
                    </a:prstGeom>
                    <a:noFill/>
                    <a:ln>
                      <a:noFill/>
                    </a:ln>
                  </pic:spPr>
                </pic:pic>
              </a:graphicData>
            </a:graphic>
          </wp:inline>
        </w:drawing>
      </w:r>
    </w:p>
    <w:p w14:paraId="2B09A3E8" w14:textId="77777777" w:rsidR="00872977" w:rsidRPr="00A67813" w:rsidRDefault="00872977" w:rsidP="00872977">
      <w:pPr>
        <w:pStyle w:val="Caption"/>
      </w:pPr>
      <w:bookmarkStart w:id="82" w:name="_Ref47535681"/>
      <w:bookmarkStart w:id="83" w:name="_Ref47559479"/>
      <w:bookmarkStart w:id="84" w:name="_Ref47614243"/>
      <w:r>
        <w:t xml:space="preserve">. </w:t>
      </w:r>
      <w:r w:rsidRPr="006044DD">
        <w:t>Example</w:t>
      </w:r>
      <w:r>
        <w:t xml:space="preserve"> </w:t>
      </w:r>
      <w:bookmarkEnd w:id="82"/>
      <w:r w:rsidRPr="006044DD">
        <w:t>scenario</w:t>
      </w:r>
      <w:bookmarkEnd w:id="83"/>
      <w:bookmarkEnd w:id="84"/>
    </w:p>
    <w:p w14:paraId="2BE1C324" w14:textId="77777777" w:rsidR="00872977" w:rsidRDefault="00872977" w:rsidP="00872977">
      <w:r>
        <w:t>The goal is for the parent node (PN) and the child node (CN) to transmit signals simultaneously to the IAB node (N) in a way that symbol boundaries are aligned at N. Given that the downlink transmission from PN to N is already determined in Case-7 similar to Case-1, the only degree of freedom is to adjust the uplink transmission time.</w:t>
      </w:r>
    </w:p>
    <w:p w14:paraId="0F07F6FA" w14:textId="77777777" w:rsidR="00872977" w:rsidRDefault="00872977" w:rsidP="00872977">
      <w:r>
        <w:t>Let us define the following notations:</w:t>
      </w:r>
    </w:p>
    <w:p w14:paraId="3F9A7F74" w14:textId="77777777" w:rsidR="00872977" w:rsidRPr="00F4150B" w:rsidRDefault="001441B2" w:rsidP="005D3478">
      <w:pPr>
        <w:pStyle w:val="ListParagraph"/>
        <w:numPr>
          <w:ilvl w:val="0"/>
          <w:numId w:val="8"/>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p,u</m:t>
            </m:r>
          </m:sub>
        </m:sSub>
      </m:oMath>
      <w:r w:rsidR="00872977" w:rsidRPr="00F4150B">
        <w:rPr>
          <w:szCs w:val="20"/>
        </w:rPr>
        <w:t>: the propagation delay between PN and N</w:t>
      </w:r>
    </w:p>
    <w:p w14:paraId="25186C8B" w14:textId="77777777" w:rsidR="00872977" w:rsidRPr="00F4150B" w:rsidRDefault="001441B2" w:rsidP="005D3478">
      <w:pPr>
        <w:pStyle w:val="ListParagraph"/>
        <w:numPr>
          <w:ilvl w:val="0"/>
          <w:numId w:val="8"/>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tx,u</m:t>
            </m:r>
          </m:sub>
        </m:sSub>
      </m:oMath>
      <w:r w:rsidR="00872977" w:rsidRPr="00F4150B">
        <w:rPr>
          <w:szCs w:val="20"/>
        </w:rPr>
        <w:t>: downlink transmission time by PN</w:t>
      </w:r>
    </w:p>
    <w:p w14:paraId="3508DD73" w14:textId="77777777" w:rsidR="00872977" w:rsidRPr="00F4150B" w:rsidRDefault="001441B2" w:rsidP="005D3478">
      <w:pPr>
        <w:pStyle w:val="ListParagraph"/>
        <w:numPr>
          <w:ilvl w:val="0"/>
          <w:numId w:val="8"/>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rx,u</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tx,u</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p,u</m:t>
            </m:r>
          </m:sub>
        </m:sSub>
      </m:oMath>
      <w:r w:rsidR="00872977" w:rsidRPr="00F4150B">
        <w:rPr>
          <w:szCs w:val="20"/>
        </w:rPr>
        <w:t>: downlink reception time at N from PN</w:t>
      </w:r>
    </w:p>
    <w:p w14:paraId="30244D29" w14:textId="77777777" w:rsidR="00872977" w:rsidRPr="00F4150B" w:rsidRDefault="001441B2" w:rsidP="005D3478">
      <w:pPr>
        <w:pStyle w:val="ListParagraph"/>
        <w:numPr>
          <w:ilvl w:val="0"/>
          <w:numId w:val="8"/>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p,d</m:t>
            </m:r>
          </m:sub>
        </m:sSub>
      </m:oMath>
      <w:r w:rsidR="00872977" w:rsidRPr="00F4150B">
        <w:rPr>
          <w:szCs w:val="20"/>
        </w:rPr>
        <w:t>: the propagation delay between CN and N</w:t>
      </w:r>
    </w:p>
    <w:p w14:paraId="7BB0E333" w14:textId="77777777" w:rsidR="00872977" w:rsidRPr="00F4150B" w:rsidRDefault="001441B2" w:rsidP="005D3478">
      <w:pPr>
        <w:pStyle w:val="ListParagraph"/>
        <w:numPr>
          <w:ilvl w:val="0"/>
          <w:numId w:val="8"/>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tx,d</m:t>
            </m:r>
          </m:sub>
        </m:sSub>
      </m:oMath>
      <w:r w:rsidR="00872977" w:rsidRPr="00F4150B">
        <w:rPr>
          <w:szCs w:val="20"/>
        </w:rPr>
        <w:t>: uplink transmission time by CN</w:t>
      </w:r>
    </w:p>
    <w:p w14:paraId="4C091C67" w14:textId="77777777" w:rsidR="00872977" w:rsidRPr="00F4150B" w:rsidRDefault="001441B2" w:rsidP="005D3478">
      <w:pPr>
        <w:pStyle w:val="ListParagraph"/>
        <w:numPr>
          <w:ilvl w:val="0"/>
          <w:numId w:val="8"/>
        </w:numPr>
        <w:spacing w:before="0" w:after="0"/>
        <w:rPr>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rx,d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tx,d</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p,d</m:t>
            </m:r>
          </m:sub>
        </m:sSub>
      </m:oMath>
      <w:r w:rsidR="00872977" w:rsidRPr="00F4150B">
        <w:rPr>
          <w:szCs w:val="20"/>
        </w:rPr>
        <w:t>: uplink reception time at N from CN</w:t>
      </w:r>
    </w:p>
    <w:p w14:paraId="14938572" w14:textId="77777777" w:rsidR="00872977" w:rsidRDefault="00872977" w:rsidP="00872977">
      <w:pPr>
        <w:spacing w:before="120"/>
      </w:pPr>
      <w:r>
        <w:t>A scheme based on Case-7 should set:</w:t>
      </w:r>
    </w:p>
    <w:p w14:paraId="7A731AB6" w14:textId="77777777" w:rsidR="00872977" w:rsidRPr="00780C47" w:rsidRDefault="001441B2" w:rsidP="00872977">
      <m:oMathPara>
        <m:oMath>
          <m:sSub>
            <m:sSubPr>
              <m:ctrlPr>
                <w:rPr>
                  <w:rFonts w:ascii="Cambria Math" w:hAnsi="Cambria Math"/>
                  <w:i/>
                </w:rPr>
              </m:ctrlPr>
            </m:sSubPr>
            <m:e>
              <m:r>
                <w:rPr>
                  <w:rFonts w:ascii="Cambria Math" w:hAnsi="Cambria Math"/>
                </w:rPr>
                <m:t>T</m:t>
              </m:r>
            </m:e>
            <m:sub>
              <m:r>
                <w:rPr>
                  <w:rFonts w:ascii="Cambria Math" w:hAnsi="Cambria Math"/>
                </w:rPr>
                <m:t>rx,d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rx,u</m:t>
              </m:r>
            </m:sub>
          </m:sSub>
          <m:r>
            <w:rPr>
              <w:rFonts w:ascii="Cambria Math" w:hAnsi="Cambria Math"/>
            </w:rPr>
            <m:t xml:space="preserve">   ⇒   </m:t>
          </m:r>
          <m:sSub>
            <m:sSubPr>
              <m:ctrlPr>
                <w:rPr>
                  <w:rFonts w:ascii="Cambria Math" w:hAnsi="Cambria Math"/>
                  <w:i/>
                </w:rPr>
              </m:ctrlPr>
            </m:sSubPr>
            <m:e>
              <m:r>
                <w:rPr>
                  <w:rFonts w:ascii="Cambria Math" w:hAnsi="Cambria Math"/>
                </w:rPr>
                <m:t>T</m:t>
              </m:r>
            </m:e>
            <m:sub>
              <m:r>
                <w:rPr>
                  <w:rFonts w:ascii="Cambria Math" w:hAnsi="Cambria Math"/>
                </w:rPr>
                <m:t>tx,d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tx,u</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p,d</m:t>
                  </m:r>
                </m:sub>
              </m:sSub>
            </m:e>
          </m:d>
        </m:oMath>
      </m:oMathPara>
    </w:p>
    <w:p w14:paraId="2CD4B014" w14:textId="5E25415A" w:rsidR="00872977" w:rsidRDefault="00872977" w:rsidP="00872977">
      <w:r>
        <w:t xml:space="preserve">This is the transmission timing that should be applied by CN. We can assume that </w:t>
      </w:r>
      <m:oMath>
        <m:sSub>
          <m:sSubPr>
            <m:ctrlPr>
              <w:rPr>
                <w:rFonts w:ascii="Cambria Math" w:hAnsi="Cambria Math"/>
                <w:i/>
              </w:rPr>
            </m:ctrlPr>
          </m:sSubPr>
          <m:e>
            <m:r>
              <w:rPr>
                <w:rFonts w:ascii="Cambria Math" w:hAnsi="Cambria Math"/>
              </w:rPr>
              <m:t>T</m:t>
            </m:r>
          </m:e>
          <m:sub>
            <m:r>
              <w:rPr>
                <w:rFonts w:ascii="Cambria Math" w:hAnsi="Cambria Math"/>
              </w:rPr>
              <m:t>rx,d</m:t>
            </m:r>
          </m:sub>
        </m:sSub>
      </m:oMath>
      <w:r>
        <w:t xml:space="preserve"> is already known to CN as Case-1 already aligns all downlink transmission times across PN, N, and CN. However, additional signaling is needed to inform CN of the </w:t>
      </w:r>
      <w:r w:rsidR="00623A12">
        <w:t>propagation</w:t>
      </w:r>
      <w:r>
        <w:t xml:space="preserve"> delay term in </w:t>
      </w:r>
      <w:r w:rsidR="00EB2CCA">
        <w:t xml:space="preserve">the </w:t>
      </w:r>
      <w:r>
        <w:t xml:space="preserve">round brackets. </w:t>
      </w:r>
    </w:p>
    <w:p w14:paraId="7D1FE6BF" w14:textId="26D0E369" w:rsidR="0031005A" w:rsidRPr="00C54C1C" w:rsidRDefault="0031005A" w:rsidP="0031005A">
      <w:pPr>
        <w:pStyle w:val="Proposal"/>
      </w:pPr>
      <w:bookmarkStart w:id="85" w:name="_Toc79159552"/>
      <w:bookmarkStart w:id="86" w:name="_Toc79159668"/>
      <w:bookmarkStart w:id="87" w:name="_Toc79178201"/>
      <w:r w:rsidRPr="00C54C1C">
        <w:t>Support Alt-1 or Alt-3 for Case 7 timing, i.e., the IAB-MT Tx timing of the node is obtained via either legacy TA plus offset or a specific TA from the parent node.</w:t>
      </w:r>
      <w:r w:rsidR="00C54C1C" w:rsidRPr="00C54C1C">
        <w:t xml:space="preserve"> In either case, the signaling should provide information of the difference between parent (upstream) link propagation delay and child (downstream) link propagation delay of the subject IAB node.</w:t>
      </w:r>
      <w:bookmarkEnd w:id="85"/>
      <w:bookmarkEnd w:id="86"/>
      <w:bookmarkEnd w:id="87"/>
    </w:p>
    <w:p w14:paraId="519970B1" w14:textId="11C0C902" w:rsidR="0073424D" w:rsidRPr="0073424D" w:rsidRDefault="0073424D" w:rsidP="0073424D">
      <w:pPr>
        <w:rPr>
          <w:b/>
          <w:bCs/>
          <w:u w:val="single"/>
        </w:rPr>
      </w:pPr>
      <w:r w:rsidRPr="0073424D">
        <w:rPr>
          <w:b/>
          <w:bCs/>
          <w:u w:val="single"/>
        </w:rPr>
        <w:t>Unified timing alignment:</w:t>
      </w:r>
    </w:p>
    <w:p w14:paraId="2BEC1743" w14:textId="13256415" w:rsidR="0073424D" w:rsidRDefault="004952FE" w:rsidP="0073424D">
      <w:r>
        <w:t>It was proposed in the previous meeting</w:t>
      </w:r>
      <w:r w:rsidR="00DB4B35">
        <w:t>s</w:t>
      </w:r>
      <w:r>
        <w:t xml:space="preserve"> to support a unified timing alignment framework. This approach can simplify signaling of timing alignment and provide higher flexibility for future extensions.</w:t>
      </w:r>
    </w:p>
    <w:p w14:paraId="2D7A0B28" w14:textId="6D40C3D7" w:rsidR="004952FE" w:rsidRDefault="004952FE" w:rsidP="0073424D">
      <w:r>
        <w:t>In order to realize a unified scheme, we should note that the uplink timing for legacy TA, Case-6, and Case-7 can be written in the following canonical form:</w:t>
      </w:r>
    </w:p>
    <w:p w14:paraId="6D2E43E7" w14:textId="2A65AFDF" w:rsidR="004952FE" w:rsidRPr="00502B0E" w:rsidRDefault="001441B2" w:rsidP="0073424D">
      <m:oMathPara>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 xml:space="preserve">= </m:t>
          </m:r>
          <m:d>
            <m:dPr>
              <m:ctrlPr>
                <w:rPr>
                  <w:rFonts w:ascii="Cambria Math" w:hAnsi="Cambria Math"/>
                  <w:i/>
                </w:rPr>
              </m:ctrlPr>
            </m:dPr>
            <m:e>
              <m:r>
                <w:rPr>
                  <w:rFonts w:ascii="Cambria Math" w:hAnsi="Cambria Math"/>
                </w:rPr>
                <m:t>a.</m:t>
              </m:r>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+b.</m:t>
              </m:r>
              <m:sSub>
                <m:sSubPr>
                  <m:ctrlPr>
                    <w:rPr>
                      <w:rFonts w:ascii="Cambria Math" w:hAnsi="Cambria Math"/>
                      <w:i/>
                    </w:rPr>
                  </m:ctrlPr>
                </m:sSubPr>
                <m:e>
                  <m:r>
                    <w:rPr>
                      <w:rFonts w:ascii="Cambria Math" w:hAnsi="Cambria Math"/>
                    </w:rPr>
                    <m:t>T</m:t>
                  </m:r>
                </m:e>
                <m:sub>
                  <m:r>
                    <m:rPr>
                      <m:nor/>
                    </m:rPr>
                    <w:rPr>
                      <w:rFonts w:ascii="Cambria Math" w:hAnsi="Cambria Math"/>
                    </w:rPr>
                    <m:t>delta</m:t>
                  </m:r>
                </m:sub>
              </m:sSub>
              <m:r>
                <w:rPr>
                  <w:rFonts w:ascii="Cambria Math" w:hAnsi="Cambria Math"/>
                </w:rPr>
                <m:t>+c.</m:t>
              </m:r>
              <m:sSub>
                <m:sSubPr>
                  <m:ctrlPr>
                    <w:rPr>
                      <w:rFonts w:ascii="Cambria Math" w:hAnsi="Cambria Math"/>
                      <w:i/>
                    </w:rPr>
                  </m:ctrlPr>
                </m:sSubPr>
                <m:e>
                  <m:r>
                    <w:rPr>
                      <w:rFonts w:ascii="Cambria Math" w:hAnsi="Cambria Math"/>
                    </w:rPr>
                    <m:t>N</m:t>
                  </m:r>
                </m:e>
                <m:sub>
                  <m:r>
                    <m:rPr>
                      <m:nor/>
                    </m:rPr>
                    <w:rPr>
                      <w:rFonts w:ascii="Cambria Math" w:hAnsi="Cambria Math"/>
                    </w:rPr>
                    <m:t>ATA</m:t>
                  </m:r>
                </m:sub>
              </m:sSub>
              <m:r>
                <w:rPr>
                  <w:rFonts w:ascii="Cambria Math" w:hAnsi="Cambria Math"/>
                </w:rPr>
                <m:t>+d</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m:oMathPara>
    </w:p>
    <w:p w14:paraId="2FB11684" w14:textId="56B9A0FB" w:rsidR="00502B0E" w:rsidRDefault="00502B0E" w:rsidP="0073424D">
      <w:r>
        <w:t xml:space="preserve">In this equation,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is obtained by legacy TA command, </w:t>
      </w:r>
      <m:oMath>
        <m:sSub>
          <m:sSubPr>
            <m:ctrlPr>
              <w:rPr>
                <w:rFonts w:ascii="Cambria Math" w:hAnsi="Cambria Math"/>
                <w:i/>
              </w:rPr>
            </m:ctrlPr>
          </m:sSubPr>
          <m:e>
            <m:r>
              <w:rPr>
                <w:rFonts w:ascii="Cambria Math" w:hAnsi="Cambria Math"/>
              </w:rPr>
              <m:t>T</m:t>
            </m:r>
          </m:e>
          <m:sub>
            <m:r>
              <m:rPr>
                <m:nor/>
              </m:rPr>
              <w:rPr>
                <w:rFonts w:ascii="Cambria Math" w:hAnsi="Cambria Math"/>
              </w:rPr>
              <m:t>delta</m:t>
            </m:r>
          </m:sub>
        </m:sSub>
      </m:oMath>
      <w:r>
        <w:t xml:space="preserve"> is obtained for Case-1</w:t>
      </w:r>
      <w:r w:rsidR="00873A43">
        <w:t xml:space="preserve">, which </w:t>
      </w:r>
      <w:r w:rsidR="00D82826">
        <w:t xml:space="preserve">in turn </w:t>
      </w:r>
      <w:r w:rsidR="00873A43">
        <w:t xml:space="preserve">determines uplink transmission time for </w:t>
      </w:r>
      <w:r>
        <w:t xml:space="preserve">Case-6, and </w:t>
      </w:r>
      <m:oMath>
        <m:sSub>
          <m:sSubPr>
            <m:ctrlPr>
              <w:rPr>
                <w:rFonts w:ascii="Cambria Math" w:hAnsi="Cambria Math"/>
                <w:i/>
              </w:rPr>
            </m:ctrlPr>
          </m:sSubPr>
          <m:e>
            <m:r>
              <w:rPr>
                <w:rFonts w:ascii="Cambria Math" w:hAnsi="Cambria Math"/>
              </w:rPr>
              <m:t>N</m:t>
            </m:r>
          </m:e>
          <m:sub>
            <m:r>
              <m:rPr>
                <m:nor/>
              </m:rPr>
              <w:rPr>
                <w:rFonts w:ascii="Cambria Math" w:hAnsi="Cambria Math"/>
              </w:rPr>
              <m:t>ATA</m:t>
            </m:r>
          </m:sub>
        </m:sSub>
      </m:oMath>
      <w:r>
        <w:t xml:space="preserve"> is the additional TA for Case-7 as derived earlier. </w:t>
      </w:r>
      <w:r w:rsidR="00873A43">
        <w:t>By setting t</w:t>
      </w:r>
      <w:r>
        <w:t xml:space="preserve">he constant coefficients </w:t>
      </w:r>
      <m:oMath>
        <m:r>
          <w:rPr>
            <w:rFonts w:ascii="Cambria Math" w:hAnsi="Cambria Math"/>
          </w:rPr>
          <m:t>a, b, c, d</m:t>
        </m:r>
      </m:oMath>
      <w:r w:rsidR="00873A43">
        <w:t xml:space="preserve">, the IAB node can determine the timing advance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oMath>
      <w:r w:rsidR="00873A43">
        <w:t xml:space="preserve"> for any of legacy TA (Case-1), Case-6, and Case-7</w:t>
      </w:r>
      <w:r w:rsidR="00D82826">
        <w:t xml:space="preserve"> modes</w:t>
      </w:r>
      <w:r w:rsidR="00873A43">
        <w:t>.</w:t>
      </w:r>
    </w:p>
    <w:p w14:paraId="2AF1F8E2" w14:textId="33EA6151" w:rsidR="00873A43" w:rsidRDefault="00873A43" w:rsidP="00A517B9">
      <w:pPr>
        <w:pStyle w:val="Proposal"/>
      </w:pPr>
      <w:bookmarkStart w:id="88" w:name="_Toc61556559"/>
      <w:bookmarkStart w:id="89" w:name="_Toc61556773"/>
      <w:bookmarkStart w:id="90" w:name="_Toc61557419"/>
      <w:bookmarkStart w:id="91" w:name="_Toc61558129"/>
      <w:bookmarkStart w:id="92" w:name="_Toc61559438"/>
      <w:bookmarkStart w:id="93" w:name="_Toc61860812"/>
      <w:bookmarkStart w:id="94" w:name="_Toc61869500"/>
      <w:bookmarkStart w:id="95" w:name="_Toc61870341"/>
      <w:bookmarkStart w:id="96" w:name="_Toc61871477"/>
      <w:bookmarkStart w:id="97" w:name="_Toc61874655"/>
      <w:bookmarkStart w:id="98" w:name="_Toc61893680"/>
      <w:bookmarkStart w:id="99" w:name="_Toc71645246"/>
      <w:bookmarkStart w:id="100" w:name="_Toc71646781"/>
      <w:bookmarkStart w:id="101" w:name="_Toc71648193"/>
      <w:bookmarkStart w:id="102" w:name="_Toc71649892"/>
      <w:bookmarkStart w:id="103" w:name="_Toc71655193"/>
      <w:bookmarkStart w:id="104" w:name="_Toc71659408"/>
      <w:bookmarkStart w:id="105" w:name="_Toc71659890"/>
      <w:bookmarkStart w:id="106" w:name="_Toc71665112"/>
      <w:bookmarkStart w:id="107" w:name="_Toc71668885"/>
      <w:bookmarkStart w:id="108" w:name="_Toc71668930"/>
      <w:bookmarkStart w:id="109" w:name="_Toc71668994"/>
      <w:bookmarkStart w:id="110" w:name="_Toc71671246"/>
      <w:bookmarkStart w:id="111" w:name="_Toc71671400"/>
      <w:bookmarkStart w:id="112" w:name="_Toc79159553"/>
      <w:bookmarkStart w:id="113" w:name="_Toc79159669"/>
      <w:bookmarkStart w:id="114" w:name="_Toc79178202"/>
      <w:r>
        <w:t xml:space="preserve">Support a unified </w:t>
      </w:r>
      <w:r w:rsidR="00D255F7">
        <w:t xml:space="preserve">framework for uplink </w:t>
      </w:r>
      <w:r>
        <w:t>timing alignment.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1A42FA0" w14:textId="4836884C" w:rsidR="00B121C8" w:rsidRDefault="002C0ADF" w:rsidP="00B121C8">
      <w:r>
        <w:t>With respect to the FFS point on enhancing Rel-16 OTA synchronization</w:t>
      </w:r>
      <w:r w:rsidR="00AC0D36">
        <w:t xml:space="preserve"> in RAN#104bis-e</w:t>
      </w:r>
      <w:r>
        <w:t>, we prefer to avoid any modification to the specification of Case-1 timing in order to allow backward compatibility and coexistence of Rel-16 and Rel-17 IAB nodes in IAB systems.</w:t>
      </w:r>
    </w:p>
    <w:p w14:paraId="5BE164A5" w14:textId="505DA942" w:rsidR="002C0ADF" w:rsidRPr="00A302A1" w:rsidRDefault="002C0ADF" w:rsidP="002C0ADF">
      <w:pPr>
        <w:pStyle w:val="Proposal"/>
      </w:pPr>
      <w:bookmarkStart w:id="115" w:name="_Toc71659891"/>
      <w:bookmarkStart w:id="116" w:name="_Toc71665113"/>
      <w:bookmarkStart w:id="117" w:name="_Toc71668886"/>
      <w:bookmarkStart w:id="118" w:name="_Toc71668931"/>
      <w:bookmarkStart w:id="119" w:name="_Toc71668995"/>
      <w:bookmarkStart w:id="120" w:name="_Toc71671247"/>
      <w:bookmarkStart w:id="121" w:name="_Toc71671401"/>
      <w:bookmarkStart w:id="122" w:name="_Toc79159554"/>
      <w:bookmarkStart w:id="123" w:name="_Toc79159670"/>
      <w:bookmarkStart w:id="124" w:name="_Toc79178203"/>
      <w:r>
        <w:t>No modification to Case-1 timing alignment.</w:t>
      </w:r>
      <w:bookmarkEnd w:id="115"/>
      <w:bookmarkEnd w:id="116"/>
      <w:bookmarkEnd w:id="117"/>
      <w:bookmarkEnd w:id="118"/>
      <w:bookmarkEnd w:id="119"/>
      <w:bookmarkEnd w:id="120"/>
      <w:bookmarkEnd w:id="121"/>
      <w:bookmarkEnd w:id="122"/>
      <w:bookmarkEnd w:id="123"/>
      <w:bookmarkEnd w:id="124"/>
    </w:p>
    <w:p w14:paraId="51DD2F27" w14:textId="7C16B7E0" w:rsidR="00872977" w:rsidRDefault="006F10A1" w:rsidP="00872977">
      <w:pPr>
        <w:pStyle w:val="Heading2"/>
      </w:pPr>
      <w:r>
        <w:lastRenderedPageBreak/>
        <w:t>P</w:t>
      </w:r>
      <w:r w:rsidR="00872977">
        <w:t>ower control</w:t>
      </w:r>
    </w:p>
    <w:p w14:paraId="35631C01" w14:textId="3D8CBDC2" w:rsidR="00E7526B" w:rsidRDefault="00E7526B" w:rsidP="00E7526B">
      <w:pPr>
        <w:rPr>
          <w:lang w:val="en-GB"/>
        </w:rPr>
      </w:pPr>
      <w:r>
        <w:rPr>
          <w:lang w:val="en-GB"/>
        </w:rPr>
        <w:t>The following agreements were made</w:t>
      </w:r>
      <w:r w:rsidR="00B437B3">
        <w:rPr>
          <w:lang w:val="en-GB"/>
        </w:rPr>
        <w:t xml:space="preserve"> on DL/UL power control</w:t>
      </w:r>
      <w:r>
        <w:rPr>
          <w:lang w:val="en-GB"/>
        </w:rPr>
        <w:t xml:space="preserve"> in RAN1#</w:t>
      </w:r>
      <w:r w:rsidR="00AC0D36">
        <w:rPr>
          <w:lang w:val="en-GB"/>
        </w:rPr>
        <w:t>105</w:t>
      </w:r>
      <w:r w:rsidR="004366FE">
        <w:rPr>
          <w:lang w:val="en-GB"/>
        </w:rPr>
        <w:t>-e</w:t>
      </w:r>
      <w:r w:rsidR="00AC0D36">
        <w:rPr>
          <w:lang w:val="en-GB"/>
        </w:rPr>
        <w:t xml:space="preserve"> </w:t>
      </w:r>
      <w:r w:rsidR="00AC0D36">
        <w:rPr>
          <w:lang w:val="en-GB"/>
        </w:rPr>
        <w:fldChar w:fldCharType="begin"/>
      </w:r>
      <w:r w:rsidR="00AC0D36">
        <w:rPr>
          <w:lang w:val="en-GB"/>
        </w:rPr>
        <w:instrText xml:space="preserve"> REF _Ref71645684 \r \h </w:instrText>
      </w:r>
      <w:r w:rsidR="00AC0D36">
        <w:rPr>
          <w:lang w:val="en-GB"/>
        </w:rPr>
      </w:r>
      <w:r w:rsidR="00AC0D36">
        <w:rPr>
          <w:lang w:val="en-GB"/>
        </w:rPr>
        <w:fldChar w:fldCharType="separate"/>
      </w:r>
      <w:r w:rsidR="00AC0D36">
        <w:rPr>
          <w:cs/>
          <w:lang w:val="en-GB"/>
        </w:rPr>
        <w:t>‎</w:t>
      </w:r>
      <w:r w:rsidR="00AC0D36">
        <w:rPr>
          <w:lang w:val="en-GB"/>
        </w:rPr>
        <w:t>[2]</w:t>
      </w:r>
      <w:r w:rsidR="00AC0D36">
        <w:rPr>
          <w:lang w:val="en-GB"/>
        </w:rPr>
        <w:fldChar w:fldCharType="end"/>
      </w:r>
      <w:r>
        <w:rPr>
          <w:lang w:val="en-GB"/>
        </w:rPr>
        <w:t>:</w:t>
      </w:r>
    </w:p>
    <w:p w14:paraId="10FF7F76" w14:textId="77777777" w:rsidR="00AC0D36" w:rsidRPr="00AC0D36" w:rsidRDefault="00AC0D36" w:rsidP="00AC0D36">
      <w:pPr>
        <w:rPr>
          <w:rFonts w:cs="Times"/>
          <w:b/>
          <w:bCs/>
          <w:i/>
          <w:iCs/>
          <w:highlight w:val="green"/>
          <w:lang w:eastAsia="x-none"/>
        </w:rPr>
      </w:pPr>
      <w:r w:rsidRPr="00AC0D36">
        <w:rPr>
          <w:rFonts w:cs="Times"/>
          <w:b/>
          <w:bCs/>
          <w:i/>
          <w:iCs/>
          <w:highlight w:val="green"/>
          <w:lang w:eastAsia="x-none"/>
        </w:rPr>
        <w:t>Agreement</w:t>
      </w:r>
    </w:p>
    <w:p w14:paraId="34C99A2D" w14:textId="77777777" w:rsidR="00AC0D36" w:rsidRPr="00AC0D36" w:rsidRDefault="00AC0D36" w:rsidP="00AC0D36">
      <w:pPr>
        <w:rPr>
          <w:rFonts w:eastAsia="Calibri" w:cs="Times"/>
          <w:i/>
          <w:iCs/>
        </w:rPr>
      </w:pPr>
      <w:r w:rsidRPr="00AC0D36">
        <w:rPr>
          <w:rFonts w:eastAsia="Calibri" w:cs="Times"/>
          <w:i/>
          <w:iCs/>
        </w:rPr>
        <w:t>Decide in RAN1#106-e whether to support an IAB-node indicating assistance information to help with its MT’s UL TX power control. The assistance information can be:</w:t>
      </w:r>
    </w:p>
    <w:p w14:paraId="352C6EB0" w14:textId="77777777" w:rsidR="00AC0D36" w:rsidRPr="00AC0D36" w:rsidRDefault="00AC0D36" w:rsidP="00AC0D36">
      <w:pPr>
        <w:pStyle w:val="ListParagraph"/>
        <w:numPr>
          <w:ilvl w:val="0"/>
          <w:numId w:val="18"/>
        </w:numPr>
        <w:spacing w:before="0" w:after="0" w:line="240" w:lineRule="auto"/>
        <w:textAlignment w:val="baseline"/>
        <w:rPr>
          <w:rFonts w:eastAsia="MS PGothic" w:cs="Times"/>
          <w:i/>
          <w:iCs/>
          <w:szCs w:val="20"/>
          <w:lang w:eastAsia="ja-JP"/>
        </w:rPr>
      </w:pPr>
      <w:r w:rsidRPr="00AC0D36">
        <w:rPr>
          <w:rFonts w:cs="Times"/>
          <w:i/>
          <w:iCs/>
          <w:szCs w:val="20"/>
        </w:rPr>
        <w:t>FFS: Desired TX power</w:t>
      </w:r>
    </w:p>
    <w:p w14:paraId="049F3493" w14:textId="77777777" w:rsidR="00AC0D36" w:rsidRPr="00AC0D36" w:rsidRDefault="00AC0D36" w:rsidP="00AC0D36">
      <w:pPr>
        <w:pStyle w:val="ListParagraph"/>
        <w:numPr>
          <w:ilvl w:val="0"/>
          <w:numId w:val="18"/>
        </w:numPr>
        <w:spacing w:before="0" w:after="0" w:line="240" w:lineRule="auto"/>
        <w:textAlignment w:val="baseline"/>
        <w:rPr>
          <w:rFonts w:eastAsia="MS PGothic" w:cs="Times"/>
          <w:i/>
          <w:iCs/>
          <w:szCs w:val="20"/>
          <w:lang w:eastAsia="ja-JP"/>
        </w:rPr>
      </w:pPr>
      <w:r w:rsidRPr="00AC0D36">
        <w:rPr>
          <w:rFonts w:cs="Times"/>
          <w:i/>
          <w:iCs/>
          <w:szCs w:val="20"/>
        </w:rPr>
        <w:t>FFS: Offset to a baseline PHR</w:t>
      </w:r>
    </w:p>
    <w:p w14:paraId="6AB0AEB0" w14:textId="77777777" w:rsidR="00AC0D36" w:rsidRPr="00AC0D36" w:rsidRDefault="00AC0D36" w:rsidP="00AC0D36">
      <w:pPr>
        <w:pStyle w:val="ListParagraph"/>
        <w:numPr>
          <w:ilvl w:val="0"/>
          <w:numId w:val="18"/>
        </w:numPr>
        <w:spacing w:before="0" w:after="0" w:line="240" w:lineRule="auto"/>
        <w:textAlignment w:val="baseline"/>
        <w:rPr>
          <w:rFonts w:eastAsia="MS PGothic" w:cs="Times"/>
          <w:i/>
          <w:iCs/>
          <w:szCs w:val="20"/>
          <w:lang w:eastAsia="ja-JP"/>
        </w:rPr>
      </w:pPr>
      <w:r w:rsidRPr="00AC0D36">
        <w:rPr>
          <w:rFonts w:cs="Times"/>
          <w:i/>
          <w:iCs/>
        </w:rPr>
        <w:t>FFS: D</w:t>
      </w:r>
      <w:r w:rsidRPr="00AC0D36">
        <w:rPr>
          <w:rFonts w:cs="Times"/>
          <w:i/>
          <w:iCs/>
          <w:szCs w:val="20"/>
        </w:rPr>
        <w:t>esired dynamic range</w:t>
      </w:r>
    </w:p>
    <w:p w14:paraId="172A7420" w14:textId="77777777" w:rsidR="00AC0D36" w:rsidRPr="00AC0D36" w:rsidRDefault="00AC0D36" w:rsidP="00AC0D36">
      <w:pPr>
        <w:rPr>
          <w:rFonts w:cs="Times"/>
          <w:i/>
          <w:iCs/>
        </w:rPr>
      </w:pPr>
      <w:r w:rsidRPr="00AC0D36">
        <w:rPr>
          <w:rFonts w:cs="Times"/>
          <w:i/>
          <w:iCs/>
        </w:rPr>
        <w:t>FFS: whether this information is provided to the parent-node, the CU, or both.</w:t>
      </w:r>
    </w:p>
    <w:p w14:paraId="52B5AF77" w14:textId="77777777" w:rsidR="00AC0D36" w:rsidRPr="00AC0D36" w:rsidRDefault="00AC0D36" w:rsidP="00AC0D36">
      <w:pPr>
        <w:rPr>
          <w:rFonts w:eastAsia="MS PGothic" w:cs="Times"/>
          <w:i/>
          <w:iCs/>
          <w:lang w:eastAsia="ja-JP"/>
        </w:rPr>
      </w:pPr>
      <w:r w:rsidRPr="00AC0D36">
        <w:rPr>
          <w:rFonts w:cs="Times"/>
          <w:i/>
          <w:iCs/>
        </w:rPr>
        <w:t xml:space="preserve">FFS: whether the MT’s UL TX power control formula needs to be changed </w:t>
      </w:r>
    </w:p>
    <w:p w14:paraId="1F1938C8" w14:textId="77777777" w:rsidR="00AC0D36" w:rsidRPr="00AC0D36" w:rsidRDefault="00AC0D36" w:rsidP="00AC0D36">
      <w:pPr>
        <w:rPr>
          <w:rFonts w:cs="Times"/>
          <w:i/>
          <w:iCs/>
          <w:lang w:eastAsia="x-none"/>
        </w:rPr>
      </w:pPr>
    </w:p>
    <w:p w14:paraId="25A40E40" w14:textId="77777777" w:rsidR="00AC0D36" w:rsidRPr="00AC0D36" w:rsidRDefault="00AC0D36" w:rsidP="00AC0D36">
      <w:pPr>
        <w:rPr>
          <w:rFonts w:cs="Times"/>
          <w:b/>
          <w:bCs/>
          <w:i/>
          <w:iCs/>
          <w:szCs w:val="20"/>
          <w:highlight w:val="yellow"/>
        </w:rPr>
      </w:pPr>
      <w:r w:rsidRPr="00AC0D36">
        <w:rPr>
          <w:rFonts w:cs="Times"/>
          <w:b/>
          <w:bCs/>
          <w:i/>
          <w:iCs/>
          <w:szCs w:val="20"/>
          <w:highlight w:val="green"/>
        </w:rPr>
        <w:t>Agreement</w:t>
      </w:r>
    </w:p>
    <w:p w14:paraId="21C36C91" w14:textId="77777777" w:rsidR="00AC0D36" w:rsidRPr="00AC0D36" w:rsidRDefault="00AC0D36" w:rsidP="00AC0D36">
      <w:pPr>
        <w:rPr>
          <w:rFonts w:eastAsia="Calibri" w:cs="Times"/>
          <w:i/>
          <w:iCs/>
          <w:szCs w:val="20"/>
        </w:rPr>
      </w:pPr>
      <w:r w:rsidRPr="00AC0D36">
        <w:rPr>
          <w:rFonts w:eastAsia="Calibri" w:cs="Times"/>
          <w:i/>
          <w:iCs/>
          <w:szCs w:val="20"/>
        </w:rPr>
        <w:t>The information to assist DL power allocation of the parent-node is indicated by the IAB-MT to the parent node DU in terms of desired power adjustment.</w:t>
      </w:r>
    </w:p>
    <w:p w14:paraId="6128BCCF" w14:textId="77777777" w:rsidR="00AC0D36" w:rsidRPr="00AC0D36" w:rsidRDefault="00AC0D36" w:rsidP="00AC0D36">
      <w:pPr>
        <w:pStyle w:val="ListParagraph"/>
        <w:numPr>
          <w:ilvl w:val="0"/>
          <w:numId w:val="18"/>
        </w:numPr>
        <w:spacing w:before="0" w:after="0" w:line="240" w:lineRule="auto"/>
        <w:textAlignment w:val="baseline"/>
        <w:rPr>
          <w:rFonts w:cs="Times"/>
          <w:i/>
          <w:iCs/>
          <w:szCs w:val="20"/>
        </w:rPr>
      </w:pPr>
      <w:r w:rsidRPr="00AC0D36">
        <w:rPr>
          <w:rFonts w:cs="Times"/>
          <w:i/>
          <w:iCs/>
          <w:szCs w:val="20"/>
        </w:rPr>
        <w:t>FFS applicability of assistance information, e.g. per multiplexing scenario, per resource, etc.</w:t>
      </w:r>
    </w:p>
    <w:p w14:paraId="2D38C5AC" w14:textId="77777777" w:rsidR="00E7526B" w:rsidRPr="004366FE" w:rsidRDefault="00E7526B" w:rsidP="00E7526B"/>
    <w:p w14:paraId="1A12E895" w14:textId="59E0E79D" w:rsidR="00872977" w:rsidRDefault="00872977" w:rsidP="00872977">
      <w:pPr>
        <w:rPr>
          <w:lang w:val="en-GB"/>
        </w:rPr>
      </w:pPr>
      <w:r>
        <w:rPr>
          <w:lang w:val="en-GB"/>
        </w:rPr>
        <w:t xml:space="preserve">Consider the example scenario illustrated in </w:t>
      </w:r>
      <w:r>
        <w:rPr>
          <w:lang w:val="en-GB"/>
        </w:rPr>
        <w:fldChar w:fldCharType="begin"/>
      </w:r>
      <w:r>
        <w:rPr>
          <w:lang w:val="en-GB"/>
        </w:rPr>
        <w:instrText xml:space="preserve"> REF _Ref47559479 \r \h </w:instrText>
      </w:r>
      <w:r>
        <w:rPr>
          <w:lang w:val="en-GB"/>
        </w:rPr>
      </w:r>
      <w:r>
        <w:rPr>
          <w:lang w:val="en-GB"/>
        </w:rPr>
        <w:fldChar w:fldCharType="separate"/>
      </w:r>
      <w:r w:rsidR="009E096F">
        <w:rPr>
          <w:cs/>
          <w:lang w:val="en-GB"/>
        </w:rPr>
        <w:t>‎</w:t>
      </w:r>
      <w:r w:rsidR="009E096F">
        <w:rPr>
          <w:lang w:val="en-GB"/>
        </w:rPr>
        <w:t>Figure 1</w:t>
      </w:r>
      <w:r>
        <w:rPr>
          <w:lang w:val="en-GB"/>
        </w:rPr>
        <w:fldChar w:fldCharType="end"/>
      </w:r>
      <w:r>
        <w:rPr>
          <w:lang w:val="en-GB"/>
        </w:rPr>
        <w:t xml:space="preserve">. In that scenario, uplink transmit power of the IAB node (N) is controlled by the parent IAB node (PN). Consider </w:t>
      </w:r>
      <w:r w:rsidR="00FD357E">
        <w:rPr>
          <w:lang w:val="en-GB"/>
        </w:rPr>
        <w:t xml:space="preserve">Case A duplexing </w:t>
      </w:r>
      <w:r>
        <w:rPr>
          <w:lang w:val="en-GB"/>
        </w:rPr>
        <w:t xml:space="preserve">where PN schedules </w:t>
      </w:r>
      <w:r w:rsidR="00FD357E">
        <w:rPr>
          <w:lang w:val="en-GB"/>
        </w:rPr>
        <w:t>a PUSCH for</w:t>
      </w:r>
      <w:r>
        <w:rPr>
          <w:lang w:val="en-GB"/>
        </w:rPr>
        <w:t xml:space="preserve"> N, and N schedules a simultaneous </w:t>
      </w:r>
      <w:r w:rsidR="00FD357E">
        <w:rPr>
          <w:lang w:val="en-GB"/>
        </w:rPr>
        <w:t>PDSCH</w:t>
      </w:r>
      <w:r>
        <w:rPr>
          <w:lang w:val="en-GB"/>
        </w:rPr>
        <w:t xml:space="preserve"> </w:t>
      </w:r>
      <w:r w:rsidR="00FD357E">
        <w:rPr>
          <w:lang w:val="en-GB"/>
        </w:rPr>
        <w:t>for the</w:t>
      </w:r>
      <w:r>
        <w:rPr>
          <w:lang w:val="en-GB"/>
        </w:rPr>
        <w:t xml:space="preserve"> child IAB node (CN). If the instantaneous uplink transmit power by N has a large offset with respect to its target downlink transmit power, N will be compelled to either alter its downlink transmit power or drop the transmission. This may </w:t>
      </w:r>
      <w:r w:rsidR="00FD357E">
        <w:rPr>
          <w:lang w:val="en-GB"/>
        </w:rPr>
        <w:t xml:space="preserve">be caused by a </w:t>
      </w:r>
      <w:r>
        <w:rPr>
          <w:lang w:val="en-GB"/>
        </w:rPr>
        <w:t xml:space="preserve">large power imbalance between upstream and downstream transmissions for N, or </w:t>
      </w:r>
      <w:r w:rsidR="00FD357E">
        <w:rPr>
          <w:lang w:val="en-GB"/>
        </w:rPr>
        <w:t>by</w:t>
      </w:r>
      <w:r>
        <w:rPr>
          <w:lang w:val="en-GB"/>
        </w:rPr>
        <w:t xml:space="preserve"> </w:t>
      </w:r>
      <w:r w:rsidR="00FD357E">
        <w:rPr>
          <w:lang w:val="en-GB"/>
        </w:rPr>
        <w:t xml:space="preserve">a constraint on </w:t>
      </w:r>
      <w:r>
        <w:rPr>
          <w:lang w:val="en-GB"/>
        </w:rPr>
        <w:t>the total transmit power, and so on. However, prior information of the transmit power could help N decide whether it wants to schedule any simultaneous downstream transmissions in the first place.</w:t>
      </w:r>
    </w:p>
    <w:p w14:paraId="62715A2B" w14:textId="719F009E" w:rsidR="00872977" w:rsidRDefault="00872977" w:rsidP="00872977">
      <w:pPr>
        <w:rPr>
          <w:lang w:val="en-GB"/>
        </w:rPr>
      </w:pPr>
      <w:r>
        <w:rPr>
          <w:lang w:val="en-GB"/>
        </w:rPr>
        <w:t xml:space="preserve">A similar issue may be raised for </w:t>
      </w:r>
      <w:r w:rsidR="00FD357E">
        <w:rPr>
          <w:lang w:val="en-GB"/>
        </w:rPr>
        <w:t>Case B duplexing</w:t>
      </w:r>
      <w:r>
        <w:rPr>
          <w:lang w:val="en-GB"/>
        </w:rPr>
        <w:t xml:space="preserve">. If the IAB node N does not obtain prior knowledge of the received power from its parent node PN, it may not be able to send TPC commands to its child node CN for a simultaneous communication in order to maintain a balanced receive power </w:t>
      </w:r>
      <w:r w:rsidR="00FD357E">
        <w:rPr>
          <w:lang w:val="en-GB"/>
        </w:rPr>
        <w:t xml:space="preserve">for signals received </w:t>
      </w:r>
      <w:r>
        <w:rPr>
          <w:lang w:val="en-GB"/>
        </w:rPr>
        <w:t>from PN and CN.</w:t>
      </w:r>
    </w:p>
    <w:p w14:paraId="1440CC68" w14:textId="5CD96E89" w:rsidR="00B718C9" w:rsidRDefault="000E4BC0" w:rsidP="00B718C9">
      <w:pPr>
        <w:rPr>
          <w:lang w:val="en-GB"/>
        </w:rPr>
      </w:pPr>
      <w:bookmarkStart w:id="125" w:name="p2"/>
      <w:bookmarkStart w:id="126" w:name="p3"/>
      <w:r>
        <w:rPr>
          <w:lang w:val="en-GB"/>
        </w:rPr>
        <w:t>S</w:t>
      </w:r>
      <w:r w:rsidR="00F77866">
        <w:rPr>
          <w:lang w:val="en-GB"/>
        </w:rPr>
        <w:t>emi-static resource configuration (partitioning) provides a reliable means to coordinate on otherwise-complex aspects such as timing alignment, interference management, and so on. Power control in uplink and downlink is another aspect that can be handled by semi-static configurations in</w:t>
      </w:r>
      <w:r w:rsidR="00B718C9">
        <w:rPr>
          <w:lang w:val="en-GB"/>
        </w:rPr>
        <w:t xml:space="preserve"> </w:t>
      </w:r>
      <w:r w:rsidR="00F77866">
        <w:rPr>
          <w:lang w:val="en-GB"/>
        </w:rPr>
        <w:t xml:space="preserve">addition to </w:t>
      </w:r>
      <w:r w:rsidR="00B15E60">
        <w:rPr>
          <w:lang w:val="en-GB"/>
        </w:rPr>
        <w:t>L1/L2</w:t>
      </w:r>
      <w:r w:rsidR="00F77866">
        <w:rPr>
          <w:lang w:val="en-GB"/>
        </w:rPr>
        <w:t xml:space="preserve"> control </w:t>
      </w:r>
      <w:r w:rsidR="00623A12">
        <w:rPr>
          <w:lang w:val="en-GB"/>
        </w:rPr>
        <w:t>signalling</w:t>
      </w:r>
      <w:r w:rsidR="00F77866">
        <w:rPr>
          <w:lang w:val="en-GB"/>
        </w:rPr>
        <w:t xml:space="preserve">. In this approach, </w:t>
      </w:r>
      <w:r w:rsidR="00B718C9">
        <w:rPr>
          <w:lang w:val="en-GB"/>
        </w:rPr>
        <w:t xml:space="preserve">power control processes are configured in a semi-persistent manner for each resource partition. This provides an early assessment of transmit and receive powers for IAB nodes on each resource partition so as to allow the IAB nodes to schedule simultaneous operations, signal transmit power control to child nodes, and so on. Such signalling can be controlled by the donor IAB-CU and further complemented by </w:t>
      </w:r>
      <w:r w:rsidR="00B15E60">
        <w:rPr>
          <w:lang w:val="en-GB"/>
        </w:rPr>
        <w:t xml:space="preserve">L1/L2 </w:t>
      </w:r>
      <w:r w:rsidR="00623A12">
        <w:rPr>
          <w:lang w:val="en-GB"/>
        </w:rPr>
        <w:t>signalling</w:t>
      </w:r>
      <w:r w:rsidR="00B718C9">
        <w:rPr>
          <w:lang w:val="en-GB"/>
        </w:rPr>
        <w:t>.</w:t>
      </w:r>
    </w:p>
    <w:p w14:paraId="1BDFC1EC" w14:textId="67D23E3E" w:rsidR="00B718C9" w:rsidRDefault="00B718C9" w:rsidP="00A302A1">
      <w:pPr>
        <w:pStyle w:val="Proposal"/>
      </w:pPr>
      <w:bookmarkStart w:id="127" w:name="_Toc54333410"/>
      <w:bookmarkStart w:id="128" w:name="_Toc54334224"/>
      <w:bookmarkStart w:id="129" w:name="_Toc54335455"/>
      <w:bookmarkStart w:id="130" w:name="_Toc54336348"/>
      <w:bookmarkStart w:id="131" w:name="_Toc54337824"/>
      <w:bookmarkStart w:id="132" w:name="_Toc54338581"/>
      <w:bookmarkStart w:id="133" w:name="_Toc54339093"/>
      <w:bookmarkStart w:id="134" w:name="_Toc54339225"/>
      <w:bookmarkStart w:id="135" w:name="_Toc54340306"/>
      <w:bookmarkStart w:id="136" w:name="_Toc54345674"/>
      <w:bookmarkStart w:id="137" w:name="_Toc61554241"/>
      <w:bookmarkStart w:id="138" w:name="_Toc61556560"/>
      <w:bookmarkStart w:id="139" w:name="_Toc61556774"/>
      <w:bookmarkStart w:id="140" w:name="_Toc61557420"/>
      <w:bookmarkStart w:id="141" w:name="_Toc61558130"/>
      <w:bookmarkStart w:id="142" w:name="_Toc61559439"/>
      <w:bookmarkStart w:id="143" w:name="_Toc61860813"/>
      <w:bookmarkStart w:id="144" w:name="_Toc61869501"/>
      <w:bookmarkStart w:id="145" w:name="_Toc61870342"/>
      <w:bookmarkStart w:id="146" w:name="_Toc61871478"/>
      <w:bookmarkStart w:id="147" w:name="_Toc61874656"/>
      <w:bookmarkStart w:id="148" w:name="_Toc61893681"/>
      <w:bookmarkStart w:id="149" w:name="_Toc71645247"/>
      <w:bookmarkStart w:id="150" w:name="_Toc71646782"/>
      <w:bookmarkStart w:id="151" w:name="_Toc71648194"/>
      <w:bookmarkStart w:id="152" w:name="_Toc71649893"/>
      <w:bookmarkStart w:id="153" w:name="_Toc71655194"/>
      <w:bookmarkStart w:id="154" w:name="_Toc71659409"/>
      <w:bookmarkStart w:id="155" w:name="_Toc71659892"/>
      <w:bookmarkStart w:id="156" w:name="_Toc71665114"/>
      <w:bookmarkStart w:id="157" w:name="_Toc71668887"/>
      <w:bookmarkStart w:id="158" w:name="_Toc71668932"/>
      <w:bookmarkStart w:id="159" w:name="_Toc71668996"/>
      <w:bookmarkStart w:id="160" w:name="_Toc71671248"/>
      <w:bookmarkStart w:id="161" w:name="_Toc71671402"/>
      <w:bookmarkStart w:id="162" w:name="_Toc79159555"/>
      <w:bookmarkStart w:id="163" w:name="_Toc79159671"/>
      <w:bookmarkStart w:id="164" w:name="_Toc79178204"/>
      <w:r>
        <w:t xml:space="preserve">Support power control configurations </w:t>
      </w:r>
      <w:r w:rsidR="00AC0D36">
        <w:t xml:space="preserve">for specific time-frequency resource </w:t>
      </w:r>
      <w:r>
        <w:t>at least for Case A and Case B</w:t>
      </w:r>
      <w:r w:rsidR="000E4BC0">
        <w:t xml:space="preserve"> multi</w:t>
      </w:r>
      <w:r>
        <w:t>plexing.</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324023D" w14:textId="63F9B2BD" w:rsidR="007D7F79" w:rsidRDefault="00376EBE" w:rsidP="007D7F79">
      <w:r>
        <w:t>Although power control configurations as described above are helpful for resource planning, scheduling, interference management, etc., dynamic L1/L2 control signaling is still needed to handle variations due to mobility and beamforming among other factors. Such signaling is ex</w:t>
      </w:r>
      <w:r w:rsidR="003B6C22">
        <w:t>p</w:t>
      </w:r>
      <w:r>
        <w:t>ected to require power control in both uplink and downlink communications. IAB-MT uplink power control can follow similar prin</w:t>
      </w:r>
      <w:r w:rsidR="003B6C22">
        <w:t>c</w:t>
      </w:r>
      <w:r>
        <w:t xml:space="preserve">iples as UE uplink power control and possibly enjoy enhancements, for example, for Case A </w:t>
      </w:r>
      <w:r w:rsidR="00D17F6A">
        <w:t>multi</w:t>
      </w:r>
      <w:r>
        <w:t>plexing.</w:t>
      </w:r>
    </w:p>
    <w:p w14:paraId="25411522" w14:textId="7D4ADDEA" w:rsidR="00376EBE" w:rsidRDefault="00376EBE" w:rsidP="007D7F79">
      <w:r>
        <w:t xml:space="preserve">IAB-DU downlink power control can also be specified to enable Case B </w:t>
      </w:r>
      <w:r w:rsidR="00D17F6A">
        <w:t>multi</w:t>
      </w:r>
      <w:r>
        <w:t xml:space="preserve">plexing at a child node. For example, the child node can </w:t>
      </w:r>
      <w:r w:rsidR="005409F3">
        <w:t xml:space="preserve">request a serving IAB-DU for a change in its DL Tx power such that the child node’s Rx power on its MT and DU remain within a threshold. Given </w:t>
      </w:r>
      <w:r w:rsidR="00994B6A">
        <w:t xml:space="preserve">constraints such as intended </w:t>
      </w:r>
      <w:r w:rsidR="005409F3">
        <w:t xml:space="preserve">coverage and </w:t>
      </w:r>
      <w:r w:rsidR="00994B6A">
        <w:t>dynamic range</w:t>
      </w:r>
      <w:r w:rsidR="005409F3">
        <w:t>, the serving IAB-DU can then respond by changing the DL Tx power as requested by the child node.</w:t>
      </w:r>
    </w:p>
    <w:p w14:paraId="279B7396" w14:textId="77777777" w:rsidR="004F1DAC" w:rsidRDefault="004F1DAC" w:rsidP="004F1DAC">
      <w:r>
        <w:lastRenderedPageBreak/>
        <w:t>It was agreed in the previous meeting to s</w:t>
      </w:r>
      <w:r w:rsidRPr="00D17F6A">
        <w:t>upport indicati</w:t>
      </w:r>
      <w:r>
        <w:t>on of</w:t>
      </w:r>
      <w:r w:rsidRPr="00D17F6A">
        <w:t xml:space="preserve"> </w:t>
      </w:r>
      <w:r>
        <w:t xml:space="preserve">downlink power control </w:t>
      </w:r>
      <w:r w:rsidRPr="00D17F6A">
        <w:t xml:space="preserve">information </w:t>
      </w:r>
      <w:r>
        <w:t>to the parent node. We propose a request-response signaling by which the IAB node requests a change of transmit power by the parent node towards the IAB node, followed by an optional response signaling informing the IAB node, for example, whether the power change request was accepted. The response signaling can assist the IAB node to perform UL power control signaling with its child nodes and UEs, schedule simultaneous PUSCH for the child nodes and UEs, and so on.</w:t>
      </w:r>
    </w:p>
    <w:p w14:paraId="11AE00A9" w14:textId="1F2AFE2B" w:rsidR="004F1DAC" w:rsidRDefault="004F1DAC" w:rsidP="004F1DAC">
      <w:r>
        <w:t xml:space="preserve">The request signaling should contain the requested </w:t>
      </w:r>
      <w:r w:rsidRPr="00056B5C">
        <w:t xml:space="preserve">value of power </w:t>
      </w:r>
      <w:r>
        <w:t>offset</w:t>
      </w:r>
      <w:r w:rsidRPr="00056B5C">
        <w:t xml:space="preserve">, for example </w:t>
      </w:r>
      <w:r>
        <w:t>in dB. Reference power and spatial information such as reference to SSB or CSI-RS resources can also be included in the request signaling.</w:t>
      </w:r>
      <w:r w:rsidDel="00C33E67">
        <w:t xml:space="preserve"> </w:t>
      </w:r>
    </w:p>
    <w:p w14:paraId="397055CE" w14:textId="04C03E9A" w:rsidR="00A54007" w:rsidRDefault="00A54007" w:rsidP="00A54007">
      <w:bookmarkStart w:id="165" w:name="_Toc71665115"/>
      <w:r>
        <w:t xml:space="preserve">In response, the parent node can optionally send a response signaling to the IAB node including information of whether the request is granted and/or by what ratio in dB. Similar to the request signaling, reference power and spatial information such as reference to SSB or CSI-RS resources can also be included in the response </w:t>
      </w:r>
      <w:bookmarkEnd w:id="165"/>
      <w:r>
        <w:t>signaling.</w:t>
      </w:r>
    </w:p>
    <w:p w14:paraId="25989FF9" w14:textId="77777777" w:rsidR="00A54007" w:rsidRDefault="00A54007" w:rsidP="00A54007">
      <w:pPr>
        <w:pStyle w:val="Proposal"/>
      </w:pPr>
      <w:bookmarkStart w:id="166" w:name="_Toc71670073"/>
      <w:bookmarkStart w:id="167" w:name="_Toc71671249"/>
      <w:bookmarkStart w:id="168" w:name="_Toc71671403"/>
      <w:bookmarkStart w:id="169" w:name="_Toc79159556"/>
      <w:bookmarkStart w:id="170" w:name="_Toc79159672"/>
      <w:bookmarkStart w:id="171" w:name="_Toc79178205"/>
      <w:r>
        <w:t>The downlink power control signaling from the IAB node to the parent node includes a power offset value as well as reference power and spatial information.</w:t>
      </w:r>
      <w:bookmarkEnd w:id="166"/>
      <w:bookmarkEnd w:id="167"/>
      <w:bookmarkEnd w:id="168"/>
      <w:bookmarkEnd w:id="169"/>
      <w:bookmarkEnd w:id="170"/>
      <w:bookmarkEnd w:id="171"/>
    </w:p>
    <w:p w14:paraId="6B3DDFA8" w14:textId="045E2FFB" w:rsidR="00A54007" w:rsidRDefault="00A54007" w:rsidP="00A54007">
      <w:pPr>
        <w:pStyle w:val="Proposal"/>
      </w:pPr>
      <w:bookmarkStart w:id="172" w:name="_Toc71670074"/>
      <w:bookmarkStart w:id="173" w:name="_Toc71671250"/>
      <w:bookmarkStart w:id="174" w:name="_Toc71671404"/>
      <w:bookmarkStart w:id="175" w:name="_Toc79159557"/>
      <w:bookmarkStart w:id="176" w:name="_Toc79159673"/>
      <w:bookmarkStart w:id="177" w:name="_Hlk71671329"/>
      <w:bookmarkStart w:id="178" w:name="_Toc79178206"/>
      <w:r>
        <w:t xml:space="preserve">Parent node can respond to the IAB node </w:t>
      </w:r>
      <w:r w:rsidR="00635606">
        <w:t>indicating</w:t>
      </w:r>
      <w:r>
        <w:t xml:space="preserve"> a granted power offset as well as reference power and spatial information.</w:t>
      </w:r>
      <w:bookmarkEnd w:id="172"/>
      <w:bookmarkEnd w:id="173"/>
      <w:bookmarkEnd w:id="174"/>
      <w:bookmarkEnd w:id="175"/>
      <w:bookmarkEnd w:id="176"/>
      <w:bookmarkEnd w:id="178"/>
    </w:p>
    <w:p w14:paraId="2C635D24" w14:textId="62D5B7DD" w:rsidR="007F1591" w:rsidRDefault="007F1591" w:rsidP="007F1591">
      <w:r>
        <w:t xml:space="preserve">With respect to FFS points for </w:t>
      </w:r>
      <w:r w:rsidR="00D10396">
        <w:t xml:space="preserve">UL Tx power </w:t>
      </w:r>
      <w:r w:rsidR="00CF5F24">
        <w:t>assistance</w:t>
      </w:r>
      <w:r w:rsidR="00D10396">
        <w:t xml:space="preserve"> information, </w:t>
      </w:r>
      <w:r w:rsidR="00BB5964">
        <w:t xml:space="preserve">we do not consider desired Tx power to be a practical option. UL Tx power </w:t>
      </w:r>
      <w:r w:rsidR="00223712">
        <w:t xml:space="preserve">PH or </w:t>
      </w:r>
      <w:r w:rsidR="00BB5964">
        <w:t>dynamic range of the IAB-MT may change due to changes in the DL Tx power of the collocated IAB-DU</w:t>
      </w:r>
      <w:r w:rsidR="00223712">
        <w:t>, which may occur as a result of receiving a DL power adjustment signaling from a child node served by the IAB-DU</w:t>
      </w:r>
      <w:r w:rsidR="00BB5964">
        <w:t>.</w:t>
      </w:r>
      <w:r w:rsidR="00223712">
        <w:t xml:space="preserve"> Therefore, we propose to allow the IAB-MT to transmit a report PH or PH offset when a collocated IAB-DU receives a DL power adjustment control signaling from its child node.</w:t>
      </w:r>
    </w:p>
    <w:p w14:paraId="6A6E1BFB" w14:textId="03B4FAB3" w:rsidR="008176B0" w:rsidRPr="007F1591" w:rsidRDefault="008176B0" w:rsidP="008176B0">
      <w:pPr>
        <w:pStyle w:val="Proposal"/>
      </w:pPr>
      <w:bookmarkStart w:id="179" w:name="_Toc79159558"/>
      <w:bookmarkStart w:id="180" w:name="_Toc79159674"/>
      <w:bookmarkStart w:id="181" w:name="_Toc79178207"/>
      <w:r>
        <w:t>Support IAB-MT reporting power headroom or power headroom offset to its parent node when a collocated IAB-DU receives a DL power adjustment message from its child node.</w:t>
      </w:r>
      <w:bookmarkEnd w:id="179"/>
      <w:bookmarkEnd w:id="180"/>
      <w:bookmarkEnd w:id="181"/>
    </w:p>
    <w:bookmarkEnd w:id="177"/>
    <w:p w14:paraId="05544859" w14:textId="40414ABC" w:rsidR="00872977" w:rsidRDefault="00872977" w:rsidP="00872977">
      <w:pPr>
        <w:pStyle w:val="Heading2"/>
      </w:pPr>
      <w:r>
        <w:tab/>
      </w:r>
      <w:r w:rsidR="00E7526B">
        <w:t>Interference management</w:t>
      </w:r>
    </w:p>
    <w:p w14:paraId="28513E38" w14:textId="03237CB1" w:rsidR="00E7526B" w:rsidRDefault="00E7526B" w:rsidP="00C542EF">
      <w:pPr>
        <w:rPr>
          <w:lang w:val="en-GB"/>
        </w:rPr>
      </w:pPr>
      <w:r w:rsidRPr="00C54C1C">
        <w:rPr>
          <w:lang w:val="en-GB"/>
        </w:rPr>
        <w:t>The following was agreed in RAN1#</w:t>
      </w:r>
      <w:r w:rsidR="00AA3CA5" w:rsidRPr="00C54C1C">
        <w:rPr>
          <w:lang w:val="en-GB"/>
        </w:rPr>
        <w:t>105</w:t>
      </w:r>
      <w:r w:rsidR="00A07BFA" w:rsidRPr="00C54C1C">
        <w:rPr>
          <w:lang w:val="en-GB"/>
        </w:rPr>
        <w:t xml:space="preserve">-e </w:t>
      </w:r>
      <w:r w:rsidR="00AA3CA5" w:rsidRPr="00C54C1C">
        <w:rPr>
          <w:lang w:val="en-GB"/>
        </w:rPr>
        <w:fldChar w:fldCharType="begin"/>
      </w:r>
      <w:r w:rsidR="00AA3CA5" w:rsidRPr="00C54C1C">
        <w:rPr>
          <w:lang w:val="en-GB"/>
        </w:rPr>
        <w:instrText xml:space="preserve"> REF _Ref71645684 \r \h </w:instrText>
      </w:r>
      <w:r w:rsidR="00456218" w:rsidRPr="00C54C1C">
        <w:rPr>
          <w:lang w:val="en-GB"/>
        </w:rPr>
        <w:instrText xml:space="preserve"> \* MERGEFORMAT </w:instrText>
      </w:r>
      <w:r w:rsidR="00AA3CA5" w:rsidRPr="00C54C1C">
        <w:rPr>
          <w:lang w:val="en-GB"/>
        </w:rPr>
      </w:r>
      <w:r w:rsidR="00AA3CA5" w:rsidRPr="00C54C1C">
        <w:rPr>
          <w:lang w:val="en-GB"/>
        </w:rPr>
        <w:fldChar w:fldCharType="separate"/>
      </w:r>
      <w:r w:rsidR="00AA3CA5" w:rsidRPr="00C54C1C">
        <w:rPr>
          <w:cs/>
          <w:lang w:val="en-GB"/>
        </w:rPr>
        <w:t>‎</w:t>
      </w:r>
      <w:r w:rsidR="00AA3CA5" w:rsidRPr="00C54C1C">
        <w:rPr>
          <w:lang w:val="en-GB"/>
        </w:rPr>
        <w:t>[2]</w:t>
      </w:r>
      <w:r w:rsidR="00AA3CA5" w:rsidRPr="00C54C1C">
        <w:rPr>
          <w:lang w:val="en-GB"/>
        </w:rPr>
        <w:fldChar w:fldCharType="end"/>
      </w:r>
      <w:r w:rsidRPr="00C54C1C">
        <w:rPr>
          <w:lang w:val="en-GB"/>
        </w:rPr>
        <w:t>:</w:t>
      </w:r>
    </w:p>
    <w:p w14:paraId="2F6D0AE5" w14:textId="77777777" w:rsidR="00C54C1C" w:rsidRPr="00AA3CA5" w:rsidRDefault="00C54C1C" w:rsidP="00C54C1C">
      <w:pPr>
        <w:rPr>
          <w:rFonts w:cs="Times"/>
          <w:b/>
          <w:bCs/>
          <w:i/>
          <w:iCs/>
          <w:szCs w:val="20"/>
          <w:highlight w:val="green"/>
        </w:rPr>
      </w:pPr>
      <w:r w:rsidRPr="00AA3CA5">
        <w:rPr>
          <w:rFonts w:cs="Times"/>
          <w:b/>
          <w:bCs/>
          <w:i/>
          <w:iCs/>
          <w:szCs w:val="20"/>
          <w:highlight w:val="green"/>
        </w:rPr>
        <w:t>Agreement</w:t>
      </w:r>
      <w:r w:rsidRPr="00456218">
        <w:rPr>
          <w:rFonts w:cs="Times"/>
          <w:b/>
          <w:bCs/>
          <w:i/>
          <w:iCs/>
          <w:szCs w:val="20"/>
        </w:rPr>
        <w:t xml:space="preserve"> (RAN1#105-e)</w:t>
      </w:r>
    </w:p>
    <w:p w14:paraId="0547C877" w14:textId="77777777" w:rsidR="00C54C1C" w:rsidRPr="00AA3CA5" w:rsidRDefault="00C54C1C" w:rsidP="00C54C1C">
      <w:pPr>
        <w:rPr>
          <w:rFonts w:cs="Times"/>
          <w:bCs/>
          <w:i/>
          <w:iCs/>
          <w:szCs w:val="20"/>
        </w:rPr>
      </w:pPr>
      <w:r w:rsidRPr="00AA3CA5">
        <w:rPr>
          <w:rFonts w:cs="Times"/>
          <w:bCs/>
          <w:i/>
          <w:iCs/>
          <w:szCs w:val="20"/>
        </w:rPr>
        <w:t>Rel-16 CLI coordination signalling (Intended TDD DL-UL Configuration) is extended to support IAB specific UFD patterns.</w:t>
      </w:r>
    </w:p>
    <w:p w14:paraId="2DE22578" w14:textId="77777777" w:rsidR="00C54C1C" w:rsidRPr="00AA3CA5" w:rsidRDefault="00C54C1C" w:rsidP="00C54C1C">
      <w:pPr>
        <w:numPr>
          <w:ilvl w:val="0"/>
          <w:numId w:val="18"/>
        </w:numPr>
        <w:spacing w:after="0" w:line="240" w:lineRule="auto"/>
        <w:rPr>
          <w:rFonts w:cs="Times"/>
          <w:bCs/>
          <w:i/>
          <w:iCs/>
          <w:szCs w:val="20"/>
        </w:rPr>
      </w:pPr>
      <w:r w:rsidRPr="00AA3CA5">
        <w:rPr>
          <w:rFonts w:cs="Times"/>
          <w:bCs/>
          <w:i/>
          <w:iCs/>
          <w:szCs w:val="20"/>
        </w:rPr>
        <w:t>FFS: Support the exchange of IAB-DU H/S/NA resource configuration information among neighbouring IAB-nodes/IAB-donors for CLI management purposes.</w:t>
      </w:r>
    </w:p>
    <w:p w14:paraId="03734508" w14:textId="73F931A7" w:rsidR="00C54C1C" w:rsidRDefault="00C54C1C" w:rsidP="00C542EF"/>
    <w:p w14:paraId="49933535" w14:textId="66BD60E0" w:rsidR="00C54C1C" w:rsidRPr="00C542EF" w:rsidRDefault="00C54C1C" w:rsidP="00C54C1C">
      <w:pPr>
        <w:rPr>
          <w:lang w:val="en-GB"/>
        </w:rPr>
      </w:pPr>
      <w:r>
        <w:t>The following had been agreed in previous meetings:</w:t>
      </w:r>
    </w:p>
    <w:p w14:paraId="715597AB" w14:textId="77777777" w:rsidR="00CC36D6" w:rsidRPr="00CC36D6" w:rsidRDefault="00CC36D6" w:rsidP="00CC36D6">
      <w:pPr>
        <w:spacing w:after="120"/>
        <w:rPr>
          <w:rFonts w:cstheme="minorHAnsi"/>
          <w:b/>
          <w:bCs/>
          <w:i/>
          <w:iCs/>
          <w:highlight w:val="green"/>
        </w:rPr>
      </w:pPr>
      <w:r w:rsidRPr="00CC36D6">
        <w:rPr>
          <w:rFonts w:cstheme="minorHAnsi"/>
          <w:b/>
          <w:bCs/>
          <w:i/>
          <w:iCs/>
          <w:highlight w:val="green"/>
        </w:rPr>
        <w:t>Agreement</w:t>
      </w:r>
    </w:p>
    <w:p w14:paraId="7BA867EA" w14:textId="77777777" w:rsidR="00CC36D6" w:rsidRPr="00CC36D6" w:rsidRDefault="00CC36D6" w:rsidP="00CC36D6">
      <w:pPr>
        <w:rPr>
          <w:rFonts w:eastAsia="Calibri" w:cstheme="minorHAnsi"/>
          <w:i/>
          <w:iCs/>
        </w:rPr>
      </w:pPr>
      <w:r w:rsidRPr="00CC36D6">
        <w:rPr>
          <w:rFonts w:eastAsia="Calibri" w:cstheme="minorHAnsi"/>
          <w:i/>
          <w:iCs/>
        </w:rPr>
        <w:t xml:space="preserve">Interference management for the following IAB interference scenarios should be discussed: </w:t>
      </w:r>
    </w:p>
    <w:p w14:paraId="06A77253" w14:textId="77777777" w:rsidR="00CC36D6" w:rsidRPr="00CC36D6" w:rsidRDefault="00CC36D6" w:rsidP="005D3478">
      <w:pPr>
        <w:pStyle w:val="ListParagraph"/>
        <w:numPr>
          <w:ilvl w:val="0"/>
          <w:numId w:val="9"/>
        </w:numPr>
        <w:spacing w:before="0" w:after="0" w:line="240" w:lineRule="auto"/>
        <w:textAlignment w:val="baseline"/>
        <w:rPr>
          <w:rFonts w:eastAsia="Calibri" w:cstheme="minorHAnsi"/>
          <w:i/>
          <w:iCs/>
        </w:rPr>
      </w:pPr>
      <w:r w:rsidRPr="00CC36D6">
        <w:rPr>
          <w:rFonts w:eastAsia="Calibri" w:cstheme="minorHAnsi"/>
          <w:i/>
          <w:iCs/>
        </w:rPr>
        <w:t xml:space="preserve">Inter-IAB scenarios, including: </w:t>
      </w:r>
    </w:p>
    <w:p w14:paraId="60D9866F" w14:textId="77777777" w:rsidR="00CC36D6" w:rsidRPr="00CC36D6" w:rsidRDefault="00CC36D6" w:rsidP="005D3478">
      <w:pPr>
        <w:pStyle w:val="ListParagraph"/>
        <w:numPr>
          <w:ilvl w:val="1"/>
          <w:numId w:val="9"/>
        </w:numPr>
        <w:spacing w:before="0" w:after="0" w:line="240" w:lineRule="auto"/>
        <w:textAlignment w:val="baseline"/>
        <w:rPr>
          <w:rFonts w:eastAsia="Calibri" w:cstheme="minorHAnsi"/>
          <w:i/>
          <w:iCs/>
        </w:rPr>
      </w:pPr>
      <w:r w:rsidRPr="00CC36D6">
        <w:rPr>
          <w:rFonts w:eastAsia="Calibri" w:cstheme="minorHAnsi"/>
          <w:i/>
          <w:iCs/>
        </w:rPr>
        <w:t>MT to MT, DU to DU, DU to MT, and MT to DU.</w:t>
      </w:r>
    </w:p>
    <w:p w14:paraId="14073794" w14:textId="77777777" w:rsidR="00CC36D6" w:rsidRPr="00CC36D6" w:rsidRDefault="00CC36D6" w:rsidP="005D3478">
      <w:pPr>
        <w:pStyle w:val="ListParagraph"/>
        <w:numPr>
          <w:ilvl w:val="0"/>
          <w:numId w:val="9"/>
        </w:numPr>
        <w:spacing w:before="0" w:after="0" w:line="240" w:lineRule="auto"/>
        <w:textAlignment w:val="baseline"/>
        <w:rPr>
          <w:rFonts w:eastAsia="Calibri" w:cstheme="minorHAnsi"/>
          <w:i/>
          <w:iCs/>
        </w:rPr>
      </w:pPr>
      <w:r w:rsidRPr="00CC36D6">
        <w:rPr>
          <w:rFonts w:eastAsia="Calibri" w:cstheme="minorHAnsi"/>
          <w:i/>
          <w:iCs/>
        </w:rPr>
        <w:t>Interference to non-IAB nodes, including:</w:t>
      </w:r>
    </w:p>
    <w:p w14:paraId="73EBE7C7" w14:textId="77777777" w:rsidR="00CC36D6" w:rsidRPr="00CC36D6" w:rsidRDefault="00CC36D6" w:rsidP="005D3478">
      <w:pPr>
        <w:pStyle w:val="ListParagraph"/>
        <w:numPr>
          <w:ilvl w:val="1"/>
          <w:numId w:val="9"/>
        </w:numPr>
        <w:spacing w:before="0" w:after="0" w:line="240" w:lineRule="auto"/>
        <w:textAlignment w:val="baseline"/>
        <w:rPr>
          <w:rFonts w:eastAsia="Calibri" w:cstheme="minorHAnsi"/>
          <w:i/>
          <w:iCs/>
        </w:rPr>
      </w:pPr>
      <w:r w:rsidRPr="00CC36D6">
        <w:rPr>
          <w:rFonts w:eastAsia="Calibri" w:cstheme="minorHAnsi"/>
          <w:i/>
          <w:iCs/>
        </w:rPr>
        <w:t>IAB-DU to non-IAB-DU</w:t>
      </w:r>
    </w:p>
    <w:p w14:paraId="3C27B448" w14:textId="77777777" w:rsidR="00CC36D6" w:rsidRPr="00CC36D6" w:rsidRDefault="00CC36D6" w:rsidP="005D3478">
      <w:pPr>
        <w:pStyle w:val="ListParagraph"/>
        <w:numPr>
          <w:ilvl w:val="1"/>
          <w:numId w:val="9"/>
        </w:numPr>
        <w:spacing w:before="0" w:after="0" w:line="240" w:lineRule="auto"/>
        <w:textAlignment w:val="baseline"/>
        <w:rPr>
          <w:rFonts w:eastAsia="Calibri" w:cstheme="minorHAnsi"/>
          <w:i/>
          <w:iCs/>
        </w:rPr>
      </w:pPr>
      <w:r w:rsidRPr="00CC36D6">
        <w:rPr>
          <w:rFonts w:eastAsia="Calibri" w:cstheme="minorHAnsi"/>
          <w:i/>
          <w:iCs/>
        </w:rPr>
        <w:t>IAB-MT to non-IAB-DU</w:t>
      </w:r>
    </w:p>
    <w:p w14:paraId="5A3BF2B7" w14:textId="77777777" w:rsidR="00CC36D6" w:rsidRPr="00CC36D6" w:rsidRDefault="00CC36D6" w:rsidP="005D3478">
      <w:pPr>
        <w:pStyle w:val="ListParagraph"/>
        <w:numPr>
          <w:ilvl w:val="0"/>
          <w:numId w:val="9"/>
        </w:numPr>
        <w:spacing w:before="0" w:after="0" w:line="240" w:lineRule="auto"/>
        <w:textAlignment w:val="baseline"/>
        <w:rPr>
          <w:rFonts w:eastAsia="Calibri" w:cstheme="minorHAnsi"/>
          <w:i/>
          <w:iCs/>
        </w:rPr>
      </w:pPr>
      <w:r w:rsidRPr="00CC36D6">
        <w:rPr>
          <w:rFonts w:eastAsia="Calibri" w:cstheme="minorHAnsi"/>
          <w:i/>
          <w:iCs/>
        </w:rPr>
        <w:t>Intra-IAB-node (self-interference) scenarios (Interference between a DU and MT of an IAB-node).</w:t>
      </w:r>
    </w:p>
    <w:p w14:paraId="48DB3809" w14:textId="77777777" w:rsidR="00CC36D6" w:rsidRPr="00CC36D6" w:rsidRDefault="00CC36D6" w:rsidP="00CC36D6">
      <w:pPr>
        <w:rPr>
          <w:rFonts w:eastAsia="Calibri" w:cstheme="minorHAnsi"/>
          <w:bCs/>
          <w:i/>
          <w:iCs/>
        </w:rPr>
      </w:pPr>
      <w:r w:rsidRPr="00CC36D6">
        <w:rPr>
          <w:rFonts w:eastAsia="Calibri" w:cstheme="minorHAnsi"/>
          <w:bCs/>
          <w:i/>
          <w:iCs/>
        </w:rPr>
        <w:t>This agreement does not necessarily mean that specification support is needed for any of the scenarios.</w:t>
      </w:r>
    </w:p>
    <w:p w14:paraId="52AFD8FE" w14:textId="5091527B" w:rsidR="00CC36D6" w:rsidRPr="00CC36D6" w:rsidRDefault="00CC36D6" w:rsidP="00CC36D6">
      <w:pPr>
        <w:spacing w:after="120"/>
        <w:rPr>
          <w:rFonts w:cstheme="minorHAnsi"/>
          <w:i/>
          <w:iCs/>
          <w:highlight w:val="green"/>
        </w:rPr>
      </w:pPr>
      <w:r w:rsidRPr="00CC36D6">
        <w:rPr>
          <w:rFonts w:cstheme="minorHAnsi"/>
          <w:b/>
          <w:bCs/>
          <w:i/>
          <w:iCs/>
          <w:highlight w:val="green"/>
        </w:rPr>
        <w:t>Agreement</w:t>
      </w:r>
    </w:p>
    <w:p w14:paraId="3F246D94" w14:textId="77777777" w:rsidR="00CC36D6" w:rsidRPr="00CC36D6" w:rsidRDefault="00CC36D6" w:rsidP="00CC36D6">
      <w:pPr>
        <w:rPr>
          <w:rFonts w:eastAsia="Calibri" w:cstheme="minorHAnsi"/>
          <w:i/>
          <w:iCs/>
        </w:rPr>
      </w:pPr>
      <w:r w:rsidRPr="00CC36D6">
        <w:rPr>
          <w:rFonts w:eastAsia="Calibri" w:cstheme="minorHAnsi"/>
          <w:i/>
          <w:iCs/>
        </w:rPr>
        <w:t>Use the Rel-16 interference management frameworks (e.g. CLI, RIM) to handle IAB interference scenarios, and discuss if any of the following enhancements are needed (not an exhaustive list):</w:t>
      </w:r>
    </w:p>
    <w:p w14:paraId="738C906B" w14:textId="77777777" w:rsidR="00CC36D6" w:rsidRPr="00CC36D6" w:rsidRDefault="00CC36D6" w:rsidP="005D3478">
      <w:pPr>
        <w:pStyle w:val="ListParagraph"/>
        <w:numPr>
          <w:ilvl w:val="0"/>
          <w:numId w:val="9"/>
        </w:numPr>
        <w:spacing w:before="0" w:after="0" w:line="240" w:lineRule="auto"/>
        <w:textAlignment w:val="baseline"/>
        <w:rPr>
          <w:rFonts w:eastAsia="Calibri" w:cstheme="minorHAnsi"/>
          <w:bCs/>
          <w:i/>
          <w:iCs/>
        </w:rPr>
      </w:pPr>
      <w:r w:rsidRPr="00CC36D6">
        <w:rPr>
          <w:rFonts w:eastAsia="Calibri" w:cstheme="minorHAnsi"/>
          <w:bCs/>
          <w:i/>
          <w:iCs/>
        </w:rPr>
        <w:t>FFS: extend the information exchange (e.g. the resource configuration, result of CLI measurements, etc.) among different entities (e.g. between parent-child nodes, adjacent IAB nodes, between network and IAB-node, etc.)  </w:t>
      </w:r>
    </w:p>
    <w:p w14:paraId="728D47E9" w14:textId="77777777" w:rsidR="00CC36D6" w:rsidRPr="00CC36D6" w:rsidRDefault="00CC36D6" w:rsidP="005D3478">
      <w:pPr>
        <w:pStyle w:val="ListParagraph"/>
        <w:numPr>
          <w:ilvl w:val="0"/>
          <w:numId w:val="9"/>
        </w:numPr>
        <w:spacing w:before="0" w:after="0" w:line="240" w:lineRule="auto"/>
        <w:textAlignment w:val="baseline"/>
        <w:rPr>
          <w:rFonts w:eastAsia="Calibri" w:cstheme="minorHAnsi"/>
          <w:bCs/>
          <w:i/>
          <w:iCs/>
        </w:rPr>
      </w:pPr>
      <w:r w:rsidRPr="00CC36D6">
        <w:rPr>
          <w:rFonts w:eastAsia="Calibri" w:cstheme="minorHAnsi"/>
          <w:bCs/>
          <w:i/>
          <w:iCs/>
        </w:rPr>
        <w:t>FFS: required enhancements on CLI measurement accuracy (e.g. via timing adjustment, etc.)</w:t>
      </w:r>
    </w:p>
    <w:p w14:paraId="69A33C56" w14:textId="5F036E35" w:rsidR="00E7526B" w:rsidRPr="00CC36D6" w:rsidRDefault="00CC36D6" w:rsidP="00CC36D6">
      <w:pPr>
        <w:rPr>
          <w:rFonts w:eastAsia="Calibri" w:cstheme="minorHAnsi"/>
          <w:bCs/>
          <w:i/>
          <w:iCs/>
        </w:rPr>
      </w:pPr>
      <w:r w:rsidRPr="00CC36D6">
        <w:rPr>
          <w:rFonts w:eastAsia="Calibri" w:cstheme="minorHAnsi"/>
          <w:bCs/>
          <w:i/>
          <w:iCs/>
        </w:rPr>
        <w:lastRenderedPageBreak/>
        <w:t>FFS: required enhancements on CLI measurements (e.g. introducing short-term measurements, multi-beam measurements, etc.)</w:t>
      </w:r>
    </w:p>
    <w:p w14:paraId="392744BB" w14:textId="77777777" w:rsidR="00CC36D6" w:rsidRPr="00CC36D6" w:rsidRDefault="00CC36D6" w:rsidP="00CC36D6">
      <w:pPr>
        <w:rPr>
          <w:rFonts w:cstheme="minorHAnsi"/>
          <w:b/>
          <w:bCs/>
          <w:i/>
          <w:iCs/>
          <w:lang w:eastAsia="x-none"/>
        </w:rPr>
      </w:pPr>
      <w:r w:rsidRPr="00CC36D6">
        <w:rPr>
          <w:rFonts w:cstheme="minorHAnsi"/>
          <w:b/>
          <w:bCs/>
          <w:i/>
          <w:iCs/>
          <w:lang w:eastAsia="x-none"/>
        </w:rPr>
        <w:t>Conclusion</w:t>
      </w:r>
    </w:p>
    <w:p w14:paraId="32849ECA" w14:textId="77777777" w:rsidR="00CC36D6" w:rsidRPr="00CC36D6" w:rsidRDefault="00CC36D6" w:rsidP="00CC36D6">
      <w:pPr>
        <w:rPr>
          <w:rFonts w:eastAsia="Calibri" w:cstheme="minorHAnsi"/>
          <w:i/>
          <w:iCs/>
        </w:rPr>
      </w:pPr>
      <w:r w:rsidRPr="00CC36D6">
        <w:rPr>
          <w:rFonts w:cstheme="minorHAnsi"/>
          <w:i/>
          <w:iCs/>
        </w:rPr>
        <w:t xml:space="preserve">In Rel-17, RAN1 will not specify specific mechanisms for intra-IAB-node interference (self-interference) management. </w:t>
      </w:r>
    </w:p>
    <w:p w14:paraId="24CC7198" w14:textId="77777777" w:rsidR="00CC36D6" w:rsidRPr="00CC36D6" w:rsidRDefault="00CC36D6" w:rsidP="005D3478">
      <w:pPr>
        <w:pStyle w:val="ListParagraph"/>
        <w:numPr>
          <w:ilvl w:val="0"/>
          <w:numId w:val="11"/>
        </w:numPr>
        <w:spacing w:before="0" w:after="0" w:line="240" w:lineRule="auto"/>
        <w:textAlignment w:val="baseline"/>
        <w:rPr>
          <w:rFonts w:eastAsia="Calibri" w:cstheme="minorHAnsi"/>
          <w:i/>
          <w:iCs/>
          <w:szCs w:val="20"/>
        </w:rPr>
      </w:pPr>
      <w:r w:rsidRPr="00CC36D6">
        <w:rPr>
          <w:rFonts w:eastAsia="Calibri" w:cstheme="minorHAnsi"/>
          <w:i/>
          <w:iCs/>
          <w:szCs w:val="20"/>
        </w:rPr>
        <w:t xml:space="preserve">Self-interference can be handled by the implementation or via using the available techniques defined, or to be defined in Rel-17, that can commonly be used for other interference scenarios as well. </w:t>
      </w:r>
    </w:p>
    <w:p w14:paraId="43B2E50F" w14:textId="77777777" w:rsidR="00CC36D6" w:rsidRPr="00CC36D6" w:rsidRDefault="00CC36D6" w:rsidP="00CC36D6">
      <w:pPr>
        <w:spacing w:after="0"/>
        <w:rPr>
          <w:rFonts w:cstheme="minorHAnsi"/>
          <w:b/>
          <w:bCs/>
          <w:i/>
          <w:iCs/>
          <w:highlight w:val="green"/>
          <w:lang w:eastAsia="x-none"/>
        </w:rPr>
      </w:pPr>
    </w:p>
    <w:p w14:paraId="47EA968E" w14:textId="3A0A9996" w:rsidR="00CC36D6" w:rsidRPr="00CC36D6" w:rsidRDefault="00CC36D6" w:rsidP="00CC36D6">
      <w:pPr>
        <w:spacing w:after="120"/>
        <w:rPr>
          <w:rFonts w:cstheme="minorHAnsi"/>
          <w:b/>
          <w:bCs/>
          <w:i/>
          <w:iCs/>
          <w:highlight w:val="green"/>
          <w:lang w:eastAsia="x-none"/>
        </w:rPr>
      </w:pPr>
      <w:r w:rsidRPr="00CC36D6">
        <w:rPr>
          <w:rFonts w:cstheme="minorHAnsi"/>
          <w:b/>
          <w:bCs/>
          <w:i/>
          <w:iCs/>
          <w:highlight w:val="green"/>
        </w:rPr>
        <w:t>Agreement</w:t>
      </w:r>
    </w:p>
    <w:p w14:paraId="0D9EAD5D" w14:textId="77777777" w:rsidR="00CC36D6" w:rsidRPr="00CC36D6" w:rsidRDefault="00CC36D6" w:rsidP="00CC36D6">
      <w:pPr>
        <w:rPr>
          <w:rFonts w:eastAsia="Calibri" w:cstheme="minorHAnsi"/>
          <w:i/>
          <w:iCs/>
        </w:rPr>
      </w:pPr>
      <w:r w:rsidRPr="00CC36D6">
        <w:rPr>
          <w:rFonts w:eastAsia="Calibri" w:cstheme="minorHAnsi"/>
          <w:i/>
          <w:iCs/>
        </w:rPr>
        <w:t>RAN1 to select among the following options to support DU-to-DU measurement and report.</w:t>
      </w:r>
    </w:p>
    <w:p w14:paraId="1B6D9238" w14:textId="77777777" w:rsidR="00CC36D6" w:rsidRPr="00CC36D6" w:rsidRDefault="00CC36D6" w:rsidP="005D3478">
      <w:pPr>
        <w:pStyle w:val="ListParagraph"/>
        <w:numPr>
          <w:ilvl w:val="0"/>
          <w:numId w:val="11"/>
        </w:numPr>
        <w:spacing w:before="0" w:after="0" w:line="240" w:lineRule="auto"/>
        <w:textAlignment w:val="baseline"/>
        <w:rPr>
          <w:rFonts w:eastAsia="Calibri" w:cstheme="minorHAnsi"/>
          <w:i/>
          <w:iCs/>
          <w:szCs w:val="20"/>
        </w:rPr>
      </w:pPr>
      <w:r w:rsidRPr="00CC36D6">
        <w:rPr>
          <w:rFonts w:eastAsia="Calibri" w:cstheme="minorHAnsi"/>
          <w:i/>
          <w:iCs/>
          <w:szCs w:val="20"/>
        </w:rPr>
        <w:t>For DU-to-DU CLI measurement:</w:t>
      </w:r>
    </w:p>
    <w:p w14:paraId="558F221E" w14:textId="77777777" w:rsidR="00CC36D6" w:rsidRPr="00CC36D6" w:rsidRDefault="00CC36D6" w:rsidP="005D3478">
      <w:pPr>
        <w:pStyle w:val="ListParagraph"/>
        <w:numPr>
          <w:ilvl w:val="1"/>
          <w:numId w:val="11"/>
        </w:numPr>
        <w:spacing w:before="0" w:after="0" w:line="240" w:lineRule="auto"/>
        <w:textAlignment w:val="baseline"/>
        <w:rPr>
          <w:rFonts w:eastAsia="Calibri" w:cstheme="minorHAnsi"/>
          <w:i/>
          <w:iCs/>
          <w:szCs w:val="20"/>
        </w:rPr>
      </w:pPr>
      <w:r w:rsidRPr="00CC36D6">
        <w:rPr>
          <w:rFonts w:eastAsia="Calibri" w:cstheme="minorHAnsi"/>
          <w:i/>
          <w:iCs/>
          <w:szCs w:val="20"/>
        </w:rPr>
        <w:t>Option 1.1. no specific mechanism is specified (e.g., it is handled by the implementation, or the available techniques)</w:t>
      </w:r>
    </w:p>
    <w:p w14:paraId="6F1CC671" w14:textId="77777777" w:rsidR="00CC36D6" w:rsidRPr="00CC36D6" w:rsidRDefault="00CC36D6" w:rsidP="005D3478">
      <w:pPr>
        <w:pStyle w:val="ListParagraph"/>
        <w:numPr>
          <w:ilvl w:val="1"/>
          <w:numId w:val="11"/>
        </w:numPr>
        <w:spacing w:before="0" w:after="0" w:line="240" w:lineRule="auto"/>
        <w:textAlignment w:val="baseline"/>
        <w:rPr>
          <w:rFonts w:eastAsia="Calibri" w:cstheme="minorHAnsi"/>
          <w:i/>
          <w:iCs/>
          <w:szCs w:val="20"/>
        </w:rPr>
      </w:pPr>
      <w:r w:rsidRPr="00CC36D6">
        <w:rPr>
          <w:rFonts w:eastAsia="Calibri" w:cstheme="minorHAnsi"/>
          <w:i/>
          <w:iCs/>
          <w:szCs w:val="20"/>
        </w:rPr>
        <w:t xml:space="preserve">Option 1.2. </w:t>
      </w:r>
      <w:bookmarkStart w:id="182" w:name="_Hlk71649794"/>
      <w:r w:rsidRPr="00CC36D6">
        <w:rPr>
          <w:rFonts w:eastAsia="Calibri" w:cstheme="minorHAnsi"/>
          <w:i/>
          <w:iCs/>
          <w:szCs w:val="20"/>
        </w:rPr>
        <w:t>enhanced legacy DU-based</w:t>
      </w:r>
      <w:bookmarkEnd w:id="182"/>
      <w:r w:rsidRPr="00CC36D6">
        <w:rPr>
          <w:rFonts w:eastAsia="Calibri" w:cstheme="minorHAnsi"/>
          <w:i/>
          <w:iCs/>
          <w:szCs w:val="20"/>
        </w:rPr>
        <w:t xml:space="preserve"> measurement procedures (e.g., enhanced Rel-16 RIM)</w:t>
      </w:r>
    </w:p>
    <w:p w14:paraId="3DF5CC52" w14:textId="77777777" w:rsidR="00CC36D6" w:rsidRPr="00CC36D6" w:rsidRDefault="00CC36D6" w:rsidP="005D3478">
      <w:pPr>
        <w:pStyle w:val="ListParagraph"/>
        <w:numPr>
          <w:ilvl w:val="1"/>
          <w:numId w:val="11"/>
        </w:numPr>
        <w:spacing w:before="0" w:after="0" w:line="240" w:lineRule="auto"/>
        <w:textAlignment w:val="baseline"/>
        <w:rPr>
          <w:rFonts w:eastAsia="Calibri" w:cstheme="minorHAnsi"/>
          <w:i/>
          <w:iCs/>
          <w:szCs w:val="20"/>
        </w:rPr>
      </w:pPr>
      <w:r w:rsidRPr="00CC36D6">
        <w:rPr>
          <w:rFonts w:eastAsia="Calibri" w:cstheme="minorHAnsi"/>
          <w:i/>
          <w:iCs/>
          <w:szCs w:val="20"/>
        </w:rPr>
        <w:t>Option 1.3. enhanced MT-based measurements (e.g., MT-based CLI, MT RRM measurements)</w:t>
      </w:r>
    </w:p>
    <w:p w14:paraId="19AC3597" w14:textId="77777777" w:rsidR="00CC36D6" w:rsidRPr="00CC36D6" w:rsidRDefault="00CC36D6" w:rsidP="005D3478">
      <w:pPr>
        <w:pStyle w:val="ListParagraph"/>
        <w:numPr>
          <w:ilvl w:val="0"/>
          <w:numId w:val="11"/>
        </w:numPr>
        <w:spacing w:before="0" w:after="0" w:line="240" w:lineRule="auto"/>
        <w:textAlignment w:val="baseline"/>
        <w:rPr>
          <w:rFonts w:eastAsia="Calibri" w:cstheme="minorHAnsi"/>
          <w:i/>
          <w:iCs/>
          <w:szCs w:val="20"/>
        </w:rPr>
      </w:pPr>
      <w:r w:rsidRPr="00CC36D6">
        <w:rPr>
          <w:rFonts w:eastAsia="Calibri" w:cstheme="minorHAnsi"/>
          <w:i/>
          <w:iCs/>
          <w:szCs w:val="20"/>
        </w:rPr>
        <w:t>For DU-to-DU CLI report:</w:t>
      </w:r>
    </w:p>
    <w:p w14:paraId="7E90A67C" w14:textId="77777777" w:rsidR="00CC36D6" w:rsidRPr="00CC36D6" w:rsidRDefault="00CC36D6" w:rsidP="005D3478">
      <w:pPr>
        <w:pStyle w:val="ListParagraph"/>
        <w:numPr>
          <w:ilvl w:val="1"/>
          <w:numId w:val="11"/>
        </w:numPr>
        <w:spacing w:before="0" w:after="0" w:line="240" w:lineRule="auto"/>
        <w:textAlignment w:val="baseline"/>
        <w:rPr>
          <w:rFonts w:eastAsia="Calibri" w:cstheme="minorHAnsi"/>
          <w:i/>
          <w:iCs/>
          <w:szCs w:val="20"/>
        </w:rPr>
      </w:pPr>
      <w:r w:rsidRPr="00CC36D6">
        <w:rPr>
          <w:rFonts w:eastAsia="Calibri" w:cstheme="minorHAnsi"/>
          <w:i/>
          <w:iCs/>
          <w:szCs w:val="20"/>
        </w:rPr>
        <w:t>Option 2.1. no specific mechanism is specified (e.g., it is handled by the implementation, or the available techniques)</w:t>
      </w:r>
    </w:p>
    <w:p w14:paraId="0E4FF1F0" w14:textId="77777777" w:rsidR="00CC36D6" w:rsidRPr="00CC36D6" w:rsidRDefault="00CC36D6" w:rsidP="005D3478">
      <w:pPr>
        <w:pStyle w:val="ListParagraph"/>
        <w:numPr>
          <w:ilvl w:val="1"/>
          <w:numId w:val="11"/>
        </w:numPr>
        <w:spacing w:before="0" w:after="0" w:line="240" w:lineRule="auto"/>
        <w:textAlignment w:val="baseline"/>
        <w:rPr>
          <w:rFonts w:eastAsia="Calibri" w:cstheme="minorHAnsi"/>
          <w:i/>
          <w:iCs/>
          <w:szCs w:val="20"/>
        </w:rPr>
      </w:pPr>
      <w:r w:rsidRPr="00CC36D6">
        <w:rPr>
          <w:rFonts w:eastAsia="Calibri" w:cstheme="minorHAnsi"/>
          <w:i/>
          <w:iCs/>
          <w:szCs w:val="20"/>
        </w:rPr>
        <w:t>Option 2.2. enhanced legacy DU-based report (e.g., enhanced Rel-16 RIM)</w:t>
      </w:r>
    </w:p>
    <w:p w14:paraId="2C0146A7" w14:textId="77777777" w:rsidR="00CC36D6" w:rsidRPr="00CC36D6" w:rsidRDefault="00CC36D6" w:rsidP="005D3478">
      <w:pPr>
        <w:pStyle w:val="ListParagraph"/>
        <w:numPr>
          <w:ilvl w:val="1"/>
          <w:numId w:val="11"/>
        </w:numPr>
        <w:spacing w:before="0" w:after="0" w:line="240" w:lineRule="auto"/>
        <w:textAlignment w:val="baseline"/>
        <w:rPr>
          <w:rFonts w:eastAsia="Calibri" w:cstheme="minorHAnsi"/>
          <w:i/>
          <w:iCs/>
          <w:szCs w:val="20"/>
        </w:rPr>
      </w:pPr>
      <w:r w:rsidRPr="00CC36D6">
        <w:rPr>
          <w:rFonts w:eastAsia="Calibri" w:cstheme="minorHAnsi"/>
          <w:i/>
          <w:iCs/>
          <w:szCs w:val="20"/>
        </w:rPr>
        <w:t>Option 2.3. enhanced MT-based report (e.g., MT-based CLI, MT RRM measurements)</w:t>
      </w:r>
    </w:p>
    <w:p w14:paraId="48002C90" w14:textId="77777777" w:rsidR="00CC36D6" w:rsidRPr="00CC36D6" w:rsidRDefault="00CC36D6" w:rsidP="00CC36D6">
      <w:pPr>
        <w:spacing w:after="0"/>
        <w:rPr>
          <w:rFonts w:cstheme="minorHAnsi"/>
          <w:i/>
          <w:iCs/>
          <w:lang w:eastAsia="x-none"/>
        </w:rPr>
      </w:pPr>
    </w:p>
    <w:p w14:paraId="49BA7D7C" w14:textId="77777777" w:rsidR="00CC36D6" w:rsidRPr="00CC36D6" w:rsidRDefault="00CC36D6" w:rsidP="00CC36D6">
      <w:pPr>
        <w:spacing w:after="120"/>
        <w:rPr>
          <w:rFonts w:cstheme="minorHAnsi"/>
          <w:b/>
          <w:bCs/>
          <w:i/>
          <w:iCs/>
          <w:highlight w:val="green"/>
          <w:lang w:eastAsia="x-none"/>
        </w:rPr>
      </w:pPr>
      <w:r w:rsidRPr="00CC36D6">
        <w:rPr>
          <w:rFonts w:cstheme="minorHAnsi"/>
          <w:b/>
          <w:bCs/>
          <w:i/>
          <w:iCs/>
          <w:highlight w:val="green"/>
        </w:rPr>
        <w:t>Agreement</w:t>
      </w:r>
    </w:p>
    <w:p w14:paraId="126CCA7A" w14:textId="77777777" w:rsidR="00CC36D6" w:rsidRPr="00CC36D6" w:rsidRDefault="00CC36D6" w:rsidP="00CC36D6">
      <w:pPr>
        <w:rPr>
          <w:rFonts w:eastAsia="Calibri" w:cstheme="minorHAnsi"/>
          <w:i/>
          <w:iCs/>
        </w:rPr>
      </w:pPr>
      <w:r w:rsidRPr="00CC36D6">
        <w:rPr>
          <w:rFonts w:eastAsia="Calibri" w:cstheme="minorHAnsi"/>
          <w:i/>
          <w:iCs/>
        </w:rPr>
        <w:t>RAN1 to decide whether to enhance interference mitigation through information exchange to support beam-management at the parent or child node in RAN1#104bis-e</w:t>
      </w:r>
    </w:p>
    <w:p w14:paraId="72A06849" w14:textId="77777777" w:rsidR="00CC36D6" w:rsidRPr="00CC36D6" w:rsidRDefault="00CC36D6" w:rsidP="005D3478">
      <w:pPr>
        <w:pStyle w:val="ListParagraph"/>
        <w:numPr>
          <w:ilvl w:val="1"/>
          <w:numId w:val="12"/>
        </w:numPr>
        <w:spacing w:before="0" w:after="0" w:line="240" w:lineRule="auto"/>
        <w:textAlignment w:val="baseline"/>
        <w:rPr>
          <w:rFonts w:eastAsia="Calibri" w:cstheme="minorHAnsi"/>
          <w:i/>
          <w:iCs/>
          <w:szCs w:val="20"/>
        </w:rPr>
      </w:pPr>
      <w:r w:rsidRPr="00CC36D6">
        <w:rPr>
          <w:rFonts w:eastAsia="Calibri" w:cstheme="minorHAnsi"/>
          <w:i/>
          <w:iCs/>
          <w:szCs w:val="20"/>
        </w:rPr>
        <w:t>FFS: reporting of desired beams for reception in DL or desired beams for transmission in UL by the IAB node for a given multiplexing mode</w:t>
      </w:r>
    </w:p>
    <w:p w14:paraId="0ECD9AAE" w14:textId="77777777" w:rsidR="00CC36D6" w:rsidRPr="00CC36D6" w:rsidRDefault="00CC36D6" w:rsidP="005D3478">
      <w:pPr>
        <w:pStyle w:val="ListParagraph"/>
        <w:numPr>
          <w:ilvl w:val="1"/>
          <w:numId w:val="12"/>
        </w:numPr>
        <w:spacing w:before="0" w:after="0" w:line="240" w:lineRule="auto"/>
        <w:textAlignment w:val="baseline"/>
        <w:rPr>
          <w:rFonts w:cstheme="minorHAnsi"/>
          <w:i/>
          <w:iCs/>
          <w:szCs w:val="20"/>
        </w:rPr>
      </w:pPr>
      <w:r w:rsidRPr="00CC36D6">
        <w:rPr>
          <w:rFonts w:eastAsia="Calibri" w:cstheme="minorHAnsi"/>
          <w:i/>
          <w:iCs/>
          <w:szCs w:val="20"/>
        </w:rPr>
        <w:t>FFS: indicating applicable beams in DL or beams in UL for a given multiplexing mode.</w:t>
      </w:r>
    </w:p>
    <w:p w14:paraId="6BBA42A0" w14:textId="77777777" w:rsidR="00AA3CA5" w:rsidRDefault="00AA3CA5" w:rsidP="003A6A10"/>
    <w:p w14:paraId="121B997B" w14:textId="0D14A0CE" w:rsidR="003A6A10" w:rsidRDefault="00683EE8" w:rsidP="003A6A10">
      <w:r>
        <w:t>D</w:t>
      </w:r>
      <w:r w:rsidR="003A6A10">
        <w:t xml:space="preserve">ifferent types of interference, including cross-link interference (CLI) </w:t>
      </w:r>
      <w:r>
        <w:t xml:space="preserve">among adjacent IAB nodes </w:t>
      </w:r>
      <w:r w:rsidR="003A6A10">
        <w:t>and self-interference (SI) within an IAB node can be handled by configuring reference signals that other IAB nodes in the vicinity can measure. These reference signals are naturally CSI-RS for DL resources and SRS for UL resources. This approach works well at least for handling interference among IAB nodes connected to the same IAB donor, because information of these designated CSI-RS/SRS configurations can be provided to all the IAB nodes by the IAB-CU. The case of interference among IAB nodes connected to different IAB donors can be further studied.</w:t>
      </w:r>
      <w:r w:rsidR="00606615" w:rsidRPr="00606615">
        <w:t xml:space="preserve"> </w:t>
      </w:r>
      <w:r w:rsidR="00606615">
        <w:t>Furthermore, CLI where either the aggressor or the victim is a UE can also be handled by existing CLI specifications.</w:t>
      </w:r>
    </w:p>
    <w:p w14:paraId="71CFDDEB" w14:textId="41BDE924" w:rsidR="00872977" w:rsidRDefault="00872977" w:rsidP="005A46B0">
      <w:r>
        <w:t>Two types of CLI measurements were specified</w:t>
      </w:r>
      <w:r w:rsidR="00C54C1C">
        <w:t xml:space="preserve"> in Rel-16</w:t>
      </w:r>
      <w:r>
        <w:t>: SRS-RSRP and CLI-RSSI. Given that a typical IAB deployment may allow IAB nodes to be in close proximity compared to a typical cellular system, especially in mobile IAB scenarios where a continuous CLI measurement and a flexible resource allocation for reference signals is needed, several aspects of CLI can be enhanced for application in IAB systems. For example, semi-persistent configurations where IAB nodes can activate or deactivate reference signal transmissions and measurements can be introduced so as to allow multi-hop IAB systems to gain control over</w:t>
      </w:r>
      <w:r w:rsidR="006E32C4">
        <w:t xml:space="preserve"> </w:t>
      </w:r>
      <w:r>
        <w:t>measurements and reporting.</w:t>
      </w:r>
    </w:p>
    <w:p w14:paraId="0BE6692A" w14:textId="24AE6AA0" w:rsidR="00051605" w:rsidRDefault="00051605" w:rsidP="00A302A1">
      <w:pPr>
        <w:pStyle w:val="Proposal"/>
      </w:pPr>
      <w:bookmarkStart w:id="183" w:name="_Toc71649895"/>
      <w:bookmarkStart w:id="184" w:name="_Toc71655196"/>
      <w:bookmarkStart w:id="185" w:name="_Toc71659411"/>
      <w:bookmarkStart w:id="186" w:name="_Toc71659894"/>
      <w:bookmarkStart w:id="187" w:name="_Toc71665117"/>
      <w:bookmarkStart w:id="188" w:name="_Toc71668889"/>
      <w:bookmarkStart w:id="189" w:name="_Toc71668934"/>
      <w:bookmarkStart w:id="190" w:name="_Toc71668998"/>
      <w:bookmarkStart w:id="191" w:name="_Toc71671251"/>
      <w:bookmarkStart w:id="192" w:name="_Toc71671405"/>
      <w:bookmarkStart w:id="193" w:name="_Toc79159559"/>
      <w:bookmarkStart w:id="194" w:name="_Toc79159675"/>
      <w:bookmarkStart w:id="195" w:name="_Toc79178208"/>
      <w:r>
        <w:t xml:space="preserve">Support </w:t>
      </w:r>
      <w:r w:rsidRPr="008731DC">
        <w:t>enhanced</w:t>
      </w:r>
      <w:r w:rsidRPr="00051605">
        <w:t xml:space="preserve"> DU-based</w:t>
      </w:r>
      <w:r>
        <w:t xml:space="preserve"> procedures for measurement and reporting. Further </w:t>
      </w:r>
      <w:r w:rsidR="00F33C6E">
        <w:t xml:space="preserve">consider </w:t>
      </w:r>
      <w:r>
        <w:t>MT-based procedures.</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4B67717E" w14:textId="42EA517C" w:rsidR="009B48F3" w:rsidRDefault="00872977" w:rsidP="00872977">
      <w:r>
        <w:t xml:space="preserve">Another </w:t>
      </w:r>
      <w:r w:rsidR="00931271">
        <w:t>matter is timing adjustment to improve accuracy of CLI measurements</w:t>
      </w:r>
      <w:r>
        <w:t xml:space="preserve">. </w:t>
      </w:r>
      <w:r w:rsidR="00931271">
        <w:t xml:space="preserve">According to Rel-16 CLI, the victim IAB node receives configuration information for SRS </w:t>
      </w:r>
      <w:r w:rsidR="009B48F3">
        <w:t xml:space="preserve">from </w:t>
      </w:r>
      <w:r w:rsidR="00931271">
        <w:t xml:space="preserve">the aggressor IAB node. </w:t>
      </w:r>
      <w:r w:rsidR="009B48F3">
        <w:t>But t</w:t>
      </w:r>
      <w:r w:rsidR="00931271">
        <w:t>he timing of the SRS transmission is</w:t>
      </w:r>
      <w:r w:rsidR="009B48F3">
        <w:t xml:space="preserve"> </w:t>
      </w:r>
      <w:r w:rsidR="00931271">
        <w:t xml:space="preserve">unknown to the </w:t>
      </w:r>
      <w:r w:rsidR="00B25163">
        <w:t>victim</w:t>
      </w:r>
      <w:r w:rsidR="00931271">
        <w:t xml:space="preserve"> node, hence </w:t>
      </w:r>
      <w:r w:rsidR="00B25163">
        <w:t>potentially</w:t>
      </w:r>
      <w:r w:rsidR="009B48F3">
        <w:t xml:space="preserve"> </w:t>
      </w:r>
      <w:r w:rsidR="00931271">
        <w:t>reducing the measurement accuracy if left to implementation.</w:t>
      </w:r>
      <w:r w:rsidR="009B48F3" w:rsidRPr="009B48F3">
        <w:t xml:space="preserve"> </w:t>
      </w:r>
      <w:r w:rsidR="009B48F3">
        <w:t>Compared to UE-to-UE CLI, the matter might be worse in the case of IAB due to various timing alignment modes in the uplink.</w:t>
      </w:r>
    </w:p>
    <w:p w14:paraId="4E81825F" w14:textId="10FAAECA" w:rsidR="00872977" w:rsidRDefault="00931271" w:rsidP="009B48F3">
      <w:r>
        <w:t>Addressing this issue for UE-to-UE CLI could be complicated, possibly requiring inter-gNB signaling for conveying timing information.</w:t>
      </w:r>
      <w:r w:rsidR="009B48F3">
        <w:t xml:space="preserve"> However, </w:t>
      </w:r>
      <w:r>
        <w:t>s</w:t>
      </w:r>
      <w:r w:rsidR="00872977">
        <w:t xml:space="preserve">ince </w:t>
      </w:r>
      <w:r>
        <w:t>the aggressor node</w:t>
      </w:r>
      <w:r w:rsidR="00872977">
        <w:t xml:space="preserve"> transmit</w:t>
      </w:r>
      <w:r>
        <w:t>s</w:t>
      </w:r>
      <w:r w:rsidR="00872977">
        <w:t xml:space="preserve"> </w:t>
      </w:r>
      <w:r w:rsidR="009B48F3">
        <w:t>SSBs</w:t>
      </w:r>
      <w:r w:rsidR="00872977">
        <w:t xml:space="preserve">, </w:t>
      </w:r>
      <w:r>
        <w:t xml:space="preserve">the victim node can obtain </w:t>
      </w:r>
      <w:r w:rsidR="00872977">
        <w:t xml:space="preserve">the timing </w:t>
      </w:r>
      <w:r>
        <w:t>and utilize that for timing adjustment.</w:t>
      </w:r>
    </w:p>
    <w:p w14:paraId="5973560B" w14:textId="7C103021" w:rsidR="00872977" w:rsidRDefault="00FD5F3F" w:rsidP="00A302A1">
      <w:pPr>
        <w:pStyle w:val="Proposal"/>
      </w:pPr>
      <w:bookmarkStart w:id="196" w:name="_Toc54333411"/>
      <w:bookmarkStart w:id="197" w:name="_Toc54334225"/>
      <w:bookmarkStart w:id="198" w:name="_Toc54335456"/>
      <w:bookmarkStart w:id="199" w:name="_Toc54336349"/>
      <w:bookmarkStart w:id="200" w:name="_Toc54337825"/>
      <w:bookmarkStart w:id="201" w:name="_Toc54338582"/>
      <w:bookmarkStart w:id="202" w:name="_Toc54339094"/>
      <w:bookmarkStart w:id="203" w:name="_Toc54339226"/>
      <w:bookmarkStart w:id="204" w:name="_Toc54340307"/>
      <w:bookmarkStart w:id="205" w:name="_Toc54345675"/>
      <w:bookmarkStart w:id="206" w:name="_Toc61554242"/>
      <w:bookmarkStart w:id="207" w:name="_Toc61556561"/>
      <w:bookmarkStart w:id="208" w:name="_Toc61556775"/>
      <w:bookmarkStart w:id="209" w:name="_Toc61557421"/>
      <w:bookmarkStart w:id="210" w:name="_Toc61558131"/>
      <w:bookmarkStart w:id="211" w:name="_Toc61559440"/>
      <w:bookmarkStart w:id="212" w:name="_Toc61860814"/>
      <w:bookmarkStart w:id="213" w:name="_Toc61869502"/>
      <w:bookmarkStart w:id="214" w:name="_Toc61870343"/>
      <w:bookmarkStart w:id="215" w:name="_Toc61871479"/>
      <w:bookmarkStart w:id="216" w:name="_Toc61874658"/>
      <w:bookmarkStart w:id="217" w:name="_Toc61893683"/>
      <w:bookmarkStart w:id="218" w:name="_Toc71645249"/>
      <w:bookmarkStart w:id="219" w:name="_Toc71646784"/>
      <w:bookmarkStart w:id="220" w:name="_Toc71648196"/>
      <w:bookmarkStart w:id="221" w:name="_Toc71649896"/>
      <w:bookmarkStart w:id="222" w:name="_Toc71655197"/>
      <w:bookmarkStart w:id="223" w:name="_Toc71659412"/>
      <w:bookmarkStart w:id="224" w:name="_Toc71659895"/>
      <w:bookmarkStart w:id="225" w:name="_Toc71665118"/>
      <w:bookmarkStart w:id="226" w:name="_Toc71668890"/>
      <w:bookmarkStart w:id="227" w:name="_Toc71668935"/>
      <w:bookmarkStart w:id="228" w:name="_Toc71668999"/>
      <w:bookmarkStart w:id="229" w:name="_Toc71671252"/>
      <w:bookmarkStart w:id="230" w:name="_Toc71671406"/>
      <w:bookmarkStart w:id="231" w:name="_Toc79159560"/>
      <w:bookmarkStart w:id="232" w:name="_Toc79159676"/>
      <w:bookmarkStart w:id="233" w:name="_Toc79178209"/>
      <w:r>
        <w:lastRenderedPageBreak/>
        <w:t>Support</w:t>
      </w:r>
      <w:r w:rsidR="00872977">
        <w:t xml:space="preserve"> timing adjustment for CLI measurements </w:t>
      </w:r>
      <w:r>
        <w:t xml:space="preserve">at the victim node based on </w:t>
      </w:r>
      <w:r w:rsidR="009B48F3">
        <w:t xml:space="preserve">timing obtained by receiving </w:t>
      </w:r>
      <w:r>
        <w:t>SSB from the aggressor node</w:t>
      </w:r>
      <w:r w:rsidR="00872977">
        <w: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78DE54E" w14:textId="77777777" w:rsidR="00274080" w:rsidRDefault="00274080" w:rsidP="00274080">
      <w:r>
        <w:t>Companies were encouraged in the previous meetings to further consider resource partitioning scenarios. One of the main aspects is how to handle interference and whether that affects DL/UL resources and backhaul/access links.</w:t>
      </w:r>
    </w:p>
    <w:p w14:paraId="29A2BC27" w14:textId="77777777" w:rsidR="00274080" w:rsidRDefault="00274080" w:rsidP="00274080">
      <w:r>
        <w:t xml:space="preserve">We propose to consider both downlink and uplink resources to cover all the four duplexing cases at least for the backhaul link. </w:t>
      </w:r>
      <w:bookmarkStart w:id="234" w:name="_Hlk54338286"/>
      <w:r>
        <w:t>The different types of interference, including cross-link interference (CLI) and self-interference (SI), among adjacent IAB nodes and within an IAB node, can be handled by configuring reference signals that other IAB nodes in the vicinity can measure. These reference signals are naturally CSI-RS for DL resources and SRS for UL resources. This approach works well at least for handling interference among IAB nodes connected to the same IAB donor, because information of these designated CSI-RS/SRS configurations can be provided to all the IAB nodes by the IAB-CU. The case of interference among IAB nodes connected to different IAB donors can be further studied.</w:t>
      </w:r>
    </w:p>
    <w:p w14:paraId="6318DD56" w14:textId="77777777" w:rsidR="00274080" w:rsidRDefault="00274080" w:rsidP="00274080">
      <w:r>
        <w:t>Furthermore, CLI where either the aggressor or the victim is a UE can also be handled by existing CLI specifications. Therefore, it can be argued that resource partitioning for duplexing cases need not be discriminated based on resource type (DL/UL) or link type (access/backhaul).</w:t>
      </w:r>
    </w:p>
    <w:p w14:paraId="4BF01CC9" w14:textId="5839386C" w:rsidR="00274080" w:rsidRDefault="00274080" w:rsidP="00A302A1">
      <w:pPr>
        <w:pStyle w:val="Proposal"/>
      </w:pPr>
      <w:bookmarkStart w:id="235" w:name="_Toc54311505"/>
      <w:bookmarkStart w:id="236" w:name="_Toc54311605"/>
      <w:bookmarkStart w:id="237" w:name="_Toc54311800"/>
      <w:bookmarkStart w:id="238" w:name="_Toc54332053"/>
      <w:bookmarkStart w:id="239" w:name="_Toc54332731"/>
      <w:bookmarkStart w:id="240" w:name="_Toc54332775"/>
      <w:bookmarkStart w:id="241" w:name="_Toc54332817"/>
      <w:bookmarkStart w:id="242" w:name="_Toc54336717"/>
      <w:bookmarkStart w:id="243" w:name="_Toc54336878"/>
      <w:bookmarkStart w:id="244" w:name="_Toc54341455"/>
      <w:bookmarkStart w:id="245" w:name="_Toc54341513"/>
      <w:bookmarkStart w:id="246" w:name="_Toc54345802"/>
      <w:bookmarkStart w:id="247" w:name="_Toc54393519"/>
      <w:bookmarkStart w:id="248" w:name="_Toc54393580"/>
      <w:bookmarkStart w:id="249" w:name="_Toc54393719"/>
      <w:bookmarkStart w:id="250" w:name="_Toc61520645"/>
      <w:bookmarkStart w:id="251" w:name="_Toc61536511"/>
      <w:bookmarkStart w:id="252" w:name="_Toc61541291"/>
      <w:bookmarkStart w:id="253" w:name="_Toc61541343"/>
      <w:bookmarkStart w:id="254" w:name="_Toc61544634"/>
      <w:bookmarkStart w:id="255" w:name="_Toc61547547"/>
      <w:bookmarkStart w:id="256" w:name="_Toc61558132"/>
      <w:bookmarkStart w:id="257" w:name="_Toc61559441"/>
      <w:bookmarkStart w:id="258" w:name="_Toc61860815"/>
      <w:bookmarkStart w:id="259" w:name="_Toc61869503"/>
      <w:bookmarkStart w:id="260" w:name="_Toc61870344"/>
      <w:bookmarkStart w:id="261" w:name="_Toc61871480"/>
      <w:bookmarkStart w:id="262" w:name="_Toc61874659"/>
      <w:bookmarkStart w:id="263" w:name="_Toc61893684"/>
      <w:bookmarkStart w:id="264" w:name="_Toc71645250"/>
      <w:bookmarkStart w:id="265" w:name="_Toc71646785"/>
      <w:bookmarkStart w:id="266" w:name="_Toc71648197"/>
      <w:bookmarkStart w:id="267" w:name="_Toc71649897"/>
      <w:bookmarkStart w:id="268" w:name="_Toc71655198"/>
      <w:bookmarkStart w:id="269" w:name="_Toc71659413"/>
      <w:bookmarkStart w:id="270" w:name="_Toc71659896"/>
      <w:bookmarkStart w:id="271" w:name="_Toc71665119"/>
      <w:bookmarkStart w:id="272" w:name="_Toc71668891"/>
      <w:bookmarkStart w:id="273" w:name="_Toc71668936"/>
      <w:bookmarkStart w:id="274" w:name="_Toc71669000"/>
      <w:bookmarkStart w:id="275" w:name="_Toc71671253"/>
      <w:bookmarkStart w:id="276" w:name="_Toc71671407"/>
      <w:bookmarkStart w:id="277" w:name="_Toc79159561"/>
      <w:bookmarkStart w:id="278" w:name="_Toc79159677"/>
      <w:bookmarkStart w:id="279" w:name="_Toc79178210"/>
      <w:bookmarkEnd w:id="234"/>
      <w:r>
        <w:t xml:space="preserve">Support </w:t>
      </w:r>
      <w:r w:rsidR="003171F2">
        <w:t xml:space="preserve">CLI for </w:t>
      </w:r>
      <w:r>
        <w:t xml:space="preserve">downlink and uplink resources </w:t>
      </w:r>
      <w:r w:rsidR="003171F2">
        <w:t>of</w:t>
      </w:r>
      <w:r>
        <w:t xml:space="preserve"> backhaul links and access links.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8961EF6" w14:textId="432DB7E6" w:rsidR="00806559" w:rsidRDefault="00806559" w:rsidP="00806559">
      <w:pPr>
        <w:rPr>
          <w:lang w:val="en-GB"/>
        </w:rPr>
      </w:pPr>
      <w:r>
        <w:rPr>
          <w:lang w:val="en-GB"/>
        </w:rPr>
        <w:t>Advantages pursued by deploying IAB systems are reducing cell planning efforts and support for mobile small cells. IAB systems are expected to measure interference frequently and respond appropriate</w:t>
      </w:r>
      <w:r w:rsidR="00AC495A">
        <w:rPr>
          <w:lang w:val="en-GB"/>
        </w:rPr>
        <w:t>ly in a timely manner.</w:t>
      </w:r>
      <w:r>
        <w:rPr>
          <w:lang w:val="en-GB"/>
        </w:rPr>
        <w:t xml:space="preserve"> That includes cross-link interference (CLI)</w:t>
      </w:r>
      <w:r w:rsidR="00AC495A">
        <w:rPr>
          <w:lang w:val="en-GB"/>
        </w:rPr>
        <w:t xml:space="preserve"> and</w:t>
      </w:r>
      <w:r>
        <w:rPr>
          <w:lang w:val="en-GB"/>
        </w:rPr>
        <w:t xml:space="preserve"> inter-cell interference (ICI)</w:t>
      </w:r>
      <w:r w:rsidR="00AC495A">
        <w:rPr>
          <w:lang w:val="en-GB"/>
        </w:rPr>
        <w:t xml:space="preserve"> as well as</w:t>
      </w:r>
      <w:r>
        <w:rPr>
          <w:lang w:val="en-GB"/>
        </w:rPr>
        <w:t xml:space="preserve"> self-interference (SI) in the case of enhanced duplexing. Enhancements to interference management in IAB systems is further encouraged by the possibility of more effective coordination among IAB nodes that are connected to the same IAB donor; responding to prohibitive interference by prop</w:t>
      </w:r>
      <w:r w:rsidR="003B6C22">
        <w:rPr>
          <w:lang w:val="en-GB"/>
        </w:rPr>
        <w:t>e</w:t>
      </w:r>
      <w:r>
        <w:rPr>
          <w:lang w:val="en-GB"/>
        </w:rPr>
        <w:t>r beamforming and power control; and so on.</w:t>
      </w:r>
    </w:p>
    <w:p w14:paraId="558D1E1D" w14:textId="0A3847A7" w:rsidR="00274080" w:rsidRDefault="00A14B65" w:rsidP="00274080">
      <w:pPr>
        <w:rPr>
          <w:lang w:val="en-GB"/>
        </w:rPr>
      </w:pPr>
      <w:r>
        <w:rPr>
          <w:lang w:val="en-GB"/>
        </w:rPr>
        <w:t xml:space="preserve">Consider the scenario in </w:t>
      </w:r>
      <w:r w:rsidR="00502E28">
        <w:rPr>
          <w:lang w:val="en-GB"/>
        </w:rPr>
        <w:fldChar w:fldCharType="begin"/>
      </w:r>
      <w:r w:rsidR="00502E28">
        <w:rPr>
          <w:lang w:val="en-GB"/>
        </w:rPr>
        <w:instrText xml:space="preserve"> REF _Ref61867473 \r \h </w:instrText>
      </w:r>
      <w:r w:rsidR="00502E28">
        <w:rPr>
          <w:lang w:val="en-GB"/>
        </w:rPr>
      </w:r>
      <w:r w:rsidR="00502E28">
        <w:rPr>
          <w:lang w:val="en-GB"/>
        </w:rPr>
        <w:fldChar w:fldCharType="separate"/>
      </w:r>
      <w:r w:rsidR="00502E28">
        <w:rPr>
          <w:cs/>
          <w:lang w:val="en-GB"/>
        </w:rPr>
        <w:t>‎</w:t>
      </w:r>
      <w:r w:rsidR="00502E28">
        <w:rPr>
          <w:lang w:val="en-GB"/>
        </w:rPr>
        <w:t>Figure 2</w:t>
      </w:r>
      <w:r w:rsidR="00502E28">
        <w:rPr>
          <w:lang w:val="en-GB"/>
        </w:rPr>
        <w:fldChar w:fldCharType="end"/>
      </w:r>
      <w:r w:rsidR="00502E28">
        <w:rPr>
          <w:lang w:val="en-GB"/>
        </w:rPr>
        <w:t>.</w:t>
      </w:r>
    </w:p>
    <w:p w14:paraId="18F57275" w14:textId="0D9CC6CF" w:rsidR="00A14B65" w:rsidRDefault="00DF3994" w:rsidP="00A14B65">
      <w:pPr>
        <w:pStyle w:val="Figure"/>
      </w:pPr>
      <w:r w:rsidRPr="00DF3994">
        <w:rPr>
          <w:noProof/>
        </w:rPr>
        <w:drawing>
          <wp:inline distT="0" distB="0" distL="0" distR="0" wp14:anchorId="5D18908B" wp14:editId="7370BDAA">
            <wp:extent cx="1856232" cy="27249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6232" cy="2724912"/>
                    </a:xfrm>
                    <a:prstGeom prst="rect">
                      <a:avLst/>
                    </a:prstGeom>
                    <a:noFill/>
                    <a:ln>
                      <a:noFill/>
                    </a:ln>
                  </pic:spPr>
                </pic:pic>
              </a:graphicData>
            </a:graphic>
          </wp:inline>
        </w:drawing>
      </w:r>
    </w:p>
    <w:p w14:paraId="2711E4E4" w14:textId="2B42A6C2" w:rsidR="00A14B65" w:rsidRPr="00A14B65" w:rsidRDefault="00A14B65" w:rsidP="00A14B65">
      <w:pPr>
        <w:pStyle w:val="Caption"/>
      </w:pPr>
      <w:bookmarkStart w:id="280" w:name="_Ref61867473"/>
      <w:r>
        <w:t>. Example scenario for CLI and SI</w:t>
      </w:r>
      <w:bookmarkEnd w:id="280"/>
    </w:p>
    <w:p w14:paraId="653D6115" w14:textId="7916FB87" w:rsidR="00A14B65" w:rsidRDefault="00502E28" w:rsidP="00502E28">
      <w:pPr>
        <w:rPr>
          <w:lang w:val="en-GB"/>
        </w:rPr>
      </w:pPr>
      <w:r>
        <w:rPr>
          <w:lang w:val="en-GB"/>
        </w:rPr>
        <w:t xml:space="preserve">For </w:t>
      </w:r>
      <w:r w:rsidRPr="00502E28">
        <w:rPr>
          <w:lang w:val="en-GB"/>
        </w:rPr>
        <w:t>MT to MT, DU to DU, DU to MT, and MT to DU</w:t>
      </w:r>
      <w:r>
        <w:rPr>
          <w:lang w:val="en-GB"/>
        </w:rPr>
        <w:t xml:space="preserve"> interference between different IAB nodes, existing CLI and ICI mechanisms can be taken as a starting point for enhancements. Particularly, for managing interference between IAB nodes served by the same IAB donor, </w:t>
      </w:r>
      <w:r w:rsidR="00AC495A">
        <w:rPr>
          <w:lang w:val="en-GB"/>
        </w:rPr>
        <w:t>it is possible for the IAB donor to configure CSI-RS or SRS to measure downlink or uplink interference from an IAB-DU or IAB-MT, respectively, and share this information with IAB nodes in the vicinity. Since the interference from the DU or MT on other IAB nodes changes with variations in beamforming, Tx power, mobility, etc., the reference signal can be transmitted while such parameters are applied according to upcoming transmissions, hence allowing other IAB nodes to measure the resulting interference.</w:t>
      </w:r>
    </w:p>
    <w:p w14:paraId="01BC5917" w14:textId="2CBCEB69" w:rsidR="00AC495A" w:rsidRDefault="00AC495A" w:rsidP="00A302A1">
      <w:pPr>
        <w:pStyle w:val="Proposal"/>
        <w:rPr>
          <w:lang w:val="en-GB"/>
        </w:rPr>
      </w:pPr>
      <w:bookmarkStart w:id="281" w:name="_Toc61869504"/>
      <w:bookmarkStart w:id="282" w:name="_Toc61870345"/>
      <w:bookmarkStart w:id="283" w:name="_Toc61871481"/>
      <w:bookmarkStart w:id="284" w:name="_Toc61874660"/>
      <w:bookmarkStart w:id="285" w:name="_Toc61893685"/>
      <w:bookmarkStart w:id="286" w:name="_Toc71645251"/>
      <w:bookmarkStart w:id="287" w:name="_Toc71646786"/>
      <w:bookmarkStart w:id="288" w:name="_Toc71648198"/>
      <w:bookmarkStart w:id="289" w:name="_Toc71649898"/>
      <w:bookmarkStart w:id="290" w:name="_Toc71655199"/>
      <w:bookmarkStart w:id="291" w:name="_Toc71659414"/>
      <w:bookmarkStart w:id="292" w:name="_Toc71659897"/>
      <w:bookmarkStart w:id="293" w:name="_Toc71665120"/>
      <w:bookmarkStart w:id="294" w:name="_Toc71668892"/>
      <w:bookmarkStart w:id="295" w:name="_Toc71668937"/>
      <w:bookmarkStart w:id="296" w:name="_Toc71669001"/>
      <w:bookmarkStart w:id="297" w:name="_Toc71671254"/>
      <w:bookmarkStart w:id="298" w:name="_Toc71671408"/>
      <w:bookmarkStart w:id="299" w:name="_Toc79159562"/>
      <w:bookmarkStart w:id="300" w:name="_Toc79159678"/>
      <w:bookmarkStart w:id="301" w:name="_Toc79178211"/>
      <w:r>
        <w:rPr>
          <w:lang w:val="en-GB"/>
        </w:rPr>
        <w:t>Support configuration of reference signals for measuring CLI according to the aggressor node’s current beamforming</w:t>
      </w:r>
      <w:r w:rsidR="003060F4">
        <w:rPr>
          <w:lang w:val="en-GB"/>
        </w:rPr>
        <w:t>,</w:t>
      </w:r>
      <w:r>
        <w:rPr>
          <w:lang w:val="en-GB"/>
        </w:rPr>
        <w:t xml:space="preserve"> Tx power</w:t>
      </w:r>
      <w:r w:rsidR="003060F4">
        <w:rPr>
          <w:lang w:val="en-GB"/>
        </w:rPr>
        <w:t>, etc.</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F2DEBDB" w14:textId="6D11EB60" w:rsidR="00356140" w:rsidRDefault="00356140" w:rsidP="00356140">
      <w:pPr>
        <w:rPr>
          <w:lang w:val="en-GB"/>
        </w:rPr>
      </w:pPr>
      <w:r>
        <w:rPr>
          <w:lang w:val="en-GB"/>
        </w:rPr>
        <w:lastRenderedPageBreak/>
        <w:t>A similar situation applies to the case of self-interference for enhanced duplexing. Since beamforming can change the amount of SI between DU and MT of the IAB node, and since this interference generally depends on the environment, which may be varying in the case of mobile IAB or changing scattering environment, it is desired to devise similar mechanisms for SI measurement. In order to save resource overhead, same reference signals can be used for CLI and SI. Therefore, we propose to consider the different types of interfer</w:t>
      </w:r>
      <w:r w:rsidR="003B6C22">
        <w:rPr>
          <w:lang w:val="en-GB"/>
        </w:rPr>
        <w:t>e</w:t>
      </w:r>
      <w:r>
        <w:rPr>
          <w:lang w:val="en-GB"/>
        </w:rPr>
        <w:t>nce under the same framework.</w:t>
      </w:r>
    </w:p>
    <w:p w14:paraId="658ED3D4" w14:textId="29226AAC" w:rsidR="00274080" w:rsidRDefault="00274080" w:rsidP="00A302A1">
      <w:pPr>
        <w:pStyle w:val="Proposal"/>
      </w:pPr>
      <w:bookmarkStart w:id="302" w:name="_Toc54311506"/>
      <w:bookmarkStart w:id="303" w:name="_Toc54311606"/>
      <w:bookmarkStart w:id="304" w:name="_Toc54311801"/>
      <w:bookmarkStart w:id="305" w:name="_Toc54332054"/>
      <w:bookmarkStart w:id="306" w:name="_Toc54332732"/>
      <w:bookmarkStart w:id="307" w:name="_Toc54332776"/>
      <w:bookmarkStart w:id="308" w:name="_Toc54332818"/>
      <w:bookmarkStart w:id="309" w:name="_Toc54336718"/>
      <w:bookmarkStart w:id="310" w:name="_Toc54336879"/>
      <w:bookmarkStart w:id="311" w:name="_Toc54341456"/>
      <w:bookmarkStart w:id="312" w:name="_Toc54341514"/>
      <w:bookmarkStart w:id="313" w:name="_Toc54345803"/>
      <w:bookmarkStart w:id="314" w:name="_Toc54393520"/>
      <w:bookmarkStart w:id="315" w:name="_Toc54393581"/>
      <w:bookmarkStart w:id="316" w:name="_Toc54393720"/>
      <w:bookmarkStart w:id="317" w:name="_Toc61520646"/>
      <w:bookmarkStart w:id="318" w:name="_Toc61536512"/>
      <w:bookmarkStart w:id="319" w:name="_Toc61541292"/>
      <w:bookmarkStart w:id="320" w:name="_Toc61541344"/>
      <w:bookmarkStart w:id="321" w:name="_Toc61544635"/>
      <w:bookmarkStart w:id="322" w:name="_Toc61547548"/>
      <w:bookmarkStart w:id="323" w:name="_Toc61558133"/>
      <w:bookmarkStart w:id="324" w:name="_Toc61559442"/>
      <w:bookmarkStart w:id="325" w:name="_Toc61860816"/>
      <w:bookmarkStart w:id="326" w:name="_Toc61869505"/>
      <w:bookmarkStart w:id="327" w:name="_Toc61870346"/>
      <w:bookmarkStart w:id="328" w:name="_Toc61871482"/>
      <w:bookmarkStart w:id="329" w:name="_Toc61874661"/>
      <w:bookmarkStart w:id="330" w:name="_Toc61893686"/>
      <w:bookmarkStart w:id="331" w:name="_Toc71645252"/>
      <w:bookmarkStart w:id="332" w:name="_Toc71646787"/>
      <w:bookmarkStart w:id="333" w:name="_Toc71648199"/>
      <w:bookmarkStart w:id="334" w:name="_Toc71649899"/>
      <w:bookmarkStart w:id="335" w:name="_Toc71655200"/>
      <w:bookmarkStart w:id="336" w:name="_Toc71659415"/>
      <w:bookmarkStart w:id="337" w:name="_Toc71659898"/>
      <w:bookmarkStart w:id="338" w:name="_Toc71665121"/>
      <w:bookmarkStart w:id="339" w:name="_Toc71668893"/>
      <w:bookmarkStart w:id="340" w:name="_Toc71668938"/>
      <w:bookmarkStart w:id="341" w:name="_Toc71669002"/>
      <w:bookmarkStart w:id="342" w:name="_Toc71671255"/>
      <w:bookmarkStart w:id="343" w:name="_Toc71671409"/>
      <w:bookmarkStart w:id="344" w:name="_Toc79159563"/>
      <w:bookmarkStart w:id="345" w:name="_Toc79159679"/>
      <w:bookmarkStart w:id="346" w:name="_Toc79178212"/>
      <w:r w:rsidRPr="00C21D29">
        <w:t>Support interference management</w:t>
      </w:r>
      <w:r w:rsidR="00C21D29" w:rsidRPr="00C21D29">
        <w:t>,</w:t>
      </w:r>
      <w:r w:rsidRPr="00C21D29">
        <w:t xml:space="preserve"> including CLI and SI</w:t>
      </w:r>
      <w:r w:rsidR="00C21D29" w:rsidRPr="00C21D29">
        <w:t>,</w:t>
      </w:r>
      <w:r w:rsidRPr="00C21D29">
        <w:t xml:space="preserve"> at least </w:t>
      </w:r>
      <w:r w:rsidR="00316A1B" w:rsidRPr="00C21D29">
        <w:t>among</w:t>
      </w:r>
      <w:r w:rsidRPr="00C21D29">
        <w:t xml:space="preserve"> IAB nodes connected to the same IAB donor.</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sidR="00C21D29" w:rsidRPr="00C21D29">
        <w:t xml:space="preserve"> CLI and SI management can be specified under the same framework in order to reduce specification effort, improve implementation flexibility, and save resource overhead for reference signals.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B38F324" w14:textId="255FA6E4" w:rsidR="00456218" w:rsidRDefault="005B0443" w:rsidP="005B0443">
      <w:r>
        <w:t>Another interference scenario discussed in the last meeting</w:t>
      </w:r>
      <w:r w:rsidR="00456218">
        <w:t>s</w:t>
      </w:r>
      <w:r>
        <w:t xml:space="preserve"> is the case of interference from IAB nodes on non-IAB cells. This scenario is also of importance because IAB systems are distributed in nature, hence causing varying interference on nearby cells.</w:t>
      </w:r>
      <w:r w:rsidR="00456218">
        <w:t xml:space="preserve"> This is illustrated in </w:t>
      </w:r>
      <w:r w:rsidR="00C54C1C">
        <w:fldChar w:fldCharType="begin"/>
      </w:r>
      <w:r w:rsidR="00C54C1C">
        <w:instrText xml:space="preserve"> REF _Ref79159321 \r \h </w:instrText>
      </w:r>
      <w:r w:rsidR="00C54C1C">
        <w:fldChar w:fldCharType="separate"/>
      </w:r>
      <w:r w:rsidR="00C54C1C">
        <w:rPr>
          <w:cs/>
        </w:rPr>
        <w:t>‎</w:t>
      </w:r>
      <w:r w:rsidR="00C54C1C">
        <w:t>Figure 3</w:t>
      </w:r>
      <w:r w:rsidR="00C54C1C">
        <w:fldChar w:fldCharType="end"/>
      </w:r>
      <w:r w:rsidR="00C54C1C">
        <w:t>. Although the victim in this example is a legacy gNB, a similar concept is applicable in the case of IAB node as the victim and/or as the aggressor.</w:t>
      </w:r>
    </w:p>
    <w:p w14:paraId="6E91F4AA" w14:textId="48810950" w:rsidR="00456218" w:rsidRDefault="00C92545" w:rsidP="00456218">
      <w:pPr>
        <w:pStyle w:val="Figure"/>
      </w:pPr>
      <w:r w:rsidRPr="00C92545">
        <w:t xml:space="preserve"> </w:t>
      </w:r>
      <w:r w:rsidRPr="00C92545">
        <w:rPr>
          <w:noProof/>
        </w:rPr>
        <w:drawing>
          <wp:inline distT="0" distB="0" distL="0" distR="0" wp14:anchorId="759BE1BE" wp14:editId="208494F1">
            <wp:extent cx="3557016" cy="23774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7016" cy="2377440"/>
                    </a:xfrm>
                    <a:prstGeom prst="rect">
                      <a:avLst/>
                    </a:prstGeom>
                    <a:noFill/>
                    <a:ln>
                      <a:noFill/>
                    </a:ln>
                  </pic:spPr>
                </pic:pic>
              </a:graphicData>
            </a:graphic>
          </wp:inline>
        </w:drawing>
      </w:r>
    </w:p>
    <w:p w14:paraId="76FBD4DF" w14:textId="04FEE45B" w:rsidR="00456218" w:rsidRPr="00456218" w:rsidRDefault="00456218" w:rsidP="00456218">
      <w:pPr>
        <w:pStyle w:val="Caption"/>
      </w:pPr>
      <w:bookmarkStart w:id="347" w:name="_Ref79159321"/>
      <w:r>
        <w:t xml:space="preserve">. Varying interference from </w:t>
      </w:r>
      <w:r w:rsidR="00C54C1C">
        <w:t>an</w:t>
      </w:r>
      <w:r>
        <w:t xml:space="preserve"> IAB system on a nearby cell</w:t>
      </w:r>
      <w:bookmarkEnd w:id="347"/>
    </w:p>
    <w:p w14:paraId="28631EF4" w14:textId="1A4B70F4" w:rsidR="005B0443" w:rsidRDefault="005B0443" w:rsidP="005B0443">
      <w:r>
        <w:t xml:space="preserve">Existing TDD coordination signaling falls short in conveying this information to nearby cells for interference management. </w:t>
      </w:r>
      <w:r w:rsidR="00170C2B">
        <w:t xml:space="preserve">Signaling </w:t>
      </w:r>
      <w:r>
        <w:t xml:space="preserve">enhancements </w:t>
      </w:r>
      <w:r w:rsidR="00170C2B">
        <w:t xml:space="preserve">between IAB and non-IAB cells can be considered to enable </w:t>
      </w:r>
      <w:r>
        <w:t xml:space="preserve">resource coordination and interference management among non-IAB cells and </w:t>
      </w:r>
      <w:r w:rsidR="00ED6DEC">
        <w:t>IAB systems.</w:t>
      </w:r>
      <w:r w:rsidR="00665137">
        <w:t xml:space="preserve"> We propose to introduce proper signaling so as to avoid </w:t>
      </w:r>
      <w:r w:rsidR="002F24F2">
        <w:t xml:space="preserve">need for </w:t>
      </w:r>
      <w:r w:rsidR="00665137">
        <w:t xml:space="preserve">“IAB-MT transmission </w:t>
      </w:r>
      <w:r w:rsidR="00665137" w:rsidRPr="00665137">
        <w:t>in DL access slots</w:t>
      </w:r>
      <w:r w:rsidR="00665137">
        <w:t>.”</w:t>
      </w:r>
    </w:p>
    <w:p w14:paraId="4E73EF28" w14:textId="7410FA97" w:rsidR="004069D0" w:rsidRDefault="0046644D" w:rsidP="00A302A1">
      <w:pPr>
        <w:pStyle w:val="Proposal"/>
        <w:rPr>
          <w:lang w:bidi="fa-IR"/>
        </w:rPr>
      </w:pPr>
      <w:bookmarkStart w:id="348" w:name="_Toc61870347"/>
      <w:bookmarkStart w:id="349" w:name="_Toc61871483"/>
      <w:bookmarkStart w:id="350" w:name="_Toc61874662"/>
      <w:bookmarkStart w:id="351" w:name="_Toc61893687"/>
      <w:bookmarkStart w:id="352" w:name="_Toc71645253"/>
      <w:bookmarkStart w:id="353" w:name="_Toc71646788"/>
      <w:bookmarkStart w:id="354" w:name="_Toc71648200"/>
      <w:bookmarkStart w:id="355" w:name="_Toc71649900"/>
      <w:bookmarkStart w:id="356" w:name="_Toc71655201"/>
      <w:bookmarkStart w:id="357" w:name="_Toc71659416"/>
      <w:bookmarkStart w:id="358" w:name="_Toc71659899"/>
      <w:bookmarkStart w:id="359" w:name="_Toc71665122"/>
      <w:bookmarkStart w:id="360" w:name="_Toc71668894"/>
      <w:bookmarkStart w:id="361" w:name="_Toc71668939"/>
      <w:bookmarkStart w:id="362" w:name="_Toc71669003"/>
      <w:bookmarkStart w:id="363" w:name="_Toc71671256"/>
      <w:bookmarkStart w:id="364" w:name="_Toc71671410"/>
      <w:bookmarkStart w:id="365" w:name="_Toc79159564"/>
      <w:bookmarkStart w:id="366" w:name="_Toc79159680"/>
      <w:bookmarkStart w:id="367" w:name="_Toc79178213"/>
      <w:r>
        <w:rPr>
          <w:lang w:bidi="fa-IR"/>
        </w:rPr>
        <w:t>Support</w:t>
      </w:r>
      <w:r w:rsidR="00CA1A5C">
        <w:rPr>
          <w:lang w:bidi="fa-IR"/>
        </w:rPr>
        <w:t xml:space="preserve"> interference management among non-IAB cells and IAB systems.</w:t>
      </w:r>
      <w:bookmarkEnd w:id="348"/>
      <w:r w:rsidR="00377886">
        <w:rPr>
          <w:lang w:bidi="fa-IR"/>
        </w:rPr>
        <w:t xml:space="preserve"> </w:t>
      </w:r>
      <w:r w:rsidR="002F24F2">
        <w:rPr>
          <w:lang w:bidi="fa-IR"/>
        </w:rPr>
        <w:t xml:space="preserve">No need to introduce </w:t>
      </w:r>
      <w:r w:rsidR="00377886">
        <w:rPr>
          <w:lang w:bidi="fa-IR"/>
        </w:rPr>
        <w:t>IAB-MT transmission in DL access slots in the specification.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A6A5709" w14:textId="3E7B3662" w:rsidR="00456218" w:rsidRPr="00456218" w:rsidRDefault="00FD2D34" w:rsidP="00456218">
      <w:pPr>
        <w:rPr>
          <w:lang w:bidi="fa-IR"/>
        </w:rPr>
      </w:pPr>
      <w:r>
        <w:rPr>
          <w:lang w:bidi="fa-IR"/>
        </w:rPr>
        <w:t xml:space="preserve">Furthermore, communicating H/S/NA resource configuration information to nearby cells may help them further in </w:t>
      </w:r>
      <w:r w:rsidR="00030060">
        <w:rPr>
          <w:lang w:bidi="fa-IR"/>
        </w:rPr>
        <w:t>anticipating</w:t>
      </w:r>
      <w:r>
        <w:rPr>
          <w:lang w:bidi="fa-IR"/>
        </w:rPr>
        <w:t xml:space="preserve"> variable interference and taking appropriate actions for interference avoidance and handling. However, sending complete information of H/S/NA resource configurations may impose a large overhead, especially in the case of mobile IAB</w:t>
      </w:r>
      <w:r w:rsidR="00030060">
        <w:rPr>
          <w:lang w:bidi="fa-IR"/>
        </w:rPr>
        <w:t xml:space="preserve"> wherein IAB node enter and exit a system configured by a particular IAB donor</w:t>
      </w:r>
      <w:r>
        <w:rPr>
          <w:lang w:bidi="fa-IR"/>
        </w:rPr>
        <w:t xml:space="preserve">. Therefore, we propose to </w:t>
      </w:r>
      <w:r w:rsidR="00030060">
        <w:rPr>
          <w:lang w:bidi="fa-IR"/>
        </w:rPr>
        <w:t>investigate methods to transmit H/S/NA configuration information selectively or otherwise compress the information such as to avoid imposing a large signaling burden.</w:t>
      </w:r>
    </w:p>
    <w:p w14:paraId="700C03B8" w14:textId="2B8EF68C" w:rsidR="00456218" w:rsidRPr="00456218" w:rsidRDefault="00456218" w:rsidP="00456218">
      <w:pPr>
        <w:pStyle w:val="Proposal"/>
        <w:rPr>
          <w:lang w:bidi="fa-IR"/>
        </w:rPr>
      </w:pPr>
      <w:bookmarkStart w:id="368" w:name="_Toc79159565"/>
      <w:bookmarkStart w:id="369" w:name="_Toc79159681"/>
      <w:bookmarkStart w:id="370" w:name="_Toc79178214"/>
      <w:r w:rsidRPr="00456218">
        <w:rPr>
          <w:lang w:bidi="fa-IR"/>
        </w:rPr>
        <w:t xml:space="preserve">Support the exchange of IAB-DU H/S/NA resource configuration information among </w:t>
      </w:r>
      <w:r w:rsidR="00CF5F24" w:rsidRPr="00456218">
        <w:rPr>
          <w:lang w:bidi="fa-IR"/>
        </w:rPr>
        <w:t>neighboring</w:t>
      </w:r>
      <w:r w:rsidRPr="00456218">
        <w:rPr>
          <w:lang w:bidi="fa-IR"/>
        </w:rPr>
        <w:t xml:space="preserve"> IAB-nodes/IAB-donors for CLI management purposes.</w:t>
      </w:r>
      <w:bookmarkEnd w:id="368"/>
      <w:bookmarkEnd w:id="369"/>
      <w:bookmarkEnd w:id="370"/>
    </w:p>
    <w:bookmarkEnd w:id="125"/>
    <w:bookmarkEnd w:id="126"/>
    <w:p w14:paraId="38B8D48A" w14:textId="6ADEA09F" w:rsidR="00872977" w:rsidRPr="001B5AA8" w:rsidRDefault="00872977" w:rsidP="00872977">
      <w:pPr>
        <w:pStyle w:val="Heading1"/>
      </w:pPr>
      <w:r w:rsidRPr="001B5AA8">
        <w:tab/>
      </w:r>
      <w:r>
        <w:t>Conclusions</w:t>
      </w:r>
    </w:p>
    <w:p w14:paraId="25BE853B" w14:textId="68E07E84" w:rsidR="00872977" w:rsidRDefault="00872977" w:rsidP="00872977">
      <w:r>
        <w:t>In this contribution, we discussed other enhancements for simultaneous operation of child and parent links of an IAB-node and made the following proposals:</w:t>
      </w:r>
    </w:p>
    <w:p w14:paraId="2647D456" w14:textId="77777777" w:rsidR="00B1571A" w:rsidRDefault="00D60501">
      <w:pPr>
        <w:pStyle w:val="TableofFigures"/>
        <w:rPr>
          <w:rFonts w:asciiTheme="minorHAnsi" w:eastAsiaTheme="minorEastAsia" w:hAnsiTheme="minorHAnsi" w:cstheme="minorBidi"/>
          <w:b w:val="0"/>
          <w:bCs w:val="0"/>
          <w:noProof/>
          <w:sz w:val="22"/>
          <w:szCs w:val="22"/>
        </w:rPr>
      </w:pPr>
      <w:r>
        <w:fldChar w:fldCharType="begin"/>
      </w:r>
      <w:r>
        <w:instrText xml:space="preserve"> TOC \n \t "Proposal" \c </w:instrText>
      </w:r>
      <w:r>
        <w:fldChar w:fldCharType="separate"/>
      </w:r>
      <w:r w:rsidR="00B1571A" w:rsidRPr="00A10AEB">
        <w:rPr>
          <w:noProof/>
          <w:lang w:val="en-GB"/>
        </w:rPr>
        <w:t>Proposal 1:</w:t>
      </w:r>
      <w:r w:rsidR="00B1571A">
        <w:rPr>
          <w:rFonts w:asciiTheme="minorHAnsi" w:eastAsiaTheme="minorEastAsia" w:hAnsiTheme="minorHAnsi" w:cstheme="minorBidi"/>
          <w:b w:val="0"/>
          <w:bCs w:val="0"/>
          <w:noProof/>
          <w:sz w:val="22"/>
          <w:szCs w:val="22"/>
        </w:rPr>
        <w:tab/>
      </w:r>
      <w:r w:rsidR="00B1571A" w:rsidRPr="00A10AEB">
        <w:rPr>
          <w:noProof/>
          <w:lang w:val="en-GB"/>
        </w:rPr>
        <w:t xml:space="preserve">Support a capability signalling, e.g., number of IFFT/FFT windows, to indicate whether the IAB node requires timing alignment between IAB-MT and IAB-DU operations. If negative, the IAB node can </w:t>
      </w:r>
      <w:r w:rsidR="00B1571A" w:rsidRPr="00A10AEB">
        <w:rPr>
          <w:noProof/>
          <w:lang w:val="en-GB"/>
        </w:rPr>
        <w:lastRenderedPageBreak/>
        <w:t>transmit unaligned OFDM symbols (Case A) and receive/process unaligned OFDM symbols (Case B), which simplifies resource configurations and scheduling significantly.</w:t>
      </w:r>
    </w:p>
    <w:p w14:paraId="2CA9A6EF"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2:</w:t>
      </w:r>
      <w:r>
        <w:rPr>
          <w:rFonts w:asciiTheme="minorHAnsi" w:eastAsiaTheme="minorEastAsia" w:hAnsiTheme="minorHAnsi" w:cstheme="minorBidi"/>
          <w:b w:val="0"/>
          <w:bCs w:val="0"/>
          <w:noProof/>
          <w:sz w:val="22"/>
          <w:szCs w:val="22"/>
        </w:rPr>
        <w:tab/>
      </w:r>
      <w:r>
        <w:rPr>
          <w:noProof/>
        </w:rPr>
        <w:t>Support configuration and control signaling for applying Case-6 and Case-7 timing alignment.</w:t>
      </w:r>
    </w:p>
    <w:p w14:paraId="0375E171"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3:</w:t>
      </w:r>
      <w:r>
        <w:rPr>
          <w:rFonts w:asciiTheme="minorHAnsi" w:eastAsiaTheme="minorEastAsia" w:hAnsiTheme="minorHAnsi" w:cstheme="minorBidi"/>
          <w:b w:val="0"/>
          <w:bCs w:val="0"/>
          <w:noProof/>
          <w:sz w:val="22"/>
          <w:szCs w:val="22"/>
        </w:rPr>
        <w:tab/>
      </w:r>
      <w:r>
        <w:rPr>
          <w:noProof/>
        </w:rPr>
        <w:t>Guard symbols can be used to separate consecutive TX/RX operations when switching timing alignment modes.</w:t>
      </w:r>
    </w:p>
    <w:p w14:paraId="5C564B85"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4:</w:t>
      </w:r>
      <w:r>
        <w:rPr>
          <w:rFonts w:asciiTheme="minorHAnsi" w:eastAsiaTheme="minorEastAsia" w:hAnsiTheme="minorHAnsi" w:cstheme="minorBidi"/>
          <w:b w:val="0"/>
          <w:bCs w:val="0"/>
          <w:noProof/>
          <w:sz w:val="22"/>
          <w:szCs w:val="22"/>
        </w:rPr>
        <w:tab/>
      </w:r>
      <w:r>
        <w:rPr>
          <w:noProof/>
        </w:rPr>
        <w:t>Support Alt-2 for Case 6 timing, i.e., the IAB-MT Tx timing is set by the node to the timing obtained for the node’s DL Tx.</w:t>
      </w:r>
    </w:p>
    <w:p w14:paraId="759C123E"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5:</w:t>
      </w:r>
      <w:r>
        <w:rPr>
          <w:rFonts w:asciiTheme="minorHAnsi" w:eastAsiaTheme="minorEastAsia" w:hAnsiTheme="minorHAnsi" w:cstheme="minorBidi"/>
          <w:b w:val="0"/>
          <w:bCs w:val="0"/>
          <w:noProof/>
          <w:sz w:val="22"/>
          <w:szCs w:val="22"/>
        </w:rPr>
        <w:tab/>
      </w:r>
      <w:r>
        <w:rPr>
          <w:noProof/>
        </w:rPr>
        <w:t>Support Alt-1 or Alt-3 for Case 7 timing, i.e., the IAB-MT Tx timing of the node is obtained via either legacy TA plus offset or a specific TA from the parent node. In either case, the signaling should provide information of the difference between parent (upstream) link propagation delay and child (downstream) link propagation delay of the subject IAB node.</w:t>
      </w:r>
    </w:p>
    <w:p w14:paraId="7F74C80F"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6:</w:t>
      </w:r>
      <w:r>
        <w:rPr>
          <w:rFonts w:asciiTheme="minorHAnsi" w:eastAsiaTheme="minorEastAsia" w:hAnsiTheme="minorHAnsi" w:cstheme="minorBidi"/>
          <w:b w:val="0"/>
          <w:bCs w:val="0"/>
          <w:noProof/>
          <w:sz w:val="22"/>
          <w:szCs w:val="22"/>
        </w:rPr>
        <w:tab/>
      </w:r>
      <w:r>
        <w:rPr>
          <w:noProof/>
        </w:rPr>
        <w:t>Support a unified framework for uplink timing alignment.</w:t>
      </w:r>
    </w:p>
    <w:p w14:paraId="3E2BEB40"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7:</w:t>
      </w:r>
      <w:r>
        <w:rPr>
          <w:rFonts w:asciiTheme="minorHAnsi" w:eastAsiaTheme="minorEastAsia" w:hAnsiTheme="minorHAnsi" w:cstheme="minorBidi"/>
          <w:b w:val="0"/>
          <w:bCs w:val="0"/>
          <w:noProof/>
          <w:sz w:val="22"/>
          <w:szCs w:val="22"/>
        </w:rPr>
        <w:tab/>
      </w:r>
      <w:r>
        <w:rPr>
          <w:noProof/>
        </w:rPr>
        <w:t>No modification to Case-1 timing alignment.</w:t>
      </w:r>
    </w:p>
    <w:p w14:paraId="35ECBD35"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8:</w:t>
      </w:r>
      <w:r>
        <w:rPr>
          <w:rFonts w:asciiTheme="minorHAnsi" w:eastAsiaTheme="minorEastAsia" w:hAnsiTheme="minorHAnsi" w:cstheme="minorBidi"/>
          <w:b w:val="0"/>
          <w:bCs w:val="0"/>
          <w:noProof/>
          <w:sz w:val="22"/>
          <w:szCs w:val="22"/>
        </w:rPr>
        <w:tab/>
      </w:r>
      <w:r>
        <w:rPr>
          <w:noProof/>
        </w:rPr>
        <w:t>Support power control configurations for specific time-frequency resource at least for Case A and Case B multiplexing.</w:t>
      </w:r>
    </w:p>
    <w:p w14:paraId="5623749E"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9:</w:t>
      </w:r>
      <w:r>
        <w:rPr>
          <w:rFonts w:asciiTheme="minorHAnsi" w:eastAsiaTheme="minorEastAsia" w:hAnsiTheme="minorHAnsi" w:cstheme="minorBidi"/>
          <w:b w:val="0"/>
          <w:bCs w:val="0"/>
          <w:noProof/>
          <w:sz w:val="22"/>
          <w:szCs w:val="22"/>
        </w:rPr>
        <w:tab/>
      </w:r>
      <w:r>
        <w:rPr>
          <w:noProof/>
        </w:rPr>
        <w:t>The downlink power control signaling from the IAB node to the parent node includes a power offset value as well as reference power and spatial information.</w:t>
      </w:r>
    </w:p>
    <w:p w14:paraId="293DAD7D"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10:</w:t>
      </w:r>
      <w:r>
        <w:rPr>
          <w:rFonts w:asciiTheme="minorHAnsi" w:eastAsiaTheme="minorEastAsia" w:hAnsiTheme="minorHAnsi" w:cstheme="minorBidi"/>
          <w:b w:val="0"/>
          <w:bCs w:val="0"/>
          <w:noProof/>
          <w:sz w:val="22"/>
          <w:szCs w:val="22"/>
        </w:rPr>
        <w:tab/>
      </w:r>
      <w:r>
        <w:rPr>
          <w:noProof/>
        </w:rPr>
        <w:t>Parent node can respond to the IAB node indicating a granted power offset as well as reference power and spatial information.</w:t>
      </w:r>
    </w:p>
    <w:p w14:paraId="3E3550F4"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11:</w:t>
      </w:r>
      <w:r>
        <w:rPr>
          <w:rFonts w:asciiTheme="minorHAnsi" w:eastAsiaTheme="minorEastAsia" w:hAnsiTheme="minorHAnsi" w:cstheme="minorBidi"/>
          <w:b w:val="0"/>
          <w:bCs w:val="0"/>
          <w:noProof/>
          <w:sz w:val="22"/>
          <w:szCs w:val="22"/>
        </w:rPr>
        <w:tab/>
      </w:r>
      <w:r>
        <w:rPr>
          <w:noProof/>
        </w:rPr>
        <w:t>Support IAB-MT reporting power headroom or power headroom offset to its parent node when a collocated IAB-DU receives a DL power adjustment message from its child node.</w:t>
      </w:r>
    </w:p>
    <w:p w14:paraId="1E6F717E"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12:</w:t>
      </w:r>
      <w:r>
        <w:rPr>
          <w:rFonts w:asciiTheme="minorHAnsi" w:eastAsiaTheme="minorEastAsia" w:hAnsiTheme="minorHAnsi" w:cstheme="minorBidi"/>
          <w:b w:val="0"/>
          <w:bCs w:val="0"/>
          <w:noProof/>
          <w:sz w:val="22"/>
          <w:szCs w:val="22"/>
        </w:rPr>
        <w:tab/>
      </w:r>
      <w:r>
        <w:rPr>
          <w:noProof/>
        </w:rPr>
        <w:t>Support enhanced DU-based procedures for measurement and reporting. Further consider MT-based procedures.</w:t>
      </w:r>
    </w:p>
    <w:p w14:paraId="3461A1E0"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13:</w:t>
      </w:r>
      <w:r>
        <w:rPr>
          <w:rFonts w:asciiTheme="minorHAnsi" w:eastAsiaTheme="minorEastAsia" w:hAnsiTheme="minorHAnsi" w:cstheme="minorBidi"/>
          <w:b w:val="0"/>
          <w:bCs w:val="0"/>
          <w:noProof/>
          <w:sz w:val="22"/>
          <w:szCs w:val="22"/>
        </w:rPr>
        <w:tab/>
      </w:r>
      <w:r>
        <w:rPr>
          <w:noProof/>
        </w:rPr>
        <w:t>Support timing adjustment for CLI measurements at the victim node based on timing obtained by receiving SSB from the aggressor node.</w:t>
      </w:r>
    </w:p>
    <w:p w14:paraId="208BE392"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14:</w:t>
      </w:r>
      <w:r>
        <w:rPr>
          <w:rFonts w:asciiTheme="minorHAnsi" w:eastAsiaTheme="minorEastAsia" w:hAnsiTheme="minorHAnsi" w:cstheme="minorBidi"/>
          <w:b w:val="0"/>
          <w:bCs w:val="0"/>
          <w:noProof/>
          <w:sz w:val="22"/>
          <w:szCs w:val="22"/>
        </w:rPr>
        <w:tab/>
      </w:r>
      <w:r>
        <w:rPr>
          <w:noProof/>
        </w:rPr>
        <w:t>Support CLI for downlink and uplink resources of backhaul links and access links.</w:t>
      </w:r>
    </w:p>
    <w:p w14:paraId="31A61FAC" w14:textId="77777777" w:rsidR="00B1571A" w:rsidRDefault="00B1571A">
      <w:pPr>
        <w:pStyle w:val="TableofFigures"/>
        <w:rPr>
          <w:rFonts w:asciiTheme="minorHAnsi" w:eastAsiaTheme="minorEastAsia" w:hAnsiTheme="minorHAnsi" w:cstheme="minorBidi"/>
          <w:b w:val="0"/>
          <w:bCs w:val="0"/>
          <w:noProof/>
          <w:sz w:val="22"/>
          <w:szCs w:val="22"/>
        </w:rPr>
      </w:pPr>
      <w:r w:rsidRPr="00A10AEB">
        <w:rPr>
          <w:noProof/>
          <w:lang w:val="en-GB"/>
        </w:rPr>
        <w:t>Proposal 15:</w:t>
      </w:r>
      <w:r>
        <w:rPr>
          <w:rFonts w:asciiTheme="minorHAnsi" w:eastAsiaTheme="minorEastAsia" w:hAnsiTheme="minorHAnsi" w:cstheme="minorBidi"/>
          <w:b w:val="0"/>
          <w:bCs w:val="0"/>
          <w:noProof/>
          <w:sz w:val="22"/>
          <w:szCs w:val="22"/>
        </w:rPr>
        <w:tab/>
      </w:r>
      <w:r w:rsidRPr="00A10AEB">
        <w:rPr>
          <w:noProof/>
          <w:lang w:val="en-GB"/>
        </w:rPr>
        <w:t>Support configuration of reference signals for measuring CLI according to the aggressor node’s current beamforming, Tx power, etc.</w:t>
      </w:r>
    </w:p>
    <w:p w14:paraId="4D19D5D6" w14:textId="77777777" w:rsidR="00B1571A" w:rsidRDefault="00B1571A">
      <w:pPr>
        <w:pStyle w:val="TableofFigures"/>
        <w:rPr>
          <w:rFonts w:asciiTheme="minorHAnsi" w:eastAsiaTheme="minorEastAsia" w:hAnsiTheme="minorHAnsi" w:cstheme="minorBidi"/>
          <w:b w:val="0"/>
          <w:bCs w:val="0"/>
          <w:noProof/>
          <w:sz w:val="22"/>
          <w:szCs w:val="22"/>
        </w:rPr>
      </w:pPr>
      <w:r>
        <w:rPr>
          <w:noProof/>
        </w:rPr>
        <w:t>Proposal 16:</w:t>
      </w:r>
      <w:r>
        <w:rPr>
          <w:rFonts w:asciiTheme="minorHAnsi" w:eastAsiaTheme="minorEastAsia" w:hAnsiTheme="minorHAnsi" w:cstheme="minorBidi"/>
          <w:b w:val="0"/>
          <w:bCs w:val="0"/>
          <w:noProof/>
          <w:sz w:val="22"/>
          <w:szCs w:val="22"/>
        </w:rPr>
        <w:tab/>
      </w:r>
      <w:r>
        <w:rPr>
          <w:noProof/>
        </w:rPr>
        <w:t>Support interference management, including CLI and SI, at least among IAB nodes connected to the same IAB donor. CLI and SI management can be specified under the same framework in order to reduce specification effort, improve implementation flexibility, and save resource overhead for reference signals.</w:t>
      </w:r>
    </w:p>
    <w:p w14:paraId="732D501A" w14:textId="77777777" w:rsidR="00B1571A" w:rsidRDefault="00B1571A">
      <w:pPr>
        <w:pStyle w:val="TableofFigures"/>
        <w:rPr>
          <w:rFonts w:asciiTheme="minorHAnsi" w:eastAsiaTheme="minorEastAsia" w:hAnsiTheme="minorHAnsi" w:cstheme="minorBidi"/>
          <w:b w:val="0"/>
          <w:bCs w:val="0"/>
          <w:noProof/>
          <w:sz w:val="22"/>
          <w:szCs w:val="22"/>
        </w:rPr>
      </w:pPr>
      <w:r>
        <w:rPr>
          <w:noProof/>
          <w:lang w:bidi="fa-IR"/>
        </w:rPr>
        <w:t>Proposal 17:</w:t>
      </w:r>
      <w:r>
        <w:rPr>
          <w:rFonts w:asciiTheme="minorHAnsi" w:eastAsiaTheme="minorEastAsia" w:hAnsiTheme="minorHAnsi" w:cstheme="minorBidi"/>
          <w:b w:val="0"/>
          <w:bCs w:val="0"/>
          <w:noProof/>
          <w:sz w:val="22"/>
          <w:szCs w:val="22"/>
        </w:rPr>
        <w:tab/>
      </w:r>
      <w:r>
        <w:rPr>
          <w:noProof/>
          <w:lang w:bidi="fa-IR"/>
        </w:rPr>
        <w:t>Support interference management among non-IAB cells and IAB systems. No need to introduce IAB-MT transmission in DL access slots in the specification.</w:t>
      </w:r>
    </w:p>
    <w:p w14:paraId="2C66DBB9" w14:textId="77777777" w:rsidR="00B1571A" w:rsidRDefault="00B1571A">
      <w:pPr>
        <w:pStyle w:val="TableofFigures"/>
        <w:rPr>
          <w:rFonts w:asciiTheme="minorHAnsi" w:eastAsiaTheme="minorEastAsia" w:hAnsiTheme="minorHAnsi" w:cstheme="minorBidi"/>
          <w:b w:val="0"/>
          <w:bCs w:val="0"/>
          <w:noProof/>
          <w:sz w:val="22"/>
          <w:szCs w:val="22"/>
        </w:rPr>
      </w:pPr>
      <w:r>
        <w:rPr>
          <w:noProof/>
          <w:lang w:bidi="fa-IR"/>
        </w:rPr>
        <w:t>Proposal 18:</w:t>
      </w:r>
      <w:r>
        <w:rPr>
          <w:rFonts w:asciiTheme="minorHAnsi" w:eastAsiaTheme="minorEastAsia" w:hAnsiTheme="minorHAnsi" w:cstheme="minorBidi"/>
          <w:b w:val="0"/>
          <w:bCs w:val="0"/>
          <w:noProof/>
          <w:sz w:val="22"/>
          <w:szCs w:val="22"/>
        </w:rPr>
        <w:tab/>
      </w:r>
      <w:r>
        <w:rPr>
          <w:noProof/>
          <w:lang w:bidi="fa-IR"/>
        </w:rPr>
        <w:t>Support the exchange of IAB-DU H/S/NA resource configuration information among neighboring IAB-nodes/IAB-donors for CLI management purposes.</w:t>
      </w:r>
    </w:p>
    <w:p w14:paraId="0FF0CD17" w14:textId="01081FCD" w:rsidR="00D60501" w:rsidRDefault="00D60501" w:rsidP="00D60501">
      <w:r>
        <w:fldChar w:fldCharType="end"/>
      </w:r>
    </w:p>
    <w:p w14:paraId="0C3A75AA" w14:textId="79C4EFFD" w:rsidR="00872977" w:rsidRPr="001B5AA8" w:rsidRDefault="00872977" w:rsidP="00872977">
      <w:pPr>
        <w:pStyle w:val="Heading1"/>
      </w:pPr>
      <w:r>
        <w:rPr>
          <w:lang w:val="en-US"/>
        </w:rPr>
        <w:tab/>
        <w:t>References</w:t>
      </w:r>
    </w:p>
    <w:p w14:paraId="5A026CF1" w14:textId="033C58C9" w:rsidR="00636497" w:rsidRPr="00F84419" w:rsidRDefault="00636497" w:rsidP="005D3478">
      <w:pPr>
        <w:pStyle w:val="References"/>
        <w:numPr>
          <w:ilvl w:val="0"/>
          <w:numId w:val="4"/>
        </w:numPr>
      </w:pPr>
      <w:bookmarkStart w:id="371" w:name="_Ref54187073"/>
      <w:bookmarkStart w:id="372" w:name="_Ref61548423"/>
      <w:bookmarkStart w:id="373" w:name="_Ref30491916"/>
      <w:bookmarkStart w:id="374" w:name="_Ref30492464"/>
      <w:r w:rsidRPr="00F84419">
        <w:t>R1-210</w:t>
      </w:r>
      <w:r w:rsidR="00F84419" w:rsidRPr="00F84419">
        <w:t>7188</w:t>
      </w:r>
      <w:r w:rsidRPr="00F84419">
        <w:t>, “Resource multiplexing in enhanced IAB systems,” Lenovo, Motorola Mobility, RAN1#10</w:t>
      </w:r>
      <w:r w:rsidR="00F84419" w:rsidRPr="00F84419">
        <w:t>6</w:t>
      </w:r>
      <w:r w:rsidRPr="00F84419">
        <w:t>-e, Electronic Meeting,</w:t>
      </w:r>
      <w:r w:rsidR="00F84419" w:rsidRPr="00F84419">
        <w:t xml:space="preserve"> August</w:t>
      </w:r>
      <w:r w:rsidRPr="00F84419">
        <w:t xml:space="preserve"> 2021.</w:t>
      </w:r>
      <w:bookmarkEnd w:id="371"/>
    </w:p>
    <w:p w14:paraId="4E77F7D9" w14:textId="25CA93C8" w:rsidR="00636497" w:rsidRPr="00872977" w:rsidRDefault="00E16FCC" w:rsidP="005D3478">
      <w:pPr>
        <w:pStyle w:val="References"/>
        <w:numPr>
          <w:ilvl w:val="0"/>
          <w:numId w:val="4"/>
        </w:numPr>
      </w:pPr>
      <w:bookmarkStart w:id="375" w:name="_Ref71645684"/>
      <w:bookmarkEnd w:id="372"/>
      <w:r>
        <w:t>RAN1#10</w:t>
      </w:r>
      <w:r w:rsidR="00FB240C">
        <w:t>5</w:t>
      </w:r>
      <w:r>
        <w:t>-e Chairman’s Notes.</w:t>
      </w:r>
      <w:bookmarkEnd w:id="373"/>
      <w:bookmarkEnd w:id="374"/>
      <w:bookmarkEnd w:id="375"/>
    </w:p>
    <w:sectPr w:rsidR="00636497" w:rsidRPr="00872977" w:rsidSect="00E054B7">
      <w:headerReference w:type="even"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698F7" w14:textId="77777777" w:rsidR="001441B2" w:rsidRDefault="001441B2">
      <w:r>
        <w:separator/>
      </w:r>
    </w:p>
  </w:endnote>
  <w:endnote w:type="continuationSeparator" w:id="0">
    <w:p w14:paraId="40CB36A1" w14:textId="77777777" w:rsidR="001441B2" w:rsidRDefault="001441B2">
      <w:r>
        <w:continuationSeparator/>
      </w:r>
    </w:p>
  </w:endnote>
  <w:endnote w:type="continuationNotice" w:id="1">
    <w:p w14:paraId="250420B5" w14:textId="77777777" w:rsidR="001441B2" w:rsidRDefault="00144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78AE7" w14:textId="77777777" w:rsidR="00976E39" w:rsidRDefault="00B67E87" w:rsidP="00F837DD">
    <w:pPr>
      <w:pStyle w:val="Footer"/>
      <w:framePr w:wrap="around" w:vAnchor="text" w:hAnchor="margin" w:xAlign="right" w:y="1"/>
      <w:rPr>
        <w:rStyle w:val="PageNumber"/>
      </w:rPr>
    </w:pPr>
    <w:r>
      <w:rPr>
        <w:rStyle w:val="PageNumber"/>
      </w:rPr>
      <w:fldChar w:fldCharType="begin"/>
    </w:r>
    <w:r w:rsidR="00976E39">
      <w:rPr>
        <w:rStyle w:val="PageNumber"/>
      </w:rPr>
      <w:instrText xml:space="preserve">PAGE  </w:instrText>
    </w:r>
    <w:r>
      <w:rPr>
        <w:rStyle w:val="PageNumber"/>
      </w:rPr>
      <w:fldChar w:fldCharType="end"/>
    </w:r>
  </w:p>
  <w:p w14:paraId="4E88AFDC" w14:textId="77777777" w:rsidR="00976E39" w:rsidRDefault="00976E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45AE" w14:textId="2DA8EDFF" w:rsidR="00976E39" w:rsidRDefault="00B67E87" w:rsidP="00450D3B">
    <w:pPr>
      <w:pStyle w:val="Footer"/>
      <w:ind w:right="360"/>
    </w:pPr>
    <w:r>
      <w:rPr>
        <w:rStyle w:val="PageNumber"/>
      </w:rPr>
      <w:fldChar w:fldCharType="begin"/>
    </w:r>
    <w:r w:rsidR="00976E39">
      <w:rPr>
        <w:rStyle w:val="PageNumber"/>
      </w:rPr>
      <w:instrText xml:space="preserve"> PAGE </w:instrText>
    </w:r>
    <w:r>
      <w:rPr>
        <w:rStyle w:val="PageNumber"/>
      </w:rPr>
      <w:fldChar w:fldCharType="separate"/>
    </w:r>
    <w:r w:rsidR="007F04E6">
      <w:rPr>
        <w:rStyle w:val="PageNumber"/>
      </w:rPr>
      <w:t>3</w:t>
    </w:r>
    <w:r>
      <w:rPr>
        <w:rStyle w:val="PageNumber"/>
      </w:rPr>
      <w:fldChar w:fldCharType="end"/>
    </w:r>
    <w:r w:rsidR="00976E39">
      <w:rPr>
        <w:rStyle w:val="PageNumber"/>
      </w:rPr>
      <w:t>/</w:t>
    </w:r>
    <w:r>
      <w:rPr>
        <w:rStyle w:val="PageNumber"/>
      </w:rPr>
      <w:fldChar w:fldCharType="begin"/>
    </w:r>
    <w:r w:rsidR="00976E39">
      <w:rPr>
        <w:rStyle w:val="PageNumber"/>
      </w:rPr>
      <w:instrText xml:space="preserve"> NUMPAGES </w:instrText>
    </w:r>
    <w:r>
      <w:rPr>
        <w:rStyle w:val="PageNumber"/>
      </w:rPr>
      <w:fldChar w:fldCharType="separate"/>
    </w:r>
    <w:r w:rsidR="007F04E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95C38" w14:textId="77777777" w:rsidR="001441B2" w:rsidRDefault="001441B2">
      <w:r>
        <w:separator/>
      </w:r>
    </w:p>
  </w:footnote>
  <w:footnote w:type="continuationSeparator" w:id="0">
    <w:p w14:paraId="58B20B7E" w14:textId="77777777" w:rsidR="001441B2" w:rsidRDefault="001441B2">
      <w:r>
        <w:continuationSeparator/>
      </w:r>
    </w:p>
  </w:footnote>
  <w:footnote w:type="continuationNotice" w:id="1">
    <w:p w14:paraId="773CE05C" w14:textId="77777777" w:rsidR="001441B2" w:rsidRDefault="001441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A9B9" w14:textId="77777777" w:rsidR="00976E39" w:rsidRDefault="00976E39">
    <w:r>
      <w:t xml:space="preserve">Page </w:t>
    </w:r>
    <w:r w:rsidR="00B67E87">
      <w:fldChar w:fldCharType="begin"/>
    </w:r>
    <w:r>
      <w:instrText>PAGE</w:instrText>
    </w:r>
    <w:r w:rsidR="00B67E87">
      <w:fldChar w:fldCharType="separate"/>
    </w:r>
    <w:r>
      <w:rPr>
        <w:noProof/>
      </w:rPr>
      <w:t>1</w:t>
    </w:r>
    <w:r w:rsidR="00B67E8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3" w15:restartNumberingAfterBreak="0">
    <w:nsid w:val="1FD269EA"/>
    <w:multiLevelType w:val="hybridMultilevel"/>
    <w:tmpl w:val="68FE3590"/>
    <w:lvl w:ilvl="0" w:tplc="61902A80">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65FEA"/>
    <w:multiLevelType w:val="hybridMultilevel"/>
    <w:tmpl w:val="AA62E6E2"/>
    <w:lvl w:ilvl="0" w:tplc="B2E2212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5B64BD"/>
    <w:multiLevelType w:val="hybridMultilevel"/>
    <w:tmpl w:val="FAEE2638"/>
    <w:lvl w:ilvl="0" w:tplc="1944B562">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CA00C7"/>
    <w:multiLevelType w:val="hybridMultilevel"/>
    <w:tmpl w:val="390E25F0"/>
    <w:lvl w:ilvl="0" w:tplc="E15ADA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8B66B5"/>
    <w:multiLevelType w:val="hybridMultilevel"/>
    <w:tmpl w:val="E592D996"/>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9"/>
  </w:num>
  <w:num w:numId="4">
    <w:abstractNumId w:val="9"/>
    <w:lvlOverride w:ilvl="0">
      <w:startOverride w:val="1"/>
    </w:lvlOverride>
  </w:num>
  <w:num w:numId="5">
    <w:abstractNumId w:val="6"/>
  </w:num>
  <w:num w:numId="6">
    <w:abstractNumId w:val="15"/>
  </w:num>
  <w:num w:numId="7">
    <w:abstractNumId w:val="3"/>
  </w:num>
  <w:num w:numId="8">
    <w:abstractNumId w:val="10"/>
  </w:num>
  <w:num w:numId="9">
    <w:abstractNumId w:val="11"/>
  </w:num>
  <w:num w:numId="10">
    <w:abstractNumId w:val="8"/>
  </w:num>
  <w:num w:numId="11">
    <w:abstractNumId w:val="1"/>
  </w:num>
  <w:num w:numId="12">
    <w:abstractNumId w:val="12"/>
  </w:num>
  <w:num w:numId="13">
    <w:abstractNumId w:val="3"/>
  </w:num>
  <w:num w:numId="14">
    <w:abstractNumId w:val="3"/>
  </w:num>
  <w:num w:numId="15">
    <w:abstractNumId w:val="5"/>
  </w:num>
  <w:num w:numId="16">
    <w:abstractNumId w:val="4"/>
  </w:num>
  <w:num w:numId="17">
    <w:abstractNumId w:val="0"/>
  </w:num>
  <w:num w:numId="18">
    <w:abstractNumId w:val="14"/>
  </w:num>
  <w:num w:numId="1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CC1"/>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5CB9"/>
    <w:rsid w:val="000266AE"/>
    <w:rsid w:val="00026905"/>
    <w:rsid w:val="0002735A"/>
    <w:rsid w:val="00030060"/>
    <w:rsid w:val="000300FE"/>
    <w:rsid w:val="00030F08"/>
    <w:rsid w:val="00030F74"/>
    <w:rsid w:val="000319C1"/>
    <w:rsid w:val="00031EDD"/>
    <w:rsid w:val="00032DAB"/>
    <w:rsid w:val="00032E45"/>
    <w:rsid w:val="00033796"/>
    <w:rsid w:val="000349B7"/>
    <w:rsid w:val="000349E0"/>
    <w:rsid w:val="00034B9E"/>
    <w:rsid w:val="00034C07"/>
    <w:rsid w:val="00035400"/>
    <w:rsid w:val="0003540B"/>
    <w:rsid w:val="000357CA"/>
    <w:rsid w:val="0003595D"/>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173"/>
    <w:rsid w:val="0005160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1361"/>
    <w:rsid w:val="000619CC"/>
    <w:rsid w:val="00062551"/>
    <w:rsid w:val="00062963"/>
    <w:rsid w:val="00062CA8"/>
    <w:rsid w:val="00063E21"/>
    <w:rsid w:val="00063F57"/>
    <w:rsid w:val="0006549C"/>
    <w:rsid w:val="0006633C"/>
    <w:rsid w:val="00066576"/>
    <w:rsid w:val="00066696"/>
    <w:rsid w:val="000667D1"/>
    <w:rsid w:val="00066B79"/>
    <w:rsid w:val="0006739D"/>
    <w:rsid w:val="0006774C"/>
    <w:rsid w:val="00070412"/>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1052"/>
    <w:rsid w:val="00081546"/>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3E2"/>
    <w:rsid w:val="000B245F"/>
    <w:rsid w:val="000B247A"/>
    <w:rsid w:val="000B256B"/>
    <w:rsid w:val="000B3F37"/>
    <w:rsid w:val="000B546F"/>
    <w:rsid w:val="000B58B7"/>
    <w:rsid w:val="000B5E4A"/>
    <w:rsid w:val="000B60D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57C"/>
    <w:rsid w:val="000C764F"/>
    <w:rsid w:val="000D037E"/>
    <w:rsid w:val="000D0C91"/>
    <w:rsid w:val="000D0F9A"/>
    <w:rsid w:val="000D11B1"/>
    <w:rsid w:val="000D148D"/>
    <w:rsid w:val="000D1570"/>
    <w:rsid w:val="000D1610"/>
    <w:rsid w:val="000D1842"/>
    <w:rsid w:val="000D1A08"/>
    <w:rsid w:val="000D1A61"/>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BC0"/>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23"/>
    <w:rsid w:val="000F4734"/>
    <w:rsid w:val="000F4F44"/>
    <w:rsid w:val="000F6974"/>
    <w:rsid w:val="000F6AFA"/>
    <w:rsid w:val="000F6DDE"/>
    <w:rsid w:val="000F7452"/>
    <w:rsid w:val="000F794D"/>
    <w:rsid w:val="000F7C7A"/>
    <w:rsid w:val="00100E41"/>
    <w:rsid w:val="00101489"/>
    <w:rsid w:val="00101ACE"/>
    <w:rsid w:val="00102147"/>
    <w:rsid w:val="00102FE9"/>
    <w:rsid w:val="00103E0E"/>
    <w:rsid w:val="00104058"/>
    <w:rsid w:val="0010405D"/>
    <w:rsid w:val="00104228"/>
    <w:rsid w:val="00104A80"/>
    <w:rsid w:val="00105820"/>
    <w:rsid w:val="00105CEE"/>
    <w:rsid w:val="00105FC2"/>
    <w:rsid w:val="00106117"/>
    <w:rsid w:val="00106CC3"/>
    <w:rsid w:val="00106E7E"/>
    <w:rsid w:val="00107123"/>
    <w:rsid w:val="00107A94"/>
    <w:rsid w:val="00110030"/>
    <w:rsid w:val="00110086"/>
    <w:rsid w:val="0011051C"/>
    <w:rsid w:val="00110AE3"/>
    <w:rsid w:val="00110C45"/>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1B2"/>
    <w:rsid w:val="0014452E"/>
    <w:rsid w:val="00144F22"/>
    <w:rsid w:val="001459EB"/>
    <w:rsid w:val="001461C2"/>
    <w:rsid w:val="00146540"/>
    <w:rsid w:val="00146E5E"/>
    <w:rsid w:val="0014719D"/>
    <w:rsid w:val="001474D9"/>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8EF"/>
    <w:rsid w:val="00167C50"/>
    <w:rsid w:val="00167ECA"/>
    <w:rsid w:val="00170C2B"/>
    <w:rsid w:val="00172414"/>
    <w:rsid w:val="001724C5"/>
    <w:rsid w:val="00172C20"/>
    <w:rsid w:val="001746E6"/>
    <w:rsid w:val="00174883"/>
    <w:rsid w:val="00174DDB"/>
    <w:rsid w:val="001752EC"/>
    <w:rsid w:val="001755CA"/>
    <w:rsid w:val="00175891"/>
    <w:rsid w:val="001758E7"/>
    <w:rsid w:val="00175B5A"/>
    <w:rsid w:val="00176E1D"/>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366"/>
    <w:rsid w:val="001977D0"/>
    <w:rsid w:val="00197FA7"/>
    <w:rsid w:val="001A019F"/>
    <w:rsid w:val="001A0303"/>
    <w:rsid w:val="001A037C"/>
    <w:rsid w:val="001A067A"/>
    <w:rsid w:val="001A0D8D"/>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0AB"/>
    <w:rsid w:val="001C04A8"/>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097"/>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416"/>
    <w:rsid w:val="002015BA"/>
    <w:rsid w:val="00201AFC"/>
    <w:rsid w:val="00202561"/>
    <w:rsid w:val="00202674"/>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712"/>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62E9"/>
    <w:rsid w:val="00256B8F"/>
    <w:rsid w:val="00257A62"/>
    <w:rsid w:val="002605CB"/>
    <w:rsid w:val="0026075E"/>
    <w:rsid w:val="00260998"/>
    <w:rsid w:val="00261142"/>
    <w:rsid w:val="002612AF"/>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1501"/>
    <w:rsid w:val="002727C8"/>
    <w:rsid w:val="00272FEB"/>
    <w:rsid w:val="002738C9"/>
    <w:rsid w:val="00273B2D"/>
    <w:rsid w:val="00273CFB"/>
    <w:rsid w:val="00274080"/>
    <w:rsid w:val="00274B3C"/>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EDF"/>
    <w:rsid w:val="00296FD8"/>
    <w:rsid w:val="0029743A"/>
    <w:rsid w:val="00297DBE"/>
    <w:rsid w:val="002A0724"/>
    <w:rsid w:val="002A07C1"/>
    <w:rsid w:val="002A08EC"/>
    <w:rsid w:val="002A1DF0"/>
    <w:rsid w:val="002A205B"/>
    <w:rsid w:val="002A3668"/>
    <w:rsid w:val="002A53DF"/>
    <w:rsid w:val="002B0122"/>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59B6"/>
    <w:rsid w:val="002B7C8F"/>
    <w:rsid w:val="002B7FB1"/>
    <w:rsid w:val="002C0364"/>
    <w:rsid w:val="002C0397"/>
    <w:rsid w:val="002C0779"/>
    <w:rsid w:val="002C0ADF"/>
    <w:rsid w:val="002C138C"/>
    <w:rsid w:val="002C203A"/>
    <w:rsid w:val="002C2FCD"/>
    <w:rsid w:val="002C36BB"/>
    <w:rsid w:val="002C36EB"/>
    <w:rsid w:val="002C3AE4"/>
    <w:rsid w:val="002C4749"/>
    <w:rsid w:val="002C4CB7"/>
    <w:rsid w:val="002C5620"/>
    <w:rsid w:val="002C57BB"/>
    <w:rsid w:val="002C61E0"/>
    <w:rsid w:val="002C6221"/>
    <w:rsid w:val="002C6374"/>
    <w:rsid w:val="002C6F89"/>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74A"/>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08A1"/>
    <w:rsid w:val="002F1E03"/>
    <w:rsid w:val="002F24F2"/>
    <w:rsid w:val="002F2AE0"/>
    <w:rsid w:val="002F2FB7"/>
    <w:rsid w:val="002F3827"/>
    <w:rsid w:val="002F413F"/>
    <w:rsid w:val="002F44AD"/>
    <w:rsid w:val="002F45D3"/>
    <w:rsid w:val="002F5C18"/>
    <w:rsid w:val="002F5FDA"/>
    <w:rsid w:val="002F7D48"/>
    <w:rsid w:val="002F7D9F"/>
    <w:rsid w:val="0030000D"/>
    <w:rsid w:val="003005AC"/>
    <w:rsid w:val="00300A26"/>
    <w:rsid w:val="00300CD7"/>
    <w:rsid w:val="003011C0"/>
    <w:rsid w:val="0030121F"/>
    <w:rsid w:val="00301890"/>
    <w:rsid w:val="003024DE"/>
    <w:rsid w:val="00302701"/>
    <w:rsid w:val="0030298C"/>
    <w:rsid w:val="00302CBE"/>
    <w:rsid w:val="0030305A"/>
    <w:rsid w:val="00303442"/>
    <w:rsid w:val="003044B9"/>
    <w:rsid w:val="00304F48"/>
    <w:rsid w:val="003060F4"/>
    <w:rsid w:val="003073BB"/>
    <w:rsid w:val="00307683"/>
    <w:rsid w:val="00307B27"/>
    <w:rsid w:val="00307D3F"/>
    <w:rsid w:val="0031005A"/>
    <w:rsid w:val="0031013F"/>
    <w:rsid w:val="0031058E"/>
    <w:rsid w:val="00311941"/>
    <w:rsid w:val="003123EA"/>
    <w:rsid w:val="003125FA"/>
    <w:rsid w:val="00313C4F"/>
    <w:rsid w:val="00314280"/>
    <w:rsid w:val="003158FE"/>
    <w:rsid w:val="00315DD9"/>
    <w:rsid w:val="00316717"/>
    <w:rsid w:val="00316A1B"/>
    <w:rsid w:val="00317050"/>
    <w:rsid w:val="003171F2"/>
    <w:rsid w:val="00320B56"/>
    <w:rsid w:val="00320BED"/>
    <w:rsid w:val="00320F94"/>
    <w:rsid w:val="003230B0"/>
    <w:rsid w:val="00325F5C"/>
    <w:rsid w:val="003268CF"/>
    <w:rsid w:val="00326974"/>
    <w:rsid w:val="00326EBB"/>
    <w:rsid w:val="00327A0A"/>
    <w:rsid w:val="0033007D"/>
    <w:rsid w:val="0033027D"/>
    <w:rsid w:val="003308C4"/>
    <w:rsid w:val="00330DE8"/>
    <w:rsid w:val="00331EDC"/>
    <w:rsid w:val="00331FF4"/>
    <w:rsid w:val="003323F3"/>
    <w:rsid w:val="0033306E"/>
    <w:rsid w:val="00333DC8"/>
    <w:rsid w:val="00335250"/>
    <w:rsid w:val="0033592C"/>
    <w:rsid w:val="00335B9C"/>
    <w:rsid w:val="00336164"/>
    <w:rsid w:val="0034150F"/>
    <w:rsid w:val="0034298C"/>
    <w:rsid w:val="0034305B"/>
    <w:rsid w:val="00343E84"/>
    <w:rsid w:val="003444EB"/>
    <w:rsid w:val="00344778"/>
    <w:rsid w:val="00344E12"/>
    <w:rsid w:val="00344F78"/>
    <w:rsid w:val="0034511B"/>
    <w:rsid w:val="00345740"/>
    <w:rsid w:val="00346F28"/>
    <w:rsid w:val="003504EC"/>
    <w:rsid w:val="00350501"/>
    <w:rsid w:val="00350996"/>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140"/>
    <w:rsid w:val="00356CEC"/>
    <w:rsid w:val="00357034"/>
    <w:rsid w:val="00357522"/>
    <w:rsid w:val="003576D7"/>
    <w:rsid w:val="00357712"/>
    <w:rsid w:val="00360C31"/>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6EBE"/>
    <w:rsid w:val="0037709A"/>
    <w:rsid w:val="003773C7"/>
    <w:rsid w:val="00377569"/>
    <w:rsid w:val="00377886"/>
    <w:rsid w:val="00377A68"/>
    <w:rsid w:val="00377C91"/>
    <w:rsid w:val="00377CE8"/>
    <w:rsid w:val="003810EA"/>
    <w:rsid w:val="003811F7"/>
    <w:rsid w:val="0038166A"/>
    <w:rsid w:val="0038187D"/>
    <w:rsid w:val="003821E7"/>
    <w:rsid w:val="00382B96"/>
    <w:rsid w:val="00383130"/>
    <w:rsid w:val="003834C7"/>
    <w:rsid w:val="00383D4B"/>
    <w:rsid w:val="00384735"/>
    <w:rsid w:val="003848D9"/>
    <w:rsid w:val="003855F6"/>
    <w:rsid w:val="00385614"/>
    <w:rsid w:val="00385CCE"/>
    <w:rsid w:val="00385DBB"/>
    <w:rsid w:val="00386B71"/>
    <w:rsid w:val="003871D9"/>
    <w:rsid w:val="00387771"/>
    <w:rsid w:val="00387B4D"/>
    <w:rsid w:val="003908C2"/>
    <w:rsid w:val="003912B0"/>
    <w:rsid w:val="0039178D"/>
    <w:rsid w:val="003925B5"/>
    <w:rsid w:val="00392C0A"/>
    <w:rsid w:val="00392D4A"/>
    <w:rsid w:val="00393367"/>
    <w:rsid w:val="003939F6"/>
    <w:rsid w:val="00393AA5"/>
    <w:rsid w:val="00393B78"/>
    <w:rsid w:val="00393B7F"/>
    <w:rsid w:val="00393E2E"/>
    <w:rsid w:val="003942A4"/>
    <w:rsid w:val="00394E4F"/>
    <w:rsid w:val="003959A9"/>
    <w:rsid w:val="0039665F"/>
    <w:rsid w:val="00396D81"/>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A10"/>
    <w:rsid w:val="003A6D8E"/>
    <w:rsid w:val="003A7789"/>
    <w:rsid w:val="003A7AF7"/>
    <w:rsid w:val="003B0B4D"/>
    <w:rsid w:val="003B1041"/>
    <w:rsid w:val="003B1961"/>
    <w:rsid w:val="003B1E84"/>
    <w:rsid w:val="003B2360"/>
    <w:rsid w:val="003B3F9B"/>
    <w:rsid w:val="003B47B7"/>
    <w:rsid w:val="003B4FDE"/>
    <w:rsid w:val="003B5051"/>
    <w:rsid w:val="003B570F"/>
    <w:rsid w:val="003B5BA9"/>
    <w:rsid w:val="003B5E30"/>
    <w:rsid w:val="003B6256"/>
    <w:rsid w:val="003B640C"/>
    <w:rsid w:val="003B661B"/>
    <w:rsid w:val="003B6C22"/>
    <w:rsid w:val="003B6FCB"/>
    <w:rsid w:val="003C00D9"/>
    <w:rsid w:val="003C0FB1"/>
    <w:rsid w:val="003C1734"/>
    <w:rsid w:val="003C1F75"/>
    <w:rsid w:val="003C23C3"/>
    <w:rsid w:val="003C28E6"/>
    <w:rsid w:val="003C4F25"/>
    <w:rsid w:val="003C5113"/>
    <w:rsid w:val="003C5399"/>
    <w:rsid w:val="003C5FE4"/>
    <w:rsid w:val="003C6280"/>
    <w:rsid w:val="003C6E9F"/>
    <w:rsid w:val="003C78A0"/>
    <w:rsid w:val="003C7CE7"/>
    <w:rsid w:val="003D0246"/>
    <w:rsid w:val="003D09DA"/>
    <w:rsid w:val="003D0A1E"/>
    <w:rsid w:val="003D0AD2"/>
    <w:rsid w:val="003D12AF"/>
    <w:rsid w:val="003D132A"/>
    <w:rsid w:val="003D2339"/>
    <w:rsid w:val="003D26AA"/>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9D0"/>
    <w:rsid w:val="00406F4B"/>
    <w:rsid w:val="004073B0"/>
    <w:rsid w:val="004077CC"/>
    <w:rsid w:val="00407E7E"/>
    <w:rsid w:val="0041093B"/>
    <w:rsid w:val="00410BEC"/>
    <w:rsid w:val="004111BE"/>
    <w:rsid w:val="00411873"/>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4C3"/>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364"/>
    <w:rsid w:val="0043480E"/>
    <w:rsid w:val="004352B4"/>
    <w:rsid w:val="004355EB"/>
    <w:rsid w:val="00435602"/>
    <w:rsid w:val="00435635"/>
    <w:rsid w:val="004356FA"/>
    <w:rsid w:val="00435CCF"/>
    <w:rsid w:val="004365C5"/>
    <w:rsid w:val="004366FE"/>
    <w:rsid w:val="00436983"/>
    <w:rsid w:val="00437179"/>
    <w:rsid w:val="004371AB"/>
    <w:rsid w:val="00437A07"/>
    <w:rsid w:val="0044035D"/>
    <w:rsid w:val="0044166C"/>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DEF"/>
    <w:rsid w:val="004543E4"/>
    <w:rsid w:val="00454539"/>
    <w:rsid w:val="004548E5"/>
    <w:rsid w:val="004549AF"/>
    <w:rsid w:val="00454C27"/>
    <w:rsid w:val="004555A7"/>
    <w:rsid w:val="00455B39"/>
    <w:rsid w:val="00456114"/>
    <w:rsid w:val="00456218"/>
    <w:rsid w:val="004562F8"/>
    <w:rsid w:val="00456971"/>
    <w:rsid w:val="00456DBF"/>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3146"/>
    <w:rsid w:val="004641FE"/>
    <w:rsid w:val="0046434B"/>
    <w:rsid w:val="00465573"/>
    <w:rsid w:val="00465FF9"/>
    <w:rsid w:val="0046644D"/>
    <w:rsid w:val="0046649C"/>
    <w:rsid w:val="004670B3"/>
    <w:rsid w:val="00467A56"/>
    <w:rsid w:val="00467B21"/>
    <w:rsid w:val="004706EF"/>
    <w:rsid w:val="00470750"/>
    <w:rsid w:val="004707FD"/>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C33"/>
    <w:rsid w:val="004952FE"/>
    <w:rsid w:val="00495AA2"/>
    <w:rsid w:val="004961DB"/>
    <w:rsid w:val="00496899"/>
    <w:rsid w:val="00496927"/>
    <w:rsid w:val="00496A97"/>
    <w:rsid w:val="00497E75"/>
    <w:rsid w:val="00497FF8"/>
    <w:rsid w:val="004A04B1"/>
    <w:rsid w:val="004A0C8F"/>
    <w:rsid w:val="004A11C3"/>
    <w:rsid w:val="004A15A9"/>
    <w:rsid w:val="004A201F"/>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7F7"/>
    <w:rsid w:val="004E49DC"/>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1DAC"/>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42A"/>
    <w:rsid w:val="00502B0E"/>
    <w:rsid w:val="00502C24"/>
    <w:rsid w:val="00502E28"/>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4B22"/>
    <w:rsid w:val="005251DA"/>
    <w:rsid w:val="00525515"/>
    <w:rsid w:val="005255CE"/>
    <w:rsid w:val="00525AA5"/>
    <w:rsid w:val="00525CAE"/>
    <w:rsid w:val="00526653"/>
    <w:rsid w:val="00526C8A"/>
    <w:rsid w:val="00527489"/>
    <w:rsid w:val="00527DB2"/>
    <w:rsid w:val="005302F7"/>
    <w:rsid w:val="005303F0"/>
    <w:rsid w:val="00530BD5"/>
    <w:rsid w:val="00531307"/>
    <w:rsid w:val="0053173A"/>
    <w:rsid w:val="00531824"/>
    <w:rsid w:val="00532462"/>
    <w:rsid w:val="00532976"/>
    <w:rsid w:val="00533215"/>
    <w:rsid w:val="005339D2"/>
    <w:rsid w:val="005341B0"/>
    <w:rsid w:val="0053437E"/>
    <w:rsid w:val="0053476E"/>
    <w:rsid w:val="00534834"/>
    <w:rsid w:val="005349EB"/>
    <w:rsid w:val="00534B42"/>
    <w:rsid w:val="00534D96"/>
    <w:rsid w:val="0053542C"/>
    <w:rsid w:val="005408FD"/>
    <w:rsid w:val="005409F3"/>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B67"/>
    <w:rsid w:val="00570C83"/>
    <w:rsid w:val="00572583"/>
    <w:rsid w:val="00572A3E"/>
    <w:rsid w:val="00572B21"/>
    <w:rsid w:val="00573146"/>
    <w:rsid w:val="005735E8"/>
    <w:rsid w:val="0057380A"/>
    <w:rsid w:val="00573B1B"/>
    <w:rsid w:val="00573BC0"/>
    <w:rsid w:val="00573E29"/>
    <w:rsid w:val="00573F24"/>
    <w:rsid w:val="00575248"/>
    <w:rsid w:val="00575716"/>
    <w:rsid w:val="005758CE"/>
    <w:rsid w:val="00575E94"/>
    <w:rsid w:val="005770BC"/>
    <w:rsid w:val="00577BE7"/>
    <w:rsid w:val="00580025"/>
    <w:rsid w:val="00580760"/>
    <w:rsid w:val="00581367"/>
    <w:rsid w:val="005819D7"/>
    <w:rsid w:val="00582D3E"/>
    <w:rsid w:val="00582E3D"/>
    <w:rsid w:val="005836D0"/>
    <w:rsid w:val="00583766"/>
    <w:rsid w:val="005840E5"/>
    <w:rsid w:val="0058445A"/>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7E6"/>
    <w:rsid w:val="00594B20"/>
    <w:rsid w:val="00594F5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6B0"/>
    <w:rsid w:val="005A4A64"/>
    <w:rsid w:val="005A50A0"/>
    <w:rsid w:val="005A50FE"/>
    <w:rsid w:val="005A59CF"/>
    <w:rsid w:val="005A6CB4"/>
    <w:rsid w:val="005A7ECD"/>
    <w:rsid w:val="005A7F72"/>
    <w:rsid w:val="005B0443"/>
    <w:rsid w:val="005B097C"/>
    <w:rsid w:val="005B1CC4"/>
    <w:rsid w:val="005B1D3E"/>
    <w:rsid w:val="005B2EB8"/>
    <w:rsid w:val="005B33A1"/>
    <w:rsid w:val="005B4282"/>
    <w:rsid w:val="005B5251"/>
    <w:rsid w:val="005B54FE"/>
    <w:rsid w:val="005B5614"/>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478"/>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399C"/>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5A3"/>
    <w:rsid w:val="00606615"/>
    <w:rsid w:val="00606C6F"/>
    <w:rsid w:val="00606FA6"/>
    <w:rsid w:val="00607079"/>
    <w:rsid w:val="0060791C"/>
    <w:rsid w:val="00607ADE"/>
    <w:rsid w:val="00607FB4"/>
    <w:rsid w:val="00611C83"/>
    <w:rsid w:val="00612015"/>
    <w:rsid w:val="006122CF"/>
    <w:rsid w:val="0061286E"/>
    <w:rsid w:val="00612C73"/>
    <w:rsid w:val="006133F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253"/>
    <w:rsid w:val="00623A12"/>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26BC"/>
    <w:rsid w:val="006327DF"/>
    <w:rsid w:val="00632A0E"/>
    <w:rsid w:val="00633951"/>
    <w:rsid w:val="00633B5E"/>
    <w:rsid w:val="00633C0A"/>
    <w:rsid w:val="00633CB0"/>
    <w:rsid w:val="0063405E"/>
    <w:rsid w:val="00634767"/>
    <w:rsid w:val="00634B95"/>
    <w:rsid w:val="00635175"/>
    <w:rsid w:val="006352B0"/>
    <w:rsid w:val="00635606"/>
    <w:rsid w:val="00635CC3"/>
    <w:rsid w:val="00636041"/>
    <w:rsid w:val="00636094"/>
    <w:rsid w:val="00636497"/>
    <w:rsid w:val="006365A1"/>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6C2A"/>
    <w:rsid w:val="00646C3F"/>
    <w:rsid w:val="006478E6"/>
    <w:rsid w:val="00647D2D"/>
    <w:rsid w:val="00650854"/>
    <w:rsid w:val="00650A04"/>
    <w:rsid w:val="00650CAB"/>
    <w:rsid w:val="006510F4"/>
    <w:rsid w:val="006514E4"/>
    <w:rsid w:val="00651AD3"/>
    <w:rsid w:val="00651FA0"/>
    <w:rsid w:val="006526F3"/>
    <w:rsid w:val="0065293D"/>
    <w:rsid w:val="006529D4"/>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137"/>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6FFB"/>
    <w:rsid w:val="00677B01"/>
    <w:rsid w:val="00677E8D"/>
    <w:rsid w:val="00680A97"/>
    <w:rsid w:val="00680C3F"/>
    <w:rsid w:val="0068102D"/>
    <w:rsid w:val="0068226B"/>
    <w:rsid w:val="00682ED3"/>
    <w:rsid w:val="0068370B"/>
    <w:rsid w:val="00683EE8"/>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076"/>
    <w:rsid w:val="006979CD"/>
    <w:rsid w:val="00697FE2"/>
    <w:rsid w:val="006A0B49"/>
    <w:rsid w:val="006A1313"/>
    <w:rsid w:val="006A1419"/>
    <w:rsid w:val="006A1C6F"/>
    <w:rsid w:val="006A2347"/>
    <w:rsid w:val="006A24B3"/>
    <w:rsid w:val="006A2A3D"/>
    <w:rsid w:val="006A40F0"/>
    <w:rsid w:val="006A415E"/>
    <w:rsid w:val="006A46C7"/>
    <w:rsid w:val="006A49B5"/>
    <w:rsid w:val="006A5A82"/>
    <w:rsid w:val="006A5BC7"/>
    <w:rsid w:val="006A5C44"/>
    <w:rsid w:val="006A5DE5"/>
    <w:rsid w:val="006A636A"/>
    <w:rsid w:val="006A6518"/>
    <w:rsid w:val="006A6B69"/>
    <w:rsid w:val="006A6F85"/>
    <w:rsid w:val="006B1229"/>
    <w:rsid w:val="006B1938"/>
    <w:rsid w:val="006B19B2"/>
    <w:rsid w:val="006B1A7C"/>
    <w:rsid w:val="006B1DA2"/>
    <w:rsid w:val="006B1F5F"/>
    <w:rsid w:val="006B2064"/>
    <w:rsid w:val="006B3AD6"/>
    <w:rsid w:val="006B4F5B"/>
    <w:rsid w:val="006B5922"/>
    <w:rsid w:val="006B67DE"/>
    <w:rsid w:val="006B6C94"/>
    <w:rsid w:val="006B6E3E"/>
    <w:rsid w:val="006C066E"/>
    <w:rsid w:val="006C0900"/>
    <w:rsid w:val="006C09DD"/>
    <w:rsid w:val="006C10C0"/>
    <w:rsid w:val="006C12AE"/>
    <w:rsid w:val="006C30B8"/>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474"/>
    <w:rsid w:val="006D0B4F"/>
    <w:rsid w:val="006D1F1A"/>
    <w:rsid w:val="006D21FF"/>
    <w:rsid w:val="006D493C"/>
    <w:rsid w:val="006D5FEE"/>
    <w:rsid w:val="006D5FEF"/>
    <w:rsid w:val="006D64D6"/>
    <w:rsid w:val="006D6A4C"/>
    <w:rsid w:val="006D6FC8"/>
    <w:rsid w:val="006E0240"/>
    <w:rsid w:val="006E0993"/>
    <w:rsid w:val="006E0B10"/>
    <w:rsid w:val="006E0B16"/>
    <w:rsid w:val="006E22CC"/>
    <w:rsid w:val="006E32C4"/>
    <w:rsid w:val="006E3A2D"/>
    <w:rsid w:val="006E3B45"/>
    <w:rsid w:val="006E512D"/>
    <w:rsid w:val="006E53A6"/>
    <w:rsid w:val="006E5C3A"/>
    <w:rsid w:val="006E610E"/>
    <w:rsid w:val="006E6FC9"/>
    <w:rsid w:val="006E7093"/>
    <w:rsid w:val="006E7496"/>
    <w:rsid w:val="006E7969"/>
    <w:rsid w:val="006F0104"/>
    <w:rsid w:val="006F0B08"/>
    <w:rsid w:val="006F0C12"/>
    <w:rsid w:val="006F0EB1"/>
    <w:rsid w:val="006F10A1"/>
    <w:rsid w:val="006F1636"/>
    <w:rsid w:val="006F16B4"/>
    <w:rsid w:val="006F2CCB"/>
    <w:rsid w:val="006F2E9D"/>
    <w:rsid w:val="006F314D"/>
    <w:rsid w:val="006F57A2"/>
    <w:rsid w:val="006F59D4"/>
    <w:rsid w:val="006F5CDF"/>
    <w:rsid w:val="006F5FAA"/>
    <w:rsid w:val="006F61B8"/>
    <w:rsid w:val="006F6BE1"/>
    <w:rsid w:val="006F738F"/>
    <w:rsid w:val="006F7E42"/>
    <w:rsid w:val="0070023A"/>
    <w:rsid w:val="00700EC2"/>
    <w:rsid w:val="00700F47"/>
    <w:rsid w:val="00700F6E"/>
    <w:rsid w:val="007014E9"/>
    <w:rsid w:val="0070193E"/>
    <w:rsid w:val="00701F6B"/>
    <w:rsid w:val="00701F87"/>
    <w:rsid w:val="00702958"/>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FF5"/>
    <w:rsid w:val="0071129C"/>
    <w:rsid w:val="00711AE4"/>
    <w:rsid w:val="007128FE"/>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24D"/>
    <w:rsid w:val="0073446C"/>
    <w:rsid w:val="007347C0"/>
    <w:rsid w:val="007354B7"/>
    <w:rsid w:val="00735D01"/>
    <w:rsid w:val="00735DF3"/>
    <w:rsid w:val="0073642C"/>
    <w:rsid w:val="00736B96"/>
    <w:rsid w:val="00736BD5"/>
    <w:rsid w:val="00736BED"/>
    <w:rsid w:val="00736E2F"/>
    <w:rsid w:val="0073725A"/>
    <w:rsid w:val="00737302"/>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83D"/>
    <w:rsid w:val="00760D79"/>
    <w:rsid w:val="0076121D"/>
    <w:rsid w:val="007619FB"/>
    <w:rsid w:val="00761C91"/>
    <w:rsid w:val="00762924"/>
    <w:rsid w:val="00762D30"/>
    <w:rsid w:val="00762D3E"/>
    <w:rsid w:val="00763339"/>
    <w:rsid w:val="00763355"/>
    <w:rsid w:val="00763522"/>
    <w:rsid w:val="00763FE8"/>
    <w:rsid w:val="00764A6B"/>
    <w:rsid w:val="00764E1D"/>
    <w:rsid w:val="00765327"/>
    <w:rsid w:val="007661E2"/>
    <w:rsid w:val="00766AE4"/>
    <w:rsid w:val="00766BFB"/>
    <w:rsid w:val="0076702E"/>
    <w:rsid w:val="007678B6"/>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732"/>
    <w:rsid w:val="0078095A"/>
    <w:rsid w:val="0078146E"/>
    <w:rsid w:val="0078165E"/>
    <w:rsid w:val="00781B9A"/>
    <w:rsid w:val="0078243D"/>
    <w:rsid w:val="00783659"/>
    <w:rsid w:val="0078380D"/>
    <w:rsid w:val="00783BCC"/>
    <w:rsid w:val="00784702"/>
    <w:rsid w:val="007847B9"/>
    <w:rsid w:val="00785381"/>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90E"/>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D7F79"/>
    <w:rsid w:val="007E0C8C"/>
    <w:rsid w:val="007E1479"/>
    <w:rsid w:val="007E1BF0"/>
    <w:rsid w:val="007E1C10"/>
    <w:rsid w:val="007E1CB1"/>
    <w:rsid w:val="007E201B"/>
    <w:rsid w:val="007E218F"/>
    <w:rsid w:val="007E2252"/>
    <w:rsid w:val="007E276E"/>
    <w:rsid w:val="007E2B64"/>
    <w:rsid w:val="007E3051"/>
    <w:rsid w:val="007E4238"/>
    <w:rsid w:val="007E43A4"/>
    <w:rsid w:val="007E4E4F"/>
    <w:rsid w:val="007E6477"/>
    <w:rsid w:val="007E686B"/>
    <w:rsid w:val="007E6D46"/>
    <w:rsid w:val="007E6DA8"/>
    <w:rsid w:val="007E73ED"/>
    <w:rsid w:val="007E7A3E"/>
    <w:rsid w:val="007F04E6"/>
    <w:rsid w:val="007F05E0"/>
    <w:rsid w:val="007F0AE2"/>
    <w:rsid w:val="007F0DD3"/>
    <w:rsid w:val="007F1591"/>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4A9"/>
    <w:rsid w:val="00801838"/>
    <w:rsid w:val="00801909"/>
    <w:rsid w:val="00801F82"/>
    <w:rsid w:val="00802AC5"/>
    <w:rsid w:val="00803016"/>
    <w:rsid w:val="00804867"/>
    <w:rsid w:val="00804B2F"/>
    <w:rsid w:val="00805DA9"/>
    <w:rsid w:val="008064A1"/>
    <w:rsid w:val="008064F4"/>
    <w:rsid w:val="00806559"/>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42C7"/>
    <w:rsid w:val="0081433F"/>
    <w:rsid w:val="008147F9"/>
    <w:rsid w:val="00814B5E"/>
    <w:rsid w:val="00814B7D"/>
    <w:rsid w:val="00814C44"/>
    <w:rsid w:val="00814CBC"/>
    <w:rsid w:val="00814F19"/>
    <w:rsid w:val="00815706"/>
    <w:rsid w:val="00815A88"/>
    <w:rsid w:val="008162DE"/>
    <w:rsid w:val="00817025"/>
    <w:rsid w:val="008176B0"/>
    <w:rsid w:val="008202C9"/>
    <w:rsid w:val="00820759"/>
    <w:rsid w:val="0082081A"/>
    <w:rsid w:val="00820B06"/>
    <w:rsid w:val="00820E25"/>
    <w:rsid w:val="00820FE6"/>
    <w:rsid w:val="00821167"/>
    <w:rsid w:val="00821737"/>
    <w:rsid w:val="00821B0B"/>
    <w:rsid w:val="00821D40"/>
    <w:rsid w:val="008237B2"/>
    <w:rsid w:val="00827A8A"/>
    <w:rsid w:val="00830D11"/>
    <w:rsid w:val="008314F0"/>
    <w:rsid w:val="008319D3"/>
    <w:rsid w:val="00832C18"/>
    <w:rsid w:val="0083388D"/>
    <w:rsid w:val="0083411C"/>
    <w:rsid w:val="00834339"/>
    <w:rsid w:val="008343CB"/>
    <w:rsid w:val="00834512"/>
    <w:rsid w:val="00835544"/>
    <w:rsid w:val="00835967"/>
    <w:rsid w:val="00835B82"/>
    <w:rsid w:val="00836157"/>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5CC"/>
    <w:rsid w:val="00845D97"/>
    <w:rsid w:val="00845F51"/>
    <w:rsid w:val="00846069"/>
    <w:rsid w:val="0084637B"/>
    <w:rsid w:val="00846467"/>
    <w:rsid w:val="0084760D"/>
    <w:rsid w:val="00847991"/>
    <w:rsid w:val="008479F4"/>
    <w:rsid w:val="00847C4E"/>
    <w:rsid w:val="0085172A"/>
    <w:rsid w:val="008517E2"/>
    <w:rsid w:val="008535B0"/>
    <w:rsid w:val="00853A21"/>
    <w:rsid w:val="00853BD0"/>
    <w:rsid w:val="008544D2"/>
    <w:rsid w:val="00854983"/>
    <w:rsid w:val="00854DBE"/>
    <w:rsid w:val="00855C75"/>
    <w:rsid w:val="008569DF"/>
    <w:rsid w:val="00856B6B"/>
    <w:rsid w:val="00856E4A"/>
    <w:rsid w:val="00856EEA"/>
    <w:rsid w:val="008579B1"/>
    <w:rsid w:val="00857DB5"/>
    <w:rsid w:val="00857F97"/>
    <w:rsid w:val="0086007E"/>
    <w:rsid w:val="0086037F"/>
    <w:rsid w:val="00860777"/>
    <w:rsid w:val="00860AD4"/>
    <w:rsid w:val="0086119E"/>
    <w:rsid w:val="008614CF"/>
    <w:rsid w:val="00861B0E"/>
    <w:rsid w:val="00861B16"/>
    <w:rsid w:val="00861B41"/>
    <w:rsid w:val="00861DA1"/>
    <w:rsid w:val="00862173"/>
    <w:rsid w:val="008621F7"/>
    <w:rsid w:val="008626B0"/>
    <w:rsid w:val="00864A2A"/>
    <w:rsid w:val="00864E86"/>
    <w:rsid w:val="00865DE1"/>
    <w:rsid w:val="0086711C"/>
    <w:rsid w:val="00870793"/>
    <w:rsid w:val="00871EED"/>
    <w:rsid w:val="00872977"/>
    <w:rsid w:val="008731DC"/>
    <w:rsid w:val="008734E7"/>
    <w:rsid w:val="00873A43"/>
    <w:rsid w:val="0087404E"/>
    <w:rsid w:val="008744DD"/>
    <w:rsid w:val="00874C48"/>
    <w:rsid w:val="0087504C"/>
    <w:rsid w:val="008751A1"/>
    <w:rsid w:val="00875394"/>
    <w:rsid w:val="00875524"/>
    <w:rsid w:val="00875905"/>
    <w:rsid w:val="00876B38"/>
    <w:rsid w:val="00876C1A"/>
    <w:rsid w:val="00877149"/>
    <w:rsid w:val="00877FA3"/>
    <w:rsid w:val="00880E55"/>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84"/>
    <w:rsid w:val="008B0DCC"/>
    <w:rsid w:val="008B1651"/>
    <w:rsid w:val="008B2DEB"/>
    <w:rsid w:val="008B3537"/>
    <w:rsid w:val="008B3D4F"/>
    <w:rsid w:val="008B4685"/>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C3C"/>
    <w:rsid w:val="008C7F77"/>
    <w:rsid w:val="008D095D"/>
    <w:rsid w:val="008D0EB5"/>
    <w:rsid w:val="008D13DC"/>
    <w:rsid w:val="008D1980"/>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170"/>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6F90"/>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62E5"/>
    <w:rsid w:val="008F7697"/>
    <w:rsid w:val="008F7AEE"/>
    <w:rsid w:val="00900A18"/>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07EC1"/>
    <w:rsid w:val="009108A7"/>
    <w:rsid w:val="009114A5"/>
    <w:rsid w:val="00911E1A"/>
    <w:rsid w:val="009123B9"/>
    <w:rsid w:val="0091247F"/>
    <w:rsid w:val="00912DDD"/>
    <w:rsid w:val="00913F4C"/>
    <w:rsid w:val="0091404B"/>
    <w:rsid w:val="0091423A"/>
    <w:rsid w:val="00914307"/>
    <w:rsid w:val="00914370"/>
    <w:rsid w:val="00914CA0"/>
    <w:rsid w:val="00914DE2"/>
    <w:rsid w:val="0091537E"/>
    <w:rsid w:val="00915989"/>
    <w:rsid w:val="00915DE0"/>
    <w:rsid w:val="009167FB"/>
    <w:rsid w:val="00916CCF"/>
    <w:rsid w:val="00920236"/>
    <w:rsid w:val="00920B65"/>
    <w:rsid w:val="00920BC8"/>
    <w:rsid w:val="00920D4C"/>
    <w:rsid w:val="00921169"/>
    <w:rsid w:val="0092160E"/>
    <w:rsid w:val="009218D2"/>
    <w:rsid w:val="00921D14"/>
    <w:rsid w:val="00921D57"/>
    <w:rsid w:val="00921F94"/>
    <w:rsid w:val="00922076"/>
    <w:rsid w:val="00922316"/>
    <w:rsid w:val="0092237B"/>
    <w:rsid w:val="00922BFD"/>
    <w:rsid w:val="0092480A"/>
    <w:rsid w:val="00924CC1"/>
    <w:rsid w:val="009257B4"/>
    <w:rsid w:val="00925DD1"/>
    <w:rsid w:val="009260EC"/>
    <w:rsid w:val="0092698B"/>
    <w:rsid w:val="0092769F"/>
    <w:rsid w:val="00927817"/>
    <w:rsid w:val="00930B4A"/>
    <w:rsid w:val="00931271"/>
    <w:rsid w:val="0093135E"/>
    <w:rsid w:val="00932410"/>
    <w:rsid w:val="009324B1"/>
    <w:rsid w:val="00932575"/>
    <w:rsid w:val="009325D4"/>
    <w:rsid w:val="009327B5"/>
    <w:rsid w:val="00932A88"/>
    <w:rsid w:val="009331E9"/>
    <w:rsid w:val="00933241"/>
    <w:rsid w:val="00933DE4"/>
    <w:rsid w:val="009353FF"/>
    <w:rsid w:val="00935B7C"/>
    <w:rsid w:val="009365EB"/>
    <w:rsid w:val="00936AEF"/>
    <w:rsid w:val="00936F26"/>
    <w:rsid w:val="0094086F"/>
    <w:rsid w:val="00940AA2"/>
    <w:rsid w:val="00940B68"/>
    <w:rsid w:val="00940DF4"/>
    <w:rsid w:val="0094193E"/>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D2A"/>
    <w:rsid w:val="00951FFF"/>
    <w:rsid w:val="009520A6"/>
    <w:rsid w:val="009526F7"/>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2CED"/>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69"/>
    <w:rsid w:val="009720A1"/>
    <w:rsid w:val="009728FB"/>
    <w:rsid w:val="0097298A"/>
    <w:rsid w:val="0097373B"/>
    <w:rsid w:val="00973BAF"/>
    <w:rsid w:val="00974182"/>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2464"/>
    <w:rsid w:val="009930C0"/>
    <w:rsid w:val="00994344"/>
    <w:rsid w:val="00994B6A"/>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A7FE7"/>
    <w:rsid w:val="009B003C"/>
    <w:rsid w:val="009B0DFC"/>
    <w:rsid w:val="009B114C"/>
    <w:rsid w:val="009B2465"/>
    <w:rsid w:val="009B285A"/>
    <w:rsid w:val="009B300F"/>
    <w:rsid w:val="009B35E6"/>
    <w:rsid w:val="009B3745"/>
    <w:rsid w:val="009B46E0"/>
    <w:rsid w:val="009B48F3"/>
    <w:rsid w:val="009B521B"/>
    <w:rsid w:val="009B5DD5"/>
    <w:rsid w:val="009B6970"/>
    <w:rsid w:val="009B74E2"/>
    <w:rsid w:val="009C00EF"/>
    <w:rsid w:val="009C064F"/>
    <w:rsid w:val="009C1566"/>
    <w:rsid w:val="009C1BE2"/>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5D9"/>
    <w:rsid w:val="009D3879"/>
    <w:rsid w:val="009D4303"/>
    <w:rsid w:val="009D4728"/>
    <w:rsid w:val="009D4A8E"/>
    <w:rsid w:val="009D50E8"/>
    <w:rsid w:val="009D5637"/>
    <w:rsid w:val="009D57D5"/>
    <w:rsid w:val="009D5D05"/>
    <w:rsid w:val="009D62E7"/>
    <w:rsid w:val="009D6F0D"/>
    <w:rsid w:val="009D7423"/>
    <w:rsid w:val="009D7576"/>
    <w:rsid w:val="009D7776"/>
    <w:rsid w:val="009D7C4F"/>
    <w:rsid w:val="009E096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3DC"/>
    <w:rsid w:val="009F3CC3"/>
    <w:rsid w:val="009F3F25"/>
    <w:rsid w:val="009F42FA"/>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AAD"/>
    <w:rsid w:val="00A05B8C"/>
    <w:rsid w:val="00A05CB6"/>
    <w:rsid w:val="00A05F8B"/>
    <w:rsid w:val="00A066E7"/>
    <w:rsid w:val="00A0678E"/>
    <w:rsid w:val="00A06EE7"/>
    <w:rsid w:val="00A07654"/>
    <w:rsid w:val="00A07B16"/>
    <w:rsid w:val="00A07BFA"/>
    <w:rsid w:val="00A07DCC"/>
    <w:rsid w:val="00A07FA3"/>
    <w:rsid w:val="00A10B48"/>
    <w:rsid w:val="00A11A66"/>
    <w:rsid w:val="00A11ACA"/>
    <w:rsid w:val="00A11E0F"/>
    <w:rsid w:val="00A12206"/>
    <w:rsid w:val="00A12BEE"/>
    <w:rsid w:val="00A13715"/>
    <w:rsid w:val="00A13A3E"/>
    <w:rsid w:val="00A14566"/>
    <w:rsid w:val="00A145D0"/>
    <w:rsid w:val="00A14B65"/>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2A1"/>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0B3"/>
    <w:rsid w:val="00A4528E"/>
    <w:rsid w:val="00A4570E"/>
    <w:rsid w:val="00A4648A"/>
    <w:rsid w:val="00A46B10"/>
    <w:rsid w:val="00A46F1F"/>
    <w:rsid w:val="00A46FAD"/>
    <w:rsid w:val="00A472DB"/>
    <w:rsid w:val="00A47B7B"/>
    <w:rsid w:val="00A5044D"/>
    <w:rsid w:val="00A50B00"/>
    <w:rsid w:val="00A50C99"/>
    <w:rsid w:val="00A50E51"/>
    <w:rsid w:val="00A514EB"/>
    <w:rsid w:val="00A517B9"/>
    <w:rsid w:val="00A518FF"/>
    <w:rsid w:val="00A521E0"/>
    <w:rsid w:val="00A52BE9"/>
    <w:rsid w:val="00A54007"/>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2F30"/>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37A"/>
    <w:rsid w:val="00A844C6"/>
    <w:rsid w:val="00A8523D"/>
    <w:rsid w:val="00A853A6"/>
    <w:rsid w:val="00A905F1"/>
    <w:rsid w:val="00A909F2"/>
    <w:rsid w:val="00A90CE4"/>
    <w:rsid w:val="00A90E27"/>
    <w:rsid w:val="00A90F65"/>
    <w:rsid w:val="00A910E1"/>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A5"/>
    <w:rsid w:val="00AA3CB1"/>
    <w:rsid w:val="00AA49B7"/>
    <w:rsid w:val="00AA61DD"/>
    <w:rsid w:val="00AA630A"/>
    <w:rsid w:val="00AA64FA"/>
    <w:rsid w:val="00AA69EF"/>
    <w:rsid w:val="00AA6F9A"/>
    <w:rsid w:val="00AA7159"/>
    <w:rsid w:val="00AA7A0E"/>
    <w:rsid w:val="00AB02C8"/>
    <w:rsid w:val="00AB032A"/>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CC4"/>
    <w:rsid w:val="00AC0D36"/>
    <w:rsid w:val="00AC0F0B"/>
    <w:rsid w:val="00AC2671"/>
    <w:rsid w:val="00AC27BD"/>
    <w:rsid w:val="00AC2D25"/>
    <w:rsid w:val="00AC2E78"/>
    <w:rsid w:val="00AC33F9"/>
    <w:rsid w:val="00AC3431"/>
    <w:rsid w:val="00AC34AE"/>
    <w:rsid w:val="00AC3600"/>
    <w:rsid w:val="00AC367D"/>
    <w:rsid w:val="00AC3727"/>
    <w:rsid w:val="00AC3E57"/>
    <w:rsid w:val="00AC4379"/>
    <w:rsid w:val="00AC495A"/>
    <w:rsid w:val="00AC4D53"/>
    <w:rsid w:val="00AC4E7D"/>
    <w:rsid w:val="00AC52F4"/>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C1A"/>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1D7"/>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00"/>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6241"/>
    <w:rsid w:val="00B07988"/>
    <w:rsid w:val="00B07EDA"/>
    <w:rsid w:val="00B11AC8"/>
    <w:rsid w:val="00B11C22"/>
    <w:rsid w:val="00B11E9A"/>
    <w:rsid w:val="00B121C8"/>
    <w:rsid w:val="00B13818"/>
    <w:rsid w:val="00B13C59"/>
    <w:rsid w:val="00B14939"/>
    <w:rsid w:val="00B14DDF"/>
    <w:rsid w:val="00B14E6C"/>
    <w:rsid w:val="00B14F21"/>
    <w:rsid w:val="00B151C6"/>
    <w:rsid w:val="00B153E8"/>
    <w:rsid w:val="00B1571A"/>
    <w:rsid w:val="00B15CC4"/>
    <w:rsid w:val="00B15E60"/>
    <w:rsid w:val="00B16191"/>
    <w:rsid w:val="00B1741F"/>
    <w:rsid w:val="00B17793"/>
    <w:rsid w:val="00B17D79"/>
    <w:rsid w:val="00B17F5F"/>
    <w:rsid w:val="00B20057"/>
    <w:rsid w:val="00B208A5"/>
    <w:rsid w:val="00B209B5"/>
    <w:rsid w:val="00B20DA9"/>
    <w:rsid w:val="00B20E2B"/>
    <w:rsid w:val="00B21CA7"/>
    <w:rsid w:val="00B21D24"/>
    <w:rsid w:val="00B22651"/>
    <w:rsid w:val="00B22CE2"/>
    <w:rsid w:val="00B23216"/>
    <w:rsid w:val="00B23960"/>
    <w:rsid w:val="00B23C80"/>
    <w:rsid w:val="00B24165"/>
    <w:rsid w:val="00B2484E"/>
    <w:rsid w:val="00B24C37"/>
    <w:rsid w:val="00B24F49"/>
    <w:rsid w:val="00B25064"/>
    <w:rsid w:val="00B25163"/>
    <w:rsid w:val="00B255A7"/>
    <w:rsid w:val="00B25A70"/>
    <w:rsid w:val="00B25F9A"/>
    <w:rsid w:val="00B263DD"/>
    <w:rsid w:val="00B265B9"/>
    <w:rsid w:val="00B27080"/>
    <w:rsid w:val="00B272D3"/>
    <w:rsid w:val="00B27A25"/>
    <w:rsid w:val="00B27F0A"/>
    <w:rsid w:val="00B31F85"/>
    <w:rsid w:val="00B3245C"/>
    <w:rsid w:val="00B32D9A"/>
    <w:rsid w:val="00B33105"/>
    <w:rsid w:val="00B336EB"/>
    <w:rsid w:val="00B3396B"/>
    <w:rsid w:val="00B33C09"/>
    <w:rsid w:val="00B34CA0"/>
    <w:rsid w:val="00B35846"/>
    <w:rsid w:val="00B35E23"/>
    <w:rsid w:val="00B363A1"/>
    <w:rsid w:val="00B36447"/>
    <w:rsid w:val="00B364F3"/>
    <w:rsid w:val="00B36993"/>
    <w:rsid w:val="00B374F2"/>
    <w:rsid w:val="00B40294"/>
    <w:rsid w:val="00B40D73"/>
    <w:rsid w:val="00B411BF"/>
    <w:rsid w:val="00B415C1"/>
    <w:rsid w:val="00B426FE"/>
    <w:rsid w:val="00B4299D"/>
    <w:rsid w:val="00B430D3"/>
    <w:rsid w:val="00B43215"/>
    <w:rsid w:val="00B433B2"/>
    <w:rsid w:val="00B437B3"/>
    <w:rsid w:val="00B437BD"/>
    <w:rsid w:val="00B439FA"/>
    <w:rsid w:val="00B43A55"/>
    <w:rsid w:val="00B43F99"/>
    <w:rsid w:val="00B4485B"/>
    <w:rsid w:val="00B448C2"/>
    <w:rsid w:val="00B46FB7"/>
    <w:rsid w:val="00B477AA"/>
    <w:rsid w:val="00B4783F"/>
    <w:rsid w:val="00B47874"/>
    <w:rsid w:val="00B47CEF"/>
    <w:rsid w:val="00B50D90"/>
    <w:rsid w:val="00B52A20"/>
    <w:rsid w:val="00B52D01"/>
    <w:rsid w:val="00B54368"/>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8C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20B"/>
    <w:rsid w:val="00B906D0"/>
    <w:rsid w:val="00B9086A"/>
    <w:rsid w:val="00B915BE"/>
    <w:rsid w:val="00B91AD7"/>
    <w:rsid w:val="00B91DBA"/>
    <w:rsid w:val="00B92037"/>
    <w:rsid w:val="00B92189"/>
    <w:rsid w:val="00B92627"/>
    <w:rsid w:val="00B93093"/>
    <w:rsid w:val="00B93392"/>
    <w:rsid w:val="00B93412"/>
    <w:rsid w:val="00B93453"/>
    <w:rsid w:val="00B93664"/>
    <w:rsid w:val="00B93C36"/>
    <w:rsid w:val="00B93DEE"/>
    <w:rsid w:val="00B94054"/>
    <w:rsid w:val="00B9422E"/>
    <w:rsid w:val="00B94253"/>
    <w:rsid w:val="00B94AC1"/>
    <w:rsid w:val="00B950E8"/>
    <w:rsid w:val="00B954FC"/>
    <w:rsid w:val="00B959B1"/>
    <w:rsid w:val="00B961D5"/>
    <w:rsid w:val="00B96482"/>
    <w:rsid w:val="00B9699B"/>
    <w:rsid w:val="00B96CF0"/>
    <w:rsid w:val="00B972EA"/>
    <w:rsid w:val="00B977E6"/>
    <w:rsid w:val="00BA0841"/>
    <w:rsid w:val="00BA0A5B"/>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EFB"/>
    <w:rsid w:val="00BA659A"/>
    <w:rsid w:val="00BA6874"/>
    <w:rsid w:val="00BA68C1"/>
    <w:rsid w:val="00BA6E74"/>
    <w:rsid w:val="00BA715B"/>
    <w:rsid w:val="00BA79BC"/>
    <w:rsid w:val="00BA7EB0"/>
    <w:rsid w:val="00BB022B"/>
    <w:rsid w:val="00BB0528"/>
    <w:rsid w:val="00BB07FA"/>
    <w:rsid w:val="00BB0D69"/>
    <w:rsid w:val="00BB1D67"/>
    <w:rsid w:val="00BB214E"/>
    <w:rsid w:val="00BB23BD"/>
    <w:rsid w:val="00BB301E"/>
    <w:rsid w:val="00BB3F4C"/>
    <w:rsid w:val="00BB5260"/>
    <w:rsid w:val="00BB5964"/>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E779A"/>
    <w:rsid w:val="00BE7D51"/>
    <w:rsid w:val="00BF0487"/>
    <w:rsid w:val="00BF0ACA"/>
    <w:rsid w:val="00BF0FD5"/>
    <w:rsid w:val="00BF10D2"/>
    <w:rsid w:val="00BF116C"/>
    <w:rsid w:val="00BF120B"/>
    <w:rsid w:val="00BF19D1"/>
    <w:rsid w:val="00BF22EE"/>
    <w:rsid w:val="00BF2AF0"/>
    <w:rsid w:val="00BF31CB"/>
    <w:rsid w:val="00BF4881"/>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BF0"/>
    <w:rsid w:val="00C04D46"/>
    <w:rsid w:val="00C050A5"/>
    <w:rsid w:val="00C052F4"/>
    <w:rsid w:val="00C0546C"/>
    <w:rsid w:val="00C055A0"/>
    <w:rsid w:val="00C05678"/>
    <w:rsid w:val="00C057E0"/>
    <w:rsid w:val="00C0599D"/>
    <w:rsid w:val="00C05C1D"/>
    <w:rsid w:val="00C05C20"/>
    <w:rsid w:val="00C05DB8"/>
    <w:rsid w:val="00C06066"/>
    <w:rsid w:val="00C067A4"/>
    <w:rsid w:val="00C076F5"/>
    <w:rsid w:val="00C078CC"/>
    <w:rsid w:val="00C07CAD"/>
    <w:rsid w:val="00C10F74"/>
    <w:rsid w:val="00C11183"/>
    <w:rsid w:val="00C113FE"/>
    <w:rsid w:val="00C118E4"/>
    <w:rsid w:val="00C11CA8"/>
    <w:rsid w:val="00C11FA5"/>
    <w:rsid w:val="00C11FE5"/>
    <w:rsid w:val="00C11FF6"/>
    <w:rsid w:val="00C122BF"/>
    <w:rsid w:val="00C124C4"/>
    <w:rsid w:val="00C12D59"/>
    <w:rsid w:val="00C138F6"/>
    <w:rsid w:val="00C13AD5"/>
    <w:rsid w:val="00C13C8A"/>
    <w:rsid w:val="00C14FE4"/>
    <w:rsid w:val="00C15135"/>
    <w:rsid w:val="00C17D89"/>
    <w:rsid w:val="00C20049"/>
    <w:rsid w:val="00C2068D"/>
    <w:rsid w:val="00C206C4"/>
    <w:rsid w:val="00C20CB5"/>
    <w:rsid w:val="00C20D6F"/>
    <w:rsid w:val="00C2188F"/>
    <w:rsid w:val="00C219B3"/>
    <w:rsid w:val="00C21D29"/>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E67"/>
    <w:rsid w:val="00C33FF0"/>
    <w:rsid w:val="00C34751"/>
    <w:rsid w:val="00C34C05"/>
    <w:rsid w:val="00C34E0B"/>
    <w:rsid w:val="00C3566B"/>
    <w:rsid w:val="00C35A2B"/>
    <w:rsid w:val="00C35B23"/>
    <w:rsid w:val="00C35BE3"/>
    <w:rsid w:val="00C36064"/>
    <w:rsid w:val="00C36BFA"/>
    <w:rsid w:val="00C36E02"/>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896"/>
    <w:rsid w:val="00C479D8"/>
    <w:rsid w:val="00C47AE8"/>
    <w:rsid w:val="00C50066"/>
    <w:rsid w:val="00C5017F"/>
    <w:rsid w:val="00C50DED"/>
    <w:rsid w:val="00C51B51"/>
    <w:rsid w:val="00C51F1A"/>
    <w:rsid w:val="00C522F8"/>
    <w:rsid w:val="00C5257E"/>
    <w:rsid w:val="00C52BD9"/>
    <w:rsid w:val="00C52FE0"/>
    <w:rsid w:val="00C5337B"/>
    <w:rsid w:val="00C542EF"/>
    <w:rsid w:val="00C544CA"/>
    <w:rsid w:val="00C54C1C"/>
    <w:rsid w:val="00C54C62"/>
    <w:rsid w:val="00C55231"/>
    <w:rsid w:val="00C563DF"/>
    <w:rsid w:val="00C57750"/>
    <w:rsid w:val="00C57CC6"/>
    <w:rsid w:val="00C604D8"/>
    <w:rsid w:val="00C60D3B"/>
    <w:rsid w:val="00C60EC1"/>
    <w:rsid w:val="00C61F3D"/>
    <w:rsid w:val="00C620E3"/>
    <w:rsid w:val="00C62997"/>
    <w:rsid w:val="00C62B6B"/>
    <w:rsid w:val="00C62DEF"/>
    <w:rsid w:val="00C62F42"/>
    <w:rsid w:val="00C633AB"/>
    <w:rsid w:val="00C64849"/>
    <w:rsid w:val="00C65F58"/>
    <w:rsid w:val="00C661CD"/>
    <w:rsid w:val="00C66571"/>
    <w:rsid w:val="00C667F6"/>
    <w:rsid w:val="00C66941"/>
    <w:rsid w:val="00C66B7F"/>
    <w:rsid w:val="00C66C4B"/>
    <w:rsid w:val="00C66E0C"/>
    <w:rsid w:val="00C67420"/>
    <w:rsid w:val="00C679BA"/>
    <w:rsid w:val="00C70551"/>
    <w:rsid w:val="00C7094D"/>
    <w:rsid w:val="00C71CB1"/>
    <w:rsid w:val="00C7296E"/>
    <w:rsid w:val="00C72AD3"/>
    <w:rsid w:val="00C73242"/>
    <w:rsid w:val="00C7357D"/>
    <w:rsid w:val="00C738FE"/>
    <w:rsid w:val="00C741B5"/>
    <w:rsid w:val="00C75004"/>
    <w:rsid w:val="00C755E8"/>
    <w:rsid w:val="00C75970"/>
    <w:rsid w:val="00C75A42"/>
    <w:rsid w:val="00C75C9D"/>
    <w:rsid w:val="00C77113"/>
    <w:rsid w:val="00C80A6E"/>
    <w:rsid w:val="00C811D4"/>
    <w:rsid w:val="00C8128C"/>
    <w:rsid w:val="00C8198E"/>
    <w:rsid w:val="00C82C71"/>
    <w:rsid w:val="00C82E5F"/>
    <w:rsid w:val="00C83234"/>
    <w:rsid w:val="00C8338A"/>
    <w:rsid w:val="00C83FEB"/>
    <w:rsid w:val="00C84103"/>
    <w:rsid w:val="00C8567F"/>
    <w:rsid w:val="00C8572A"/>
    <w:rsid w:val="00C85784"/>
    <w:rsid w:val="00C85BCA"/>
    <w:rsid w:val="00C8650D"/>
    <w:rsid w:val="00C8781D"/>
    <w:rsid w:val="00C87C97"/>
    <w:rsid w:val="00C87CCD"/>
    <w:rsid w:val="00C905AC"/>
    <w:rsid w:val="00C90B13"/>
    <w:rsid w:val="00C90F7A"/>
    <w:rsid w:val="00C91B3B"/>
    <w:rsid w:val="00C91CFB"/>
    <w:rsid w:val="00C91FAC"/>
    <w:rsid w:val="00C922C5"/>
    <w:rsid w:val="00C9254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1A5C"/>
    <w:rsid w:val="00CA237B"/>
    <w:rsid w:val="00CA284C"/>
    <w:rsid w:val="00CA2919"/>
    <w:rsid w:val="00CA2C56"/>
    <w:rsid w:val="00CA3315"/>
    <w:rsid w:val="00CA3F84"/>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6D6"/>
    <w:rsid w:val="00CC3929"/>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5F24"/>
    <w:rsid w:val="00CF6AF3"/>
    <w:rsid w:val="00CF75C7"/>
    <w:rsid w:val="00D014A9"/>
    <w:rsid w:val="00D017EE"/>
    <w:rsid w:val="00D02369"/>
    <w:rsid w:val="00D02621"/>
    <w:rsid w:val="00D02AC8"/>
    <w:rsid w:val="00D02C36"/>
    <w:rsid w:val="00D03684"/>
    <w:rsid w:val="00D038A2"/>
    <w:rsid w:val="00D03CAB"/>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396"/>
    <w:rsid w:val="00D10FB7"/>
    <w:rsid w:val="00D11683"/>
    <w:rsid w:val="00D11873"/>
    <w:rsid w:val="00D12BDB"/>
    <w:rsid w:val="00D13880"/>
    <w:rsid w:val="00D14204"/>
    <w:rsid w:val="00D14F37"/>
    <w:rsid w:val="00D1624D"/>
    <w:rsid w:val="00D164BF"/>
    <w:rsid w:val="00D16A3F"/>
    <w:rsid w:val="00D17F6A"/>
    <w:rsid w:val="00D20083"/>
    <w:rsid w:val="00D20E2C"/>
    <w:rsid w:val="00D217CE"/>
    <w:rsid w:val="00D21FD2"/>
    <w:rsid w:val="00D22050"/>
    <w:rsid w:val="00D22D38"/>
    <w:rsid w:val="00D22EE4"/>
    <w:rsid w:val="00D22F97"/>
    <w:rsid w:val="00D231AF"/>
    <w:rsid w:val="00D23556"/>
    <w:rsid w:val="00D24DBB"/>
    <w:rsid w:val="00D255F7"/>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0BF"/>
    <w:rsid w:val="00D422E4"/>
    <w:rsid w:val="00D423C9"/>
    <w:rsid w:val="00D4277B"/>
    <w:rsid w:val="00D429B7"/>
    <w:rsid w:val="00D4357E"/>
    <w:rsid w:val="00D43FD8"/>
    <w:rsid w:val="00D44A5C"/>
    <w:rsid w:val="00D44B18"/>
    <w:rsid w:val="00D45E78"/>
    <w:rsid w:val="00D4611C"/>
    <w:rsid w:val="00D46E80"/>
    <w:rsid w:val="00D46F2D"/>
    <w:rsid w:val="00D475CC"/>
    <w:rsid w:val="00D50835"/>
    <w:rsid w:val="00D50DBE"/>
    <w:rsid w:val="00D50F95"/>
    <w:rsid w:val="00D50FEE"/>
    <w:rsid w:val="00D51017"/>
    <w:rsid w:val="00D51565"/>
    <w:rsid w:val="00D5194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501"/>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5A2"/>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771EE"/>
    <w:rsid w:val="00D8036A"/>
    <w:rsid w:val="00D81307"/>
    <w:rsid w:val="00D81FF1"/>
    <w:rsid w:val="00D820F3"/>
    <w:rsid w:val="00D822CA"/>
    <w:rsid w:val="00D82826"/>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6F51"/>
    <w:rsid w:val="00DA019E"/>
    <w:rsid w:val="00DA0590"/>
    <w:rsid w:val="00DA0F8E"/>
    <w:rsid w:val="00DA0FC0"/>
    <w:rsid w:val="00DA1176"/>
    <w:rsid w:val="00DA12A3"/>
    <w:rsid w:val="00DA1985"/>
    <w:rsid w:val="00DA1B85"/>
    <w:rsid w:val="00DA1D80"/>
    <w:rsid w:val="00DA1E0F"/>
    <w:rsid w:val="00DA2046"/>
    <w:rsid w:val="00DA2597"/>
    <w:rsid w:val="00DA2BCC"/>
    <w:rsid w:val="00DA2E53"/>
    <w:rsid w:val="00DA3048"/>
    <w:rsid w:val="00DA30FB"/>
    <w:rsid w:val="00DA39C6"/>
    <w:rsid w:val="00DA3F00"/>
    <w:rsid w:val="00DA5C40"/>
    <w:rsid w:val="00DA631B"/>
    <w:rsid w:val="00DA6B8E"/>
    <w:rsid w:val="00DA6FE9"/>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B35"/>
    <w:rsid w:val="00DB4CA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78D"/>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562C"/>
    <w:rsid w:val="00DE67B4"/>
    <w:rsid w:val="00DE6DAE"/>
    <w:rsid w:val="00DE7524"/>
    <w:rsid w:val="00DF02EC"/>
    <w:rsid w:val="00DF098C"/>
    <w:rsid w:val="00DF1249"/>
    <w:rsid w:val="00DF24B9"/>
    <w:rsid w:val="00DF2DA0"/>
    <w:rsid w:val="00DF2EEE"/>
    <w:rsid w:val="00DF32AF"/>
    <w:rsid w:val="00DF3994"/>
    <w:rsid w:val="00DF3E4D"/>
    <w:rsid w:val="00DF42F3"/>
    <w:rsid w:val="00DF46CF"/>
    <w:rsid w:val="00DF4D70"/>
    <w:rsid w:val="00DF4DBC"/>
    <w:rsid w:val="00DF4F19"/>
    <w:rsid w:val="00DF5270"/>
    <w:rsid w:val="00DF5374"/>
    <w:rsid w:val="00DF5D97"/>
    <w:rsid w:val="00DF5DE1"/>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6FCC"/>
    <w:rsid w:val="00E175FF"/>
    <w:rsid w:val="00E176E8"/>
    <w:rsid w:val="00E17CFB"/>
    <w:rsid w:val="00E20661"/>
    <w:rsid w:val="00E209E6"/>
    <w:rsid w:val="00E20AD1"/>
    <w:rsid w:val="00E216A5"/>
    <w:rsid w:val="00E21F98"/>
    <w:rsid w:val="00E22222"/>
    <w:rsid w:val="00E222AC"/>
    <w:rsid w:val="00E224C9"/>
    <w:rsid w:val="00E229F7"/>
    <w:rsid w:val="00E22A2D"/>
    <w:rsid w:val="00E22EE3"/>
    <w:rsid w:val="00E23416"/>
    <w:rsid w:val="00E2391F"/>
    <w:rsid w:val="00E242E6"/>
    <w:rsid w:val="00E24E3D"/>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178E"/>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1CF"/>
    <w:rsid w:val="00E42782"/>
    <w:rsid w:val="00E42CC0"/>
    <w:rsid w:val="00E42FB4"/>
    <w:rsid w:val="00E4378A"/>
    <w:rsid w:val="00E441CF"/>
    <w:rsid w:val="00E4455B"/>
    <w:rsid w:val="00E446BF"/>
    <w:rsid w:val="00E44ECD"/>
    <w:rsid w:val="00E45136"/>
    <w:rsid w:val="00E452D0"/>
    <w:rsid w:val="00E45A9D"/>
    <w:rsid w:val="00E45B6C"/>
    <w:rsid w:val="00E45DC1"/>
    <w:rsid w:val="00E460A1"/>
    <w:rsid w:val="00E467AB"/>
    <w:rsid w:val="00E46CF9"/>
    <w:rsid w:val="00E47284"/>
    <w:rsid w:val="00E47BD9"/>
    <w:rsid w:val="00E47FBB"/>
    <w:rsid w:val="00E5141B"/>
    <w:rsid w:val="00E515A3"/>
    <w:rsid w:val="00E517D0"/>
    <w:rsid w:val="00E52471"/>
    <w:rsid w:val="00E52F76"/>
    <w:rsid w:val="00E53FAB"/>
    <w:rsid w:val="00E5413F"/>
    <w:rsid w:val="00E541D0"/>
    <w:rsid w:val="00E543CA"/>
    <w:rsid w:val="00E54EC5"/>
    <w:rsid w:val="00E54F4B"/>
    <w:rsid w:val="00E55335"/>
    <w:rsid w:val="00E55D2A"/>
    <w:rsid w:val="00E57FA4"/>
    <w:rsid w:val="00E60ADA"/>
    <w:rsid w:val="00E61C29"/>
    <w:rsid w:val="00E624D8"/>
    <w:rsid w:val="00E62EED"/>
    <w:rsid w:val="00E63DB3"/>
    <w:rsid w:val="00E63F2E"/>
    <w:rsid w:val="00E645DC"/>
    <w:rsid w:val="00E649A5"/>
    <w:rsid w:val="00E6523D"/>
    <w:rsid w:val="00E65967"/>
    <w:rsid w:val="00E65EF0"/>
    <w:rsid w:val="00E660E9"/>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26B"/>
    <w:rsid w:val="00E758C0"/>
    <w:rsid w:val="00E760A9"/>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42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757"/>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2CCA"/>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6EF"/>
    <w:rsid w:val="00ED19F8"/>
    <w:rsid w:val="00ED1FB7"/>
    <w:rsid w:val="00ED3068"/>
    <w:rsid w:val="00ED3534"/>
    <w:rsid w:val="00ED386A"/>
    <w:rsid w:val="00ED3B7D"/>
    <w:rsid w:val="00ED6435"/>
    <w:rsid w:val="00ED6CAC"/>
    <w:rsid w:val="00ED6DE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E6466"/>
    <w:rsid w:val="00EE739C"/>
    <w:rsid w:val="00EF0E50"/>
    <w:rsid w:val="00EF1DA8"/>
    <w:rsid w:val="00EF1FE3"/>
    <w:rsid w:val="00EF20FD"/>
    <w:rsid w:val="00EF220D"/>
    <w:rsid w:val="00EF2337"/>
    <w:rsid w:val="00EF2439"/>
    <w:rsid w:val="00EF2A75"/>
    <w:rsid w:val="00EF3A4A"/>
    <w:rsid w:val="00EF3B82"/>
    <w:rsid w:val="00EF3D43"/>
    <w:rsid w:val="00EF3E49"/>
    <w:rsid w:val="00EF493B"/>
    <w:rsid w:val="00EF4F32"/>
    <w:rsid w:val="00EF5A1C"/>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776"/>
    <w:rsid w:val="00F05BA0"/>
    <w:rsid w:val="00F05EED"/>
    <w:rsid w:val="00F062B0"/>
    <w:rsid w:val="00F06F02"/>
    <w:rsid w:val="00F077C0"/>
    <w:rsid w:val="00F0783A"/>
    <w:rsid w:val="00F07C4E"/>
    <w:rsid w:val="00F11C49"/>
    <w:rsid w:val="00F13F50"/>
    <w:rsid w:val="00F14351"/>
    <w:rsid w:val="00F154C5"/>
    <w:rsid w:val="00F15744"/>
    <w:rsid w:val="00F15A4F"/>
    <w:rsid w:val="00F15A79"/>
    <w:rsid w:val="00F16565"/>
    <w:rsid w:val="00F165FE"/>
    <w:rsid w:val="00F16BB1"/>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7D4"/>
    <w:rsid w:val="00F3250F"/>
    <w:rsid w:val="00F328BD"/>
    <w:rsid w:val="00F33655"/>
    <w:rsid w:val="00F3383E"/>
    <w:rsid w:val="00F338BC"/>
    <w:rsid w:val="00F33C6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367"/>
    <w:rsid w:val="00F548C8"/>
    <w:rsid w:val="00F54986"/>
    <w:rsid w:val="00F5501E"/>
    <w:rsid w:val="00F5560D"/>
    <w:rsid w:val="00F55A3B"/>
    <w:rsid w:val="00F563B2"/>
    <w:rsid w:val="00F56848"/>
    <w:rsid w:val="00F56FA3"/>
    <w:rsid w:val="00F5765A"/>
    <w:rsid w:val="00F57A26"/>
    <w:rsid w:val="00F57A55"/>
    <w:rsid w:val="00F57C72"/>
    <w:rsid w:val="00F60802"/>
    <w:rsid w:val="00F611F0"/>
    <w:rsid w:val="00F61564"/>
    <w:rsid w:val="00F61614"/>
    <w:rsid w:val="00F6190D"/>
    <w:rsid w:val="00F61D1B"/>
    <w:rsid w:val="00F61FDE"/>
    <w:rsid w:val="00F62BB8"/>
    <w:rsid w:val="00F63DE6"/>
    <w:rsid w:val="00F64966"/>
    <w:rsid w:val="00F65A43"/>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6F2"/>
    <w:rsid w:val="00F72E2E"/>
    <w:rsid w:val="00F74491"/>
    <w:rsid w:val="00F74A7A"/>
    <w:rsid w:val="00F75AE8"/>
    <w:rsid w:val="00F75B83"/>
    <w:rsid w:val="00F7625A"/>
    <w:rsid w:val="00F76408"/>
    <w:rsid w:val="00F77029"/>
    <w:rsid w:val="00F77866"/>
    <w:rsid w:val="00F77CFA"/>
    <w:rsid w:val="00F80746"/>
    <w:rsid w:val="00F80D8F"/>
    <w:rsid w:val="00F80E30"/>
    <w:rsid w:val="00F81E4A"/>
    <w:rsid w:val="00F81F25"/>
    <w:rsid w:val="00F82A4B"/>
    <w:rsid w:val="00F837DD"/>
    <w:rsid w:val="00F83912"/>
    <w:rsid w:val="00F83C07"/>
    <w:rsid w:val="00F83CC5"/>
    <w:rsid w:val="00F843E3"/>
    <w:rsid w:val="00F84419"/>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D8F"/>
    <w:rsid w:val="00FA1E61"/>
    <w:rsid w:val="00FA2B5A"/>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40C"/>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0D2"/>
    <w:rsid w:val="00FD22B6"/>
    <w:rsid w:val="00FD2475"/>
    <w:rsid w:val="00FD2751"/>
    <w:rsid w:val="00FD282A"/>
    <w:rsid w:val="00FD2A71"/>
    <w:rsid w:val="00FD2D34"/>
    <w:rsid w:val="00FD357E"/>
    <w:rsid w:val="00FD3822"/>
    <w:rsid w:val="00FD3944"/>
    <w:rsid w:val="00FD45CD"/>
    <w:rsid w:val="00FD4CC0"/>
    <w:rsid w:val="00FD5AFC"/>
    <w:rsid w:val="00FD5F3F"/>
    <w:rsid w:val="00FD618D"/>
    <w:rsid w:val="00FD6878"/>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56D"/>
    <w:rsid w:val="00FF2A88"/>
    <w:rsid w:val="00FF30FE"/>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71A"/>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B157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571A"/>
  </w:style>
  <w:style w:type="paragraph" w:styleId="TOC8">
    <w:name w:val="toc 8"/>
    <w:basedOn w:val="TOC1"/>
    <w:semiHidden/>
    <w:rsid w:val="005B4282"/>
    <w:pPr>
      <w:spacing w:before="180"/>
      <w:ind w:left="2693" w:hanging="2693"/>
    </w:pPr>
    <w:rPr>
      <w:b/>
    </w:rPr>
  </w:style>
  <w:style w:type="paragraph" w:styleId="TOC1">
    <w:name w:val="toc 1"/>
    <w:semiHidden/>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semiHidden/>
    <w:rsid w:val="005B4282"/>
    <w:pPr>
      <w:ind w:left="1134" w:hanging="1134"/>
    </w:pPr>
  </w:style>
  <w:style w:type="paragraph" w:styleId="TOC2">
    <w:name w:val="toc 2"/>
    <w:basedOn w:val="TOC1"/>
    <w:semiHidden/>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rsid w:val="005B4282"/>
    <w:rPr>
      <w:b/>
    </w:rPr>
  </w:style>
  <w:style w:type="paragraph" w:customStyle="1" w:styleId="TAC">
    <w:name w:val="TAC"/>
    <w:basedOn w:val="TAL"/>
    <w:link w:val="TACChar"/>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locked/>
    <w:rsid w:val="00404024"/>
    <w:rPr>
      <w:rFonts w:ascii="Arial" w:eastAsia="Times New Roman" w:hAnsi="Arial"/>
      <w:sz w:val="18"/>
      <w:lang w:val="en-GB" w:eastAsia="en-US"/>
    </w:rPr>
  </w:style>
  <w:style w:type="character" w:customStyle="1" w:styleId="TAHCar">
    <w:name w:val="TAH Car"/>
    <w:link w:val="TAH"/>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EastAsia"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907EC1"/>
    <w:pPr>
      <w:numPr>
        <w:numId w:val="7"/>
      </w:numPr>
      <w:ind w:left="0" w:firstLine="0"/>
    </w:pPr>
    <w:rPr>
      <w:b/>
    </w:rPr>
  </w:style>
  <w:style w:type="paragraph" w:styleId="TableofFigures">
    <w:name w:val="table of figures"/>
    <w:basedOn w:val="Normal"/>
    <w:next w:val="Normal"/>
    <w:uiPriority w:val="99"/>
    <w:unhideWhenUsed/>
    <w:rsid w:val="008B4685"/>
    <w:pPr>
      <w:tabs>
        <w:tab w:val="left" w:pos="1080"/>
        <w:tab w:val="left" w:pos="1411"/>
        <w:tab w:val="left" w:pos="1800"/>
      </w:tabs>
    </w:pPr>
    <w:rPr>
      <w:rFonts w:cs="Times New Roman"/>
      <w:b/>
      <w:bCs/>
      <w:szCs w:val="24"/>
    </w:rPr>
  </w:style>
  <w:style w:type="character" w:customStyle="1" w:styleId="ProposalChar">
    <w:name w:val="Proposal Char"/>
    <w:basedOn w:val="DefaultParagraphFont"/>
    <w:link w:val="Proposal"/>
    <w:rsid w:val="00907EC1"/>
    <w:rPr>
      <w:rFonts w:asciiTheme="minorHAnsi" w:eastAsiaTheme="minorEastAsia" w:hAnsiTheme="minorHAnsi" w:cstheme="minorBidi"/>
      <w:b/>
      <w:sz w:val="22"/>
      <w:szCs w:val="22"/>
    </w:rPr>
  </w:style>
  <w:style w:type="character" w:customStyle="1" w:styleId="CommentTextChar">
    <w:name w:val="Comment Text Char"/>
    <w:basedOn w:val="DefaultParagraphFont"/>
    <w:link w:val="CommentText"/>
    <w:semiHidden/>
    <w:rsid w:val="00A54007"/>
    <w:rPr>
      <w:rFonts w:ascii="Times New Roman" w:eastAsiaTheme="minorHAnsi" w:hAnsi="Times New Roman" w:cstheme="minorBidi"/>
      <w:szCs w:val="22"/>
      <w:lang w:eastAsia="en-US"/>
    </w:rPr>
  </w:style>
  <w:style w:type="character" w:styleId="Emphasis">
    <w:name w:val="Emphasis"/>
    <w:uiPriority w:val="20"/>
    <w:qFormat/>
    <w:rsid w:val="004706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D1C20-0A8C-4758-9DA4-130D0762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4339</Words>
  <Characters>24735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2020-10-24T04:45:00Z</dcterms:created>
  <dcterms:modified xsi:type="dcterms:W3CDTF">2021-08-07T02:36:00Z</dcterms:modified>
</cp:coreProperties>
</file>