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361B85C8" w:rsidR="00415306" w:rsidRDefault="0076284A" w:rsidP="009D2F2A">
      <w:pPr>
        <w:tabs>
          <w:tab w:val="right" w:pos="9639"/>
        </w:tabs>
        <w:spacing w:after="0"/>
        <w:ind w:right="2"/>
        <w:rPr>
          <w:rFonts w:ascii="Arial" w:eastAsia="MS Mincho" w:hAnsi="Arial" w:cs="Arial"/>
          <w:b/>
          <w:bCs/>
          <w:sz w:val="24"/>
          <w:szCs w:val="24"/>
          <w:lang w:val="en-US" w:eastAsia="ja-JP"/>
        </w:rPr>
      </w:pPr>
      <w:r w:rsidRPr="18EB8C4E">
        <w:rPr>
          <w:rFonts w:ascii="Arial" w:hAnsi="Arial" w:cs="Arial"/>
          <w:b/>
          <w:bCs/>
          <w:sz w:val="24"/>
          <w:szCs w:val="24"/>
          <w:lang w:val="en-US"/>
        </w:rPr>
        <w:t>3GPP TSG RAN WG1 #10</w:t>
      </w:r>
      <w:r w:rsidR="00795BA0" w:rsidRPr="18EB8C4E">
        <w:rPr>
          <w:rFonts w:ascii="Arial" w:hAnsi="Arial" w:cs="Arial"/>
          <w:b/>
          <w:bCs/>
          <w:sz w:val="24"/>
          <w:szCs w:val="24"/>
          <w:lang w:val="en-US"/>
        </w:rPr>
        <w:t>6</w:t>
      </w:r>
      <w:r w:rsidRPr="18EB8C4E">
        <w:rPr>
          <w:rFonts w:ascii="Arial" w:hAnsi="Arial" w:cs="Arial"/>
          <w:b/>
          <w:bCs/>
          <w:sz w:val="24"/>
          <w:szCs w:val="24"/>
          <w:lang w:val="en-US"/>
        </w:rPr>
        <w:t>-</w:t>
      </w:r>
      <w:r w:rsidR="00AC6E8A">
        <w:rPr>
          <w:rFonts w:ascii="Arial" w:hAnsi="Arial" w:cs="Arial"/>
          <w:b/>
          <w:bCs/>
          <w:sz w:val="24"/>
          <w:szCs w:val="24"/>
          <w:lang w:val="en-US"/>
        </w:rPr>
        <w:t>e</w:t>
      </w:r>
      <w:r>
        <w:tab/>
      </w:r>
      <w:r w:rsidR="739EBD9F" w:rsidRPr="009D2F2A">
        <w:rPr>
          <w:rFonts w:ascii="Arial" w:hAnsi="Arial" w:cs="Arial"/>
          <w:b/>
          <w:bCs/>
          <w:sz w:val="24"/>
          <w:szCs w:val="24"/>
          <w:lang w:val="en-US"/>
        </w:rPr>
        <w:t xml:space="preserve"> R1-2106830</w:t>
      </w:r>
    </w:p>
    <w:p w14:paraId="4FBEBF2B" w14:textId="649A31DA" w:rsidR="0076284A" w:rsidRPr="00415306" w:rsidRDefault="0076284A" w:rsidP="69621045">
      <w:pPr>
        <w:tabs>
          <w:tab w:val="center" w:pos="4536"/>
          <w:tab w:val="right" w:pos="8280"/>
          <w:tab w:val="right" w:pos="9639"/>
        </w:tabs>
        <w:spacing w:after="0"/>
        <w:ind w:right="2"/>
        <w:rPr>
          <w:rFonts w:ascii="Arial" w:eastAsia="MS Mincho" w:hAnsi="Arial" w:cs="Arial"/>
          <w:b/>
          <w:bCs/>
          <w:sz w:val="24"/>
          <w:szCs w:val="24"/>
          <w:lang w:val="en-US" w:eastAsia="ja-JP"/>
        </w:rPr>
      </w:pPr>
      <w:r w:rsidRPr="69621045">
        <w:rPr>
          <w:rFonts w:ascii="Arial" w:eastAsia="MS Mincho" w:hAnsi="Arial" w:cs="Arial"/>
          <w:b/>
          <w:bCs/>
          <w:sz w:val="24"/>
          <w:szCs w:val="24"/>
          <w:lang w:val="en-US" w:eastAsia="ja-JP"/>
        </w:rPr>
        <w:t xml:space="preserve">e-Meeting, </w:t>
      </w:r>
      <w:r w:rsidR="00795BA0">
        <w:rPr>
          <w:rFonts w:ascii="Arial" w:eastAsia="MS Mincho" w:hAnsi="Arial" w:cs="Arial"/>
          <w:b/>
          <w:bCs/>
          <w:sz w:val="24"/>
          <w:szCs w:val="24"/>
          <w:lang w:val="en-US" w:eastAsia="ja-JP"/>
        </w:rPr>
        <w:t>August</w:t>
      </w:r>
      <w:r w:rsidRPr="69621045">
        <w:rPr>
          <w:rFonts w:ascii="Arial" w:eastAsia="MS Mincho" w:hAnsi="Arial" w:cs="Arial"/>
          <w:b/>
          <w:bCs/>
          <w:sz w:val="24"/>
          <w:szCs w:val="24"/>
          <w:lang w:val="en-US" w:eastAsia="ja-JP"/>
        </w:rPr>
        <w:t xml:space="preserve"> </w:t>
      </w:r>
      <w:r w:rsidR="00795BA0">
        <w:rPr>
          <w:rFonts w:ascii="Arial" w:eastAsia="MS Mincho" w:hAnsi="Arial" w:cs="Arial"/>
          <w:b/>
          <w:bCs/>
          <w:sz w:val="24"/>
          <w:szCs w:val="24"/>
          <w:lang w:val="en-US" w:eastAsia="ja-JP"/>
        </w:rPr>
        <w:t>16</w:t>
      </w:r>
      <w:r w:rsidR="00795BA0" w:rsidRPr="00037DDC">
        <w:rPr>
          <w:rFonts w:ascii="Arial" w:eastAsia="MS Mincho" w:hAnsi="Arial" w:cs="Arial"/>
          <w:b/>
          <w:bCs/>
          <w:sz w:val="24"/>
          <w:szCs w:val="24"/>
          <w:vertAlign w:val="superscript"/>
          <w:lang w:val="en-US" w:eastAsia="ja-JP"/>
        </w:rPr>
        <w:t>th</w:t>
      </w:r>
      <w:r w:rsidR="00795BA0">
        <w:rPr>
          <w:rFonts w:ascii="Arial" w:eastAsia="MS Mincho" w:hAnsi="Arial" w:cs="Arial"/>
          <w:b/>
          <w:bCs/>
          <w:sz w:val="24"/>
          <w:szCs w:val="24"/>
          <w:lang w:val="en-US" w:eastAsia="ja-JP"/>
        </w:rPr>
        <w:t xml:space="preserve"> – 27</w:t>
      </w:r>
      <w:r w:rsidR="00795BA0" w:rsidRPr="00037DDC">
        <w:rPr>
          <w:rFonts w:ascii="Arial" w:eastAsia="MS Mincho" w:hAnsi="Arial" w:cs="Arial"/>
          <w:b/>
          <w:bCs/>
          <w:sz w:val="24"/>
          <w:szCs w:val="24"/>
          <w:vertAlign w:val="superscript"/>
          <w:lang w:val="en-US" w:eastAsia="ja-JP"/>
        </w:rPr>
        <w:t>th</w:t>
      </w:r>
      <w:r w:rsidR="00795BA0">
        <w:rPr>
          <w:rFonts w:ascii="Arial" w:eastAsia="MS Mincho" w:hAnsi="Arial" w:cs="Arial"/>
          <w:b/>
          <w:bCs/>
          <w:sz w:val="24"/>
          <w:szCs w:val="24"/>
          <w:lang w:val="en-US" w:eastAsia="ja-JP"/>
        </w:rPr>
        <w:t>, 2021</w:t>
      </w:r>
    </w:p>
    <w:p w14:paraId="453C577B" w14:textId="77777777" w:rsidR="005834A0" w:rsidRPr="00415306" w:rsidRDefault="005834A0" w:rsidP="69621045">
      <w:pPr>
        <w:pStyle w:val="Header"/>
        <w:rPr>
          <w:noProof w:val="0"/>
          <w:sz w:val="24"/>
          <w:szCs w:val="24"/>
          <w:lang w:eastAsia="ja-JP"/>
        </w:rPr>
      </w:pPr>
    </w:p>
    <w:p w14:paraId="19531E9B" w14:textId="58E81076" w:rsidR="0034111C" w:rsidRPr="00415306" w:rsidRDefault="0034111C" w:rsidP="69621045">
      <w:pPr>
        <w:pStyle w:val="CRCoverPage"/>
        <w:spacing w:after="0"/>
        <w:rPr>
          <w:rFonts w:cs="Arial"/>
          <w:b/>
          <w:bCs/>
          <w:sz w:val="24"/>
          <w:szCs w:val="24"/>
          <w:lang w:val="en-US" w:eastAsia="ja-JP"/>
        </w:rPr>
      </w:pPr>
      <w:r w:rsidRPr="69621045">
        <w:rPr>
          <w:rFonts w:cs="Arial"/>
          <w:b/>
          <w:bCs/>
          <w:sz w:val="24"/>
          <w:szCs w:val="24"/>
          <w:lang w:val="en-US"/>
        </w:rPr>
        <w:t>Agenda item:</w:t>
      </w:r>
      <w:r>
        <w:tab/>
      </w:r>
      <w:r>
        <w:tab/>
      </w:r>
      <w:r w:rsidR="00540BFA" w:rsidRPr="69621045">
        <w:rPr>
          <w:rFonts w:cs="Arial"/>
          <w:b/>
          <w:bCs/>
          <w:sz w:val="24"/>
          <w:szCs w:val="24"/>
          <w:lang w:val="en-US"/>
        </w:rPr>
        <w:t>8.10</w:t>
      </w:r>
      <w:r w:rsidR="00032007" w:rsidRPr="69621045">
        <w:rPr>
          <w:rFonts w:cs="Arial"/>
          <w:b/>
          <w:bCs/>
          <w:sz w:val="24"/>
          <w:szCs w:val="24"/>
          <w:lang w:val="en-US"/>
        </w:rPr>
        <w:t>.</w:t>
      </w:r>
      <w:r w:rsidR="0020217B">
        <w:rPr>
          <w:rFonts w:cs="Arial"/>
          <w:b/>
          <w:bCs/>
          <w:sz w:val="24"/>
          <w:szCs w:val="24"/>
          <w:lang w:val="en-US"/>
        </w:rPr>
        <w:t>3</w:t>
      </w:r>
    </w:p>
    <w:p w14:paraId="24C9E060" w14:textId="77777777" w:rsidR="00E128F2" w:rsidRPr="00415306" w:rsidRDefault="0034111C" w:rsidP="69621045">
      <w:pPr>
        <w:tabs>
          <w:tab w:val="left" w:pos="1985"/>
        </w:tabs>
        <w:spacing w:after="0"/>
        <w:ind w:left="1985" w:hanging="1985"/>
        <w:rPr>
          <w:rFonts w:ascii="Arial" w:hAnsi="Arial" w:cs="Arial"/>
          <w:b/>
          <w:bCs/>
          <w:sz w:val="24"/>
          <w:szCs w:val="24"/>
          <w:lang w:val="en-US"/>
        </w:rPr>
      </w:pPr>
      <w:r w:rsidRPr="69621045">
        <w:rPr>
          <w:rFonts w:ascii="Arial" w:hAnsi="Arial" w:cs="Arial"/>
          <w:b/>
          <w:bCs/>
          <w:sz w:val="24"/>
          <w:szCs w:val="24"/>
          <w:lang w:val="en-US"/>
        </w:rPr>
        <w:t>Source:</w:t>
      </w:r>
      <w:r>
        <w:tab/>
      </w:r>
      <w:r w:rsidR="00013455" w:rsidRPr="69621045">
        <w:rPr>
          <w:rFonts w:ascii="Arial" w:hAnsi="Arial" w:cs="Arial"/>
          <w:b/>
          <w:bCs/>
          <w:sz w:val="24"/>
          <w:szCs w:val="24"/>
          <w:lang w:val="en-US"/>
        </w:rPr>
        <w:t xml:space="preserve">Nokia, </w:t>
      </w:r>
      <w:r w:rsidR="003A7926" w:rsidRPr="69621045">
        <w:rPr>
          <w:rFonts w:ascii="Arial" w:hAnsi="Arial" w:cs="Arial"/>
          <w:b/>
          <w:bCs/>
          <w:sz w:val="24"/>
          <w:szCs w:val="24"/>
          <w:lang w:val="en-US"/>
        </w:rPr>
        <w:t>Nokia</w:t>
      </w:r>
      <w:r w:rsidR="00013455" w:rsidRPr="69621045">
        <w:rPr>
          <w:rFonts w:ascii="Arial" w:hAnsi="Arial" w:cs="Arial"/>
          <w:b/>
          <w:bCs/>
          <w:sz w:val="24"/>
          <w:szCs w:val="24"/>
          <w:lang w:val="en-US"/>
        </w:rPr>
        <w:t xml:space="preserve"> Shanghai Bell</w:t>
      </w:r>
    </w:p>
    <w:p w14:paraId="6FB181F6" w14:textId="1FEBB2A9" w:rsidR="0034111C" w:rsidRPr="00173827" w:rsidRDefault="0034111C" w:rsidP="00415306">
      <w:pPr>
        <w:spacing w:after="0"/>
        <w:ind w:left="1985" w:hanging="1985"/>
        <w:rPr>
          <w:rFonts w:ascii="Arial" w:hAnsi="Arial" w:cs="Arial"/>
          <w:b/>
          <w:bCs/>
          <w:sz w:val="24"/>
          <w:szCs w:val="24"/>
          <w:lang w:val="en-US"/>
        </w:rPr>
      </w:pPr>
      <w:r w:rsidRPr="69621045">
        <w:rPr>
          <w:rFonts w:ascii="Arial" w:hAnsi="Arial" w:cs="Arial"/>
          <w:b/>
          <w:bCs/>
          <w:sz w:val="24"/>
          <w:szCs w:val="24"/>
          <w:lang w:val="en-US"/>
        </w:rPr>
        <w:t>Title:</w:t>
      </w:r>
      <w:r>
        <w:tab/>
      </w:r>
      <w:r>
        <w:tab/>
      </w:r>
      <w:r w:rsidR="00AC6E8A" w:rsidRPr="00AC6E8A">
        <w:rPr>
          <w:rFonts w:ascii="Arial" w:hAnsi="Arial" w:cs="Arial"/>
          <w:b/>
          <w:bCs/>
          <w:sz w:val="24"/>
          <w:szCs w:val="24"/>
          <w:lang w:val="en-US"/>
        </w:rPr>
        <w:t>Discussion on inter-donor IAB migration and topology redundancy</w:t>
      </w:r>
    </w:p>
    <w:p w14:paraId="07D3B853" w14:textId="77777777" w:rsidR="0034111C" w:rsidRPr="00415306" w:rsidRDefault="0034111C" w:rsidP="69621045">
      <w:pPr>
        <w:spacing w:after="0"/>
        <w:rPr>
          <w:rFonts w:ascii="Arial" w:hAnsi="Arial" w:cs="Arial"/>
          <w:b/>
          <w:bCs/>
          <w:sz w:val="24"/>
          <w:szCs w:val="24"/>
          <w:lang w:val="en-US"/>
        </w:rPr>
      </w:pPr>
      <w:r w:rsidRPr="69621045">
        <w:rPr>
          <w:rFonts w:ascii="Arial" w:hAnsi="Arial" w:cs="Arial"/>
          <w:b/>
          <w:bCs/>
          <w:sz w:val="24"/>
          <w:szCs w:val="24"/>
          <w:lang w:val="en-US"/>
        </w:rPr>
        <w:t>Document for:</w:t>
      </w:r>
      <w:r>
        <w:tab/>
      </w:r>
      <w:r>
        <w:tab/>
      </w:r>
      <w:r w:rsidRPr="69621045">
        <w:rPr>
          <w:rFonts w:ascii="Arial" w:hAnsi="Arial" w:cs="Arial"/>
          <w:b/>
          <w:bCs/>
          <w:sz w:val="24"/>
          <w:szCs w:val="24"/>
          <w:lang w:val="en-US"/>
        </w:rPr>
        <w:t>Discussion and Decision</w:t>
      </w:r>
    </w:p>
    <w:p w14:paraId="605308AA" w14:textId="77777777" w:rsidR="0034111C" w:rsidRPr="00173827" w:rsidRDefault="0034111C">
      <w:pPr>
        <w:pStyle w:val="Heading1"/>
        <w:rPr>
          <w:lang w:val="en-US"/>
        </w:rPr>
      </w:pPr>
      <w:r w:rsidRPr="69621045">
        <w:rPr>
          <w:lang w:val="en-US"/>
        </w:rPr>
        <w:t>1</w:t>
      </w:r>
      <w:r>
        <w:tab/>
      </w:r>
      <w:r w:rsidR="00EE7FA7" w:rsidRPr="69621045">
        <w:rPr>
          <w:lang w:val="en-US"/>
        </w:rPr>
        <w:t>Introduction</w:t>
      </w:r>
    </w:p>
    <w:p w14:paraId="10546ECB" w14:textId="2CB8C888" w:rsidR="007F4AB4" w:rsidRDefault="0020217B" w:rsidP="00A15C0B">
      <w:pPr>
        <w:jc w:val="both"/>
        <w:rPr>
          <w:color w:val="000000"/>
        </w:rPr>
      </w:pPr>
      <w:r w:rsidRPr="0020217B">
        <w:rPr>
          <w:lang w:val="en-US"/>
        </w:rPr>
        <w:t xml:space="preserve">RAN 3 sent the following LS </w:t>
      </w:r>
      <w:hyperlink r:id="rId13" w:tgtFrame="_blank" w:history="1">
        <w:r w:rsidRPr="009D2F2A">
          <w:rPr>
            <w:rStyle w:val="normaltextrun"/>
            <w:color w:val="124191"/>
            <w:u w:val="single"/>
          </w:rPr>
          <w:t>R3-212974</w:t>
        </w:r>
      </w:hyperlink>
      <w:r w:rsidRPr="009D2F2A">
        <w:rPr>
          <w:rStyle w:val="eop"/>
          <w:color w:val="000000"/>
        </w:rPr>
        <w:t> </w:t>
      </w:r>
      <w:r w:rsidRPr="0020217B">
        <w:t xml:space="preserve">and </w:t>
      </w:r>
      <w:hyperlink r:id="rId14" w:tgtFrame="_blank" w:history="1">
        <w:r w:rsidRPr="009D2F2A">
          <w:rPr>
            <w:rStyle w:val="normaltextrun"/>
            <w:color w:val="124191"/>
            <w:u w:val="single"/>
          </w:rPr>
          <w:t>R3-212981</w:t>
        </w:r>
      </w:hyperlink>
      <w:r>
        <w:rPr>
          <w:color w:val="000000"/>
        </w:rPr>
        <w:t xml:space="preserve"> in </w:t>
      </w:r>
      <w:r w:rsidR="00E757D6" w:rsidRPr="00E757D6">
        <w:rPr>
          <w:color w:val="000000"/>
        </w:rPr>
        <w:t>RAN WG3#112-e</w:t>
      </w:r>
      <w:r w:rsidR="00E757D6">
        <w:rPr>
          <w:color w:val="000000"/>
        </w:rPr>
        <w:t>.</w:t>
      </w:r>
    </w:p>
    <w:p w14:paraId="1383D6EF" w14:textId="43D94CCA" w:rsidR="00B44242" w:rsidRDefault="00B44242" w:rsidP="00A15C0B">
      <w:pPr>
        <w:jc w:val="both"/>
        <w:rPr>
          <w:color w:val="000000"/>
        </w:rPr>
      </w:pPr>
    </w:p>
    <w:p w14:paraId="0263C38B" w14:textId="0FA2E823" w:rsidR="00B44242" w:rsidRDefault="00B44242" w:rsidP="009D2F2A">
      <w:pPr>
        <w:pStyle w:val="Heading1"/>
      </w:pPr>
      <w:r>
        <w:t xml:space="preserve">2 </w:t>
      </w:r>
      <w:r w:rsidR="0087062A">
        <w:tab/>
      </w:r>
      <w:r>
        <w:t>Comments on R3-212974</w:t>
      </w:r>
    </w:p>
    <w:p w14:paraId="2E0808B0" w14:textId="71428886" w:rsidR="00A724E2" w:rsidRPr="009D2F2A" w:rsidRDefault="00A724E2" w:rsidP="009D2F2A">
      <w:pPr>
        <w:jc w:val="both"/>
        <w:rPr>
          <w:lang w:val="en-US"/>
        </w:rPr>
      </w:pPr>
      <w:r>
        <w:rPr>
          <w:lang w:val="en-US"/>
        </w:rPr>
        <w:t xml:space="preserve">RAN3 LS contains the following, </w:t>
      </w:r>
    </w:p>
    <w:p w14:paraId="5FFA827D" w14:textId="6C290CC5" w:rsidR="00172057" w:rsidRPr="009D2F2A" w:rsidRDefault="00A724E2" w:rsidP="009D2F2A">
      <w:pPr>
        <w:ind w:left="284"/>
        <w:jc w:val="both"/>
        <w:rPr>
          <w:i/>
          <w:lang w:val="en-US"/>
        </w:rPr>
      </w:pPr>
      <w:r>
        <w:rPr>
          <w:i/>
          <w:iCs/>
          <w:lang w:val="en-US"/>
        </w:rPr>
        <w:t>“</w:t>
      </w:r>
      <w:r w:rsidR="00172057" w:rsidRPr="009D2F2A">
        <w:rPr>
          <w:i/>
          <w:lang w:val="en-US"/>
        </w:rPr>
        <w:t>RAN3 discussed the inter-donor resource multiplexing, and agreed to consider the following two scenarios for Rel-17 IAB:</w:t>
      </w:r>
    </w:p>
    <w:p w14:paraId="286CE1E8" w14:textId="27FCC9B4" w:rsidR="00172057" w:rsidRPr="009D2F2A" w:rsidRDefault="00172057" w:rsidP="009D2F2A">
      <w:pPr>
        <w:pStyle w:val="ListParagraph"/>
        <w:numPr>
          <w:ilvl w:val="0"/>
          <w:numId w:val="35"/>
        </w:numPr>
        <w:ind w:left="1004"/>
        <w:jc w:val="both"/>
        <w:rPr>
          <w:i/>
          <w:lang w:val="en-US"/>
        </w:rPr>
      </w:pPr>
      <w:r w:rsidRPr="009D2F2A">
        <w:rPr>
          <w:i/>
          <w:sz w:val="20"/>
          <w:szCs w:val="20"/>
          <w:lang w:val="en-US"/>
        </w:rPr>
        <w:t>Scenario 1: Inter-donor migration/RLF recovery for single connected IAB-node</w:t>
      </w:r>
    </w:p>
    <w:p w14:paraId="74235BB8" w14:textId="23BA373E" w:rsidR="00172057" w:rsidRPr="009D2F2A" w:rsidRDefault="00172057" w:rsidP="009D2F2A">
      <w:pPr>
        <w:pStyle w:val="ListParagraph"/>
        <w:numPr>
          <w:ilvl w:val="0"/>
          <w:numId w:val="35"/>
        </w:numPr>
        <w:ind w:left="1004"/>
        <w:jc w:val="both"/>
        <w:rPr>
          <w:i/>
          <w:lang w:val="en-US"/>
        </w:rPr>
      </w:pPr>
      <w:r w:rsidRPr="009D2F2A">
        <w:rPr>
          <w:i/>
          <w:sz w:val="20"/>
          <w:szCs w:val="20"/>
          <w:lang w:val="en-US"/>
        </w:rPr>
        <w:t>Scenario 2: Inter-donor topology redundancy for dual-connected IAB-node</w:t>
      </w:r>
    </w:p>
    <w:p w14:paraId="0B8284E7" w14:textId="77777777" w:rsidR="00172057" w:rsidRPr="009D2F2A" w:rsidRDefault="00172057" w:rsidP="009D2F2A">
      <w:pPr>
        <w:ind w:left="284"/>
        <w:jc w:val="both"/>
        <w:rPr>
          <w:i/>
          <w:lang w:val="en-US"/>
        </w:rPr>
      </w:pPr>
      <w:r w:rsidRPr="009D2F2A">
        <w:rPr>
          <w:i/>
          <w:lang w:val="en-US"/>
        </w:rPr>
        <w:t xml:space="preserve">  </w:t>
      </w:r>
    </w:p>
    <w:p w14:paraId="29314A7E" w14:textId="77777777" w:rsidR="00172057" w:rsidRPr="009D2F2A" w:rsidRDefault="00172057" w:rsidP="009D2F2A">
      <w:pPr>
        <w:ind w:left="284"/>
        <w:jc w:val="both"/>
        <w:rPr>
          <w:i/>
          <w:lang w:val="en-US"/>
        </w:rPr>
      </w:pPr>
      <w:r w:rsidRPr="009D2F2A">
        <w:rPr>
          <w:i/>
          <w:lang w:val="en-US"/>
        </w:rPr>
        <w:t xml:space="preserve"> </w:t>
      </w:r>
    </w:p>
    <w:p w14:paraId="49E8A614" w14:textId="3F951F2D" w:rsidR="00172057" w:rsidRPr="009D2F2A" w:rsidRDefault="00172057" w:rsidP="009D2F2A">
      <w:pPr>
        <w:keepNext/>
        <w:tabs>
          <w:tab w:val="center" w:pos="2268"/>
          <w:tab w:val="center" w:pos="6804"/>
        </w:tabs>
        <w:ind w:left="284"/>
        <w:jc w:val="both"/>
        <w:rPr>
          <w:i/>
        </w:rPr>
      </w:pPr>
      <w:r w:rsidRPr="009D2F2A">
        <w:rPr>
          <w:rFonts w:ascii="Cambria Math" w:eastAsia="Malgun Gothic" w:hAnsi="Cambria Math"/>
          <w:i/>
          <w:noProof/>
          <w:sz w:val="22"/>
          <w:szCs w:val="24"/>
          <w:lang w:val="en-US" w:eastAsia="zh-CN"/>
        </w:rPr>
        <w:drawing>
          <wp:inline distT="0" distB="0" distL="0" distR="0" wp14:anchorId="36F79249" wp14:editId="6A28D1DE">
            <wp:extent cx="2522220" cy="2042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2220" cy="2042160"/>
                    </a:xfrm>
                    <a:prstGeom prst="rect">
                      <a:avLst/>
                    </a:prstGeom>
                    <a:noFill/>
                    <a:ln>
                      <a:noFill/>
                    </a:ln>
                  </pic:spPr>
                </pic:pic>
              </a:graphicData>
            </a:graphic>
          </wp:inline>
        </w:drawing>
      </w:r>
      <w:r w:rsidRPr="009D2F2A">
        <w:rPr>
          <w:i/>
        </w:rPr>
        <w:t xml:space="preserve"> </w:t>
      </w:r>
      <w:r w:rsidRPr="009D2F2A">
        <w:rPr>
          <w:i/>
        </w:rPr>
        <w:tab/>
      </w:r>
      <w:r w:rsidRPr="009D2F2A">
        <w:rPr>
          <w:rFonts w:ascii="Cambria Math" w:eastAsia="Malgun Gothic" w:hAnsi="Cambria Math"/>
          <w:i/>
          <w:noProof/>
          <w:sz w:val="22"/>
          <w:szCs w:val="24"/>
          <w:lang w:val="en-US" w:eastAsia="zh-CN"/>
        </w:rPr>
        <w:drawing>
          <wp:inline distT="0" distB="0" distL="0" distR="0" wp14:anchorId="246FD989" wp14:editId="1A3D6428">
            <wp:extent cx="2438400" cy="19735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1973580"/>
                    </a:xfrm>
                    <a:prstGeom prst="rect">
                      <a:avLst/>
                    </a:prstGeom>
                    <a:noFill/>
                    <a:ln>
                      <a:noFill/>
                    </a:ln>
                  </pic:spPr>
                </pic:pic>
              </a:graphicData>
            </a:graphic>
          </wp:inline>
        </w:drawing>
      </w:r>
    </w:p>
    <w:p w14:paraId="70DECC5C" w14:textId="6B126EE1" w:rsidR="00172057" w:rsidRPr="009D2F2A" w:rsidRDefault="00172057" w:rsidP="009D2F2A">
      <w:pPr>
        <w:tabs>
          <w:tab w:val="center" w:pos="2268"/>
          <w:tab w:val="center" w:pos="6803"/>
        </w:tabs>
        <w:ind w:left="284"/>
        <w:jc w:val="both"/>
        <w:rPr>
          <w:i/>
          <w:lang w:val="en-US"/>
        </w:rPr>
      </w:pPr>
      <w:r w:rsidRPr="009D2F2A">
        <w:rPr>
          <w:i/>
          <w:lang w:val="en-US"/>
        </w:rPr>
        <w:tab/>
        <w:t>(a) Scenario 1</w:t>
      </w:r>
      <w:r w:rsidRPr="009D2F2A">
        <w:rPr>
          <w:i/>
          <w:lang w:val="en-US"/>
        </w:rPr>
        <w:tab/>
        <w:t>(b) Scenario 2</w:t>
      </w:r>
    </w:p>
    <w:p w14:paraId="39BF2539" w14:textId="77777777" w:rsidR="00172057" w:rsidRPr="009D2F2A" w:rsidRDefault="00172057" w:rsidP="009D2F2A">
      <w:pPr>
        <w:ind w:left="284"/>
        <w:jc w:val="both"/>
        <w:rPr>
          <w:i/>
          <w:lang w:val="en-US"/>
        </w:rPr>
      </w:pPr>
      <w:r w:rsidRPr="009D2F2A">
        <w:rPr>
          <w:i/>
          <w:lang w:val="en-US"/>
        </w:rPr>
        <w:t xml:space="preserve">In scenario 1, for the resource multiplexing of IAB-node 3 (i.e. the boundary node), some kinds of coordination may be needed between the resource for its parent link and the child link. Similarly, in scenario 2, resource coordination may be necessary among the parent link 1, parent link 2, and child link for the IAB-node 3 (i.e. the boundary node). </w:t>
      </w:r>
    </w:p>
    <w:p w14:paraId="7503C97B" w14:textId="77777777" w:rsidR="00172057" w:rsidRPr="009D2F2A" w:rsidRDefault="00172057" w:rsidP="009D2F2A">
      <w:pPr>
        <w:ind w:left="284"/>
        <w:jc w:val="both"/>
        <w:rPr>
          <w:i/>
          <w:lang w:val="en-US"/>
        </w:rPr>
      </w:pPr>
      <w:r w:rsidRPr="009D2F2A">
        <w:rPr>
          <w:i/>
          <w:lang w:val="en-US"/>
        </w:rPr>
        <w:t>For scenario 1 and 2, RAN3 considers the following solutions (other solutions are not precluded) for the resource coordination between the parent link and the child link:</w:t>
      </w:r>
    </w:p>
    <w:p w14:paraId="2D55625B" w14:textId="772801CE" w:rsidR="00172057" w:rsidRPr="009D2F2A" w:rsidRDefault="00172057" w:rsidP="009D2F2A">
      <w:pPr>
        <w:pStyle w:val="ListParagraph"/>
        <w:numPr>
          <w:ilvl w:val="0"/>
          <w:numId w:val="35"/>
        </w:numPr>
        <w:ind w:left="1004"/>
        <w:jc w:val="both"/>
        <w:rPr>
          <w:i/>
          <w:lang w:val="en-US"/>
        </w:rPr>
      </w:pPr>
      <w:r w:rsidRPr="009D2F2A">
        <w:rPr>
          <w:i/>
          <w:sz w:val="20"/>
          <w:szCs w:val="20"/>
          <w:lang w:val="en-US"/>
        </w:rPr>
        <w:t>Option 1: The child node’s gNB-DU cell resource configuration is matched to the parent node’s gNB-DU’s resource configuration.</w:t>
      </w:r>
    </w:p>
    <w:p w14:paraId="3FAAFB79" w14:textId="40216B4F" w:rsidR="00172057" w:rsidRPr="009D2F2A" w:rsidRDefault="00172057" w:rsidP="009D2F2A">
      <w:pPr>
        <w:pStyle w:val="ListParagraph"/>
        <w:numPr>
          <w:ilvl w:val="0"/>
          <w:numId w:val="35"/>
        </w:numPr>
        <w:ind w:left="1004"/>
        <w:jc w:val="both"/>
        <w:rPr>
          <w:i/>
          <w:lang w:val="en-US"/>
        </w:rPr>
      </w:pPr>
      <w:r w:rsidRPr="009D2F2A">
        <w:rPr>
          <w:i/>
          <w:sz w:val="20"/>
          <w:szCs w:val="20"/>
          <w:lang w:val="en-US"/>
        </w:rPr>
        <w:t>Option 2: The parent node’s gNB-DU resource configuration is matched to the child node’s gNB-DU’s resource configuration.</w:t>
      </w:r>
    </w:p>
    <w:p w14:paraId="1D7E3690" w14:textId="32D4037A" w:rsidR="00172057" w:rsidRPr="009D2F2A" w:rsidRDefault="00172057" w:rsidP="009D2F2A">
      <w:pPr>
        <w:pStyle w:val="ListParagraph"/>
        <w:numPr>
          <w:ilvl w:val="0"/>
          <w:numId w:val="35"/>
        </w:numPr>
        <w:ind w:left="1004"/>
        <w:jc w:val="both"/>
        <w:rPr>
          <w:i/>
          <w:lang w:val="en-US"/>
        </w:rPr>
      </w:pPr>
      <w:r w:rsidRPr="009D2F2A">
        <w:rPr>
          <w:i/>
          <w:sz w:val="20"/>
          <w:szCs w:val="20"/>
          <w:lang w:val="en-US"/>
        </w:rPr>
        <w:t>Option 3: A boundary node should connect only to a new parent with which it has a non-conflicting TDD and H/S/NA pattern beforehand.</w:t>
      </w:r>
    </w:p>
    <w:p w14:paraId="47A3DD75" w14:textId="77777777" w:rsidR="0087062A" w:rsidRPr="009D2F2A" w:rsidRDefault="0087062A" w:rsidP="009D2F2A">
      <w:pPr>
        <w:ind w:left="284"/>
        <w:jc w:val="both"/>
        <w:rPr>
          <w:i/>
          <w:lang w:val="en-US"/>
        </w:rPr>
      </w:pPr>
    </w:p>
    <w:p w14:paraId="0DFFF17B" w14:textId="38EF1921" w:rsidR="00172057" w:rsidRPr="009D2F2A" w:rsidRDefault="00172057" w:rsidP="009D2F2A">
      <w:pPr>
        <w:ind w:left="284"/>
        <w:jc w:val="both"/>
        <w:rPr>
          <w:i/>
          <w:lang w:val="en-US"/>
        </w:rPr>
      </w:pPr>
      <w:r w:rsidRPr="009D2F2A">
        <w:rPr>
          <w:i/>
          <w:lang w:val="en-US"/>
        </w:rPr>
        <w:lastRenderedPageBreak/>
        <w:t>For Scenario 2, RAN3 considers the following solutions (other solutions are not precluded) for the coordination between two parent links:</w:t>
      </w:r>
    </w:p>
    <w:p w14:paraId="2EDFB3E2" w14:textId="2CC6C84D" w:rsidR="00172057" w:rsidRPr="009D2F2A" w:rsidRDefault="00172057" w:rsidP="009D2F2A">
      <w:pPr>
        <w:pStyle w:val="ListParagraph"/>
        <w:numPr>
          <w:ilvl w:val="0"/>
          <w:numId w:val="35"/>
        </w:numPr>
        <w:ind w:left="1004"/>
        <w:jc w:val="both"/>
        <w:rPr>
          <w:i/>
          <w:lang w:val="en-US"/>
        </w:rPr>
      </w:pPr>
      <w:r w:rsidRPr="009D2F2A">
        <w:rPr>
          <w:i/>
          <w:sz w:val="20"/>
          <w:szCs w:val="20"/>
          <w:lang w:val="en-US"/>
        </w:rPr>
        <w:t xml:space="preserve">Option 1: The gNB-DU cell resource configuration of the parent node controlled by the F1-terminating donor of the boundary node, is matched to another parent’s gNB-DU’s resource configuration. </w:t>
      </w:r>
    </w:p>
    <w:p w14:paraId="5704A16B" w14:textId="19D8473F" w:rsidR="00172057" w:rsidRPr="009D2F2A" w:rsidRDefault="00172057" w:rsidP="009D2F2A">
      <w:pPr>
        <w:pStyle w:val="ListParagraph"/>
        <w:numPr>
          <w:ilvl w:val="0"/>
          <w:numId w:val="35"/>
        </w:numPr>
        <w:ind w:left="1004"/>
        <w:jc w:val="both"/>
        <w:rPr>
          <w:i/>
          <w:lang w:val="en-US"/>
        </w:rPr>
      </w:pPr>
      <w:r w:rsidRPr="009D2F2A">
        <w:rPr>
          <w:i/>
          <w:sz w:val="20"/>
          <w:szCs w:val="20"/>
          <w:lang w:val="en-US"/>
        </w:rPr>
        <w:t xml:space="preserve">Option 2: The gNB-DU cell resource configuration of the parent node controlled by the non-F1-terminating donor of the boundary node, is matched to another parent’s gNB-DU’s resource configuration. </w:t>
      </w:r>
    </w:p>
    <w:p w14:paraId="67B1682D" w14:textId="4DF2566F" w:rsidR="00172057" w:rsidRPr="009D2F2A" w:rsidRDefault="00172057" w:rsidP="009D2F2A">
      <w:pPr>
        <w:pStyle w:val="ListParagraph"/>
        <w:numPr>
          <w:ilvl w:val="0"/>
          <w:numId w:val="35"/>
        </w:numPr>
        <w:ind w:left="1004"/>
        <w:jc w:val="both"/>
        <w:rPr>
          <w:i/>
          <w:lang w:val="en-US"/>
        </w:rPr>
      </w:pPr>
      <w:r w:rsidRPr="009D2F2A">
        <w:rPr>
          <w:i/>
          <w:sz w:val="20"/>
          <w:szCs w:val="20"/>
          <w:lang w:val="en-US"/>
        </w:rPr>
        <w:t>Option 3: The secondary leg of a boundary node is established only towards a secondary parent whose H/S/NA configuration is compatible with the H/S/NA configuration of the master parent beforehand.</w:t>
      </w:r>
    </w:p>
    <w:p w14:paraId="4150BCB8" w14:textId="4DFA8C24" w:rsidR="0087062A" w:rsidRPr="009D2F2A" w:rsidRDefault="0087062A" w:rsidP="009D2F2A">
      <w:pPr>
        <w:ind w:left="284"/>
        <w:jc w:val="both"/>
        <w:rPr>
          <w:i/>
          <w:lang w:val="en-US"/>
        </w:rPr>
      </w:pPr>
    </w:p>
    <w:p w14:paraId="4F4621F4" w14:textId="2FB4BD54" w:rsidR="004B529A" w:rsidRDefault="004B529A" w:rsidP="004B529A">
      <w:pPr>
        <w:jc w:val="both"/>
        <w:rPr>
          <w:lang w:val="en-US"/>
        </w:rPr>
      </w:pPr>
      <w:r>
        <w:rPr>
          <w:lang w:val="en-US"/>
        </w:rPr>
        <w:t xml:space="preserve">In both scenarios, Opt.3 seems </w:t>
      </w:r>
      <w:r w:rsidR="00090F3D">
        <w:rPr>
          <w:lang w:val="en-US"/>
        </w:rPr>
        <w:t xml:space="preserve">very </w:t>
      </w:r>
      <w:r>
        <w:rPr>
          <w:lang w:val="en-US"/>
        </w:rPr>
        <w:t xml:space="preserve">restrictive and limits the flexibility for resource usage. Hence, Opt.3 is not a primary choice for Rel.17 and </w:t>
      </w:r>
      <w:r w:rsidR="00090F3D">
        <w:rPr>
          <w:lang w:val="en-US"/>
        </w:rPr>
        <w:t xml:space="preserve">therefore </w:t>
      </w:r>
      <w:r>
        <w:rPr>
          <w:lang w:val="en-US"/>
        </w:rPr>
        <w:t>we consider only Options 1 and 2 in the discussion below.</w:t>
      </w:r>
    </w:p>
    <w:p w14:paraId="50916D2C" w14:textId="236B1236" w:rsidR="004B529A" w:rsidRPr="009D2F2A" w:rsidRDefault="004B529A" w:rsidP="009D2F2A">
      <w:pPr>
        <w:ind w:left="1560" w:hanging="1276"/>
        <w:jc w:val="both"/>
        <w:rPr>
          <w:b/>
          <w:bCs/>
          <w:i/>
          <w:iCs/>
          <w:lang w:val="en-US"/>
        </w:rPr>
      </w:pPr>
      <w:r w:rsidRPr="009D2F2A">
        <w:rPr>
          <w:b/>
          <w:bCs/>
          <w:i/>
          <w:iCs/>
          <w:lang w:val="en-US"/>
        </w:rPr>
        <w:t xml:space="preserve">Observation </w:t>
      </w:r>
      <w:r w:rsidR="009D38B5" w:rsidRPr="009D2F2A">
        <w:rPr>
          <w:b/>
          <w:bCs/>
          <w:i/>
          <w:iCs/>
          <w:lang w:val="en-US"/>
        </w:rPr>
        <w:t>1</w:t>
      </w:r>
      <w:r w:rsidRPr="009D2F2A">
        <w:rPr>
          <w:b/>
          <w:bCs/>
          <w:i/>
          <w:iCs/>
          <w:lang w:val="en-US"/>
        </w:rPr>
        <w:t>: Option 3 for both RLF/migration and DC is not the preferred solution regarding the resource usage in IAB networks.</w:t>
      </w:r>
    </w:p>
    <w:p w14:paraId="76162186" w14:textId="77777777" w:rsidR="004B529A" w:rsidRPr="009322A4" w:rsidRDefault="004B529A" w:rsidP="009D2F2A">
      <w:pPr>
        <w:jc w:val="both"/>
        <w:rPr>
          <w:b/>
          <w:bCs/>
          <w:lang w:val="en-US"/>
        </w:rPr>
      </w:pPr>
      <w:r w:rsidRPr="009322A4">
        <w:rPr>
          <w:b/>
          <w:bCs/>
          <w:lang w:val="en-US"/>
        </w:rPr>
        <w:t>Scenario 1:</w:t>
      </w:r>
    </w:p>
    <w:p w14:paraId="4A110B23" w14:textId="3E6F7118" w:rsidR="004B529A" w:rsidRDefault="004B529A" w:rsidP="009D2F2A">
      <w:pPr>
        <w:ind w:left="284"/>
        <w:jc w:val="both"/>
        <w:rPr>
          <w:lang w:val="en-US"/>
        </w:rPr>
      </w:pPr>
      <w:r>
        <w:rPr>
          <w:lang w:val="en-US"/>
        </w:rPr>
        <w:t xml:space="preserve">Option 1: </w:t>
      </w:r>
      <w:r w:rsidR="00DE5CCD">
        <w:rPr>
          <w:lang w:val="en-US"/>
        </w:rPr>
        <w:t>In this case, a</w:t>
      </w:r>
      <w:r>
        <w:rPr>
          <w:lang w:val="en-US"/>
        </w:rPr>
        <w:t>lso the configurations of the descendant nodes of the child node should be modified to match with the new child node configuration.</w:t>
      </w:r>
    </w:p>
    <w:p w14:paraId="0AE5287E" w14:textId="5AFAB7AE" w:rsidR="004B529A" w:rsidRDefault="004B529A" w:rsidP="009D2F2A">
      <w:pPr>
        <w:ind w:left="284"/>
        <w:jc w:val="both"/>
        <w:rPr>
          <w:lang w:val="en-US"/>
        </w:rPr>
      </w:pPr>
      <w:r>
        <w:rPr>
          <w:lang w:val="en-US"/>
        </w:rPr>
        <w:t>Option 2: Although not illustrated, also the parent node (in the target topology</w:t>
      </w:r>
      <w:r w:rsidR="00DE5CCD">
        <w:rPr>
          <w:lang w:val="en-US"/>
        </w:rPr>
        <w:t>)</w:t>
      </w:r>
      <w:r>
        <w:rPr>
          <w:lang w:val="en-US"/>
        </w:rPr>
        <w:t xml:space="preserve"> may have descendant nodes. Therefore, the changed parent node configuration would cause need to modify the resource configurations of the descendant nodes in the target topology</w:t>
      </w:r>
      <w:r w:rsidR="00466B1F">
        <w:rPr>
          <w:lang w:val="en-US"/>
        </w:rPr>
        <w:t xml:space="preserve"> – the same way as in Option 1 in the source topology</w:t>
      </w:r>
      <w:r>
        <w:rPr>
          <w:lang w:val="en-US"/>
        </w:rPr>
        <w:t xml:space="preserve">. As the preference between options 1 and 2 depends on the </w:t>
      </w:r>
      <w:r w:rsidR="007F74D4">
        <w:rPr>
          <w:lang w:val="en-US"/>
        </w:rPr>
        <w:t xml:space="preserve">IAB network deployment i.e. the </w:t>
      </w:r>
      <w:r>
        <w:rPr>
          <w:lang w:val="en-US"/>
        </w:rPr>
        <w:t xml:space="preserve">topologies of the two IAB-donors, the specifications no not necessarily have to select either one of the options. </w:t>
      </w:r>
      <w:r w:rsidR="00EC56F8">
        <w:rPr>
          <w:lang w:val="en-US"/>
        </w:rPr>
        <w:t xml:space="preserve">Therefore, it seems better to </w:t>
      </w:r>
      <w:r w:rsidR="00EB6CF9">
        <w:rPr>
          <w:lang w:val="en-US"/>
        </w:rPr>
        <w:t>leave</w:t>
      </w:r>
      <w:r>
        <w:rPr>
          <w:lang w:val="en-US"/>
        </w:rPr>
        <w:t xml:space="preserve"> </w:t>
      </w:r>
      <w:r w:rsidR="00CC08B1">
        <w:rPr>
          <w:lang w:val="en-US"/>
        </w:rPr>
        <w:t xml:space="preserve">this </w:t>
      </w:r>
      <w:r>
        <w:rPr>
          <w:lang w:val="en-US"/>
        </w:rPr>
        <w:t>for network implementation.</w:t>
      </w:r>
    </w:p>
    <w:p w14:paraId="144F1708" w14:textId="20BE5877" w:rsidR="004B529A" w:rsidRPr="009D2F2A" w:rsidRDefault="004B529A" w:rsidP="009D2F2A">
      <w:pPr>
        <w:ind w:left="1560" w:hanging="1276"/>
        <w:jc w:val="both"/>
        <w:rPr>
          <w:b/>
          <w:bCs/>
          <w:i/>
          <w:iCs/>
          <w:lang w:val="en-US"/>
        </w:rPr>
      </w:pPr>
      <w:r w:rsidRPr="009D2F2A">
        <w:rPr>
          <w:b/>
          <w:bCs/>
          <w:i/>
          <w:iCs/>
          <w:lang w:val="en-US"/>
        </w:rPr>
        <w:t xml:space="preserve">Observation </w:t>
      </w:r>
      <w:r w:rsidR="00CC08B1" w:rsidRPr="009D2F2A">
        <w:rPr>
          <w:b/>
          <w:bCs/>
          <w:i/>
          <w:iCs/>
          <w:lang w:val="en-US"/>
        </w:rPr>
        <w:t>2</w:t>
      </w:r>
      <w:r w:rsidRPr="009D2F2A">
        <w:rPr>
          <w:b/>
          <w:bCs/>
          <w:i/>
          <w:iCs/>
          <w:lang w:val="en-US"/>
        </w:rPr>
        <w:t>. Because the preference between Option 1 and Option 2 is scenario dependent, there does not seem to be</w:t>
      </w:r>
      <w:r w:rsidR="00EB6CF9">
        <w:rPr>
          <w:b/>
          <w:bCs/>
          <w:i/>
          <w:iCs/>
          <w:lang w:val="en-US"/>
        </w:rPr>
        <w:t xml:space="preserve"> a</w:t>
      </w:r>
      <w:r w:rsidRPr="009D2F2A">
        <w:rPr>
          <w:b/>
          <w:bCs/>
          <w:i/>
          <w:iCs/>
          <w:lang w:val="en-US"/>
        </w:rPr>
        <w:t xml:space="preserve"> need to select either one of the options as a specified </w:t>
      </w:r>
      <w:r w:rsidR="00EB6CF9" w:rsidRPr="009D2F2A">
        <w:rPr>
          <w:b/>
          <w:bCs/>
          <w:i/>
          <w:iCs/>
          <w:lang w:val="en-US"/>
        </w:rPr>
        <w:t>behavior</w:t>
      </w:r>
      <w:r w:rsidRPr="009D2F2A">
        <w:rPr>
          <w:b/>
          <w:bCs/>
          <w:i/>
          <w:iCs/>
          <w:lang w:val="en-US"/>
        </w:rPr>
        <w:t>.</w:t>
      </w:r>
    </w:p>
    <w:p w14:paraId="39335CA8" w14:textId="77777777" w:rsidR="004B529A" w:rsidRPr="009322A4" w:rsidRDefault="004B529A" w:rsidP="004B529A">
      <w:pPr>
        <w:jc w:val="both"/>
        <w:rPr>
          <w:lang w:val="en-US"/>
        </w:rPr>
      </w:pPr>
      <w:r>
        <w:rPr>
          <w:lang w:val="en-US"/>
        </w:rPr>
        <w:t>Furthermore, this seems more for RAN3 to assess rather than RAN1 to select preference.</w:t>
      </w:r>
    </w:p>
    <w:p w14:paraId="02766F34" w14:textId="77777777" w:rsidR="004B529A" w:rsidRPr="009322A4" w:rsidRDefault="004B529A" w:rsidP="004B529A">
      <w:pPr>
        <w:jc w:val="both"/>
        <w:rPr>
          <w:b/>
          <w:bCs/>
          <w:lang w:val="en-US"/>
        </w:rPr>
      </w:pPr>
      <w:r w:rsidRPr="009322A4">
        <w:rPr>
          <w:b/>
          <w:bCs/>
          <w:lang w:val="en-US"/>
        </w:rPr>
        <w:t>Scenario 2:</w:t>
      </w:r>
    </w:p>
    <w:p w14:paraId="1494CD06" w14:textId="77777777" w:rsidR="004B529A" w:rsidRDefault="004B529A" w:rsidP="004B529A">
      <w:pPr>
        <w:ind w:left="284"/>
        <w:jc w:val="both"/>
        <w:rPr>
          <w:lang w:val="en-US"/>
        </w:rPr>
      </w:pPr>
      <w:r>
        <w:rPr>
          <w:lang w:val="en-US"/>
        </w:rPr>
        <w:t>We see the consequences of the parent node reconfiguration in both options similar to the scenario 1 where the required signaling depends on the topologies under the two IAB-donors. Therefore, also the conclusion can be the same as for scenario 1.</w:t>
      </w:r>
    </w:p>
    <w:p w14:paraId="2B8A1C53" w14:textId="6402656E" w:rsidR="004B529A" w:rsidRPr="009D2F2A" w:rsidRDefault="004B529A" w:rsidP="009D2F2A">
      <w:pPr>
        <w:ind w:left="1560" w:hanging="1276"/>
        <w:jc w:val="both"/>
        <w:rPr>
          <w:b/>
          <w:bCs/>
          <w:i/>
          <w:iCs/>
          <w:lang w:val="en-US"/>
        </w:rPr>
      </w:pPr>
      <w:r w:rsidRPr="009D2F2A">
        <w:rPr>
          <w:b/>
          <w:bCs/>
          <w:i/>
          <w:iCs/>
          <w:lang w:val="en-US"/>
        </w:rPr>
        <w:t xml:space="preserve">Observation </w:t>
      </w:r>
      <w:r w:rsidR="00672BF0" w:rsidRPr="009D2F2A">
        <w:rPr>
          <w:b/>
          <w:bCs/>
          <w:i/>
          <w:iCs/>
          <w:lang w:val="en-US"/>
        </w:rPr>
        <w:t>3</w:t>
      </w:r>
      <w:r w:rsidRPr="009D2F2A">
        <w:rPr>
          <w:b/>
          <w:bCs/>
          <w:i/>
          <w:iCs/>
          <w:lang w:val="en-US"/>
        </w:rPr>
        <w:t>. Similar to scenario 1, the specifications may not need to select either one of the options but leave that as choice for implementation.</w:t>
      </w:r>
    </w:p>
    <w:p w14:paraId="6E4F2EA1" w14:textId="55D2B627" w:rsidR="00720194" w:rsidRDefault="0087062A" w:rsidP="009D2F2A">
      <w:pPr>
        <w:pStyle w:val="Heading1"/>
        <w:rPr>
          <w:lang w:val="en-US"/>
        </w:rPr>
      </w:pPr>
      <w:r>
        <w:rPr>
          <w:lang w:val="en-US"/>
        </w:rPr>
        <w:t xml:space="preserve">3 </w:t>
      </w:r>
      <w:r>
        <w:rPr>
          <w:lang w:val="en-US"/>
        </w:rPr>
        <w:tab/>
        <w:t>Comments on R3-212981</w:t>
      </w:r>
    </w:p>
    <w:p w14:paraId="73E3E7B1" w14:textId="77777777" w:rsidR="00394790" w:rsidRPr="00966A68" w:rsidRDefault="00394790" w:rsidP="00394790">
      <w:pPr>
        <w:jc w:val="both"/>
        <w:rPr>
          <w:lang w:val="en-US"/>
        </w:rPr>
      </w:pPr>
      <w:r>
        <w:rPr>
          <w:lang w:val="en-US"/>
        </w:rPr>
        <w:t xml:space="preserve">RAN3 LS contains the following, </w:t>
      </w:r>
    </w:p>
    <w:p w14:paraId="1755993C" w14:textId="77777777" w:rsidR="00720194" w:rsidRPr="009D2F2A" w:rsidRDefault="00720194" w:rsidP="009D2F2A">
      <w:pPr>
        <w:ind w:left="284"/>
        <w:jc w:val="both"/>
        <w:rPr>
          <w:i/>
          <w:lang w:val="en-US"/>
        </w:rPr>
      </w:pPr>
      <w:r w:rsidRPr="009D2F2A">
        <w:rPr>
          <w:i/>
          <w:lang w:val="en-US"/>
        </w:rPr>
        <w:t>RAN3 is currently discussing how to support inter-donor migration, and agreed to following definitions:</w:t>
      </w:r>
    </w:p>
    <w:p w14:paraId="49E4429A" w14:textId="5E057972" w:rsidR="00720194" w:rsidRPr="009D2F2A" w:rsidRDefault="00720194" w:rsidP="009D2F2A">
      <w:pPr>
        <w:pStyle w:val="ListParagraph"/>
        <w:numPr>
          <w:ilvl w:val="0"/>
          <w:numId w:val="35"/>
        </w:numPr>
        <w:ind w:left="1004"/>
        <w:jc w:val="both"/>
        <w:rPr>
          <w:i/>
          <w:lang w:val="en-US"/>
        </w:rPr>
      </w:pPr>
      <w:r w:rsidRPr="009D2F2A">
        <w:rPr>
          <w:i/>
          <w:sz w:val="20"/>
          <w:szCs w:val="20"/>
          <w:lang w:val="en-US"/>
        </w:rPr>
        <w:t>Boundary IAB node: IAB-node, whose IAB-DU is terminated to a different IAB-donor-CU than a parent DU</w:t>
      </w:r>
    </w:p>
    <w:p w14:paraId="54DBE370" w14:textId="5906E626" w:rsidR="00720194" w:rsidRPr="009D2F2A" w:rsidRDefault="00720194" w:rsidP="009D2F2A">
      <w:pPr>
        <w:pStyle w:val="ListParagraph"/>
        <w:numPr>
          <w:ilvl w:val="0"/>
          <w:numId w:val="35"/>
        </w:numPr>
        <w:ind w:left="1004"/>
        <w:jc w:val="both"/>
        <w:rPr>
          <w:i/>
          <w:lang w:val="en-US"/>
        </w:rPr>
      </w:pPr>
      <w:r w:rsidRPr="009D2F2A">
        <w:rPr>
          <w:i/>
          <w:sz w:val="20"/>
          <w:szCs w:val="20"/>
          <w:lang w:val="en-US"/>
        </w:rPr>
        <w:t>Partial Migration: the boundary IAB-MT is migrated to the 2nd IAB-donor-CU, while the boundary IAB-DU and descendant IAB node(s) (if any) are terminated to the 1st IAB-donor-CU.</w:t>
      </w:r>
    </w:p>
    <w:p w14:paraId="12B12332" w14:textId="48EACA0E" w:rsidR="00720194" w:rsidRPr="009D2F2A" w:rsidRDefault="00720194" w:rsidP="009D2F2A">
      <w:pPr>
        <w:pStyle w:val="ListParagraph"/>
        <w:numPr>
          <w:ilvl w:val="0"/>
          <w:numId w:val="35"/>
        </w:numPr>
        <w:ind w:left="1004"/>
        <w:jc w:val="both"/>
        <w:rPr>
          <w:i/>
          <w:lang w:val="en-US"/>
        </w:rPr>
      </w:pPr>
      <w:r w:rsidRPr="009D2F2A">
        <w:rPr>
          <w:i/>
          <w:sz w:val="20"/>
          <w:szCs w:val="20"/>
          <w:lang w:val="en-US"/>
        </w:rPr>
        <w:t xml:space="preserve">Full Migration: the boundary IAB node and the descendant IAB node(s) (if any) are migrated (both RRC and F1 connection) to the 2nd IAB-donor-CU from 1st IAB-donor-CU. </w:t>
      </w:r>
    </w:p>
    <w:p w14:paraId="309FF108" w14:textId="77777777" w:rsidR="00720194" w:rsidRPr="009D2F2A" w:rsidRDefault="00720194" w:rsidP="009D2F2A">
      <w:pPr>
        <w:ind w:left="284"/>
        <w:jc w:val="both"/>
        <w:rPr>
          <w:i/>
          <w:lang w:val="en-US"/>
        </w:rPr>
      </w:pPr>
    </w:p>
    <w:p w14:paraId="02EE9EC5" w14:textId="345F4F9A" w:rsidR="00720194" w:rsidRPr="009D2F2A" w:rsidRDefault="00720194" w:rsidP="009D2F2A">
      <w:pPr>
        <w:ind w:left="284"/>
        <w:jc w:val="center"/>
        <w:rPr>
          <w:i/>
          <w:lang w:val="en-US"/>
        </w:rPr>
      </w:pPr>
      <w:r w:rsidRPr="009D2F2A">
        <w:rPr>
          <w:rFonts w:asciiTheme="minorHAnsi" w:eastAsiaTheme="minorHAnsi" w:hAnsiTheme="minorHAnsi" w:cstheme="minorBidi"/>
          <w:i/>
          <w:sz w:val="22"/>
          <w:szCs w:val="22"/>
          <w:lang w:val="en-US"/>
        </w:rPr>
        <w:object w:dxaOrig="6936" w:dyaOrig="3720" w14:anchorId="69AC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86pt" o:ole="">
            <v:imagedata r:id="rId17" o:title=""/>
          </v:shape>
          <o:OLEObject Type="Embed" ProgID="Visio.Drawing.15" ShapeID="_x0000_i1025" DrawAspect="Content" ObjectID="_1689764281" r:id="rId18"/>
        </w:object>
      </w:r>
    </w:p>
    <w:p w14:paraId="174D9D66" w14:textId="77777777" w:rsidR="00720194" w:rsidRPr="009D2F2A" w:rsidRDefault="00720194" w:rsidP="009D2F2A">
      <w:pPr>
        <w:ind w:left="284"/>
        <w:jc w:val="center"/>
        <w:rPr>
          <w:i/>
          <w:lang w:val="en-US"/>
        </w:rPr>
      </w:pPr>
      <w:r w:rsidRPr="009D2F2A">
        <w:rPr>
          <w:i/>
          <w:lang w:val="en-US"/>
        </w:rPr>
        <w:t>Figure 1: UE handover between cells pertaining to different logical IAB-DUs connected to separate CUs</w:t>
      </w:r>
    </w:p>
    <w:p w14:paraId="179BFD85" w14:textId="77777777" w:rsidR="00720194" w:rsidRPr="009D2F2A" w:rsidRDefault="00720194" w:rsidP="009D2F2A">
      <w:pPr>
        <w:ind w:left="284"/>
        <w:jc w:val="both"/>
        <w:rPr>
          <w:i/>
          <w:lang w:val="en-US"/>
        </w:rPr>
      </w:pPr>
      <w:r w:rsidRPr="009D2F2A">
        <w:rPr>
          <w:i/>
          <w:lang w:val="en-US"/>
        </w:rPr>
        <w:t xml:space="preserve">RAN3 has agreed to support Partial Migration. RAN3 is discussing whether to support the Full Migration, for example, full migration using 2 logical IAB-DUs in an IAB node. </w:t>
      </w:r>
    </w:p>
    <w:p w14:paraId="565988EB" w14:textId="77777777" w:rsidR="00720194" w:rsidRPr="009D2F2A" w:rsidRDefault="00720194" w:rsidP="009D2F2A">
      <w:pPr>
        <w:ind w:left="284"/>
        <w:jc w:val="both"/>
        <w:rPr>
          <w:i/>
          <w:lang w:val="en-US"/>
        </w:rPr>
      </w:pPr>
      <w:r w:rsidRPr="009D2F2A">
        <w:rPr>
          <w:i/>
          <w:lang w:val="en-US"/>
        </w:rPr>
        <w:t xml:space="preserve">During the Full Migration, the UE connected to the boundary IAB-node will hand over from a cell of one logical DU controlled by CU1 to a cell of another logical DU controlled by CU2. The two cells reside on the same physical IAB-node but on different logical DUs (e.g. DU1 and DU2), which each have a separate F1 connection to CU1 and CU2, respectively (Figure 1). </w:t>
      </w:r>
    </w:p>
    <w:p w14:paraId="43E682A7" w14:textId="77777777" w:rsidR="00720194" w:rsidRPr="009D2F2A" w:rsidRDefault="00720194" w:rsidP="009D2F2A">
      <w:pPr>
        <w:ind w:left="284"/>
        <w:jc w:val="both"/>
        <w:rPr>
          <w:i/>
          <w:lang w:val="en-US"/>
        </w:rPr>
      </w:pPr>
      <w:r w:rsidRPr="009D2F2A">
        <w:rPr>
          <w:i/>
          <w:lang w:val="en-US"/>
        </w:rPr>
        <w:t>The following two implementation alternatives, which involve two logical IAB-DUs at the boundary IAB node, are to be further discussed in the scope of Full Migration:</w:t>
      </w:r>
    </w:p>
    <w:p w14:paraId="7D2F0DFE" w14:textId="2D44389D" w:rsidR="00720194" w:rsidRPr="009D2F2A" w:rsidRDefault="00720194" w:rsidP="009D2F2A">
      <w:pPr>
        <w:pStyle w:val="ListParagraph"/>
        <w:numPr>
          <w:ilvl w:val="0"/>
          <w:numId w:val="35"/>
        </w:numPr>
        <w:ind w:left="1004"/>
        <w:jc w:val="both"/>
        <w:rPr>
          <w:i/>
          <w:lang w:val="en-US"/>
        </w:rPr>
      </w:pPr>
      <w:r w:rsidRPr="009D2F2A">
        <w:rPr>
          <w:i/>
          <w:sz w:val="20"/>
          <w:szCs w:val="20"/>
          <w:lang w:val="en-US"/>
        </w:rPr>
        <w:t>Alt1: the two logical DUs use separate physical cell resources</w:t>
      </w:r>
    </w:p>
    <w:p w14:paraId="1138B480" w14:textId="391FA060" w:rsidR="00720194" w:rsidRPr="009D2F2A" w:rsidRDefault="00720194" w:rsidP="009D2F2A">
      <w:pPr>
        <w:pStyle w:val="ListParagraph"/>
        <w:numPr>
          <w:ilvl w:val="0"/>
          <w:numId w:val="35"/>
        </w:numPr>
        <w:ind w:left="1004"/>
        <w:jc w:val="both"/>
        <w:rPr>
          <w:i/>
          <w:sz w:val="20"/>
          <w:szCs w:val="20"/>
          <w:lang w:val="en-US"/>
        </w:rPr>
      </w:pPr>
      <w:r w:rsidRPr="009D2F2A">
        <w:rPr>
          <w:i/>
          <w:sz w:val="20"/>
          <w:szCs w:val="20"/>
          <w:lang w:val="en-US"/>
        </w:rPr>
        <w:t>Alt2: the two logical DUs use the same physical cell resources</w:t>
      </w:r>
    </w:p>
    <w:p w14:paraId="0D586017" w14:textId="77777777" w:rsidR="00720194" w:rsidRPr="009D2F2A" w:rsidRDefault="00720194" w:rsidP="009D2F2A">
      <w:pPr>
        <w:pStyle w:val="ListParagraph"/>
        <w:ind w:left="1004"/>
        <w:jc w:val="both"/>
        <w:rPr>
          <w:i/>
          <w:lang w:val="en-US"/>
        </w:rPr>
      </w:pPr>
    </w:p>
    <w:p w14:paraId="47714347" w14:textId="77777777" w:rsidR="00720194" w:rsidRPr="009D2F2A" w:rsidRDefault="00720194" w:rsidP="009D2F2A">
      <w:pPr>
        <w:ind w:left="284"/>
        <w:jc w:val="both"/>
        <w:rPr>
          <w:i/>
          <w:lang w:val="en-US"/>
        </w:rPr>
      </w:pPr>
      <w:r w:rsidRPr="009D2F2A">
        <w:rPr>
          <w:i/>
          <w:lang w:val="en-US"/>
        </w:rPr>
        <w:t xml:space="preserve">For Alt1, RAN3 understands that the UEs can be smoothly handed over from a cell of one logical DU to a cell of the other logical DU via the legacy handover procedure. During the handover procedure, both cells from each logical DU should be active, since some UEs are already handed over to the target cell, while other UEs have not started the handover yet. However, it may be argued that the use of separate resources is less efficient. </w:t>
      </w:r>
    </w:p>
    <w:p w14:paraId="5F2EDE25" w14:textId="77777777" w:rsidR="00720194" w:rsidRPr="009D2F2A" w:rsidRDefault="00720194" w:rsidP="009D2F2A">
      <w:pPr>
        <w:ind w:left="284"/>
        <w:jc w:val="both"/>
        <w:rPr>
          <w:i/>
          <w:lang w:val="en-US"/>
        </w:rPr>
      </w:pPr>
      <w:r w:rsidRPr="009D2F2A">
        <w:rPr>
          <w:i/>
          <w:lang w:val="en-US"/>
        </w:rPr>
        <w:t>For Alt2, the serving cell (e.g. cell1) of DU1 controlled by CU1 must broadcast NCGI related to CU1, while the serving cell (e.g. cell2) of DU2 controlled by CU2 must broadcast NCGI related to CU2. Since the air interface resources are shared between the 2 DUs/cells, only the signals from one cell (either cell1 using NCGI related to CU1, or cell2 using NCGI related to CU2) are active over the air interface at a time. It is therefore unclear about the impact to the UEs during the migration. For example, in case both cell1 and cell2 use same PCI, the UEs may observe the change of the NCGI during the migration. In case cell1 and cell2 use different PCI, it is further unclear how to perform the signal switch from cell1 using PCI/NCGI related to CU1 to cell2 using PCI/NCGI related to CU2, again, without major impact to the UEs that are handover from cell1 to cell2.</w:t>
      </w:r>
    </w:p>
    <w:p w14:paraId="240D2C1A" w14:textId="11DAE380" w:rsidR="00720194" w:rsidRPr="009D2F2A" w:rsidRDefault="00720194" w:rsidP="009D2F2A">
      <w:pPr>
        <w:ind w:left="284"/>
        <w:jc w:val="both"/>
        <w:rPr>
          <w:i/>
          <w:lang w:val="en-US"/>
        </w:rPr>
      </w:pPr>
      <w:r w:rsidRPr="009D2F2A">
        <w:rPr>
          <w:i/>
          <w:lang w:val="en-US"/>
        </w:rPr>
        <w:t xml:space="preserve">RAN3 would like to ask RAN1, RAN2, and RAN4 to provide feedback, </w:t>
      </w:r>
      <w:r w:rsidR="00EB6CF9" w:rsidRPr="009D2F2A">
        <w:rPr>
          <w:i/>
          <w:lang w:val="en-US"/>
        </w:rPr>
        <w:t>e.g.</w:t>
      </w:r>
      <w:r w:rsidRPr="009D2F2A">
        <w:rPr>
          <w:i/>
          <w:lang w:val="en-US"/>
        </w:rPr>
        <w:t xml:space="preserve">, any technical issue for the above Alt1 and Alt2?  </w:t>
      </w:r>
    </w:p>
    <w:p w14:paraId="595202F8" w14:textId="57846B66" w:rsidR="004B529A" w:rsidRDefault="004B529A" w:rsidP="004B529A">
      <w:pPr>
        <w:jc w:val="both"/>
        <w:rPr>
          <w:lang w:val="en-US"/>
        </w:rPr>
      </w:pPr>
      <w:r>
        <w:rPr>
          <w:lang w:val="en-US"/>
        </w:rPr>
        <w:t xml:space="preserve">Alt.1 does not seem to have impact on PHY specifications assuming that the DU2 cells are configured as any </w:t>
      </w:r>
      <w:r w:rsidR="00E70C92">
        <w:rPr>
          <w:lang w:val="en-US"/>
        </w:rPr>
        <w:t xml:space="preserve">normal </w:t>
      </w:r>
      <w:r>
        <w:rPr>
          <w:lang w:val="en-US"/>
        </w:rPr>
        <w:t>cell. UEs can be moved between the DUs with the normal HO procedure.</w:t>
      </w:r>
      <w:r w:rsidR="003975AE">
        <w:rPr>
          <w:lang w:val="en-US"/>
        </w:rPr>
        <w:t xml:space="preserve"> The drawback, as </w:t>
      </w:r>
      <w:r w:rsidR="00FC1D93">
        <w:rPr>
          <w:lang w:val="en-US"/>
        </w:rPr>
        <w:t xml:space="preserve">indicated also in the LS, is the </w:t>
      </w:r>
      <w:r w:rsidR="0058289F">
        <w:rPr>
          <w:lang w:val="en-US"/>
        </w:rPr>
        <w:t xml:space="preserve">basically doubled </w:t>
      </w:r>
      <w:r w:rsidR="000E07E0">
        <w:rPr>
          <w:lang w:val="en-US"/>
        </w:rPr>
        <w:t xml:space="preserve">radio </w:t>
      </w:r>
      <w:r w:rsidR="0058289F">
        <w:rPr>
          <w:lang w:val="en-US"/>
        </w:rPr>
        <w:t xml:space="preserve">resource reservation </w:t>
      </w:r>
      <w:r w:rsidR="000E07E0">
        <w:rPr>
          <w:lang w:val="en-US"/>
        </w:rPr>
        <w:t>during the migration period.</w:t>
      </w:r>
    </w:p>
    <w:p w14:paraId="3A48D28A" w14:textId="12875754" w:rsidR="004B529A" w:rsidRPr="009D2F2A" w:rsidRDefault="004B529A" w:rsidP="009D2F2A">
      <w:pPr>
        <w:ind w:left="284"/>
        <w:jc w:val="both"/>
        <w:rPr>
          <w:b/>
          <w:bCs/>
          <w:i/>
          <w:iCs/>
          <w:lang w:val="en-US"/>
        </w:rPr>
      </w:pPr>
      <w:r w:rsidRPr="009D2F2A">
        <w:rPr>
          <w:b/>
          <w:bCs/>
          <w:i/>
          <w:iCs/>
          <w:lang w:val="en-US"/>
        </w:rPr>
        <w:t xml:space="preserve">Observation </w:t>
      </w:r>
      <w:r w:rsidR="00BD6826" w:rsidRPr="009D2F2A">
        <w:rPr>
          <w:b/>
          <w:bCs/>
          <w:i/>
          <w:iCs/>
          <w:lang w:val="en-US"/>
        </w:rPr>
        <w:t>4</w:t>
      </w:r>
      <w:r w:rsidRPr="009D2F2A">
        <w:rPr>
          <w:b/>
          <w:bCs/>
          <w:i/>
          <w:iCs/>
          <w:lang w:val="en-US"/>
        </w:rPr>
        <w:t>. Alt.1 does not seem to have RAN1 impacts.</w:t>
      </w:r>
    </w:p>
    <w:p w14:paraId="16C1C7EF" w14:textId="75E5DEDD" w:rsidR="004B529A" w:rsidRDefault="004B529A" w:rsidP="004B529A">
      <w:pPr>
        <w:jc w:val="both"/>
        <w:rPr>
          <w:lang w:val="en-US"/>
        </w:rPr>
      </w:pPr>
      <w:r>
        <w:rPr>
          <w:lang w:val="en-US"/>
        </w:rPr>
        <w:t xml:space="preserve">The description for Alt.2 was not unambiguous. Time division and switching of resource usage of cell1 and cell2 may have various implementations. The assumption </w:t>
      </w:r>
      <w:r w:rsidR="00015E0E">
        <w:rPr>
          <w:lang w:val="en-US"/>
        </w:rPr>
        <w:t xml:space="preserve">presumably has </w:t>
      </w:r>
      <w:r>
        <w:rPr>
          <w:lang w:val="en-US"/>
        </w:rPr>
        <w:t>been to have cells active during the migration period providing sufficient time to hand over all UEs to the target cell. However, how this would be configured was not described in detail.</w:t>
      </w:r>
    </w:p>
    <w:p w14:paraId="231FE076" w14:textId="0824011D" w:rsidR="004B529A" w:rsidRPr="009D2F2A" w:rsidRDefault="004B529A" w:rsidP="009D2F2A">
      <w:pPr>
        <w:ind w:left="284"/>
        <w:jc w:val="both"/>
        <w:rPr>
          <w:b/>
          <w:bCs/>
          <w:i/>
          <w:iCs/>
          <w:lang w:val="en-US"/>
        </w:rPr>
      </w:pPr>
      <w:r w:rsidRPr="009D2F2A">
        <w:rPr>
          <w:b/>
          <w:bCs/>
          <w:i/>
          <w:iCs/>
          <w:lang w:val="en-US"/>
        </w:rPr>
        <w:t xml:space="preserve">Observation </w:t>
      </w:r>
      <w:r w:rsidR="00BD6826" w:rsidRPr="009D2F2A">
        <w:rPr>
          <w:b/>
          <w:bCs/>
          <w:i/>
          <w:iCs/>
          <w:lang w:val="en-US"/>
        </w:rPr>
        <w:t>5</w:t>
      </w:r>
      <w:r w:rsidRPr="009D2F2A">
        <w:rPr>
          <w:b/>
          <w:bCs/>
          <w:i/>
          <w:iCs/>
          <w:lang w:val="en-US"/>
        </w:rPr>
        <w:t>. The assumptions for Alt.2 operation need clarification</w:t>
      </w:r>
      <w:r w:rsidR="00011583" w:rsidRPr="009D2F2A">
        <w:rPr>
          <w:b/>
          <w:bCs/>
          <w:i/>
          <w:iCs/>
          <w:lang w:val="en-US"/>
        </w:rPr>
        <w:t xml:space="preserve"> in </w:t>
      </w:r>
      <w:r w:rsidR="00BD6826" w:rsidRPr="009D2F2A">
        <w:rPr>
          <w:b/>
          <w:bCs/>
          <w:i/>
          <w:iCs/>
          <w:lang w:val="en-US"/>
        </w:rPr>
        <w:t xml:space="preserve">the </w:t>
      </w:r>
      <w:r w:rsidR="00011583" w:rsidRPr="009D2F2A">
        <w:rPr>
          <w:b/>
          <w:bCs/>
          <w:i/>
          <w:iCs/>
          <w:lang w:val="en-US"/>
        </w:rPr>
        <w:t>details</w:t>
      </w:r>
      <w:r w:rsidRPr="009D2F2A">
        <w:rPr>
          <w:b/>
          <w:bCs/>
          <w:i/>
          <w:iCs/>
          <w:lang w:val="en-US"/>
        </w:rPr>
        <w:t>.</w:t>
      </w:r>
    </w:p>
    <w:p w14:paraId="18F2D108" w14:textId="4488688E" w:rsidR="004B529A" w:rsidRDefault="004B529A" w:rsidP="004B529A">
      <w:pPr>
        <w:jc w:val="both"/>
        <w:rPr>
          <w:lang w:val="en-US"/>
        </w:rPr>
      </w:pPr>
      <w:r>
        <w:rPr>
          <w:lang w:val="en-US"/>
        </w:rPr>
        <w:lastRenderedPageBreak/>
        <w:t>In any case, the configurations of cell1 and cell2 must be such that any limitations of resource usage (TDM between cells) would not affect the broadcast of SSBs and availability of access resources</w:t>
      </w:r>
      <w:r w:rsidR="009723DA">
        <w:rPr>
          <w:lang w:val="en-US"/>
        </w:rPr>
        <w:t xml:space="preserve"> so that the measurements (cell2 detection) and access to the</w:t>
      </w:r>
      <w:r w:rsidR="000141A2">
        <w:rPr>
          <w:lang w:val="en-US"/>
        </w:rPr>
        <w:t xml:space="preserve"> target cell </w:t>
      </w:r>
      <w:r w:rsidR="001A4FFE">
        <w:rPr>
          <w:lang w:val="en-US"/>
        </w:rPr>
        <w:t xml:space="preserve">can be </w:t>
      </w:r>
      <w:r w:rsidR="00007F4B">
        <w:rPr>
          <w:lang w:val="en-US"/>
        </w:rPr>
        <w:t xml:space="preserve">done </w:t>
      </w:r>
      <w:r w:rsidR="00410BB0">
        <w:rPr>
          <w:lang w:val="en-US"/>
        </w:rPr>
        <w:t>in a normal manner from the UE point of view.</w:t>
      </w:r>
    </w:p>
    <w:p w14:paraId="2861A22F" w14:textId="77777777" w:rsidR="00720194" w:rsidRPr="009D2F2A" w:rsidRDefault="00720194" w:rsidP="009D2F2A">
      <w:pPr>
        <w:ind w:left="284"/>
        <w:jc w:val="both"/>
        <w:rPr>
          <w:i/>
          <w:lang w:val="en-US"/>
        </w:rPr>
      </w:pPr>
      <w:r w:rsidRPr="009D2F2A">
        <w:rPr>
          <w:i/>
          <w:lang w:val="en-US"/>
        </w:rPr>
        <w:t xml:space="preserve">For Alt2, RAN3 also has some concrete questions w.r.t., PCI/NCGI, i.e., </w:t>
      </w:r>
    </w:p>
    <w:p w14:paraId="4497BC84" w14:textId="7F7902FD" w:rsidR="00720194" w:rsidRPr="009D2F2A" w:rsidRDefault="00720194" w:rsidP="009D2F2A">
      <w:pPr>
        <w:pStyle w:val="ListParagraph"/>
        <w:numPr>
          <w:ilvl w:val="0"/>
          <w:numId w:val="50"/>
        </w:numPr>
        <w:ind w:left="1004"/>
        <w:jc w:val="both"/>
        <w:rPr>
          <w:i/>
          <w:sz w:val="20"/>
          <w:szCs w:val="20"/>
          <w:lang w:val="en-US"/>
        </w:rPr>
      </w:pPr>
      <w:r w:rsidRPr="009D2F2A">
        <w:rPr>
          <w:i/>
          <w:sz w:val="20"/>
          <w:szCs w:val="20"/>
          <w:lang w:val="en-US"/>
        </w:rPr>
        <w:t>Whether the current specification enables a RRC CONNECTED UE remains connected, while observing the change of NCGI, and no change to the PCI?</w:t>
      </w:r>
    </w:p>
    <w:p w14:paraId="6074955A" w14:textId="4E77BA11" w:rsidR="004417B7" w:rsidRPr="009D2F2A" w:rsidRDefault="004417B7" w:rsidP="009D2F2A">
      <w:pPr>
        <w:pStyle w:val="ListParagraph"/>
        <w:ind w:left="1004"/>
        <w:jc w:val="both"/>
        <w:rPr>
          <w:i/>
          <w:sz w:val="20"/>
          <w:szCs w:val="20"/>
          <w:lang w:val="en-US"/>
        </w:rPr>
      </w:pPr>
    </w:p>
    <w:p w14:paraId="6229FCF5" w14:textId="4ECDE607" w:rsidR="004B529A" w:rsidRDefault="00251497" w:rsidP="004417B7">
      <w:pPr>
        <w:pStyle w:val="ListParagraph"/>
        <w:jc w:val="both"/>
        <w:rPr>
          <w:sz w:val="20"/>
          <w:szCs w:val="20"/>
          <w:lang w:val="en-US"/>
        </w:rPr>
      </w:pPr>
      <w:r>
        <w:rPr>
          <w:sz w:val="20"/>
          <w:szCs w:val="20"/>
          <w:lang w:val="en-US"/>
        </w:rPr>
        <w:t>R</w:t>
      </w:r>
      <w:r w:rsidR="00EB6CF9">
        <w:rPr>
          <w:sz w:val="20"/>
          <w:szCs w:val="20"/>
          <w:lang w:val="en-US"/>
        </w:rPr>
        <w:t>AN</w:t>
      </w:r>
      <w:r>
        <w:rPr>
          <w:sz w:val="20"/>
          <w:szCs w:val="20"/>
          <w:lang w:val="en-US"/>
        </w:rPr>
        <w:t xml:space="preserve">1 answer: </w:t>
      </w:r>
      <w:r w:rsidR="004B529A" w:rsidRPr="004B529A">
        <w:rPr>
          <w:sz w:val="20"/>
          <w:szCs w:val="20"/>
          <w:lang w:val="en-US"/>
        </w:rPr>
        <w:t>This seems more for RAN2 to analyze.</w:t>
      </w:r>
    </w:p>
    <w:p w14:paraId="550C13EC" w14:textId="77777777" w:rsidR="004417B7" w:rsidRPr="009D2F2A" w:rsidRDefault="004417B7" w:rsidP="009D2F2A">
      <w:pPr>
        <w:pStyle w:val="ListParagraph"/>
        <w:ind w:left="1004"/>
        <w:jc w:val="both"/>
        <w:rPr>
          <w:i/>
          <w:lang w:val="en-US"/>
        </w:rPr>
      </w:pPr>
    </w:p>
    <w:p w14:paraId="42954CC5" w14:textId="6B718A2B" w:rsidR="006503AA" w:rsidRPr="009D2F2A" w:rsidRDefault="004417B7" w:rsidP="009D2F2A">
      <w:pPr>
        <w:pStyle w:val="ListParagraph"/>
        <w:numPr>
          <w:ilvl w:val="0"/>
          <w:numId w:val="50"/>
        </w:numPr>
        <w:ind w:left="1004"/>
        <w:jc w:val="both"/>
        <w:rPr>
          <w:i/>
          <w:sz w:val="20"/>
          <w:szCs w:val="20"/>
          <w:lang w:val="en-US"/>
        </w:rPr>
      </w:pPr>
      <w:r w:rsidRPr="009D2F2A">
        <w:rPr>
          <w:i/>
          <w:sz w:val="20"/>
          <w:szCs w:val="20"/>
          <w:lang w:val="en-US"/>
        </w:rPr>
        <w:t>I</w:t>
      </w:r>
      <w:r w:rsidR="00720194" w:rsidRPr="009D2F2A">
        <w:rPr>
          <w:i/>
          <w:sz w:val="20"/>
          <w:szCs w:val="20"/>
          <w:lang w:val="en-US"/>
        </w:rPr>
        <w:t>s it possible to use same PCI for cell1 and cell2, and support the HO from cell1 to cell2 without new impact to the UE (e.g. a legacy UE)?</w:t>
      </w:r>
    </w:p>
    <w:p w14:paraId="7DCE94B8" w14:textId="792C55D8" w:rsidR="004417B7" w:rsidRPr="009D2F2A" w:rsidRDefault="004417B7" w:rsidP="009D2F2A">
      <w:pPr>
        <w:pStyle w:val="ListParagraph"/>
        <w:ind w:left="1004"/>
        <w:jc w:val="both"/>
        <w:rPr>
          <w:i/>
          <w:sz w:val="20"/>
          <w:szCs w:val="20"/>
          <w:lang w:val="en-US"/>
        </w:rPr>
      </w:pPr>
    </w:p>
    <w:p w14:paraId="34E63B2D" w14:textId="7D503DBE" w:rsidR="004417B7" w:rsidRPr="009D2F2A" w:rsidRDefault="00251497" w:rsidP="009D2F2A">
      <w:pPr>
        <w:pStyle w:val="ListParagraph"/>
        <w:ind w:left="852"/>
        <w:jc w:val="both"/>
        <w:rPr>
          <w:i/>
          <w:lang w:val="en-US"/>
        </w:rPr>
      </w:pPr>
      <w:r>
        <w:rPr>
          <w:sz w:val="20"/>
          <w:szCs w:val="20"/>
          <w:lang w:val="en-US"/>
        </w:rPr>
        <w:t>R</w:t>
      </w:r>
      <w:r w:rsidR="00EB6CF9">
        <w:rPr>
          <w:sz w:val="20"/>
          <w:szCs w:val="20"/>
          <w:lang w:val="en-US"/>
        </w:rPr>
        <w:t>AN</w:t>
      </w:r>
      <w:r>
        <w:rPr>
          <w:sz w:val="20"/>
          <w:szCs w:val="20"/>
          <w:lang w:val="en-US"/>
        </w:rPr>
        <w:t xml:space="preserve">1 answer: </w:t>
      </w:r>
      <w:r w:rsidR="004B529A" w:rsidRPr="009D2F2A">
        <w:rPr>
          <w:sz w:val="20"/>
          <w:szCs w:val="20"/>
          <w:lang w:val="en-US"/>
        </w:rPr>
        <w:t xml:space="preserve">In principle, </w:t>
      </w:r>
      <w:r w:rsidR="005B7D51">
        <w:rPr>
          <w:sz w:val="20"/>
          <w:szCs w:val="20"/>
          <w:lang w:val="en-US"/>
        </w:rPr>
        <w:t xml:space="preserve">from the specifications point of view, </w:t>
      </w:r>
      <w:r w:rsidR="004B529A" w:rsidRPr="009D2F2A">
        <w:rPr>
          <w:sz w:val="20"/>
          <w:szCs w:val="20"/>
          <w:lang w:val="en-US"/>
        </w:rPr>
        <w:t xml:space="preserve">the PCIs can be </w:t>
      </w:r>
      <w:r w:rsidR="00253CFC">
        <w:rPr>
          <w:sz w:val="20"/>
          <w:szCs w:val="20"/>
          <w:lang w:val="en-US"/>
        </w:rPr>
        <w:t xml:space="preserve">configured to be </w:t>
      </w:r>
      <w:r w:rsidR="004B529A" w:rsidRPr="009D2F2A">
        <w:rPr>
          <w:sz w:val="20"/>
          <w:szCs w:val="20"/>
          <w:lang w:val="en-US"/>
        </w:rPr>
        <w:t>the same while the SIB1</w:t>
      </w:r>
      <w:r w:rsidR="0095655F">
        <w:rPr>
          <w:sz w:val="20"/>
          <w:szCs w:val="20"/>
          <w:lang w:val="en-US"/>
        </w:rPr>
        <w:t>s</w:t>
      </w:r>
      <w:r w:rsidR="004B529A" w:rsidRPr="009D2F2A">
        <w:rPr>
          <w:sz w:val="20"/>
          <w:szCs w:val="20"/>
          <w:lang w:val="en-US"/>
        </w:rPr>
        <w:t xml:space="preserve"> indicate different </w:t>
      </w:r>
      <w:r w:rsidR="005F6C79">
        <w:rPr>
          <w:sz w:val="20"/>
          <w:szCs w:val="20"/>
          <w:lang w:val="en-US"/>
        </w:rPr>
        <w:t xml:space="preserve">logical cells, i.e. different </w:t>
      </w:r>
      <w:r w:rsidR="004B529A" w:rsidRPr="009D2F2A">
        <w:rPr>
          <w:sz w:val="20"/>
          <w:szCs w:val="20"/>
          <w:lang w:val="en-US"/>
        </w:rPr>
        <w:t>NCGIs</w:t>
      </w:r>
      <w:r w:rsidR="005B7D51">
        <w:rPr>
          <w:sz w:val="20"/>
          <w:szCs w:val="20"/>
          <w:lang w:val="en-US"/>
        </w:rPr>
        <w:t xml:space="preserve">. </w:t>
      </w:r>
      <w:r w:rsidR="00E3656B">
        <w:rPr>
          <w:sz w:val="20"/>
          <w:szCs w:val="20"/>
          <w:lang w:val="en-US"/>
        </w:rPr>
        <w:t xml:space="preserve">It would be, however, good to confirm </w:t>
      </w:r>
      <w:r w:rsidR="005F6C79">
        <w:rPr>
          <w:sz w:val="20"/>
          <w:szCs w:val="20"/>
          <w:lang w:val="en-US"/>
        </w:rPr>
        <w:t xml:space="preserve">whether </w:t>
      </w:r>
      <w:r w:rsidR="00E3656B">
        <w:rPr>
          <w:sz w:val="20"/>
          <w:szCs w:val="20"/>
          <w:lang w:val="en-US"/>
        </w:rPr>
        <w:t>there are any implications to RLM and RRM measurements for IDLE and CONNECTED UEs.</w:t>
      </w:r>
    </w:p>
    <w:p w14:paraId="3E6D72DE" w14:textId="77777777" w:rsidR="004B529A" w:rsidRPr="009D2F2A" w:rsidRDefault="004B529A" w:rsidP="009D2F2A">
      <w:pPr>
        <w:pStyle w:val="ListParagraph"/>
        <w:jc w:val="both"/>
        <w:rPr>
          <w:lang w:val="en-US"/>
        </w:rPr>
      </w:pPr>
    </w:p>
    <w:p w14:paraId="72B4F819" w14:textId="051E034E" w:rsidR="00720194" w:rsidRPr="009D2F2A" w:rsidRDefault="004417B7" w:rsidP="009D2F2A">
      <w:pPr>
        <w:pStyle w:val="ListParagraph"/>
        <w:numPr>
          <w:ilvl w:val="0"/>
          <w:numId w:val="50"/>
        </w:numPr>
        <w:ind w:left="1004"/>
        <w:jc w:val="both"/>
        <w:rPr>
          <w:i/>
          <w:sz w:val="20"/>
          <w:szCs w:val="20"/>
          <w:lang w:val="en-US"/>
        </w:rPr>
      </w:pPr>
      <w:r w:rsidRPr="009D2F2A">
        <w:rPr>
          <w:i/>
          <w:sz w:val="20"/>
          <w:szCs w:val="20"/>
          <w:lang w:val="en-US"/>
        </w:rPr>
        <w:t>W</w:t>
      </w:r>
      <w:r w:rsidR="00720194" w:rsidRPr="009D2F2A">
        <w:rPr>
          <w:i/>
          <w:sz w:val="20"/>
          <w:szCs w:val="20"/>
          <w:lang w:val="en-US"/>
        </w:rPr>
        <w:t>hen cell1 and cell2 use different PCI/NCGI, is it possible to use one set of shared resource, without new impact to the UE?</w:t>
      </w:r>
    </w:p>
    <w:p w14:paraId="3C528D77" w14:textId="77777777" w:rsidR="00720194" w:rsidRPr="009D2F2A" w:rsidRDefault="00720194">
      <w:pPr>
        <w:pStyle w:val="ListParagraph"/>
        <w:ind w:left="1004"/>
        <w:jc w:val="both"/>
        <w:rPr>
          <w:i/>
          <w:lang w:val="en-US"/>
        </w:rPr>
      </w:pPr>
    </w:p>
    <w:p w14:paraId="1B76FDB9" w14:textId="6BACC5EE" w:rsidR="00CD6146" w:rsidRPr="009D2F2A" w:rsidRDefault="00251497" w:rsidP="00EB6CF9">
      <w:pPr>
        <w:pStyle w:val="ListParagraph"/>
        <w:ind w:left="852"/>
        <w:jc w:val="both"/>
        <w:rPr>
          <w:sz w:val="20"/>
          <w:szCs w:val="20"/>
          <w:lang w:val="en-US"/>
        </w:rPr>
      </w:pPr>
      <w:r>
        <w:rPr>
          <w:sz w:val="20"/>
          <w:szCs w:val="20"/>
          <w:lang w:val="en-US"/>
        </w:rPr>
        <w:t>R</w:t>
      </w:r>
      <w:r w:rsidR="00EB6CF9">
        <w:rPr>
          <w:sz w:val="20"/>
          <w:szCs w:val="20"/>
          <w:lang w:val="en-US"/>
        </w:rPr>
        <w:t>AN</w:t>
      </w:r>
      <w:r>
        <w:rPr>
          <w:sz w:val="20"/>
          <w:szCs w:val="20"/>
          <w:lang w:val="en-US"/>
        </w:rPr>
        <w:t xml:space="preserve">1 answer: </w:t>
      </w:r>
      <w:r w:rsidR="00CD6146" w:rsidRPr="009D2F2A">
        <w:rPr>
          <w:sz w:val="20"/>
          <w:szCs w:val="20"/>
          <w:lang w:val="en-US"/>
        </w:rPr>
        <w:t xml:space="preserve">It is not clear why different PCIs would cause specific problems. Referring e.g. to Annex B.2 in 38.300, of the resources are share with two cells utilizing BWPs, both PCIs and NCGIs can be different. </w:t>
      </w:r>
    </w:p>
    <w:p w14:paraId="495620DC" w14:textId="3EF052CC" w:rsidR="00CD6146" w:rsidRDefault="00CD6146" w:rsidP="00EB6CF9">
      <w:pPr>
        <w:pStyle w:val="ListParagraph"/>
        <w:ind w:left="852"/>
        <w:jc w:val="both"/>
        <w:rPr>
          <w:sz w:val="20"/>
          <w:szCs w:val="20"/>
          <w:lang w:val="en-US"/>
        </w:rPr>
      </w:pPr>
      <w:r w:rsidRPr="009D2F2A">
        <w:rPr>
          <w:sz w:val="20"/>
          <w:szCs w:val="20"/>
          <w:lang w:val="en-US"/>
        </w:rPr>
        <w:t>In the IAB scenarios, where there are two DUs operating basically independently – including separate MAC layers and schedulers, the control of the resources of the cells seems to need additional coordination or configuration. The time division of the resource usage by the two DUs was not clear from the description in the LS, though, as commented above.</w:t>
      </w:r>
    </w:p>
    <w:p w14:paraId="3AE2B981" w14:textId="77777777" w:rsidR="00E26CF7" w:rsidRPr="009D2F2A" w:rsidRDefault="00E26CF7" w:rsidP="009D2F2A">
      <w:pPr>
        <w:pStyle w:val="ListParagraph"/>
        <w:jc w:val="both"/>
        <w:rPr>
          <w:lang w:val="en-US"/>
        </w:rPr>
      </w:pPr>
    </w:p>
    <w:p w14:paraId="26DC8756" w14:textId="002CDE1B" w:rsidR="00251497" w:rsidRPr="00173827" w:rsidRDefault="00331F70">
      <w:pPr>
        <w:pStyle w:val="Heading1"/>
        <w:rPr>
          <w:lang w:val="en-US"/>
        </w:rPr>
      </w:pPr>
      <w:r>
        <w:rPr>
          <w:color w:val="000000" w:themeColor="text1"/>
          <w:lang w:val="en-US"/>
        </w:rPr>
        <w:t xml:space="preserve">4 </w:t>
      </w:r>
      <w:r w:rsidR="00E64D0D">
        <w:rPr>
          <w:color w:val="000000" w:themeColor="text1"/>
          <w:lang w:val="en-US"/>
        </w:rPr>
        <w:t>Conclusions</w:t>
      </w:r>
      <w:r w:rsidR="00C3317F">
        <w:tab/>
      </w:r>
    </w:p>
    <w:p w14:paraId="7E641F19" w14:textId="69D9EC75" w:rsidR="00E64D0D" w:rsidRPr="009D2F2A" w:rsidRDefault="00674B95" w:rsidP="00E64D0D">
      <w:pPr>
        <w:rPr>
          <w:u w:val="single"/>
          <w:lang w:val="en-US"/>
        </w:rPr>
      </w:pPr>
      <w:r w:rsidRPr="009D2F2A">
        <w:rPr>
          <w:lang w:val="en-US"/>
        </w:rPr>
        <w:t>In this contribution we have analyzed the LSs from RAN3 from RAN1 perspective. We made following observations</w:t>
      </w:r>
      <w:r w:rsidR="009F7C76">
        <w:rPr>
          <w:lang w:val="en-US"/>
        </w:rPr>
        <w:t xml:space="preserve"> regarding </w:t>
      </w:r>
      <w:r w:rsidR="002901B7" w:rsidRPr="009D2F2A">
        <w:rPr>
          <w:u w:val="single"/>
          <w:lang w:val="en-US"/>
        </w:rPr>
        <w:t>R3-212974</w:t>
      </w:r>
    </w:p>
    <w:p w14:paraId="6FC28C88" w14:textId="77777777" w:rsidR="00BD6826" w:rsidRPr="009D2F2A" w:rsidRDefault="00BD6826" w:rsidP="009D2F2A">
      <w:pPr>
        <w:ind w:left="284"/>
        <w:jc w:val="both"/>
        <w:rPr>
          <w:b/>
          <w:bCs/>
          <w:i/>
          <w:iCs/>
          <w:lang w:val="en-US"/>
        </w:rPr>
      </w:pPr>
      <w:r w:rsidRPr="009D2F2A">
        <w:rPr>
          <w:b/>
          <w:bCs/>
          <w:i/>
          <w:iCs/>
          <w:lang w:val="en-US"/>
        </w:rPr>
        <w:t>Observation 1: Option 3 for both RLF/migration and DC is not the preferred solution regarding the resource usage in IAB networks.</w:t>
      </w:r>
    </w:p>
    <w:p w14:paraId="496A6E35" w14:textId="46F7DAC3" w:rsidR="00BD6826" w:rsidRPr="009D2F2A" w:rsidRDefault="00BD6826" w:rsidP="009D2F2A">
      <w:pPr>
        <w:ind w:left="284"/>
        <w:jc w:val="both"/>
        <w:rPr>
          <w:b/>
          <w:bCs/>
          <w:i/>
          <w:iCs/>
          <w:lang w:val="en-US"/>
        </w:rPr>
      </w:pPr>
      <w:r w:rsidRPr="009D2F2A">
        <w:rPr>
          <w:b/>
          <w:bCs/>
          <w:i/>
          <w:iCs/>
          <w:lang w:val="en-US"/>
        </w:rPr>
        <w:t xml:space="preserve">Observation 2. Because the preference between Option 1 and Option 2 is scenario dependent, there does not seem to be </w:t>
      </w:r>
      <w:r w:rsidR="00EB6CF9">
        <w:rPr>
          <w:b/>
          <w:bCs/>
          <w:i/>
          <w:iCs/>
          <w:lang w:val="en-US"/>
        </w:rPr>
        <w:t xml:space="preserve">a </w:t>
      </w:r>
      <w:r w:rsidRPr="009D2F2A">
        <w:rPr>
          <w:b/>
          <w:bCs/>
          <w:i/>
          <w:iCs/>
          <w:lang w:val="en-US"/>
        </w:rPr>
        <w:t xml:space="preserve">need to select either one of the options as a specified </w:t>
      </w:r>
      <w:r w:rsidR="00EB6CF9" w:rsidRPr="009D2F2A">
        <w:rPr>
          <w:b/>
          <w:bCs/>
          <w:i/>
          <w:iCs/>
          <w:lang w:val="en-US"/>
        </w:rPr>
        <w:t>behavior</w:t>
      </w:r>
      <w:r w:rsidRPr="009D2F2A">
        <w:rPr>
          <w:b/>
          <w:bCs/>
          <w:i/>
          <w:iCs/>
          <w:lang w:val="en-US"/>
        </w:rPr>
        <w:t>.</w:t>
      </w:r>
    </w:p>
    <w:p w14:paraId="3FEC70AC" w14:textId="079A7D77" w:rsidR="002901B7" w:rsidRPr="009D2F2A" w:rsidRDefault="00BD6826" w:rsidP="009D2F2A">
      <w:pPr>
        <w:ind w:left="284"/>
        <w:jc w:val="both"/>
        <w:rPr>
          <w:b/>
          <w:bCs/>
          <w:i/>
          <w:iCs/>
          <w:lang w:val="en-US"/>
        </w:rPr>
      </w:pPr>
      <w:r w:rsidRPr="009D2F2A">
        <w:rPr>
          <w:b/>
          <w:bCs/>
          <w:i/>
          <w:iCs/>
          <w:lang w:val="en-US"/>
        </w:rPr>
        <w:t>Observation 3. Similar to scenario 1, the specifications may not need to select either one of the options but leave that as choice for implementation.</w:t>
      </w:r>
    </w:p>
    <w:p w14:paraId="001355E9" w14:textId="183DD1EB" w:rsidR="002901B7" w:rsidRPr="009D2F2A" w:rsidRDefault="009F7C76" w:rsidP="00E64D0D">
      <w:pPr>
        <w:rPr>
          <w:b/>
          <w:bCs/>
          <w:u w:val="single"/>
          <w:lang w:val="en-US"/>
        </w:rPr>
      </w:pPr>
      <w:r w:rsidRPr="006A60C6">
        <w:rPr>
          <w:lang w:val="en-US"/>
        </w:rPr>
        <w:t>We made following observations</w:t>
      </w:r>
      <w:r>
        <w:rPr>
          <w:lang w:val="en-US"/>
        </w:rPr>
        <w:t xml:space="preserve"> regarding </w:t>
      </w:r>
      <w:r w:rsidR="00BD6826" w:rsidRPr="009D2F2A">
        <w:rPr>
          <w:u w:val="single"/>
          <w:lang w:val="en-US"/>
        </w:rPr>
        <w:t>R3-212981</w:t>
      </w:r>
    </w:p>
    <w:p w14:paraId="435B2F38" w14:textId="77777777" w:rsidR="00B97950" w:rsidRPr="009D2F2A" w:rsidRDefault="00B97950" w:rsidP="009D2F2A">
      <w:pPr>
        <w:ind w:left="284"/>
        <w:jc w:val="both"/>
        <w:rPr>
          <w:b/>
          <w:bCs/>
          <w:i/>
          <w:iCs/>
          <w:lang w:val="en-US"/>
        </w:rPr>
      </w:pPr>
      <w:r w:rsidRPr="009D2F2A">
        <w:rPr>
          <w:b/>
          <w:bCs/>
          <w:i/>
          <w:iCs/>
          <w:lang w:val="en-US"/>
        </w:rPr>
        <w:t>Observation 4. Alt.1 does not seem to have RAN1 impacts.</w:t>
      </w:r>
    </w:p>
    <w:p w14:paraId="1C2F493E" w14:textId="77777777" w:rsidR="00B97950" w:rsidRPr="009D2F2A" w:rsidRDefault="00B97950" w:rsidP="009D2F2A">
      <w:pPr>
        <w:ind w:left="284"/>
        <w:jc w:val="both"/>
        <w:rPr>
          <w:b/>
          <w:bCs/>
          <w:i/>
          <w:iCs/>
          <w:lang w:val="en-US"/>
        </w:rPr>
      </w:pPr>
      <w:r w:rsidRPr="009D2F2A">
        <w:rPr>
          <w:b/>
          <w:bCs/>
          <w:i/>
          <w:iCs/>
          <w:lang w:val="en-US"/>
        </w:rPr>
        <w:t>Observation 5. The assumptions for Alt.2 operation need clarification in the details.</w:t>
      </w:r>
    </w:p>
    <w:p w14:paraId="66C2FA32" w14:textId="77777777" w:rsidR="009F7C76" w:rsidRDefault="009F7C76" w:rsidP="009F7C76">
      <w:pPr>
        <w:ind w:left="1134" w:hanging="850"/>
        <w:rPr>
          <w:b/>
          <w:bCs/>
          <w:i/>
          <w:iCs/>
          <w:lang w:val="en-US"/>
        </w:rPr>
      </w:pPr>
    </w:p>
    <w:p w14:paraId="764154B2" w14:textId="7B542957" w:rsidR="00B97950" w:rsidRPr="009D2F2A" w:rsidRDefault="004F43EB" w:rsidP="009D2F2A">
      <w:pPr>
        <w:ind w:left="1134" w:hanging="850"/>
        <w:rPr>
          <w:b/>
          <w:bCs/>
          <w:i/>
          <w:iCs/>
          <w:lang w:val="en-US"/>
        </w:rPr>
      </w:pPr>
      <w:r w:rsidRPr="009D2F2A">
        <w:rPr>
          <w:b/>
          <w:bCs/>
          <w:i/>
          <w:iCs/>
          <w:lang w:val="en-US"/>
        </w:rPr>
        <w:t xml:space="preserve">Proposal: RAN1 is kindly asked to consider the observations and </w:t>
      </w:r>
      <w:r w:rsidR="00F42C14" w:rsidRPr="009D2F2A">
        <w:rPr>
          <w:b/>
          <w:bCs/>
          <w:i/>
          <w:iCs/>
          <w:lang w:val="en-US"/>
        </w:rPr>
        <w:t xml:space="preserve">responses to the dedicated question in this document when </w:t>
      </w:r>
      <w:r w:rsidR="00E311FC" w:rsidRPr="009D2F2A">
        <w:rPr>
          <w:b/>
          <w:bCs/>
          <w:i/>
          <w:iCs/>
          <w:lang w:val="en-US"/>
        </w:rPr>
        <w:t>preparing the reply LSs to RAN3</w:t>
      </w:r>
    </w:p>
    <w:p w14:paraId="00140F0B" w14:textId="7116106E" w:rsidR="00012B1B" w:rsidRPr="00E91743" w:rsidRDefault="00012B1B" w:rsidP="009D2F2A">
      <w:pPr>
        <w:pStyle w:val="Heading1"/>
        <w:rPr>
          <w:rFonts w:ascii="Times" w:eastAsia="Batang" w:hAnsi="Times"/>
        </w:rPr>
      </w:pPr>
      <w:bookmarkStart w:id="0" w:name="_Hlk49269411"/>
    </w:p>
    <w:bookmarkEnd w:id="0"/>
    <w:p w14:paraId="18E73C19" w14:textId="77777777" w:rsidR="00012B1B" w:rsidRPr="00173827" w:rsidRDefault="00012B1B" w:rsidP="00725AA9">
      <w:pPr>
        <w:rPr>
          <w:b/>
          <w:bCs/>
          <w:lang w:val="en-US"/>
        </w:rPr>
      </w:pPr>
    </w:p>
    <w:sectPr w:rsidR="00012B1B" w:rsidRPr="00173827" w:rsidSect="0036429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6637B" w14:textId="77777777" w:rsidR="004D7CE8" w:rsidRDefault="004D7CE8">
      <w:r>
        <w:separator/>
      </w:r>
    </w:p>
  </w:endnote>
  <w:endnote w:type="continuationSeparator" w:id="0">
    <w:p w14:paraId="51219AA0" w14:textId="77777777" w:rsidR="004D7CE8" w:rsidRDefault="004D7CE8">
      <w:r>
        <w:continuationSeparator/>
      </w:r>
    </w:p>
  </w:endnote>
  <w:endnote w:type="continuationNotice" w:id="1">
    <w:p w14:paraId="567CCBF6" w14:textId="77777777" w:rsidR="004D7CE8" w:rsidRDefault="004D7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B44242" w:rsidRDefault="00B44242">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B44242" w:rsidRPr="00B75603" w:rsidRDefault="00B44242"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B44242" w:rsidRPr="00B75603" w:rsidRDefault="00B44242"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F0DFC" w14:textId="77777777" w:rsidR="004D7CE8" w:rsidRDefault="004D7CE8">
      <w:r>
        <w:separator/>
      </w:r>
    </w:p>
  </w:footnote>
  <w:footnote w:type="continuationSeparator" w:id="0">
    <w:p w14:paraId="013E718A" w14:textId="77777777" w:rsidR="004D7CE8" w:rsidRDefault="004D7CE8">
      <w:r>
        <w:continuationSeparator/>
      </w:r>
    </w:p>
  </w:footnote>
  <w:footnote w:type="continuationNotice" w:id="1">
    <w:p w14:paraId="4C6070E1" w14:textId="77777777" w:rsidR="004D7CE8" w:rsidRDefault="004D7C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1" w15:restartNumberingAfterBreak="0">
    <w:nsid w:val="04CD6B04"/>
    <w:multiLevelType w:val="hybridMultilevel"/>
    <w:tmpl w:val="6862EBEE"/>
    <w:lvl w:ilvl="0" w:tplc="C860C25A">
      <w:start w:val="1"/>
      <w:numFmt w:val="bullet"/>
      <w:lvlText w:val="·"/>
      <w:lvlJc w:val="left"/>
      <w:pPr>
        <w:ind w:left="928" w:hanging="360"/>
      </w:pPr>
      <w:rPr>
        <w:rFonts w:ascii="Symbol" w:hAnsi="Symbol" w:hint="default"/>
      </w:rPr>
    </w:lvl>
    <w:lvl w:ilvl="1" w:tplc="A9386596">
      <w:start w:val="1"/>
      <w:numFmt w:val="bullet"/>
      <w:lvlText w:val="o"/>
      <w:lvlJc w:val="left"/>
      <w:pPr>
        <w:ind w:left="1648" w:hanging="360"/>
      </w:pPr>
      <w:rPr>
        <w:rFonts w:ascii="Courier New" w:hAnsi="Courier New" w:hint="default"/>
      </w:rPr>
    </w:lvl>
    <w:lvl w:ilvl="2" w:tplc="9A42796C">
      <w:start w:val="1"/>
      <w:numFmt w:val="bullet"/>
      <w:lvlText w:val=""/>
      <w:lvlJc w:val="left"/>
      <w:pPr>
        <w:ind w:left="2368" w:hanging="360"/>
      </w:pPr>
      <w:rPr>
        <w:rFonts w:ascii="Wingdings" w:hAnsi="Wingdings" w:hint="default"/>
      </w:rPr>
    </w:lvl>
    <w:lvl w:ilvl="3" w:tplc="9E26C556">
      <w:start w:val="1"/>
      <w:numFmt w:val="bullet"/>
      <w:lvlText w:val=""/>
      <w:lvlJc w:val="left"/>
      <w:pPr>
        <w:ind w:left="3088" w:hanging="360"/>
      </w:pPr>
      <w:rPr>
        <w:rFonts w:ascii="Symbol" w:hAnsi="Symbol" w:hint="default"/>
      </w:rPr>
    </w:lvl>
    <w:lvl w:ilvl="4" w:tplc="16A86B8E">
      <w:start w:val="1"/>
      <w:numFmt w:val="bullet"/>
      <w:lvlText w:val="o"/>
      <w:lvlJc w:val="left"/>
      <w:pPr>
        <w:ind w:left="3808" w:hanging="360"/>
      </w:pPr>
      <w:rPr>
        <w:rFonts w:ascii="Courier New" w:hAnsi="Courier New" w:hint="default"/>
      </w:rPr>
    </w:lvl>
    <w:lvl w:ilvl="5" w:tplc="AD90085A">
      <w:start w:val="1"/>
      <w:numFmt w:val="bullet"/>
      <w:lvlText w:val=""/>
      <w:lvlJc w:val="left"/>
      <w:pPr>
        <w:ind w:left="4528" w:hanging="360"/>
      </w:pPr>
      <w:rPr>
        <w:rFonts w:ascii="Wingdings" w:hAnsi="Wingdings" w:hint="default"/>
      </w:rPr>
    </w:lvl>
    <w:lvl w:ilvl="6" w:tplc="BE5C8830">
      <w:start w:val="1"/>
      <w:numFmt w:val="bullet"/>
      <w:lvlText w:val=""/>
      <w:lvlJc w:val="left"/>
      <w:pPr>
        <w:ind w:left="5248" w:hanging="360"/>
      </w:pPr>
      <w:rPr>
        <w:rFonts w:ascii="Symbol" w:hAnsi="Symbol" w:hint="default"/>
      </w:rPr>
    </w:lvl>
    <w:lvl w:ilvl="7" w:tplc="34A28C72">
      <w:start w:val="1"/>
      <w:numFmt w:val="bullet"/>
      <w:lvlText w:val="o"/>
      <w:lvlJc w:val="left"/>
      <w:pPr>
        <w:ind w:left="5968" w:hanging="360"/>
      </w:pPr>
      <w:rPr>
        <w:rFonts w:ascii="Courier New" w:hAnsi="Courier New" w:hint="default"/>
      </w:rPr>
    </w:lvl>
    <w:lvl w:ilvl="8" w:tplc="9162D516">
      <w:start w:val="1"/>
      <w:numFmt w:val="bullet"/>
      <w:lvlText w:val=""/>
      <w:lvlJc w:val="left"/>
      <w:pPr>
        <w:ind w:left="6688" w:hanging="360"/>
      </w:pPr>
      <w:rPr>
        <w:rFonts w:ascii="Wingdings" w:hAnsi="Wingdings" w:hint="default"/>
      </w:rPr>
    </w:lvl>
  </w:abstractNum>
  <w:abstractNum w:abstractNumId="2" w15:restartNumberingAfterBreak="0">
    <w:nsid w:val="0AFF1312"/>
    <w:multiLevelType w:val="multilevel"/>
    <w:tmpl w:val="BF70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4"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A2E91"/>
    <w:multiLevelType w:val="hybridMultilevel"/>
    <w:tmpl w:val="6928AED4"/>
    <w:lvl w:ilvl="0" w:tplc="D8163C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D397E"/>
    <w:multiLevelType w:val="hybridMultilevel"/>
    <w:tmpl w:val="579449CA"/>
    <w:lvl w:ilvl="0" w:tplc="8D384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8" w15:restartNumberingAfterBreak="0">
    <w:nsid w:val="17585184"/>
    <w:multiLevelType w:val="multilevel"/>
    <w:tmpl w:val="0B123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C85F5B"/>
    <w:multiLevelType w:val="multilevel"/>
    <w:tmpl w:val="EA34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A7C68"/>
    <w:multiLevelType w:val="hybridMultilevel"/>
    <w:tmpl w:val="93C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96BDE"/>
    <w:multiLevelType w:val="multilevel"/>
    <w:tmpl w:val="CADC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D25B9B"/>
    <w:multiLevelType w:val="hybridMultilevel"/>
    <w:tmpl w:val="2C46E2C4"/>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B345CA"/>
    <w:multiLevelType w:val="multilevel"/>
    <w:tmpl w:val="783AE55E"/>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2F1FA8"/>
    <w:multiLevelType w:val="multilevel"/>
    <w:tmpl w:val="542E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2F7B9E"/>
    <w:multiLevelType w:val="hybridMultilevel"/>
    <w:tmpl w:val="714A9D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27"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8"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9" w15:restartNumberingAfterBreak="0">
    <w:nsid w:val="49D94288"/>
    <w:multiLevelType w:val="hybridMultilevel"/>
    <w:tmpl w:val="24AC5AE2"/>
    <w:lvl w:ilvl="0" w:tplc="44DCF72E">
      <w:start w:val="1"/>
      <w:numFmt w:val="decimal"/>
      <w:lvlText w:val="Q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35"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E009F"/>
    <w:multiLevelType w:val="multilevel"/>
    <w:tmpl w:val="1292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5B03DE"/>
    <w:multiLevelType w:val="multilevel"/>
    <w:tmpl w:val="F280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FD14F4"/>
    <w:multiLevelType w:val="hybridMultilevel"/>
    <w:tmpl w:val="2CCE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2EC3864"/>
    <w:multiLevelType w:val="hybridMultilevel"/>
    <w:tmpl w:val="2772C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1078CA"/>
    <w:multiLevelType w:val="multilevel"/>
    <w:tmpl w:val="4FF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46" w15:restartNumberingAfterBreak="0">
    <w:nsid w:val="6680130D"/>
    <w:multiLevelType w:val="hybridMultilevel"/>
    <w:tmpl w:val="299CBA10"/>
    <w:lvl w:ilvl="0" w:tplc="EF2055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A50CE8"/>
    <w:multiLevelType w:val="multilevel"/>
    <w:tmpl w:val="A15E1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BA09CD"/>
    <w:multiLevelType w:val="hybridMultilevel"/>
    <w:tmpl w:val="6E9498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6A116947"/>
    <w:multiLevelType w:val="multilevel"/>
    <w:tmpl w:val="2FC4D85A"/>
    <w:lvl w:ilvl="0">
      <w:start w:val="1"/>
      <w:numFmt w:val="bullet"/>
      <w:lvlText w:val="o"/>
      <w:lvlJc w:val="left"/>
      <w:pPr>
        <w:tabs>
          <w:tab w:val="num" w:pos="1494"/>
        </w:tabs>
        <w:ind w:left="1494" w:hanging="360"/>
      </w:pPr>
      <w:rPr>
        <w:rFonts w:ascii="Courier New" w:hAnsi="Courier New" w:cs="Courier New"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50" w15:restartNumberingAfterBreak="0">
    <w:nsid w:val="6C2A5259"/>
    <w:multiLevelType w:val="hybridMultilevel"/>
    <w:tmpl w:val="24AC5AE2"/>
    <w:lvl w:ilvl="0" w:tplc="44DCF72E">
      <w:start w:val="1"/>
      <w:numFmt w:val="decimal"/>
      <w:lvlText w:val="Q %1."/>
      <w:lvlJc w:val="left"/>
      <w:pPr>
        <w:ind w:left="643"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5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4"/>
  </w:num>
  <w:num w:numId="4">
    <w:abstractNumId w:val="22"/>
  </w:num>
  <w:num w:numId="5">
    <w:abstractNumId w:val="33"/>
  </w:num>
  <w:num w:numId="6">
    <w:abstractNumId w:val="36"/>
  </w:num>
  <w:num w:numId="7">
    <w:abstractNumId w:val="28"/>
  </w:num>
  <w:num w:numId="8">
    <w:abstractNumId w:val="45"/>
  </w:num>
  <w:num w:numId="9">
    <w:abstractNumId w:val="32"/>
  </w:num>
  <w:num w:numId="10">
    <w:abstractNumId w:val="38"/>
  </w:num>
  <w:num w:numId="11">
    <w:abstractNumId w:val="51"/>
  </w:num>
  <w:num w:numId="12">
    <w:abstractNumId w:val="13"/>
  </w:num>
  <w:num w:numId="13">
    <w:abstractNumId w:val="30"/>
  </w:num>
  <w:num w:numId="14">
    <w:abstractNumId w:val="0"/>
  </w:num>
  <w:num w:numId="15">
    <w:abstractNumId w:val="26"/>
  </w:num>
  <w:num w:numId="16">
    <w:abstractNumId w:val="35"/>
  </w:num>
  <w:num w:numId="17">
    <w:abstractNumId w:val="16"/>
  </w:num>
  <w:num w:numId="18">
    <w:abstractNumId w:val="25"/>
  </w:num>
  <w:num w:numId="19">
    <w:abstractNumId w:val="18"/>
  </w:num>
  <w:num w:numId="20">
    <w:abstractNumId w:val="12"/>
  </w:num>
  <w:num w:numId="21">
    <w:abstractNumId w:val="42"/>
  </w:num>
  <w:num w:numId="22">
    <w:abstractNumId w:val="23"/>
  </w:num>
  <w:num w:numId="23">
    <w:abstractNumId w:val="4"/>
  </w:num>
  <w:num w:numId="24">
    <w:abstractNumId w:val="11"/>
  </w:num>
  <w:num w:numId="25">
    <w:abstractNumId w:val="7"/>
  </w:num>
  <w:num w:numId="26">
    <w:abstractNumId w:val="3"/>
  </w:num>
  <w:num w:numId="27">
    <w:abstractNumId w:val="27"/>
  </w:num>
  <w:num w:numId="28">
    <w:abstractNumId w:val="10"/>
  </w:num>
  <w:num w:numId="29">
    <w:abstractNumId w:val="48"/>
  </w:num>
  <w:num w:numId="30">
    <w:abstractNumId w:val="31"/>
  </w:num>
  <w:num w:numId="31">
    <w:abstractNumId w:val="24"/>
  </w:num>
  <w:num w:numId="32">
    <w:abstractNumId w:val="19"/>
  </w:num>
  <w:num w:numId="33">
    <w:abstractNumId w:val="39"/>
  </w:num>
  <w:num w:numId="34">
    <w:abstractNumId w:val="41"/>
  </w:num>
  <w:num w:numId="35">
    <w:abstractNumId w:val="15"/>
  </w:num>
  <w:num w:numId="36">
    <w:abstractNumId w:val="6"/>
  </w:num>
  <w:num w:numId="37">
    <w:abstractNumId w:val="5"/>
  </w:num>
  <w:num w:numId="38">
    <w:abstractNumId w:val="46"/>
  </w:num>
  <w:num w:numId="39">
    <w:abstractNumId w:val="20"/>
  </w:num>
  <w:num w:numId="40">
    <w:abstractNumId w:val="37"/>
  </w:num>
  <w:num w:numId="41">
    <w:abstractNumId w:val="47"/>
  </w:num>
  <w:num w:numId="42">
    <w:abstractNumId w:val="14"/>
  </w:num>
  <w:num w:numId="43">
    <w:abstractNumId w:val="44"/>
  </w:num>
  <w:num w:numId="44">
    <w:abstractNumId w:val="49"/>
  </w:num>
  <w:num w:numId="45">
    <w:abstractNumId w:val="8"/>
  </w:num>
  <w:num w:numId="46">
    <w:abstractNumId w:val="9"/>
  </w:num>
  <w:num w:numId="47">
    <w:abstractNumId w:val="40"/>
  </w:num>
  <w:num w:numId="48">
    <w:abstractNumId w:val="2"/>
  </w:num>
  <w:num w:numId="49">
    <w:abstractNumId w:val="21"/>
  </w:num>
  <w:num w:numId="50">
    <w:abstractNumId w:val="29"/>
  </w:num>
  <w:num w:numId="51">
    <w:abstractNumId w:val="50"/>
  </w:num>
  <w:num w:numId="5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D49"/>
    <w:rsid w:val="00000DE6"/>
    <w:rsid w:val="0000159F"/>
    <w:rsid w:val="00001726"/>
    <w:rsid w:val="000019AC"/>
    <w:rsid w:val="00001FA9"/>
    <w:rsid w:val="000021F9"/>
    <w:rsid w:val="000024E9"/>
    <w:rsid w:val="00003F4F"/>
    <w:rsid w:val="00004479"/>
    <w:rsid w:val="00004AC8"/>
    <w:rsid w:val="00005844"/>
    <w:rsid w:val="00006055"/>
    <w:rsid w:val="00006240"/>
    <w:rsid w:val="000066C8"/>
    <w:rsid w:val="00006AD4"/>
    <w:rsid w:val="00006B30"/>
    <w:rsid w:val="0000736D"/>
    <w:rsid w:val="000074C4"/>
    <w:rsid w:val="000079A6"/>
    <w:rsid w:val="00007F4B"/>
    <w:rsid w:val="00011583"/>
    <w:rsid w:val="00011839"/>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1A2"/>
    <w:rsid w:val="000146BD"/>
    <w:rsid w:val="0001487F"/>
    <w:rsid w:val="000149D8"/>
    <w:rsid w:val="00014F35"/>
    <w:rsid w:val="00014F7E"/>
    <w:rsid w:val="00015189"/>
    <w:rsid w:val="000155AA"/>
    <w:rsid w:val="0001561C"/>
    <w:rsid w:val="00015E0E"/>
    <w:rsid w:val="00015F98"/>
    <w:rsid w:val="000166AC"/>
    <w:rsid w:val="00016886"/>
    <w:rsid w:val="00016AB2"/>
    <w:rsid w:val="000170F3"/>
    <w:rsid w:val="0001738A"/>
    <w:rsid w:val="00017747"/>
    <w:rsid w:val="00017B7F"/>
    <w:rsid w:val="00017C1C"/>
    <w:rsid w:val="00017EDA"/>
    <w:rsid w:val="00020AE3"/>
    <w:rsid w:val="000215BE"/>
    <w:rsid w:val="00021662"/>
    <w:rsid w:val="00022360"/>
    <w:rsid w:val="00023742"/>
    <w:rsid w:val="000246CB"/>
    <w:rsid w:val="00024AEF"/>
    <w:rsid w:val="00024F2C"/>
    <w:rsid w:val="0002551A"/>
    <w:rsid w:val="000256BA"/>
    <w:rsid w:val="00025BFD"/>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5B9"/>
    <w:rsid w:val="0004056D"/>
    <w:rsid w:val="00040797"/>
    <w:rsid w:val="0004132D"/>
    <w:rsid w:val="00041358"/>
    <w:rsid w:val="00041B78"/>
    <w:rsid w:val="00041C8D"/>
    <w:rsid w:val="000425C9"/>
    <w:rsid w:val="00043542"/>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817"/>
    <w:rsid w:val="00055F38"/>
    <w:rsid w:val="00056098"/>
    <w:rsid w:val="00056179"/>
    <w:rsid w:val="00056544"/>
    <w:rsid w:val="000567B9"/>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969"/>
    <w:rsid w:val="0007558C"/>
    <w:rsid w:val="00075DA1"/>
    <w:rsid w:val="00075FDA"/>
    <w:rsid w:val="00076386"/>
    <w:rsid w:val="00076D82"/>
    <w:rsid w:val="00077655"/>
    <w:rsid w:val="00077949"/>
    <w:rsid w:val="00077D9D"/>
    <w:rsid w:val="00077E4F"/>
    <w:rsid w:val="00080284"/>
    <w:rsid w:val="00080978"/>
    <w:rsid w:val="00080B60"/>
    <w:rsid w:val="0008107D"/>
    <w:rsid w:val="000818BC"/>
    <w:rsid w:val="0008197E"/>
    <w:rsid w:val="00081EC2"/>
    <w:rsid w:val="000823FE"/>
    <w:rsid w:val="00082574"/>
    <w:rsid w:val="000825E2"/>
    <w:rsid w:val="00082614"/>
    <w:rsid w:val="00082B41"/>
    <w:rsid w:val="00083800"/>
    <w:rsid w:val="00084622"/>
    <w:rsid w:val="00084971"/>
    <w:rsid w:val="00084A65"/>
    <w:rsid w:val="00085090"/>
    <w:rsid w:val="000853E9"/>
    <w:rsid w:val="00086572"/>
    <w:rsid w:val="00087BAA"/>
    <w:rsid w:val="000900C2"/>
    <w:rsid w:val="00090F3D"/>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BE0"/>
    <w:rsid w:val="000A0D92"/>
    <w:rsid w:val="000A0DE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A11"/>
    <w:rsid w:val="000B2A5B"/>
    <w:rsid w:val="000B2AC8"/>
    <w:rsid w:val="000B36F4"/>
    <w:rsid w:val="000B3B91"/>
    <w:rsid w:val="000B4825"/>
    <w:rsid w:val="000B58C7"/>
    <w:rsid w:val="000B5AC9"/>
    <w:rsid w:val="000B5F0A"/>
    <w:rsid w:val="000B6544"/>
    <w:rsid w:val="000B7043"/>
    <w:rsid w:val="000B7130"/>
    <w:rsid w:val="000B75A5"/>
    <w:rsid w:val="000B7757"/>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A43"/>
    <w:rsid w:val="000D3B66"/>
    <w:rsid w:val="000D40E7"/>
    <w:rsid w:val="000D584F"/>
    <w:rsid w:val="000D65B3"/>
    <w:rsid w:val="000D6A34"/>
    <w:rsid w:val="000D6DCC"/>
    <w:rsid w:val="000D71EE"/>
    <w:rsid w:val="000D794A"/>
    <w:rsid w:val="000D7CF2"/>
    <w:rsid w:val="000E071E"/>
    <w:rsid w:val="000E07E0"/>
    <w:rsid w:val="000E11A6"/>
    <w:rsid w:val="000E265B"/>
    <w:rsid w:val="000E27AA"/>
    <w:rsid w:val="000E29F1"/>
    <w:rsid w:val="000E2F18"/>
    <w:rsid w:val="000E337A"/>
    <w:rsid w:val="000E3456"/>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0F73AB"/>
    <w:rsid w:val="001004F9"/>
    <w:rsid w:val="001007CF"/>
    <w:rsid w:val="00100DBE"/>
    <w:rsid w:val="001015DE"/>
    <w:rsid w:val="001017D7"/>
    <w:rsid w:val="00101892"/>
    <w:rsid w:val="00101C4F"/>
    <w:rsid w:val="00102C83"/>
    <w:rsid w:val="00102C9F"/>
    <w:rsid w:val="0010320E"/>
    <w:rsid w:val="00103523"/>
    <w:rsid w:val="001036C8"/>
    <w:rsid w:val="00103A73"/>
    <w:rsid w:val="00103C7C"/>
    <w:rsid w:val="0010402D"/>
    <w:rsid w:val="001042A0"/>
    <w:rsid w:val="00104716"/>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0AC"/>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5CF"/>
    <w:rsid w:val="00137873"/>
    <w:rsid w:val="00137AC8"/>
    <w:rsid w:val="00137D78"/>
    <w:rsid w:val="001403B0"/>
    <w:rsid w:val="001409A0"/>
    <w:rsid w:val="00140CD3"/>
    <w:rsid w:val="00141125"/>
    <w:rsid w:val="00141F08"/>
    <w:rsid w:val="00141FA2"/>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6AF6"/>
    <w:rsid w:val="00157390"/>
    <w:rsid w:val="001573CB"/>
    <w:rsid w:val="00160998"/>
    <w:rsid w:val="00160CD6"/>
    <w:rsid w:val="0016132D"/>
    <w:rsid w:val="00161FA5"/>
    <w:rsid w:val="00162AC7"/>
    <w:rsid w:val="00163023"/>
    <w:rsid w:val="0016316A"/>
    <w:rsid w:val="001632B6"/>
    <w:rsid w:val="001636C3"/>
    <w:rsid w:val="0016377D"/>
    <w:rsid w:val="00164171"/>
    <w:rsid w:val="001647D7"/>
    <w:rsid w:val="00164DC9"/>
    <w:rsid w:val="00164E58"/>
    <w:rsid w:val="00165033"/>
    <w:rsid w:val="00165B18"/>
    <w:rsid w:val="00165E81"/>
    <w:rsid w:val="00166D7F"/>
    <w:rsid w:val="001670EA"/>
    <w:rsid w:val="001674A0"/>
    <w:rsid w:val="00167561"/>
    <w:rsid w:val="0017026B"/>
    <w:rsid w:val="00170708"/>
    <w:rsid w:val="00170A50"/>
    <w:rsid w:val="00171046"/>
    <w:rsid w:val="0017157A"/>
    <w:rsid w:val="00171F0C"/>
    <w:rsid w:val="00172057"/>
    <w:rsid w:val="00172AA6"/>
    <w:rsid w:val="00172D43"/>
    <w:rsid w:val="0017361B"/>
    <w:rsid w:val="001737D1"/>
    <w:rsid w:val="00173827"/>
    <w:rsid w:val="001749B2"/>
    <w:rsid w:val="00174FFD"/>
    <w:rsid w:val="001759CA"/>
    <w:rsid w:val="0017671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03C"/>
    <w:rsid w:val="00186904"/>
    <w:rsid w:val="00186B0A"/>
    <w:rsid w:val="00186D71"/>
    <w:rsid w:val="00187D49"/>
    <w:rsid w:val="00187EE0"/>
    <w:rsid w:val="0019049B"/>
    <w:rsid w:val="001905BD"/>
    <w:rsid w:val="001906F5"/>
    <w:rsid w:val="001914BC"/>
    <w:rsid w:val="001914E6"/>
    <w:rsid w:val="0019166C"/>
    <w:rsid w:val="001923E6"/>
    <w:rsid w:val="001925BD"/>
    <w:rsid w:val="00192699"/>
    <w:rsid w:val="0019275A"/>
    <w:rsid w:val="00192C31"/>
    <w:rsid w:val="00192FE6"/>
    <w:rsid w:val="00193451"/>
    <w:rsid w:val="00193986"/>
    <w:rsid w:val="00193B08"/>
    <w:rsid w:val="00193E7F"/>
    <w:rsid w:val="00194319"/>
    <w:rsid w:val="0019435C"/>
    <w:rsid w:val="001944DD"/>
    <w:rsid w:val="00194570"/>
    <w:rsid w:val="00195272"/>
    <w:rsid w:val="0019539B"/>
    <w:rsid w:val="001965B8"/>
    <w:rsid w:val="00196BF4"/>
    <w:rsid w:val="00196FBD"/>
    <w:rsid w:val="001972DA"/>
    <w:rsid w:val="001976AA"/>
    <w:rsid w:val="001A02F6"/>
    <w:rsid w:val="001A15C6"/>
    <w:rsid w:val="001A1808"/>
    <w:rsid w:val="001A1AB7"/>
    <w:rsid w:val="001A2924"/>
    <w:rsid w:val="001A3CCB"/>
    <w:rsid w:val="001A4FFE"/>
    <w:rsid w:val="001A542C"/>
    <w:rsid w:val="001A5E19"/>
    <w:rsid w:val="001A620B"/>
    <w:rsid w:val="001A6BB6"/>
    <w:rsid w:val="001B01FA"/>
    <w:rsid w:val="001B03E1"/>
    <w:rsid w:val="001B0832"/>
    <w:rsid w:val="001B0C86"/>
    <w:rsid w:val="001B10F3"/>
    <w:rsid w:val="001B13FE"/>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860"/>
    <w:rsid w:val="001B5BB2"/>
    <w:rsid w:val="001B5DD7"/>
    <w:rsid w:val="001B6159"/>
    <w:rsid w:val="001B69CA"/>
    <w:rsid w:val="001B7B80"/>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4FF3"/>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F23"/>
    <w:rsid w:val="001D5FB0"/>
    <w:rsid w:val="001D706B"/>
    <w:rsid w:val="001D7B2F"/>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B01"/>
    <w:rsid w:val="001F34DA"/>
    <w:rsid w:val="001F3DA6"/>
    <w:rsid w:val="001F45A5"/>
    <w:rsid w:val="001F45CB"/>
    <w:rsid w:val="001F48BF"/>
    <w:rsid w:val="001F4CC4"/>
    <w:rsid w:val="001F4DAC"/>
    <w:rsid w:val="001F5019"/>
    <w:rsid w:val="001F5148"/>
    <w:rsid w:val="001F53CA"/>
    <w:rsid w:val="001F650F"/>
    <w:rsid w:val="001F67AA"/>
    <w:rsid w:val="001F7599"/>
    <w:rsid w:val="001F782F"/>
    <w:rsid w:val="002007ED"/>
    <w:rsid w:val="002009BD"/>
    <w:rsid w:val="0020171B"/>
    <w:rsid w:val="0020217B"/>
    <w:rsid w:val="002021D7"/>
    <w:rsid w:val="002023F7"/>
    <w:rsid w:val="00202D01"/>
    <w:rsid w:val="00204B3A"/>
    <w:rsid w:val="00204E26"/>
    <w:rsid w:val="0020535A"/>
    <w:rsid w:val="00205F67"/>
    <w:rsid w:val="00206650"/>
    <w:rsid w:val="00206955"/>
    <w:rsid w:val="00210309"/>
    <w:rsid w:val="002106F0"/>
    <w:rsid w:val="0021099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BDA"/>
    <w:rsid w:val="0023005B"/>
    <w:rsid w:val="002303E4"/>
    <w:rsid w:val="002306F8"/>
    <w:rsid w:val="00230A0F"/>
    <w:rsid w:val="00230D3E"/>
    <w:rsid w:val="002312F4"/>
    <w:rsid w:val="002313A2"/>
    <w:rsid w:val="00231B0D"/>
    <w:rsid w:val="00231E5D"/>
    <w:rsid w:val="00231FC7"/>
    <w:rsid w:val="00232930"/>
    <w:rsid w:val="00232A1F"/>
    <w:rsid w:val="00232A95"/>
    <w:rsid w:val="00232DD9"/>
    <w:rsid w:val="00233403"/>
    <w:rsid w:val="00233440"/>
    <w:rsid w:val="0023345F"/>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497"/>
    <w:rsid w:val="002516F4"/>
    <w:rsid w:val="00251AD6"/>
    <w:rsid w:val="002522B3"/>
    <w:rsid w:val="00252BBC"/>
    <w:rsid w:val="00252C17"/>
    <w:rsid w:val="0025307F"/>
    <w:rsid w:val="00253325"/>
    <w:rsid w:val="00253C77"/>
    <w:rsid w:val="00253CFC"/>
    <w:rsid w:val="002551BD"/>
    <w:rsid w:val="00255A30"/>
    <w:rsid w:val="002560B5"/>
    <w:rsid w:val="002568D0"/>
    <w:rsid w:val="002569CE"/>
    <w:rsid w:val="00257FFB"/>
    <w:rsid w:val="002607E0"/>
    <w:rsid w:val="0026198E"/>
    <w:rsid w:val="002622EF"/>
    <w:rsid w:val="00262661"/>
    <w:rsid w:val="002632DF"/>
    <w:rsid w:val="00263961"/>
    <w:rsid w:val="0026400A"/>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3D9"/>
    <w:rsid w:val="00270822"/>
    <w:rsid w:val="00271232"/>
    <w:rsid w:val="00271589"/>
    <w:rsid w:val="002722ED"/>
    <w:rsid w:val="002726FA"/>
    <w:rsid w:val="00272989"/>
    <w:rsid w:val="00272A30"/>
    <w:rsid w:val="00272F7A"/>
    <w:rsid w:val="00273177"/>
    <w:rsid w:val="00273419"/>
    <w:rsid w:val="002742D9"/>
    <w:rsid w:val="00274A22"/>
    <w:rsid w:val="00275074"/>
    <w:rsid w:val="002763E9"/>
    <w:rsid w:val="00276736"/>
    <w:rsid w:val="00277949"/>
    <w:rsid w:val="00277F19"/>
    <w:rsid w:val="00280677"/>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1B7"/>
    <w:rsid w:val="00290CDD"/>
    <w:rsid w:val="00291017"/>
    <w:rsid w:val="0029136E"/>
    <w:rsid w:val="00291B67"/>
    <w:rsid w:val="00291B73"/>
    <w:rsid w:val="00292399"/>
    <w:rsid w:val="0029279D"/>
    <w:rsid w:val="00293202"/>
    <w:rsid w:val="00293231"/>
    <w:rsid w:val="00293327"/>
    <w:rsid w:val="002935DC"/>
    <w:rsid w:val="00293754"/>
    <w:rsid w:val="002939A4"/>
    <w:rsid w:val="00293E96"/>
    <w:rsid w:val="002942DD"/>
    <w:rsid w:val="002943EA"/>
    <w:rsid w:val="00294445"/>
    <w:rsid w:val="00294B4D"/>
    <w:rsid w:val="00294E53"/>
    <w:rsid w:val="00294EE0"/>
    <w:rsid w:val="0029521E"/>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F5E"/>
    <w:rsid w:val="002A319A"/>
    <w:rsid w:val="002A352A"/>
    <w:rsid w:val="002A3597"/>
    <w:rsid w:val="002A3CCC"/>
    <w:rsid w:val="002A3E0D"/>
    <w:rsid w:val="002A4516"/>
    <w:rsid w:val="002A4A34"/>
    <w:rsid w:val="002A52D9"/>
    <w:rsid w:val="002A55A0"/>
    <w:rsid w:val="002A5838"/>
    <w:rsid w:val="002A607D"/>
    <w:rsid w:val="002A708F"/>
    <w:rsid w:val="002A742A"/>
    <w:rsid w:val="002A7D9C"/>
    <w:rsid w:val="002B01F2"/>
    <w:rsid w:val="002B0235"/>
    <w:rsid w:val="002B0486"/>
    <w:rsid w:val="002B132E"/>
    <w:rsid w:val="002B2330"/>
    <w:rsid w:val="002B2516"/>
    <w:rsid w:val="002B2813"/>
    <w:rsid w:val="002B2954"/>
    <w:rsid w:val="002B2D29"/>
    <w:rsid w:val="002B2E5A"/>
    <w:rsid w:val="002B4099"/>
    <w:rsid w:val="002B4F8A"/>
    <w:rsid w:val="002B59ED"/>
    <w:rsid w:val="002B5DA0"/>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BD0"/>
    <w:rsid w:val="002D406E"/>
    <w:rsid w:val="002D545B"/>
    <w:rsid w:val="002D67DF"/>
    <w:rsid w:val="002D78A6"/>
    <w:rsid w:val="002D7C8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227"/>
    <w:rsid w:val="002F56E4"/>
    <w:rsid w:val="002F5985"/>
    <w:rsid w:val="002F60FC"/>
    <w:rsid w:val="002F6952"/>
    <w:rsid w:val="002F695B"/>
    <w:rsid w:val="002F72DA"/>
    <w:rsid w:val="002F76B1"/>
    <w:rsid w:val="002F7847"/>
    <w:rsid w:val="002F7CC8"/>
    <w:rsid w:val="002F7D66"/>
    <w:rsid w:val="002F7DBE"/>
    <w:rsid w:val="0030090B"/>
    <w:rsid w:val="003009DF"/>
    <w:rsid w:val="00300B29"/>
    <w:rsid w:val="00301025"/>
    <w:rsid w:val="00302296"/>
    <w:rsid w:val="00302737"/>
    <w:rsid w:val="00302AE8"/>
    <w:rsid w:val="00302BB1"/>
    <w:rsid w:val="0030323D"/>
    <w:rsid w:val="00304210"/>
    <w:rsid w:val="00304300"/>
    <w:rsid w:val="00304795"/>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F32"/>
    <w:rsid w:val="003231A4"/>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3"/>
    <w:rsid w:val="00330187"/>
    <w:rsid w:val="003309AC"/>
    <w:rsid w:val="00330D47"/>
    <w:rsid w:val="00330FBE"/>
    <w:rsid w:val="00331243"/>
    <w:rsid w:val="00331A32"/>
    <w:rsid w:val="00331C77"/>
    <w:rsid w:val="00331DB6"/>
    <w:rsid w:val="00331F70"/>
    <w:rsid w:val="00331F96"/>
    <w:rsid w:val="00332186"/>
    <w:rsid w:val="00332B55"/>
    <w:rsid w:val="00332BD2"/>
    <w:rsid w:val="003338EE"/>
    <w:rsid w:val="00333C14"/>
    <w:rsid w:val="003355C4"/>
    <w:rsid w:val="00335EA8"/>
    <w:rsid w:val="003363DD"/>
    <w:rsid w:val="00336D1B"/>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40BC"/>
    <w:rsid w:val="00344DE9"/>
    <w:rsid w:val="00345405"/>
    <w:rsid w:val="00345DDD"/>
    <w:rsid w:val="003461E7"/>
    <w:rsid w:val="00346FED"/>
    <w:rsid w:val="0035007F"/>
    <w:rsid w:val="00350F8C"/>
    <w:rsid w:val="00351077"/>
    <w:rsid w:val="0035139A"/>
    <w:rsid w:val="00351D37"/>
    <w:rsid w:val="00351E01"/>
    <w:rsid w:val="00351E28"/>
    <w:rsid w:val="00352238"/>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607F"/>
    <w:rsid w:val="003660CA"/>
    <w:rsid w:val="00366988"/>
    <w:rsid w:val="003669FF"/>
    <w:rsid w:val="00366B65"/>
    <w:rsid w:val="00366C55"/>
    <w:rsid w:val="00366DBD"/>
    <w:rsid w:val="00367295"/>
    <w:rsid w:val="00367337"/>
    <w:rsid w:val="00367367"/>
    <w:rsid w:val="00367E61"/>
    <w:rsid w:val="00367F78"/>
    <w:rsid w:val="00367FD8"/>
    <w:rsid w:val="003701DC"/>
    <w:rsid w:val="003708FC"/>
    <w:rsid w:val="00370B35"/>
    <w:rsid w:val="00370B63"/>
    <w:rsid w:val="00370CDF"/>
    <w:rsid w:val="00370FCC"/>
    <w:rsid w:val="003711AF"/>
    <w:rsid w:val="003711EB"/>
    <w:rsid w:val="00371364"/>
    <w:rsid w:val="003733E5"/>
    <w:rsid w:val="00374848"/>
    <w:rsid w:val="003757B7"/>
    <w:rsid w:val="00375D09"/>
    <w:rsid w:val="003760FA"/>
    <w:rsid w:val="003766B5"/>
    <w:rsid w:val="0037739D"/>
    <w:rsid w:val="0037751C"/>
    <w:rsid w:val="00378227"/>
    <w:rsid w:val="0038013E"/>
    <w:rsid w:val="00380F3F"/>
    <w:rsid w:val="0038173F"/>
    <w:rsid w:val="00382232"/>
    <w:rsid w:val="00382F1A"/>
    <w:rsid w:val="00383282"/>
    <w:rsid w:val="00383658"/>
    <w:rsid w:val="00383EE4"/>
    <w:rsid w:val="0038412E"/>
    <w:rsid w:val="00384449"/>
    <w:rsid w:val="0038485B"/>
    <w:rsid w:val="0038515B"/>
    <w:rsid w:val="0038527B"/>
    <w:rsid w:val="00385300"/>
    <w:rsid w:val="00386053"/>
    <w:rsid w:val="00386385"/>
    <w:rsid w:val="0038771D"/>
    <w:rsid w:val="00387CC8"/>
    <w:rsid w:val="003900FF"/>
    <w:rsid w:val="0039125A"/>
    <w:rsid w:val="003913CD"/>
    <w:rsid w:val="003920B1"/>
    <w:rsid w:val="00392583"/>
    <w:rsid w:val="00392586"/>
    <w:rsid w:val="0039287E"/>
    <w:rsid w:val="0039317C"/>
    <w:rsid w:val="00393320"/>
    <w:rsid w:val="00393507"/>
    <w:rsid w:val="003938C1"/>
    <w:rsid w:val="00393E44"/>
    <w:rsid w:val="00394191"/>
    <w:rsid w:val="003941F3"/>
    <w:rsid w:val="00394270"/>
    <w:rsid w:val="003943FF"/>
    <w:rsid w:val="00394790"/>
    <w:rsid w:val="003954C3"/>
    <w:rsid w:val="00395537"/>
    <w:rsid w:val="003959F7"/>
    <w:rsid w:val="00395BCF"/>
    <w:rsid w:val="00396812"/>
    <w:rsid w:val="00396D0A"/>
    <w:rsid w:val="003975AE"/>
    <w:rsid w:val="003976D2"/>
    <w:rsid w:val="00397AB6"/>
    <w:rsid w:val="00397ACA"/>
    <w:rsid w:val="00397D36"/>
    <w:rsid w:val="003A04BB"/>
    <w:rsid w:val="003A0608"/>
    <w:rsid w:val="003A10C3"/>
    <w:rsid w:val="003A1458"/>
    <w:rsid w:val="003A1CE3"/>
    <w:rsid w:val="003A277F"/>
    <w:rsid w:val="003A4FB0"/>
    <w:rsid w:val="003A597F"/>
    <w:rsid w:val="003A6202"/>
    <w:rsid w:val="003A6208"/>
    <w:rsid w:val="003A71A8"/>
    <w:rsid w:val="003A7926"/>
    <w:rsid w:val="003A7D6B"/>
    <w:rsid w:val="003B00CA"/>
    <w:rsid w:val="003B030B"/>
    <w:rsid w:val="003B0432"/>
    <w:rsid w:val="003B0821"/>
    <w:rsid w:val="003B0BE9"/>
    <w:rsid w:val="003B0DAF"/>
    <w:rsid w:val="003B14C2"/>
    <w:rsid w:val="003B19F8"/>
    <w:rsid w:val="003B28D6"/>
    <w:rsid w:val="003B2E9B"/>
    <w:rsid w:val="003B2F8D"/>
    <w:rsid w:val="003B409A"/>
    <w:rsid w:val="003B4170"/>
    <w:rsid w:val="003B43F1"/>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6625"/>
    <w:rsid w:val="003E7002"/>
    <w:rsid w:val="003E7139"/>
    <w:rsid w:val="003E777B"/>
    <w:rsid w:val="003E7905"/>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2295"/>
    <w:rsid w:val="00403EC2"/>
    <w:rsid w:val="00404367"/>
    <w:rsid w:val="0040457C"/>
    <w:rsid w:val="004050A4"/>
    <w:rsid w:val="0040513F"/>
    <w:rsid w:val="0040655D"/>
    <w:rsid w:val="00406B4D"/>
    <w:rsid w:val="00406CD1"/>
    <w:rsid w:val="004071F3"/>
    <w:rsid w:val="00407A01"/>
    <w:rsid w:val="00407E94"/>
    <w:rsid w:val="00410BB0"/>
    <w:rsid w:val="004118EA"/>
    <w:rsid w:val="00412EEE"/>
    <w:rsid w:val="00414110"/>
    <w:rsid w:val="0041443C"/>
    <w:rsid w:val="00414D37"/>
    <w:rsid w:val="00414F8D"/>
    <w:rsid w:val="00415306"/>
    <w:rsid w:val="004154F7"/>
    <w:rsid w:val="00416B3B"/>
    <w:rsid w:val="00416D44"/>
    <w:rsid w:val="0041713A"/>
    <w:rsid w:val="00417299"/>
    <w:rsid w:val="004174DC"/>
    <w:rsid w:val="004176FF"/>
    <w:rsid w:val="00420773"/>
    <w:rsid w:val="0042092E"/>
    <w:rsid w:val="004213C4"/>
    <w:rsid w:val="00421A27"/>
    <w:rsid w:val="00421B66"/>
    <w:rsid w:val="00421D0A"/>
    <w:rsid w:val="004221AD"/>
    <w:rsid w:val="004229D8"/>
    <w:rsid w:val="00422FCD"/>
    <w:rsid w:val="0042338F"/>
    <w:rsid w:val="00423D86"/>
    <w:rsid w:val="004241C5"/>
    <w:rsid w:val="0042431D"/>
    <w:rsid w:val="00424368"/>
    <w:rsid w:val="00424FA7"/>
    <w:rsid w:val="00425305"/>
    <w:rsid w:val="004255B9"/>
    <w:rsid w:val="0042567D"/>
    <w:rsid w:val="0042648C"/>
    <w:rsid w:val="004268EB"/>
    <w:rsid w:val="00426A87"/>
    <w:rsid w:val="00426D9C"/>
    <w:rsid w:val="004309D8"/>
    <w:rsid w:val="00430C59"/>
    <w:rsid w:val="004313D1"/>
    <w:rsid w:val="00431528"/>
    <w:rsid w:val="00431FD5"/>
    <w:rsid w:val="00432110"/>
    <w:rsid w:val="0043256A"/>
    <w:rsid w:val="004327C4"/>
    <w:rsid w:val="004332CD"/>
    <w:rsid w:val="004332E6"/>
    <w:rsid w:val="00433EBE"/>
    <w:rsid w:val="00434308"/>
    <w:rsid w:val="00434330"/>
    <w:rsid w:val="00434406"/>
    <w:rsid w:val="00436A28"/>
    <w:rsid w:val="00436A61"/>
    <w:rsid w:val="00436C3C"/>
    <w:rsid w:val="0043751F"/>
    <w:rsid w:val="004377C8"/>
    <w:rsid w:val="00437A32"/>
    <w:rsid w:val="00440A80"/>
    <w:rsid w:val="00440FED"/>
    <w:rsid w:val="00441194"/>
    <w:rsid w:val="0044164C"/>
    <w:rsid w:val="004417B7"/>
    <w:rsid w:val="00441B0A"/>
    <w:rsid w:val="00441B92"/>
    <w:rsid w:val="00441F83"/>
    <w:rsid w:val="00442607"/>
    <w:rsid w:val="004426ED"/>
    <w:rsid w:val="00442ADA"/>
    <w:rsid w:val="00442F42"/>
    <w:rsid w:val="004434ED"/>
    <w:rsid w:val="00443E1F"/>
    <w:rsid w:val="00444274"/>
    <w:rsid w:val="0044474B"/>
    <w:rsid w:val="004450C0"/>
    <w:rsid w:val="00445572"/>
    <w:rsid w:val="00445B22"/>
    <w:rsid w:val="00445B5C"/>
    <w:rsid w:val="00445B82"/>
    <w:rsid w:val="00445FF7"/>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2D6"/>
    <w:rsid w:val="00456544"/>
    <w:rsid w:val="00456649"/>
    <w:rsid w:val="004567B7"/>
    <w:rsid w:val="00456856"/>
    <w:rsid w:val="00456D54"/>
    <w:rsid w:val="00457008"/>
    <w:rsid w:val="00457810"/>
    <w:rsid w:val="00460170"/>
    <w:rsid w:val="00460839"/>
    <w:rsid w:val="00460B3F"/>
    <w:rsid w:val="00461210"/>
    <w:rsid w:val="00461290"/>
    <w:rsid w:val="00462207"/>
    <w:rsid w:val="00462490"/>
    <w:rsid w:val="00462789"/>
    <w:rsid w:val="00462A0A"/>
    <w:rsid w:val="00462B2D"/>
    <w:rsid w:val="00463358"/>
    <w:rsid w:val="00463F47"/>
    <w:rsid w:val="0046403A"/>
    <w:rsid w:val="00465299"/>
    <w:rsid w:val="004652E7"/>
    <w:rsid w:val="004654A2"/>
    <w:rsid w:val="00465FDF"/>
    <w:rsid w:val="00466884"/>
    <w:rsid w:val="00466A0F"/>
    <w:rsid w:val="00466B1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CD"/>
    <w:rsid w:val="00485843"/>
    <w:rsid w:val="00485B23"/>
    <w:rsid w:val="00486156"/>
    <w:rsid w:val="0048630D"/>
    <w:rsid w:val="004864A2"/>
    <w:rsid w:val="0048670D"/>
    <w:rsid w:val="0048700D"/>
    <w:rsid w:val="00487021"/>
    <w:rsid w:val="0048742A"/>
    <w:rsid w:val="004874E4"/>
    <w:rsid w:val="004901E9"/>
    <w:rsid w:val="0049058D"/>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074"/>
    <w:rsid w:val="00495633"/>
    <w:rsid w:val="00495E8E"/>
    <w:rsid w:val="004965B9"/>
    <w:rsid w:val="00496DC2"/>
    <w:rsid w:val="00496E75"/>
    <w:rsid w:val="00496FA6"/>
    <w:rsid w:val="00497936"/>
    <w:rsid w:val="004A014C"/>
    <w:rsid w:val="004A0AA8"/>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0DB"/>
    <w:rsid w:val="004A71C3"/>
    <w:rsid w:val="004A7369"/>
    <w:rsid w:val="004A74D2"/>
    <w:rsid w:val="004A7769"/>
    <w:rsid w:val="004A7A91"/>
    <w:rsid w:val="004B0C43"/>
    <w:rsid w:val="004B12A4"/>
    <w:rsid w:val="004B23AD"/>
    <w:rsid w:val="004B24E5"/>
    <w:rsid w:val="004B2965"/>
    <w:rsid w:val="004B2CC8"/>
    <w:rsid w:val="004B33C0"/>
    <w:rsid w:val="004B35DB"/>
    <w:rsid w:val="004B3A1D"/>
    <w:rsid w:val="004B4224"/>
    <w:rsid w:val="004B4647"/>
    <w:rsid w:val="004B4DA5"/>
    <w:rsid w:val="004B529A"/>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2477"/>
    <w:rsid w:val="004D2597"/>
    <w:rsid w:val="004D26B8"/>
    <w:rsid w:val="004D38C2"/>
    <w:rsid w:val="004D4FBD"/>
    <w:rsid w:val="004D4FC0"/>
    <w:rsid w:val="004D5791"/>
    <w:rsid w:val="004D6037"/>
    <w:rsid w:val="004D60D8"/>
    <w:rsid w:val="004D7A39"/>
    <w:rsid w:val="004D7CE8"/>
    <w:rsid w:val="004D7DA8"/>
    <w:rsid w:val="004E09C1"/>
    <w:rsid w:val="004E0EF8"/>
    <w:rsid w:val="004E143A"/>
    <w:rsid w:val="004E2892"/>
    <w:rsid w:val="004E2CFA"/>
    <w:rsid w:val="004E362B"/>
    <w:rsid w:val="004E3681"/>
    <w:rsid w:val="004E3D74"/>
    <w:rsid w:val="004E49C4"/>
    <w:rsid w:val="004E4F2A"/>
    <w:rsid w:val="004E5099"/>
    <w:rsid w:val="004E5AD0"/>
    <w:rsid w:val="004E5D0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3EB"/>
    <w:rsid w:val="004F486D"/>
    <w:rsid w:val="004F5154"/>
    <w:rsid w:val="004F53C5"/>
    <w:rsid w:val="004F5835"/>
    <w:rsid w:val="004F5C9E"/>
    <w:rsid w:val="004F62BE"/>
    <w:rsid w:val="004F6540"/>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482"/>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91D"/>
    <w:rsid w:val="00520D6D"/>
    <w:rsid w:val="005217BE"/>
    <w:rsid w:val="005217C1"/>
    <w:rsid w:val="00522B66"/>
    <w:rsid w:val="00522F9D"/>
    <w:rsid w:val="00523E75"/>
    <w:rsid w:val="005243E0"/>
    <w:rsid w:val="00524454"/>
    <w:rsid w:val="00524C4C"/>
    <w:rsid w:val="00525428"/>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1E21"/>
    <w:rsid w:val="005320E2"/>
    <w:rsid w:val="005321D9"/>
    <w:rsid w:val="00532567"/>
    <w:rsid w:val="0053260A"/>
    <w:rsid w:val="0053281C"/>
    <w:rsid w:val="00532D02"/>
    <w:rsid w:val="00533C78"/>
    <w:rsid w:val="005340C9"/>
    <w:rsid w:val="005343F7"/>
    <w:rsid w:val="00534B98"/>
    <w:rsid w:val="00534EE8"/>
    <w:rsid w:val="00535F84"/>
    <w:rsid w:val="0053662A"/>
    <w:rsid w:val="00536B8B"/>
    <w:rsid w:val="00537088"/>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0C55"/>
    <w:rsid w:val="00551634"/>
    <w:rsid w:val="005518ED"/>
    <w:rsid w:val="00552093"/>
    <w:rsid w:val="00552BA6"/>
    <w:rsid w:val="005548E2"/>
    <w:rsid w:val="00554C22"/>
    <w:rsid w:val="00554E4B"/>
    <w:rsid w:val="00555F67"/>
    <w:rsid w:val="0055643E"/>
    <w:rsid w:val="00556559"/>
    <w:rsid w:val="00556605"/>
    <w:rsid w:val="0055691A"/>
    <w:rsid w:val="00556AEC"/>
    <w:rsid w:val="00556CC5"/>
    <w:rsid w:val="005601AC"/>
    <w:rsid w:val="005606A4"/>
    <w:rsid w:val="005607B8"/>
    <w:rsid w:val="00560CF5"/>
    <w:rsid w:val="00561736"/>
    <w:rsid w:val="00562330"/>
    <w:rsid w:val="0056272D"/>
    <w:rsid w:val="0056290A"/>
    <w:rsid w:val="00562AEB"/>
    <w:rsid w:val="00562BAB"/>
    <w:rsid w:val="0056308E"/>
    <w:rsid w:val="0056316F"/>
    <w:rsid w:val="005638C1"/>
    <w:rsid w:val="00563B57"/>
    <w:rsid w:val="0056415C"/>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4E7"/>
    <w:rsid w:val="00571CA8"/>
    <w:rsid w:val="00571DDF"/>
    <w:rsid w:val="00572FAD"/>
    <w:rsid w:val="005734C0"/>
    <w:rsid w:val="00574779"/>
    <w:rsid w:val="00574BA6"/>
    <w:rsid w:val="00575D24"/>
    <w:rsid w:val="005800B3"/>
    <w:rsid w:val="00580793"/>
    <w:rsid w:val="00580942"/>
    <w:rsid w:val="00581470"/>
    <w:rsid w:val="00581893"/>
    <w:rsid w:val="00581BF2"/>
    <w:rsid w:val="00582087"/>
    <w:rsid w:val="0058277D"/>
    <w:rsid w:val="0058289F"/>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6BBA"/>
    <w:rsid w:val="00596F43"/>
    <w:rsid w:val="005972F8"/>
    <w:rsid w:val="005975C4"/>
    <w:rsid w:val="005975CD"/>
    <w:rsid w:val="00597E7B"/>
    <w:rsid w:val="00597ED8"/>
    <w:rsid w:val="005A0FE2"/>
    <w:rsid w:val="005A0FE5"/>
    <w:rsid w:val="005A14A8"/>
    <w:rsid w:val="005A1E1A"/>
    <w:rsid w:val="005A2225"/>
    <w:rsid w:val="005A2D6D"/>
    <w:rsid w:val="005A34D5"/>
    <w:rsid w:val="005A3A8C"/>
    <w:rsid w:val="005A44E2"/>
    <w:rsid w:val="005A4569"/>
    <w:rsid w:val="005A4904"/>
    <w:rsid w:val="005A4959"/>
    <w:rsid w:val="005A515A"/>
    <w:rsid w:val="005A5C65"/>
    <w:rsid w:val="005A6120"/>
    <w:rsid w:val="005A6BC4"/>
    <w:rsid w:val="005A704D"/>
    <w:rsid w:val="005A7F43"/>
    <w:rsid w:val="005B0553"/>
    <w:rsid w:val="005B13EC"/>
    <w:rsid w:val="005B16AB"/>
    <w:rsid w:val="005B1FF6"/>
    <w:rsid w:val="005B2067"/>
    <w:rsid w:val="005B24AD"/>
    <w:rsid w:val="005B2E2E"/>
    <w:rsid w:val="005B303B"/>
    <w:rsid w:val="005B3C6D"/>
    <w:rsid w:val="005B3D13"/>
    <w:rsid w:val="005B3E42"/>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97A"/>
    <w:rsid w:val="005B7B7D"/>
    <w:rsid w:val="005B7D51"/>
    <w:rsid w:val="005C04C7"/>
    <w:rsid w:val="005C1645"/>
    <w:rsid w:val="005C17D9"/>
    <w:rsid w:val="005C1948"/>
    <w:rsid w:val="005C19A5"/>
    <w:rsid w:val="005C263C"/>
    <w:rsid w:val="005C2679"/>
    <w:rsid w:val="005C3B44"/>
    <w:rsid w:val="005C412F"/>
    <w:rsid w:val="005C41D4"/>
    <w:rsid w:val="005C4667"/>
    <w:rsid w:val="005C55F2"/>
    <w:rsid w:val="005C65FE"/>
    <w:rsid w:val="005C68B3"/>
    <w:rsid w:val="005C6FAD"/>
    <w:rsid w:val="005C7477"/>
    <w:rsid w:val="005C7736"/>
    <w:rsid w:val="005C7BC1"/>
    <w:rsid w:val="005D0079"/>
    <w:rsid w:val="005D02E6"/>
    <w:rsid w:val="005D059A"/>
    <w:rsid w:val="005D07AE"/>
    <w:rsid w:val="005D07C5"/>
    <w:rsid w:val="005D0870"/>
    <w:rsid w:val="005D0B80"/>
    <w:rsid w:val="005D1478"/>
    <w:rsid w:val="005D1B6C"/>
    <w:rsid w:val="005D1FF8"/>
    <w:rsid w:val="005D40CE"/>
    <w:rsid w:val="005D41D9"/>
    <w:rsid w:val="005D4213"/>
    <w:rsid w:val="005D4302"/>
    <w:rsid w:val="005D563E"/>
    <w:rsid w:val="005D5827"/>
    <w:rsid w:val="005D5A20"/>
    <w:rsid w:val="005D612D"/>
    <w:rsid w:val="005D61CD"/>
    <w:rsid w:val="005D6582"/>
    <w:rsid w:val="005D677C"/>
    <w:rsid w:val="005D6841"/>
    <w:rsid w:val="005D6F1E"/>
    <w:rsid w:val="005D6F3E"/>
    <w:rsid w:val="005D74C5"/>
    <w:rsid w:val="005D786C"/>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5B"/>
    <w:rsid w:val="005F084A"/>
    <w:rsid w:val="005F0ECC"/>
    <w:rsid w:val="005F145B"/>
    <w:rsid w:val="005F1DA8"/>
    <w:rsid w:val="005F21A5"/>
    <w:rsid w:val="005F2470"/>
    <w:rsid w:val="005F28C6"/>
    <w:rsid w:val="005F3835"/>
    <w:rsid w:val="005F3E3A"/>
    <w:rsid w:val="005F3F16"/>
    <w:rsid w:val="005F4191"/>
    <w:rsid w:val="005F4486"/>
    <w:rsid w:val="005F52CC"/>
    <w:rsid w:val="005F57EF"/>
    <w:rsid w:val="005F5D9B"/>
    <w:rsid w:val="005F5E6F"/>
    <w:rsid w:val="005F6BD4"/>
    <w:rsid w:val="005F6C79"/>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95E"/>
    <w:rsid w:val="006051D0"/>
    <w:rsid w:val="00605576"/>
    <w:rsid w:val="0060589E"/>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FFD"/>
    <w:rsid w:val="006164F4"/>
    <w:rsid w:val="00616921"/>
    <w:rsid w:val="00616ABD"/>
    <w:rsid w:val="00616BEB"/>
    <w:rsid w:val="0062152A"/>
    <w:rsid w:val="00621658"/>
    <w:rsid w:val="00621723"/>
    <w:rsid w:val="00621893"/>
    <w:rsid w:val="00622253"/>
    <w:rsid w:val="00622FCB"/>
    <w:rsid w:val="00623583"/>
    <w:rsid w:val="006238E8"/>
    <w:rsid w:val="00623D9B"/>
    <w:rsid w:val="0062462F"/>
    <w:rsid w:val="00624BA1"/>
    <w:rsid w:val="00625474"/>
    <w:rsid w:val="006257E9"/>
    <w:rsid w:val="00626362"/>
    <w:rsid w:val="0062661B"/>
    <w:rsid w:val="00626D80"/>
    <w:rsid w:val="00627028"/>
    <w:rsid w:val="00627717"/>
    <w:rsid w:val="00627F13"/>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4D"/>
    <w:rsid w:val="00634476"/>
    <w:rsid w:val="006345C3"/>
    <w:rsid w:val="00635121"/>
    <w:rsid w:val="006360DF"/>
    <w:rsid w:val="006362F9"/>
    <w:rsid w:val="0063687C"/>
    <w:rsid w:val="006369A9"/>
    <w:rsid w:val="00636C60"/>
    <w:rsid w:val="00637293"/>
    <w:rsid w:val="006373CD"/>
    <w:rsid w:val="0063747D"/>
    <w:rsid w:val="00640693"/>
    <w:rsid w:val="0064120F"/>
    <w:rsid w:val="0064165D"/>
    <w:rsid w:val="00642BAE"/>
    <w:rsid w:val="006433BD"/>
    <w:rsid w:val="00643487"/>
    <w:rsid w:val="00643784"/>
    <w:rsid w:val="00644186"/>
    <w:rsid w:val="00644A21"/>
    <w:rsid w:val="006450F2"/>
    <w:rsid w:val="006459A7"/>
    <w:rsid w:val="00645C9F"/>
    <w:rsid w:val="00646305"/>
    <w:rsid w:val="006463D6"/>
    <w:rsid w:val="00646A20"/>
    <w:rsid w:val="00646A6C"/>
    <w:rsid w:val="00646F20"/>
    <w:rsid w:val="0064755F"/>
    <w:rsid w:val="006475E6"/>
    <w:rsid w:val="006503AA"/>
    <w:rsid w:val="0065045C"/>
    <w:rsid w:val="00650632"/>
    <w:rsid w:val="006508B9"/>
    <w:rsid w:val="0065092B"/>
    <w:rsid w:val="00650CA1"/>
    <w:rsid w:val="00651459"/>
    <w:rsid w:val="00651854"/>
    <w:rsid w:val="00653112"/>
    <w:rsid w:val="006535F7"/>
    <w:rsid w:val="006539E8"/>
    <w:rsid w:val="006540A4"/>
    <w:rsid w:val="006546E0"/>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0E6"/>
    <w:rsid w:val="00667385"/>
    <w:rsid w:val="0066779E"/>
    <w:rsid w:val="00667D5C"/>
    <w:rsid w:val="00670BEA"/>
    <w:rsid w:val="00670CC6"/>
    <w:rsid w:val="006719D1"/>
    <w:rsid w:val="0067269D"/>
    <w:rsid w:val="00672988"/>
    <w:rsid w:val="00672AEA"/>
    <w:rsid w:val="00672BF0"/>
    <w:rsid w:val="00672C64"/>
    <w:rsid w:val="00674AE9"/>
    <w:rsid w:val="00674B95"/>
    <w:rsid w:val="00674E6A"/>
    <w:rsid w:val="00675219"/>
    <w:rsid w:val="00675266"/>
    <w:rsid w:val="00675587"/>
    <w:rsid w:val="00675CC7"/>
    <w:rsid w:val="00676274"/>
    <w:rsid w:val="00676574"/>
    <w:rsid w:val="0067661A"/>
    <w:rsid w:val="00676A64"/>
    <w:rsid w:val="00676C16"/>
    <w:rsid w:val="00676CEB"/>
    <w:rsid w:val="00677925"/>
    <w:rsid w:val="00677B8E"/>
    <w:rsid w:val="0067AF42"/>
    <w:rsid w:val="0068078B"/>
    <w:rsid w:val="00680F46"/>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13F5"/>
    <w:rsid w:val="006915D7"/>
    <w:rsid w:val="006918A5"/>
    <w:rsid w:val="00691F6D"/>
    <w:rsid w:val="00692814"/>
    <w:rsid w:val="00692D1E"/>
    <w:rsid w:val="0069320E"/>
    <w:rsid w:val="006932E7"/>
    <w:rsid w:val="00693347"/>
    <w:rsid w:val="0069334C"/>
    <w:rsid w:val="00694558"/>
    <w:rsid w:val="00694E8D"/>
    <w:rsid w:val="006956EA"/>
    <w:rsid w:val="00696C4C"/>
    <w:rsid w:val="00696D63"/>
    <w:rsid w:val="0069729C"/>
    <w:rsid w:val="006A01A6"/>
    <w:rsid w:val="006A032F"/>
    <w:rsid w:val="006A05EA"/>
    <w:rsid w:val="006A0F56"/>
    <w:rsid w:val="006A13A3"/>
    <w:rsid w:val="006A1EA3"/>
    <w:rsid w:val="006A1FED"/>
    <w:rsid w:val="006A2CE5"/>
    <w:rsid w:val="006A2DD6"/>
    <w:rsid w:val="006A3126"/>
    <w:rsid w:val="006A400A"/>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F1F"/>
    <w:rsid w:val="006C1445"/>
    <w:rsid w:val="006C347F"/>
    <w:rsid w:val="006C34E8"/>
    <w:rsid w:val="006C3959"/>
    <w:rsid w:val="006C395E"/>
    <w:rsid w:val="006C3DE1"/>
    <w:rsid w:val="006C4D44"/>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ED2"/>
    <w:rsid w:val="006D4305"/>
    <w:rsid w:val="006D50E9"/>
    <w:rsid w:val="006D55EF"/>
    <w:rsid w:val="006D5616"/>
    <w:rsid w:val="006D5C62"/>
    <w:rsid w:val="006D5C6D"/>
    <w:rsid w:val="006D632E"/>
    <w:rsid w:val="006D683F"/>
    <w:rsid w:val="006D705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F01EB"/>
    <w:rsid w:val="006F0B6C"/>
    <w:rsid w:val="006F0E3D"/>
    <w:rsid w:val="006F1116"/>
    <w:rsid w:val="006F1B5E"/>
    <w:rsid w:val="006F29C3"/>
    <w:rsid w:val="006F2C0E"/>
    <w:rsid w:val="006F3196"/>
    <w:rsid w:val="006F36C0"/>
    <w:rsid w:val="006F3C54"/>
    <w:rsid w:val="006F4CBB"/>
    <w:rsid w:val="006F4F30"/>
    <w:rsid w:val="006F5915"/>
    <w:rsid w:val="006F5AA1"/>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AFC"/>
    <w:rsid w:val="0071705B"/>
    <w:rsid w:val="00717759"/>
    <w:rsid w:val="00717CD1"/>
    <w:rsid w:val="00720194"/>
    <w:rsid w:val="007202C2"/>
    <w:rsid w:val="00720505"/>
    <w:rsid w:val="00720533"/>
    <w:rsid w:val="00720717"/>
    <w:rsid w:val="00721673"/>
    <w:rsid w:val="007232DB"/>
    <w:rsid w:val="007236A3"/>
    <w:rsid w:val="007239B6"/>
    <w:rsid w:val="0072449C"/>
    <w:rsid w:val="0072490A"/>
    <w:rsid w:val="0072496A"/>
    <w:rsid w:val="0072517D"/>
    <w:rsid w:val="0072558B"/>
    <w:rsid w:val="00725AA9"/>
    <w:rsid w:val="007261C9"/>
    <w:rsid w:val="007263A5"/>
    <w:rsid w:val="00726878"/>
    <w:rsid w:val="00727228"/>
    <w:rsid w:val="00727483"/>
    <w:rsid w:val="0072753E"/>
    <w:rsid w:val="0072775C"/>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18DE"/>
    <w:rsid w:val="00742258"/>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60235"/>
    <w:rsid w:val="007608F2"/>
    <w:rsid w:val="00761607"/>
    <w:rsid w:val="00761678"/>
    <w:rsid w:val="007626D0"/>
    <w:rsid w:val="0076284A"/>
    <w:rsid w:val="007628CC"/>
    <w:rsid w:val="007635BE"/>
    <w:rsid w:val="00763A9B"/>
    <w:rsid w:val="00764719"/>
    <w:rsid w:val="007649EC"/>
    <w:rsid w:val="00765054"/>
    <w:rsid w:val="007651CA"/>
    <w:rsid w:val="00765404"/>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B71"/>
    <w:rsid w:val="00787DC8"/>
    <w:rsid w:val="00787F11"/>
    <w:rsid w:val="0079018D"/>
    <w:rsid w:val="00791A00"/>
    <w:rsid w:val="00791DBA"/>
    <w:rsid w:val="00791E10"/>
    <w:rsid w:val="00791E8E"/>
    <w:rsid w:val="00792CEE"/>
    <w:rsid w:val="00792DC3"/>
    <w:rsid w:val="00793277"/>
    <w:rsid w:val="00794205"/>
    <w:rsid w:val="007947BF"/>
    <w:rsid w:val="0079481A"/>
    <w:rsid w:val="00794D26"/>
    <w:rsid w:val="00794E92"/>
    <w:rsid w:val="00795402"/>
    <w:rsid w:val="00795BA0"/>
    <w:rsid w:val="0079642D"/>
    <w:rsid w:val="0079656A"/>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997"/>
    <w:rsid w:val="007A4A02"/>
    <w:rsid w:val="007A4B76"/>
    <w:rsid w:val="007A4BDD"/>
    <w:rsid w:val="007A5AA5"/>
    <w:rsid w:val="007A5AF5"/>
    <w:rsid w:val="007A5C39"/>
    <w:rsid w:val="007A6807"/>
    <w:rsid w:val="007A6881"/>
    <w:rsid w:val="007A6E60"/>
    <w:rsid w:val="007A72EE"/>
    <w:rsid w:val="007A7CC9"/>
    <w:rsid w:val="007B0397"/>
    <w:rsid w:val="007B0608"/>
    <w:rsid w:val="007B111F"/>
    <w:rsid w:val="007B1571"/>
    <w:rsid w:val="007B171B"/>
    <w:rsid w:val="007B191E"/>
    <w:rsid w:val="007B1E1A"/>
    <w:rsid w:val="007B2BB2"/>
    <w:rsid w:val="007B3502"/>
    <w:rsid w:val="007B3995"/>
    <w:rsid w:val="007B44ED"/>
    <w:rsid w:val="007B491A"/>
    <w:rsid w:val="007B4C72"/>
    <w:rsid w:val="007B4FA8"/>
    <w:rsid w:val="007B5370"/>
    <w:rsid w:val="007B5E79"/>
    <w:rsid w:val="007B6123"/>
    <w:rsid w:val="007B61F5"/>
    <w:rsid w:val="007B63FA"/>
    <w:rsid w:val="007B7496"/>
    <w:rsid w:val="007B74B8"/>
    <w:rsid w:val="007B74F3"/>
    <w:rsid w:val="007B76BC"/>
    <w:rsid w:val="007B7AF5"/>
    <w:rsid w:val="007B7D52"/>
    <w:rsid w:val="007C0802"/>
    <w:rsid w:val="007C08A7"/>
    <w:rsid w:val="007C12BE"/>
    <w:rsid w:val="007C15D7"/>
    <w:rsid w:val="007C2662"/>
    <w:rsid w:val="007C2739"/>
    <w:rsid w:val="007C3483"/>
    <w:rsid w:val="007C372D"/>
    <w:rsid w:val="007C4B0F"/>
    <w:rsid w:val="007C4DAD"/>
    <w:rsid w:val="007C4EF5"/>
    <w:rsid w:val="007C501D"/>
    <w:rsid w:val="007C5830"/>
    <w:rsid w:val="007C5882"/>
    <w:rsid w:val="007C58D4"/>
    <w:rsid w:val="007C5DB8"/>
    <w:rsid w:val="007C6CA2"/>
    <w:rsid w:val="007C78A3"/>
    <w:rsid w:val="007C7F50"/>
    <w:rsid w:val="007D05B2"/>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6B9"/>
    <w:rsid w:val="007E6F30"/>
    <w:rsid w:val="007E7195"/>
    <w:rsid w:val="007E7431"/>
    <w:rsid w:val="007E79C5"/>
    <w:rsid w:val="007F0036"/>
    <w:rsid w:val="007F057C"/>
    <w:rsid w:val="007F143A"/>
    <w:rsid w:val="007F2736"/>
    <w:rsid w:val="007F2845"/>
    <w:rsid w:val="007F3549"/>
    <w:rsid w:val="007F3B7B"/>
    <w:rsid w:val="007F43BC"/>
    <w:rsid w:val="007F4740"/>
    <w:rsid w:val="007F4AB4"/>
    <w:rsid w:val="007F5CEB"/>
    <w:rsid w:val="007F6202"/>
    <w:rsid w:val="007F6553"/>
    <w:rsid w:val="007F6734"/>
    <w:rsid w:val="007F7425"/>
    <w:rsid w:val="007F74D4"/>
    <w:rsid w:val="007F7758"/>
    <w:rsid w:val="007F7AFD"/>
    <w:rsid w:val="007F7E1D"/>
    <w:rsid w:val="00800376"/>
    <w:rsid w:val="008006C6"/>
    <w:rsid w:val="00800C52"/>
    <w:rsid w:val="00800FE1"/>
    <w:rsid w:val="0080153E"/>
    <w:rsid w:val="00801B1A"/>
    <w:rsid w:val="00803B85"/>
    <w:rsid w:val="00803FD9"/>
    <w:rsid w:val="0080443F"/>
    <w:rsid w:val="00804757"/>
    <w:rsid w:val="0080490A"/>
    <w:rsid w:val="00805533"/>
    <w:rsid w:val="00805B9D"/>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2EC4"/>
    <w:rsid w:val="00822F04"/>
    <w:rsid w:val="00823D76"/>
    <w:rsid w:val="00824894"/>
    <w:rsid w:val="00824A4E"/>
    <w:rsid w:val="00824EE1"/>
    <w:rsid w:val="00825366"/>
    <w:rsid w:val="00825A5A"/>
    <w:rsid w:val="00825ECC"/>
    <w:rsid w:val="00825F0F"/>
    <w:rsid w:val="0082614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353E"/>
    <w:rsid w:val="00843A7A"/>
    <w:rsid w:val="00844078"/>
    <w:rsid w:val="008447F5"/>
    <w:rsid w:val="00844D33"/>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62A"/>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6B40"/>
    <w:rsid w:val="00897242"/>
    <w:rsid w:val="008973AC"/>
    <w:rsid w:val="0089761F"/>
    <w:rsid w:val="008A0751"/>
    <w:rsid w:val="008A0C13"/>
    <w:rsid w:val="008A16F9"/>
    <w:rsid w:val="008A192D"/>
    <w:rsid w:val="008A1D3E"/>
    <w:rsid w:val="008A2AD7"/>
    <w:rsid w:val="008A30D0"/>
    <w:rsid w:val="008A34E2"/>
    <w:rsid w:val="008A3B00"/>
    <w:rsid w:val="008A3B57"/>
    <w:rsid w:val="008A4B16"/>
    <w:rsid w:val="008A4D63"/>
    <w:rsid w:val="008A4FCC"/>
    <w:rsid w:val="008A567B"/>
    <w:rsid w:val="008A58C6"/>
    <w:rsid w:val="008A5BF7"/>
    <w:rsid w:val="008A604D"/>
    <w:rsid w:val="008A66C4"/>
    <w:rsid w:val="008A6D62"/>
    <w:rsid w:val="008A7E9B"/>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034"/>
    <w:rsid w:val="008B6CE3"/>
    <w:rsid w:val="008B762D"/>
    <w:rsid w:val="008C0097"/>
    <w:rsid w:val="008C09D4"/>
    <w:rsid w:val="008C0FE9"/>
    <w:rsid w:val="008C1900"/>
    <w:rsid w:val="008C257F"/>
    <w:rsid w:val="008C2CFD"/>
    <w:rsid w:val="008C4056"/>
    <w:rsid w:val="008C4F91"/>
    <w:rsid w:val="008C57D6"/>
    <w:rsid w:val="008C603A"/>
    <w:rsid w:val="008C6802"/>
    <w:rsid w:val="008C71C8"/>
    <w:rsid w:val="008C79FE"/>
    <w:rsid w:val="008D167D"/>
    <w:rsid w:val="008D1844"/>
    <w:rsid w:val="008D261F"/>
    <w:rsid w:val="008D338E"/>
    <w:rsid w:val="008D427D"/>
    <w:rsid w:val="008D492A"/>
    <w:rsid w:val="008D4B58"/>
    <w:rsid w:val="008D4B8A"/>
    <w:rsid w:val="008D6541"/>
    <w:rsid w:val="008D7185"/>
    <w:rsid w:val="008D7D7B"/>
    <w:rsid w:val="008E0033"/>
    <w:rsid w:val="008E036E"/>
    <w:rsid w:val="008E0383"/>
    <w:rsid w:val="008E0D64"/>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7056"/>
    <w:rsid w:val="00900093"/>
    <w:rsid w:val="009006A2"/>
    <w:rsid w:val="0090098F"/>
    <w:rsid w:val="00900D19"/>
    <w:rsid w:val="00900DCA"/>
    <w:rsid w:val="0090102B"/>
    <w:rsid w:val="0090113C"/>
    <w:rsid w:val="0090118A"/>
    <w:rsid w:val="00901448"/>
    <w:rsid w:val="009026AD"/>
    <w:rsid w:val="00902713"/>
    <w:rsid w:val="00902F86"/>
    <w:rsid w:val="009036BC"/>
    <w:rsid w:val="009037BF"/>
    <w:rsid w:val="00903AFB"/>
    <w:rsid w:val="009053E9"/>
    <w:rsid w:val="00905549"/>
    <w:rsid w:val="00905C47"/>
    <w:rsid w:val="00906379"/>
    <w:rsid w:val="0090638B"/>
    <w:rsid w:val="00906393"/>
    <w:rsid w:val="009063D8"/>
    <w:rsid w:val="0090662C"/>
    <w:rsid w:val="00907086"/>
    <w:rsid w:val="009101EA"/>
    <w:rsid w:val="009106FC"/>
    <w:rsid w:val="0091090F"/>
    <w:rsid w:val="00911627"/>
    <w:rsid w:val="0091181B"/>
    <w:rsid w:val="009118BB"/>
    <w:rsid w:val="0091191F"/>
    <w:rsid w:val="00911D43"/>
    <w:rsid w:val="00912A2F"/>
    <w:rsid w:val="00913F31"/>
    <w:rsid w:val="009148F3"/>
    <w:rsid w:val="00914B85"/>
    <w:rsid w:val="00914BE0"/>
    <w:rsid w:val="009156D2"/>
    <w:rsid w:val="00915918"/>
    <w:rsid w:val="0091595E"/>
    <w:rsid w:val="00915B81"/>
    <w:rsid w:val="00915D6B"/>
    <w:rsid w:val="009160DF"/>
    <w:rsid w:val="009162C7"/>
    <w:rsid w:val="0091650D"/>
    <w:rsid w:val="00916734"/>
    <w:rsid w:val="00916EC2"/>
    <w:rsid w:val="00916F7C"/>
    <w:rsid w:val="0091788B"/>
    <w:rsid w:val="009178BD"/>
    <w:rsid w:val="009200C4"/>
    <w:rsid w:val="009209F5"/>
    <w:rsid w:val="00920A30"/>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879"/>
    <w:rsid w:val="00925BE6"/>
    <w:rsid w:val="00925CC1"/>
    <w:rsid w:val="00925D9E"/>
    <w:rsid w:val="00925EE6"/>
    <w:rsid w:val="00926C3B"/>
    <w:rsid w:val="00926F61"/>
    <w:rsid w:val="00927627"/>
    <w:rsid w:val="009276CF"/>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54F8"/>
    <w:rsid w:val="009359A9"/>
    <w:rsid w:val="00935B49"/>
    <w:rsid w:val="00935D15"/>
    <w:rsid w:val="0093633C"/>
    <w:rsid w:val="00936D46"/>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285B"/>
    <w:rsid w:val="009532CE"/>
    <w:rsid w:val="0095368E"/>
    <w:rsid w:val="00953F1E"/>
    <w:rsid w:val="00953FCD"/>
    <w:rsid w:val="00953FE9"/>
    <w:rsid w:val="0095476B"/>
    <w:rsid w:val="0095481C"/>
    <w:rsid w:val="00956005"/>
    <w:rsid w:val="009564ED"/>
    <w:rsid w:val="0095655F"/>
    <w:rsid w:val="0095661D"/>
    <w:rsid w:val="009567E6"/>
    <w:rsid w:val="0095686C"/>
    <w:rsid w:val="00956B68"/>
    <w:rsid w:val="00957076"/>
    <w:rsid w:val="00957132"/>
    <w:rsid w:val="009576FD"/>
    <w:rsid w:val="009578EB"/>
    <w:rsid w:val="009578FF"/>
    <w:rsid w:val="00957CCA"/>
    <w:rsid w:val="00960236"/>
    <w:rsid w:val="00960446"/>
    <w:rsid w:val="0096068B"/>
    <w:rsid w:val="009606BF"/>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5BAE"/>
    <w:rsid w:val="009663BB"/>
    <w:rsid w:val="00966AC1"/>
    <w:rsid w:val="00966B46"/>
    <w:rsid w:val="0096726D"/>
    <w:rsid w:val="00967354"/>
    <w:rsid w:val="00967565"/>
    <w:rsid w:val="009676FD"/>
    <w:rsid w:val="00970046"/>
    <w:rsid w:val="009701B9"/>
    <w:rsid w:val="00971230"/>
    <w:rsid w:val="00971310"/>
    <w:rsid w:val="00971592"/>
    <w:rsid w:val="00971DDF"/>
    <w:rsid w:val="009723DA"/>
    <w:rsid w:val="0097245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802DF"/>
    <w:rsid w:val="00980A10"/>
    <w:rsid w:val="00981130"/>
    <w:rsid w:val="0098143C"/>
    <w:rsid w:val="00982F93"/>
    <w:rsid w:val="00983038"/>
    <w:rsid w:val="00983558"/>
    <w:rsid w:val="0098359F"/>
    <w:rsid w:val="009835E7"/>
    <w:rsid w:val="00983D46"/>
    <w:rsid w:val="00983DCA"/>
    <w:rsid w:val="00984039"/>
    <w:rsid w:val="009842FF"/>
    <w:rsid w:val="00984413"/>
    <w:rsid w:val="00985C86"/>
    <w:rsid w:val="00985D22"/>
    <w:rsid w:val="00985EDA"/>
    <w:rsid w:val="00985EF7"/>
    <w:rsid w:val="00986396"/>
    <w:rsid w:val="00986CF9"/>
    <w:rsid w:val="00987416"/>
    <w:rsid w:val="00990077"/>
    <w:rsid w:val="009907E2"/>
    <w:rsid w:val="00990894"/>
    <w:rsid w:val="00990C0E"/>
    <w:rsid w:val="00990D75"/>
    <w:rsid w:val="00991093"/>
    <w:rsid w:val="0099163B"/>
    <w:rsid w:val="00991745"/>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8B6"/>
    <w:rsid w:val="009A1A06"/>
    <w:rsid w:val="009A1AAC"/>
    <w:rsid w:val="009A2508"/>
    <w:rsid w:val="009A2B5D"/>
    <w:rsid w:val="009A3789"/>
    <w:rsid w:val="009A4860"/>
    <w:rsid w:val="009A517B"/>
    <w:rsid w:val="009A5734"/>
    <w:rsid w:val="009A595D"/>
    <w:rsid w:val="009A6919"/>
    <w:rsid w:val="009A6AC7"/>
    <w:rsid w:val="009A6CC2"/>
    <w:rsid w:val="009A77D7"/>
    <w:rsid w:val="009A7831"/>
    <w:rsid w:val="009A7BA8"/>
    <w:rsid w:val="009A7F56"/>
    <w:rsid w:val="009B032C"/>
    <w:rsid w:val="009B0408"/>
    <w:rsid w:val="009B07D8"/>
    <w:rsid w:val="009B0843"/>
    <w:rsid w:val="009B1E47"/>
    <w:rsid w:val="009B20D0"/>
    <w:rsid w:val="009B216A"/>
    <w:rsid w:val="009B24AF"/>
    <w:rsid w:val="009B2CED"/>
    <w:rsid w:val="009B345D"/>
    <w:rsid w:val="009B35A0"/>
    <w:rsid w:val="009B4E84"/>
    <w:rsid w:val="009B5401"/>
    <w:rsid w:val="009B59B2"/>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E39"/>
    <w:rsid w:val="009D2F0C"/>
    <w:rsid w:val="009D2F2A"/>
    <w:rsid w:val="009D3578"/>
    <w:rsid w:val="009D3696"/>
    <w:rsid w:val="009D38B5"/>
    <w:rsid w:val="009D3A5F"/>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6608"/>
    <w:rsid w:val="009E74F0"/>
    <w:rsid w:val="009E7844"/>
    <w:rsid w:val="009E7F4A"/>
    <w:rsid w:val="009F0043"/>
    <w:rsid w:val="009F075A"/>
    <w:rsid w:val="009F0768"/>
    <w:rsid w:val="009F1035"/>
    <w:rsid w:val="009F1DC6"/>
    <w:rsid w:val="009F2A74"/>
    <w:rsid w:val="009F2AD1"/>
    <w:rsid w:val="009F2D3D"/>
    <w:rsid w:val="009F2E28"/>
    <w:rsid w:val="009F382D"/>
    <w:rsid w:val="009F3A58"/>
    <w:rsid w:val="009F3EB5"/>
    <w:rsid w:val="009F4492"/>
    <w:rsid w:val="009F5327"/>
    <w:rsid w:val="009F5E87"/>
    <w:rsid w:val="009F62E9"/>
    <w:rsid w:val="009F7867"/>
    <w:rsid w:val="009F7C76"/>
    <w:rsid w:val="009F7D66"/>
    <w:rsid w:val="009F7EC4"/>
    <w:rsid w:val="00A00BD2"/>
    <w:rsid w:val="00A00CC3"/>
    <w:rsid w:val="00A00E56"/>
    <w:rsid w:val="00A01C99"/>
    <w:rsid w:val="00A027F3"/>
    <w:rsid w:val="00A02FAD"/>
    <w:rsid w:val="00A03978"/>
    <w:rsid w:val="00A05DF3"/>
    <w:rsid w:val="00A05F1A"/>
    <w:rsid w:val="00A06601"/>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113"/>
    <w:rsid w:val="00A2730D"/>
    <w:rsid w:val="00A304F3"/>
    <w:rsid w:val="00A30A56"/>
    <w:rsid w:val="00A30AA6"/>
    <w:rsid w:val="00A311AE"/>
    <w:rsid w:val="00A312A6"/>
    <w:rsid w:val="00A3130E"/>
    <w:rsid w:val="00A3203A"/>
    <w:rsid w:val="00A324CF"/>
    <w:rsid w:val="00A326CB"/>
    <w:rsid w:val="00A32E8B"/>
    <w:rsid w:val="00A32ED6"/>
    <w:rsid w:val="00A344A5"/>
    <w:rsid w:val="00A346C3"/>
    <w:rsid w:val="00A3486C"/>
    <w:rsid w:val="00A34F75"/>
    <w:rsid w:val="00A35810"/>
    <w:rsid w:val="00A35C0D"/>
    <w:rsid w:val="00A36B2C"/>
    <w:rsid w:val="00A37655"/>
    <w:rsid w:val="00A3768F"/>
    <w:rsid w:val="00A376B8"/>
    <w:rsid w:val="00A378F9"/>
    <w:rsid w:val="00A37E8F"/>
    <w:rsid w:val="00A400B7"/>
    <w:rsid w:val="00A41455"/>
    <w:rsid w:val="00A41549"/>
    <w:rsid w:val="00A41896"/>
    <w:rsid w:val="00A41A67"/>
    <w:rsid w:val="00A41B15"/>
    <w:rsid w:val="00A42867"/>
    <w:rsid w:val="00A42D07"/>
    <w:rsid w:val="00A42E81"/>
    <w:rsid w:val="00A43918"/>
    <w:rsid w:val="00A443F4"/>
    <w:rsid w:val="00A450C0"/>
    <w:rsid w:val="00A45468"/>
    <w:rsid w:val="00A455F8"/>
    <w:rsid w:val="00A46347"/>
    <w:rsid w:val="00A470AD"/>
    <w:rsid w:val="00A471DE"/>
    <w:rsid w:val="00A472D6"/>
    <w:rsid w:val="00A4791B"/>
    <w:rsid w:val="00A47A37"/>
    <w:rsid w:val="00A47EB4"/>
    <w:rsid w:val="00A504A6"/>
    <w:rsid w:val="00A50A48"/>
    <w:rsid w:val="00A50DCA"/>
    <w:rsid w:val="00A50DCE"/>
    <w:rsid w:val="00A51180"/>
    <w:rsid w:val="00A51242"/>
    <w:rsid w:val="00A51522"/>
    <w:rsid w:val="00A51573"/>
    <w:rsid w:val="00A51A5E"/>
    <w:rsid w:val="00A51CE2"/>
    <w:rsid w:val="00A52895"/>
    <w:rsid w:val="00A5393B"/>
    <w:rsid w:val="00A53B82"/>
    <w:rsid w:val="00A53DA0"/>
    <w:rsid w:val="00A545E9"/>
    <w:rsid w:val="00A54A80"/>
    <w:rsid w:val="00A56EB3"/>
    <w:rsid w:val="00A570C1"/>
    <w:rsid w:val="00A5765D"/>
    <w:rsid w:val="00A6057E"/>
    <w:rsid w:val="00A607CB"/>
    <w:rsid w:val="00A61524"/>
    <w:rsid w:val="00A6203F"/>
    <w:rsid w:val="00A62197"/>
    <w:rsid w:val="00A623B4"/>
    <w:rsid w:val="00A6351F"/>
    <w:rsid w:val="00A63619"/>
    <w:rsid w:val="00A64323"/>
    <w:rsid w:val="00A64BB3"/>
    <w:rsid w:val="00A6530C"/>
    <w:rsid w:val="00A6565C"/>
    <w:rsid w:val="00A65A70"/>
    <w:rsid w:val="00A66F36"/>
    <w:rsid w:val="00A67058"/>
    <w:rsid w:val="00A676D9"/>
    <w:rsid w:val="00A67D43"/>
    <w:rsid w:val="00A67EFC"/>
    <w:rsid w:val="00A701AC"/>
    <w:rsid w:val="00A7031E"/>
    <w:rsid w:val="00A7090E"/>
    <w:rsid w:val="00A70984"/>
    <w:rsid w:val="00A7112E"/>
    <w:rsid w:val="00A71140"/>
    <w:rsid w:val="00A71DC7"/>
    <w:rsid w:val="00A71DE9"/>
    <w:rsid w:val="00A72456"/>
    <w:rsid w:val="00A72476"/>
    <w:rsid w:val="00A724E2"/>
    <w:rsid w:val="00A729D2"/>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3181"/>
    <w:rsid w:val="00A938E6"/>
    <w:rsid w:val="00A93CCF"/>
    <w:rsid w:val="00A945E0"/>
    <w:rsid w:val="00A95795"/>
    <w:rsid w:val="00A95BD5"/>
    <w:rsid w:val="00A95C67"/>
    <w:rsid w:val="00A96065"/>
    <w:rsid w:val="00A96CB2"/>
    <w:rsid w:val="00A96F78"/>
    <w:rsid w:val="00A971A1"/>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39C4"/>
    <w:rsid w:val="00AB3A15"/>
    <w:rsid w:val="00AB47C3"/>
    <w:rsid w:val="00AB4ECC"/>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6E8A"/>
    <w:rsid w:val="00AC7481"/>
    <w:rsid w:val="00AC7917"/>
    <w:rsid w:val="00AC7D22"/>
    <w:rsid w:val="00AD00C5"/>
    <w:rsid w:val="00AD14C1"/>
    <w:rsid w:val="00AD165F"/>
    <w:rsid w:val="00AD1B46"/>
    <w:rsid w:val="00AD2794"/>
    <w:rsid w:val="00AD2B9F"/>
    <w:rsid w:val="00AD2DC5"/>
    <w:rsid w:val="00AD3455"/>
    <w:rsid w:val="00AD34E8"/>
    <w:rsid w:val="00AD3CA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E76"/>
    <w:rsid w:val="00AE6F68"/>
    <w:rsid w:val="00AE7527"/>
    <w:rsid w:val="00AE7F79"/>
    <w:rsid w:val="00AF08C1"/>
    <w:rsid w:val="00AF1629"/>
    <w:rsid w:val="00AF1983"/>
    <w:rsid w:val="00AF1D1D"/>
    <w:rsid w:val="00AF259C"/>
    <w:rsid w:val="00AF2D54"/>
    <w:rsid w:val="00AF3458"/>
    <w:rsid w:val="00AF35AB"/>
    <w:rsid w:val="00AF3A1D"/>
    <w:rsid w:val="00AF3F7B"/>
    <w:rsid w:val="00AF4145"/>
    <w:rsid w:val="00AF42B4"/>
    <w:rsid w:val="00AF473C"/>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020"/>
    <w:rsid w:val="00B1480E"/>
    <w:rsid w:val="00B149A6"/>
    <w:rsid w:val="00B1513F"/>
    <w:rsid w:val="00B15B31"/>
    <w:rsid w:val="00B15B89"/>
    <w:rsid w:val="00B15CFD"/>
    <w:rsid w:val="00B15EE1"/>
    <w:rsid w:val="00B163BC"/>
    <w:rsid w:val="00B1746F"/>
    <w:rsid w:val="00B17EA8"/>
    <w:rsid w:val="00B202E2"/>
    <w:rsid w:val="00B2046E"/>
    <w:rsid w:val="00B20725"/>
    <w:rsid w:val="00B20A62"/>
    <w:rsid w:val="00B20B94"/>
    <w:rsid w:val="00B2113A"/>
    <w:rsid w:val="00B212DE"/>
    <w:rsid w:val="00B218E2"/>
    <w:rsid w:val="00B219E5"/>
    <w:rsid w:val="00B21DBB"/>
    <w:rsid w:val="00B21ECA"/>
    <w:rsid w:val="00B223B6"/>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F75"/>
    <w:rsid w:val="00B3000E"/>
    <w:rsid w:val="00B30F1F"/>
    <w:rsid w:val="00B31D26"/>
    <w:rsid w:val="00B323BD"/>
    <w:rsid w:val="00B326A8"/>
    <w:rsid w:val="00B329EB"/>
    <w:rsid w:val="00B32F09"/>
    <w:rsid w:val="00B33121"/>
    <w:rsid w:val="00B33508"/>
    <w:rsid w:val="00B3377E"/>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242"/>
    <w:rsid w:val="00B44666"/>
    <w:rsid w:val="00B45B09"/>
    <w:rsid w:val="00B45C10"/>
    <w:rsid w:val="00B45CE1"/>
    <w:rsid w:val="00B46A75"/>
    <w:rsid w:val="00B47BAA"/>
    <w:rsid w:val="00B500CD"/>
    <w:rsid w:val="00B50ED8"/>
    <w:rsid w:val="00B512FC"/>
    <w:rsid w:val="00B51AF0"/>
    <w:rsid w:val="00B51BB0"/>
    <w:rsid w:val="00B5239C"/>
    <w:rsid w:val="00B534DF"/>
    <w:rsid w:val="00B53893"/>
    <w:rsid w:val="00B548C2"/>
    <w:rsid w:val="00B5503F"/>
    <w:rsid w:val="00B55428"/>
    <w:rsid w:val="00B55E52"/>
    <w:rsid w:val="00B55E5C"/>
    <w:rsid w:val="00B56AC8"/>
    <w:rsid w:val="00B570BF"/>
    <w:rsid w:val="00B572C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1EC2"/>
    <w:rsid w:val="00B825A6"/>
    <w:rsid w:val="00B82613"/>
    <w:rsid w:val="00B828B5"/>
    <w:rsid w:val="00B83DDA"/>
    <w:rsid w:val="00B84E9C"/>
    <w:rsid w:val="00B85522"/>
    <w:rsid w:val="00B85549"/>
    <w:rsid w:val="00B8559A"/>
    <w:rsid w:val="00B85A11"/>
    <w:rsid w:val="00B8668C"/>
    <w:rsid w:val="00B869A9"/>
    <w:rsid w:val="00B869DF"/>
    <w:rsid w:val="00B86CCD"/>
    <w:rsid w:val="00B90213"/>
    <w:rsid w:val="00B90E2A"/>
    <w:rsid w:val="00B90F2A"/>
    <w:rsid w:val="00B9198D"/>
    <w:rsid w:val="00B93008"/>
    <w:rsid w:val="00B94025"/>
    <w:rsid w:val="00B94044"/>
    <w:rsid w:val="00B9406D"/>
    <w:rsid w:val="00B9418F"/>
    <w:rsid w:val="00B94647"/>
    <w:rsid w:val="00B947B0"/>
    <w:rsid w:val="00B94BA7"/>
    <w:rsid w:val="00B94BE9"/>
    <w:rsid w:val="00B94E0E"/>
    <w:rsid w:val="00B95014"/>
    <w:rsid w:val="00B9585E"/>
    <w:rsid w:val="00B95BE3"/>
    <w:rsid w:val="00B95E97"/>
    <w:rsid w:val="00B961D1"/>
    <w:rsid w:val="00B9621F"/>
    <w:rsid w:val="00B96D99"/>
    <w:rsid w:val="00B972C3"/>
    <w:rsid w:val="00B97950"/>
    <w:rsid w:val="00B97CA3"/>
    <w:rsid w:val="00BA2456"/>
    <w:rsid w:val="00BA2541"/>
    <w:rsid w:val="00BA2665"/>
    <w:rsid w:val="00BA2B80"/>
    <w:rsid w:val="00BA2BA9"/>
    <w:rsid w:val="00BA30C4"/>
    <w:rsid w:val="00BA3894"/>
    <w:rsid w:val="00BA3D7B"/>
    <w:rsid w:val="00BA422D"/>
    <w:rsid w:val="00BA4852"/>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4BDB"/>
    <w:rsid w:val="00BC544A"/>
    <w:rsid w:val="00BC577E"/>
    <w:rsid w:val="00BC58B9"/>
    <w:rsid w:val="00BC5A0B"/>
    <w:rsid w:val="00BC5AEB"/>
    <w:rsid w:val="00BC5E93"/>
    <w:rsid w:val="00BC60F2"/>
    <w:rsid w:val="00BC616F"/>
    <w:rsid w:val="00BC654F"/>
    <w:rsid w:val="00BC6BE6"/>
    <w:rsid w:val="00BC70FB"/>
    <w:rsid w:val="00BC7DB7"/>
    <w:rsid w:val="00BD0056"/>
    <w:rsid w:val="00BD031F"/>
    <w:rsid w:val="00BD0F68"/>
    <w:rsid w:val="00BD190B"/>
    <w:rsid w:val="00BD1B1F"/>
    <w:rsid w:val="00BD262D"/>
    <w:rsid w:val="00BD2F4E"/>
    <w:rsid w:val="00BD309F"/>
    <w:rsid w:val="00BD32F5"/>
    <w:rsid w:val="00BD352E"/>
    <w:rsid w:val="00BD3E68"/>
    <w:rsid w:val="00BD5047"/>
    <w:rsid w:val="00BD598A"/>
    <w:rsid w:val="00BD664D"/>
    <w:rsid w:val="00BD6826"/>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4D7"/>
    <w:rsid w:val="00BE49F9"/>
    <w:rsid w:val="00BE4EC9"/>
    <w:rsid w:val="00BE4F0E"/>
    <w:rsid w:val="00BE546C"/>
    <w:rsid w:val="00BE56B1"/>
    <w:rsid w:val="00BE58C2"/>
    <w:rsid w:val="00BE631E"/>
    <w:rsid w:val="00BE66F4"/>
    <w:rsid w:val="00BE68A8"/>
    <w:rsid w:val="00BE6966"/>
    <w:rsid w:val="00BE6BD9"/>
    <w:rsid w:val="00BE71F7"/>
    <w:rsid w:val="00BE73E6"/>
    <w:rsid w:val="00BE78FC"/>
    <w:rsid w:val="00BE793F"/>
    <w:rsid w:val="00BF0419"/>
    <w:rsid w:val="00BF0CCF"/>
    <w:rsid w:val="00BF0FC5"/>
    <w:rsid w:val="00BF10BC"/>
    <w:rsid w:val="00BF21AC"/>
    <w:rsid w:val="00BF235B"/>
    <w:rsid w:val="00BF2617"/>
    <w:rsid w:val="00BF2E53"/>
    <w:rsid w:val="00BF3133"/>
    <w:rsid w:val="00BF313D"/>
    <w:rsid w:val="00BF3669"/>
    <w:rsid w:val="00BF3A63"/>
    <w:rsid w:val="00BF3C0D"/>
    <w:rsid w:val="00BF4CC2"/>
    <w:rsid w:val="00BF68B0"/>
    <w:rsid w:val="00BF711C"/>
    <w:rsid w:val="00BF71D1"/>
    <w:rsid w:val="00BF7C74"/>
    <w:rsid w:val="00C00D7C"/>
    <w:rsid w:val="00C00ED8"/>
    <w:rsid w:val="00C01CF8"/>
    <w:rsid w:val="00C022F7"/>
    <w:rsid w:val="00C029AC"/>
    <w:rsid w:val="00C02A3D"/>
    <w:rsid w:val="00C02B56"/>
    <w:rsid w:val="00C032EF"/>
    <w:rsid w:val="00C03309"/>
    <w:rsid w:val="00C03452"/>
    <w:rsid w:val="00C067D5"/>
    <w:rsid w:val="00C06C8D"/>
    <w:rsid w:val="00C072FE"/>
    <w:rsid w:val="00C1071E"/>
    <w:rsid w:val="00C1170E"/>
    <w:rsid w:val="00C1210F"/>
    <w:rsid w:val="00C1224F"/>
    <w:rsid w:val="00C12B57"/>
    <w:rsid w:val="00C12BE4"/>
    <w:rsid w:val="00C12E39"/>
    <w:rsid w:val="00C13A19"/>
    <w:rsid w:val="00C13DA5"/>
    <w:rsid w:val="00C13E1B"/>
    <w:rsid w:val="00C14164"/>
    <w:rsid w:val="00C14339"/>
    <w:rsid w:val="00C14774"/>
    <w:rsid w:val="00C14907"/>
    <w:rsid w:val="00C150B7"/>
    <w:rsid w:val="00C15D8E"/>
    <w:rsid w:val="00C160F2"/>
    <w:rsid w:val="00C1665B"/>
    <w:rsid w:val="00C1671E"/>
    <w:rsid w:val="00C16FF7"/>
    <w:rsid w:val="00C17007"/>
    <w:rsid w:val="00C17012"/>
    <w:rsid w:val="00C1758D"/>
    <w:rsid w:val="00C178FB"/>
    <w:rsid w:val="00C219B7"/>
    <w:rsid w:val="00C21E92"/>
    <w:rsid w:val="00C22B28"/>
    <w:rsid w:val="00C22B5A"/>
    <w:rsid w:val="00C23AD6"/>
    <w:rsid w:val="00C23D17"/>
    <w:rsid w:val="00C23E6D"/>
    <w:rsid w:val="00C247BF"/>
    <w:rsid w:val="00C257B7"/>
    <w:rsid w:val="00C267A0"/>
    <w:rsid w:val="00C26B25"/>
    <w:rsid w:val="00C27265"/>
    <w:rsid w:val="00C272E8"/>
    <w:rsid w:val="00C300F0"/>
    <w:rsid w:val="00C311EC"/>
    <w:rsid w:val="00C32114"/>
    <w:rsid w:val="00C32373"/>
    <w:rsid w:val="00C3248E"/>
    <w:rsid w:val="00C32551"/>
    <w:rsid w:val="00C328BF"/>
    <w:rsid w:val="00C3295E"/>
    <w:rsid w:val="00C32AA8"/>
    <w:rsid w:val="00C3317F"/>
    <w:rsid w:val="00C33359"/>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26"/>
    <w:rsid w:val="00C50680"/>
    <w:rsid w:val="00C50A4E"/>
    <w:rsid w:val="00C50B71"/>
    <w:rsid w:val="00C51CDB"/>
    <w:rsid w:val="00C51CF5"/>
    <w:rsid w:val="00C520B1"/>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7D9"/>
    <w:rsid w:val="00C777ED"/>
    <w:rsid w:val="00C779DE"/>
    <w:rsid w:val="00C77BEF"/>
    <w:rsid w:val="00C77D26"/>
    <w:rsid w:val="00C80281"/>
    <w:rsid w:val="00C80685"/>
    <w:rsid w:val="00C80BDF"/>
    <w:rsid w:val="00C80CB0"/>
    <w:rsid w:val="00C811DA"/>
    <w:rsid w:val="00C81535"/>
    <w:rsid w:val="00C8153F"/>
    <w:rsid w:val="00C8292E"/>
    <w:rsid w:val="00C82AE9"/>
    <w:rsid w:val="00C83277"/>
    <w:rsid w:val="00C83704"/>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C78"/>
    <w:rsid w:val="00C94E22"/>
    <w:rsid w:val="00C95957"/>
    <w:rsid w:val="00C95E27"/>
    <w:rsid w:val="00C96404"/>
    <w:rsid w:val="00C96BE3"/>
    <w:rsid w:val="00C96D39"/>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CAC"/>
    <w:rsid w:val="00CB1D87"/>
    <w:rsid w:val="00CB1DE8"/>
    <w:rsid w:val="00CB1E3B"/>
    <w:rsid w:val="00CB1F1D"/>
    <w:rsid w:val="00CB2621"/>
    <w:rsid w:val="00CB3AE5"/>
    <w:rsid w:val="00CB4212"/>
    <w:rsid w:val="00CB4C59"/>
    <w:rsid w:val="00CB57D7"/>
    <w:rsid w:val="00CB600D"/>
    <w:rsid w:val="00CB643E"/>
    <w:rsid w:val="00CB6934"/>
    <w:rsid w:val="00CB6B3B"/>
    <w:rsid w:val="00CB71F8"/>
    <w:rsid w:val="00CB7E39"/>
    <w:rsid w:val="00CC01F4"/>
    <w:rsid w:val="00CC0202"/>
    <w:rsid w:val="00CC0337"/>
    <w:rsid w:val="00CC0392"/>
    <w:rsid w:val="00CC08B1"/>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46"/>
    <w:rsid w:val="00CD6190"/>
    <w:rsid w:val="00CD736C"/>
    <w:rsid w:val="00CD761D"/>
    <w:rsid w:val="00CD76B5"/>
    <w:rsid w:val="00CD7953"/>
    <w:rsid w:val="00CD7B88"/>
    <w:rsid w:val="00CE14EF"/>
    <w:rsid w:val="00CE1757"/>
    <w:rsid w:val="00CE19AC"/>
    <w:rsid w:val="00CE1FEB"/>
    <w:rsid w:val="00CE2346"/>
    <w:rsid w:val="00CE2B02"/>
    <w:rsid w:val="00CE3B50"/>
    <w:rsid w:val="00CE4690"/>
    <w:rsid w:val="00CE4F2D"/>
    <w:rsid w:val="00CE5FC8"/>
    <w:rsid w:val="00CE601C"/>
    <w:rsid w:val="00CE6428"/>
    <w:rsid w:val="00CE6F0F"/>
    <w:rsid w:val="00CE72F9"/>
    <w:rsid w:val="00CE7C7C"/>
    <w:rsid w:val="00CE7E0C"/>
    <w:rsid w:val="00CE7FDC"/>
    <w:rsid w:val="00CE7FE8"/>
    <w:rsid w:val="00CF002F"/>
    <w:rsid w:val="00CF0246"/>
    <w:rsid w:val="00CF0B49"/>
    <w:rsid w:val="00CF0C02"/>
    <w:rsid w:val="00CF0E41"/>
    <w:rsid w:val="00CF14FE"/>
    <w:rsid w:val="00CF1899"/>
    <w:rsid w:val="00CF1CDD"/>
    <w:rsid w:val="00CF1FF3"/>
    <w:rsid w:val="00CF2483"/>
    <w:rsid w:val="00CF24E2"/>
    <w:rsid w:val="00CF2B44"/>
    <w:rsid w:val="00CF3207"/>
    <w:rsid w:val="00CF321D"/>
    <w:rsid w:val="00CF3280"/>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DBB"/>
    <w:rsid w:val="00D15997"/>
    <w:rsid w:val="00D15DE0"/>
    <w:rsid w:val="00D15E7E"/>
    <w:rsid w:val="00D162EF"/>
    <w:rsid w:val="00D16555"/>
    <w:rsid w:val="00D16F45"/>
    <w:rsid w:val="00D16FD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62C"/>
    <w:rsid w:val="00D34C38"/>
    <w:rsid w:val="00D3516F"/>
    <w:rsid w:val="00D35198"/>
    <w:rsid w:val="00D3584B"/>
    <w:rsid w:val="00D359B7"/>
    <w:rsid w:val="00D36328"/>
    <w:rsid w:val="00D40696"/>
    <w:rsid w:val="00D40E78"/>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58F"/>
    <w:rsid w:val="00D719AA"/>
    <w:rsid w:val="00D720E3"/>
    <w:rsid w:val="00D72D5F"/>
    <w:rsid w:val="00D73077"/>
    <w:rsid w:val="00D736A2"/>
    <w:rsid w:val="00D73C57"/>
    <w:rsid w:val="00D73CFD"/>
    <w:rsid w:val="00D73D67"/>
    <w:rsid w:val="00D742FF"/>
    <w:rsid w:val="00D746B2"/>
    <w:rsid w:val="00D74875"/>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6178"/>
    <w:rsid w:val="00D863D5"/>
    <w:rsid w:val="00D864F8"/>
    <w:rsid w:val="00D86620"/>
    <w:rsid w:val="00D86863"/>
    <w:rsid w:val="00D87338"/>
    <w:rsid w:val="00D874DF"/>
    <w:rsid w:val="00D87A12"/>
    <w:rsid w:val="00D87BF2"/>
    <w:rsid w:val="00D90F56"/>
    <w:rsid w:val="00D91592"/>
    <w:rsid w:val="00D917C6"/>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2124"/>
    <w:rsid w:val="00DA2786"/>
    <w:rsid w:val="00DA2DF8"/>
    <w:rsid w:val="00DA3E7B"/>
    <w:rsid w:val="00DA422D"/>
    <w:rsid w:val="00DA451D"/>
    <w:rsid w:val="00DA4AF8"/>
    <w:rsid w:val="00DA4BDE"/>
    <w:rsid w:val="00DA53A6"/>
    <w:rsid w:val="00DA56DB"/>
    <w:rsid w:val="00DA59EB"/>
    <w:rsid w:val="00DA5E13"/>
    <w:rsid w:val="00DA5F9B"/>
    <w:rsid w:val="00DA60EC"/>
    <w:rsid w:val="00DA6193"/>
    <w:rsid w:val="00DA63EE"/>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440"/>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575"/>
    <w:rsid w:val="00DD2EFB"/>
    <w:rsid w:val="00DD3029"/>
    <w:rsid w:val="00DD3E21"/>
    <w:rsid w:val="00DD4890"/>
    <w:rsid w:val="00DD48B2"/>
    <w:rsid w:val="00DD4D18"/>
    <w:rsid w:val="00DD546C"/>
    <w:rsid w:val="00DD55E0"/>
    <w:rsid w:val="00DD5E12"/>
    <w:rsid w:val="00DD6B30"/>
    <w:rsid w:val="00DE0106"/>
    <w:rsid w:val="00DE0C66"/>
    <w:rsid w:val="00DE1904"/>
    <w:rsid w:val="00DE2155"/>
    <w:rsid w:val="00DE36D3"/>
    <w:rsid w:val="00DE3DBB"/>
    <w:rsid w:val="00DE4137"/>
    <w:rsid w:val="00DE425B"/>
    <w:rsid w:val="00DE43A2"/>
    <w:rsid w:val="00DE45B3"/>
    <w:rsid w:val="00DE4A74"/>
    <w:rsid w:val="00DE4B05"/>
    <w:rsid w:val="00DE541C"/>
    <w:rsid w:val="00DE5698"/>
    <w:rsid w:val="00DE5CCD"/>
    <w:rsid w:val="00DE5D88"/>
    <w:rsid w:val="00DE6D7C"/>
    <w:rsid w:val="00DE737B"/>
    <w:rsid w:val="00DE7A7C"/>
    <w:rsid w:val="00DE7E68"/>
    <w:rsid w:val="00DE7F5E"/>
    <w:rsid w:val="00DF0355"/>
    <w:rsid w:val="00DF0587"/>
    <w:rsid w:val="00DF0679"/>
    <w:rsid w:val="00DF0A34"/>
    <w:rsid w:val="00DF0BB8"/>
    <w:rsid w:val="00DF100B"/>
    <w:rsid w:val="00DF15EE"/>
    <w:rsid w:val="00DF23CA"/>
    <w:rsid w:val="00DF2929"/>
    <w:rsid w:val="00DF3681"/>
    <w:rsid w:val="00DF39E8"/>
    <w:rsid w:val="00DF3A60"/>
    <w:rsid w:val="00DF3B76"/>
    <w:rsid w:val="00DF4359"/>
    <w:rsid w:val="00DF48DE"/>
    <w:rsid w:val="00DF4C1A"/>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630"/>
    <w:rsid w:val="00E0576C"/>
    <w:rsid w:val="00E05DD1"/>
    <w:rsid w:val="00E0626B"/>
    <w:rsid w:val="00E06275"/>
    <w:rsid w:val="00E068BC"/>
    <w:rsid w:val="00E06BC2"/>
    <w:rsid w:val="00E06F2F"/>
    <w:rsid w:val="00E07395"/>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544"/>
    <w:rsid w:val="00E15E10"/>
    <w:rsid w:val="00E15E7F"/>
    <w:rsid w:val="00E16230"/>
    <w:rsid w:val="00E16463"/>
    <w:rsid w:val="00E169DA"/>
    <w:rsid w:val="00E17798"/>
    <w:rsid w:val="00E208C6"/>
    <w:rsid w:val="00E21954"/>
    <w:rsid w:val="00E239D1"/>
    <w:rsid w:val="00E25B34"/>
    <w:rsid w:val="00E266E6"/>
    <w:rsid w:val="00E26727"/>
    <w:rsid w:val="00E26970"/>
    <w:rsid w:val="00E26CF7"/>
    <w:rsid w:val="00E2717F"/>
    <w:rsid w:val="00E274B5"/>
    <w:rsid w:val="00E27791"/>
    <w:rsid w:val="00E30AC9"/>
    <w:rsid w:val="00E30F2D"/>
    <w:rsid w:val="00E311FC"/>
    <w:rsid w:val="00E319DB"/>
    <w:rsid w:val="00E31AFC"/>
    <w:rsid w:val="00E320BD"/>
    <w:rsid w:val="00E331BF"/>
    <w:rsid w:val="00E33493"/>
    <w:rsid w:val="00E3409E"/>
    <w:rsid w:val="00E34742"/>
    <w:rsid w:val="00E34F76"/>
    <w:rsid w:val="00E35725"/>
    <w:rsid w:val="00E3656B"/>
    <w:rsid w:val="00E37480"/>
    <w:rsid w:val="00E379C9"/>
    <w:rsid w:val="00E37BE5"/>
    <w:rsid w:val="00E403B2"/>
    <w:rsid w:val="00E4076E"/>
    <w:rsid w:val="00E41534"/>
    <w:rsid w:val="00E41A27"/>
    <w:rsid w:val="00E41BF7"/>
    <w:rsid w:val="00E41E2F"/>
    <w:rsid w:val="00E42146"/>
    <w:rsid w:val="00E422B5"/>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35D2"/>
    <w:rsid w:val="00E53A01"/>
    <w:rsid w:val="00E53C82"/>
    <w:rsid w:val="00E54BC4"/>
    <w:rsid w:val="00E564C4"/>
    <w:rsid w:val="00E567C9"/>
    <w:rsid w:val="00E57558"/>
    <w:rsid w:val="00E604C4"/>
    <w:rsid w:val="00E60809"/>
    <w:rsid w:val="00E60EA7"/>
    <w:rsid w:val="00E611AE"/>
    <w:rsid w:val="00E61300"/>
    <w:rsid w:val="00E614F2"/>
    <w:rsid w:val="00E619E7"/>
    <w:rsid w:val="00E62D38"/>
    <w:rsid w:val="00E635B9"/>
    <w:rsid w:val="00E64603"/>
    <w:rsid w:val="00E64D0D"/>
    <w:rsid w:val="00E65409"/>
    <w:rsid w:val="00E65D15"/>
    <w:rsid w:val="00E6616C"/>
    <w:rsid w:val="00E66431"/>
    <w:rsid w:val="00E66C49"/>
    <w:rsid w:val="00E67B57"/>
    <w:rsid w:val="00E67D79"/>
    <w:rsid w:val="00E67EE5"/>
    <w:rsid w:val="00E7013A"/>
    <w:rsid w:val="00E7013B"/>
    <w:rsid w:val="00E70C92"/>
    <w:rsid w:val="00E71684"/>
    <w:rsid w:val="00E72219"/>
    <w:rsid w:val="00E7237A"/>
    <w:rsid w:val="00E72C50"/>
    <w:rsid w:val="00E72D8A"/>
    <w:rsid w:val="00E73048"/>
    <w:rsid w:val="00E73AD0"/>
    <w:rsid w:val="00E73C83"/>
    <w:rsid w:val="00E74104"/>
    <w:rsid w:val="00E7473C"/>
    <w:rsid w:val="00E74F5D"/>
    <w:rsid w:val="00E7554B"/>
    <w:rsid w:val="00E757D6"/>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A6"/>
    <w:rsid w:val="00E947E4"/>
    <w:rsid w:val="00E94820"/>
    <w:rsid w:val="00E948E5"/>
    <w:rsid w:val="00E94986"/>
    <w:rsid w:val="00E94C9F"/>
    <w:rsid w:val="00E94E13"/>
    <w:rsid w:val="00E952F9"/>
    <w:rsid w:val="00E954B1"/>
    <w:rsid w:val="00E96A29"/>
    <w:rsid w:val="00E96AB5"/>
    <w:rsid w:val="00E96B28"/>
    <w:rsid w:val="00E96FE6"/>
    <w:rsid w:val="00E9719A"/>
    <w:rsid w:val="00EA0A5C"/>
    <w:rsid w:val="00EA0AD2"/>
    <w:rsid w:val="00EA0C91"/>
    <w:rsid w:val="00EA0CF0"/>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6CF9"/>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6F8"/>
    <w:rsid w:val="00EC5F2F"/>
    <w:rsid w:val="00EC639B"/>
    <w:rsid w:val="00EC651E"/>
    <w:rsid w:val="00EC692E"/>
    <w:rsid w:val="00EC6931"/>
    <w:rsid w:val="00EC6F81"/>
    <w:rsid w:val="00EC745E"/>
    <w:rsid w:val="00EC7A34"/>
    <w:rsid w:val="00EC7EAF"/>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07DB"/>
    <w:rsid w:val="00EE16F6"/>
    <w:rsid w:val="00EE177F"/>
    <w:rsid w:val="00EE194A"/>
    <w:rsid w:val="00EE2AFB"/>
    <w:rsid w:val="00EE32E4"/>
    <w:rsid w:val="00EE3663"/>
    <w:rsid w:val="00EE41C4"/>
    <w:rsid w:val="00EE4A40"/>
    <w:rsid w:val="00EE4F0B"/>
    <w:rsid w:val="00EE5C3E"/>
    <w:rsid w:val="00EE619C"/>
    <w:rsid w:val="00EE76A9"/>
    <w:rsid w:val="00EE799E"/>
    <w:rsid w:val="00EE7B5A"/>
    <w:rsid w:val="00EE7C7E"/>
    <w:rsid w:val="00EE7CA8"/>
    <w:rsid w:val="00EE7FA7"/>
    <w:rsid w:val="00EF1093"/>
    <w:rsid w:val="00EF1285"/>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881"/>
    <w:rsid w:val="00F01E6B"/>
    <w:rsid w:val="00F0241C"/>
    <w:rsid w:val="00F02FBB"/>
    <w:rsid w:val="00F03D29"/>
    <w:rsid w:val="00F044DA"/>
    <w:rsid w:val="00F04C42"/>
    <w:rsid w:val="00F04F56"/>
    <w:rsid w:val="00F05759"/>
    <w:rsid w:val="00F05BCF"/>
    <w:rsid w:val="00F062C0"/>
    <w:rsid w:val="00F067F8"/>
    <w:rsid w:val="00F068DB"/>
    <w:rsid w:val="00F06C15"/>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A1"/>
    <w:rsid w:val="00F149D1"/>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15"/>
    <w:rsid w:val="00F35E5A"/>
    <w:rsid w:val="00F360A6"/>
    <w:rsid w:val="00F36997"/>
    <w:rsid w:val="00F372E3"/>
    <w:rsid w:val="00F403D8"/>
    <w:rsid w:val="00F4065A"/>
    <w:rsid w:val="00F40F19"/>
    <w:rsid w:val="00F414E8"/>
    <w:rsid w:val="00F4275C"/>
    <w:rsid w:val="00F42C14"/>
    <w:rsid w:val="00F4327A"/>
    <w:rsid w:val="00F437F6"/>
    <w:rsid w:val="00F44119"/>
    <w:rsid w:val="00F4486D"/>
    <w:rsid w:val="00F45379"/>
    <w:rsid w:val="00F4552F"/>
    <w:rsid w:val="00F45693"/>
    <w:rsid w:val="00F45A86"/>
    <w:rsid w:val="00F474C7"/>
    <w:rsid w:val="00F47801"/>
    <w:rsid w:val="00F47983"/>
    <w:rsid w:val="00F50545"/>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4529"/>
    <w:rsid w:val="00F5512E"/>
    <w:rsid w:val="00F553EF"/>
    <w:rsid w:val="00F5549A"/>
    <w:rsid w:val="00F560FE"/>
    <w:rsid w:val="00F5638F"/>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918"/>
    <w:rsid w:val="00F64967"/>
    <w:rsid w:val="00F64BEC"/>
    <w:rsid w:val="00F6503E"/>
    <w:rsid w:val="00F657CF"/>
    <w:rsid w:val="00F65A0B"/>
    <w:rsid w:val="00F65CFA"/>
    <w:rsid w:val="00F66359"/>
    <w:rsid w:val="00F66A00"/>
    <w:rsid w:val="00F67227"/>
    <w:rsid w:val="00F676D3"/>
    <w:rsid w:val="00F679B5"/>
    <w:rsid w:val="00F679BB"/>
    <w:rsid w:val="00F67AD5"/>
    <w:rsid w:val="00F67F2C"/>
    <w:rsid w:val="00F70128"/>
    <w:rsid w:val="00F70DFF"/>
    <w:rsid w:val="00F713A3"/>
    <w:rsid w:val="00F71A8F"/>
    <w:rsid w:val="00F7458D"/>
    <w:rsid w:val="00F74DB2"/>
    <w:rsid w:val="00F7523B"/>
    <w:rsid w:val="00F75330"/>
    <w:rsid w:val="00F7597F"/>
    <w:rsid w:val="00F75C0D"/>
    <w:rsid w:val="00F763FA"/>
    <w:rsid w:val="00F767A2"/>
    <w:rsid w:val="00F76BD9"/>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4421"/>
    <w:rsid w:val="00F8449B"/>
    <w:rsid w:val="00F844CE"/>
    <w:rsid w:val="00F84CDE"/>
    <w:rsid w:val="00F85691"/>
    <w:rsid w:val="00F86113"/>
    <w:rsid w:val="00F86F34"/>
    <w:rsid w:val="00F87032"/>
    <w:rsid w:val="00F87049"/>
    <w:rsid w:val="00F87094"/>
    <w:rsid w:val="00F874FF"/>
    <w:rsid w:val="00F87702"/>
    <w:rsid w:val="00F87AB3"/>
    <w:rsid w:val="00F87D44"/>
    <w:rsid w:val="00F902A7"/>
    <w:rsid w:val="00F905D1"/>
    <w:rsid w:val="00F90C87"/>
    <w:rsid w:val="00F90DD0"/>
    <w:rsid w:val="00F90DD6"/>
    <w:rsid w:val="00F90DFA"/>
    <w:rsid w:val="00F913DC"/>
    <w:rsid w:val="00F9148D"/>
    <w:rsid w:val="00F91C96"/>
    <w:rsid w:val="00F91DDA"/>
    <w:rsid w:val="00F91FA4"/>
    <w:rsid w:val="00F93233"/>
    <w:rsid w:val="00F9397A"/>
    <w:rsid w:val="00F93A37"/>
    <w:rsid w:val="00F9403C"/>
    <w:rsid w:val="00F94182"/>
    <w:rsid w:val="00F94476"/>
    <w:rsid w:val="00F944D9"/>
    <w:rsid w:val="00F94DB3"/>
    <w:rsid w:val="00F95C58"/>
    <w:rsid w:val="00F9606C"/>
    <w:rsid w:val="00F96500"/>
    <w:rsid w:val="00F97377"/>
    <w:rsid w:val="00F976A8"/>
    <w:rsid w:val="00F97BB8"/>
    <w:rsid w:val="00F97FC6"/>
    <w:rsid w:val="00FA0207"/>
    <w:rsid w:val="00FA1396"/>
    <w:rsid w:val="00FA140C"/>
    <w:rsid w:val="00FA1E52"/>
    <w:rsid w:val="00FA1F1F"/>
    <w:rsid w:val="00FA2246"/>
    <w:rsid w:val="00FA3227"/>
    <w:rsid w:val="00FA3230"/>
    <w:rsid w:val="00FA3782"/>
    <w:rsid w:val="00FA3F80"/>
    <w:rsid w:val="00FA3FF2"/>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A75F8"/>
    <w:rsid w:val="00FB01DA"/>
    <w:rsid w:val="00FB0426"/>
    <w:rsid w:val="00FB0826"/>
    <w:rsid w:val="00FB129F"/>
    <w:rsid w:val="00FB1581"/>
    <w:rsid w:val="00FB1DB8"/>
    <w:rsid w:val="00FB2379"/>
    <w:rsid w:val="00FB374A"/>
    <w:rsid w:val="00FB391B"/>
    <w:rsid w:val="00FB4407"/>
    <w:rsid w:val="00FB45C8"/>
    <w:rsid w:val="00FB4AB5"/>
    <w:rsid w:val="00FB4B8A"/>
    <w:rsid w:val="00FB5152"/>
    <w:rsid w:val="00FB5EFB"/>
    <w:rsid w:val="00FB680E"/>
    <w:rsid w:val="00FB7859"/>
    <w:rsid w:val="00FC0065"/>
    <w:rsid w:val="00FC057A"/>
    <w:rsid w:val="00FC15E7"/>
    <w:rsid w:val="00FC1779"/>
    <w:rsid w:val="00FC1D93"/>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2136"/>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6C44"/>
    <w:rsid w:val="00FD70AE"/>
    <w:rsid w:val="00FD7356"/>
    <w:rsid w:val="00FD7499"/>
    <w:rsid w:val="00FD7564"/>
    <w:rsid w:val="00FD774D"/>
    <w:rsid w:val="00FE002E"/>
    <w:rsid w:val="00FE04B0"/>
    <w:rsid w:val="00FE0856"/>
    <w:rsid w:val="00FE16B7"/>
    <w:rsid w:val="00FE1AFB"/>
    <w:rsid w:val="00FE1C69"/>
    <w:rsid w:val="00FE1DDC"/>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7A7"/>
    <w:rsid w:val="00FF3B32"/>
    <w:rsid w:val="00FF3B7F"/>
    <w:rsid w:val="00FF3C4D"/>
    <w:rsid w:val="00FF4285"/>
    <w:rsid w:val="00FF44A3"/>
    <w:rsid w:val="00FF52B4"/>
    <w:rsid w:val="00FF5600"/>
    <w:rsid w:val="00FF5CDC"/>
    <w:rsid w:val="00FF6822"/>
    <w:rsid w:val="00FF68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26782C"/>
    <w:rsid w:val="0E39DE94"/>
    <w:rsid w:val="0E637F42"/>
    <w:rsid w:val="0E691980"/>
    <w:rsid w:val="0E7DD594"/>
    <w:rsid w:val="0E823BFC"/>
    <w:rsid w:val="0EC03CCD"/>
    <w:rsid w:val="0EC08ADC"/>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4ED59"/>
    <w:rsid w:val="18954B85"/>
    <w:rsid w:val="18A67ACD"/>
    <w:rsid w:val="18B4A8BD"/>
    <w:rsid w:val="18B51D6D"/>
    <w:rsid w:val="18B5D178"/>
    <w:rsid w:val="18C51209"/>
    <w:rsid w:val="18DD9C63"/>
    <w:rsid w:val="18EB8C4E"/>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6FE8B4"/>
    <w:rsid w:val="398BFB24"/>
    <w:rsid w:val="399B0AAC"/>
    <w:rsid w:val="39B24CA4"/>
    <w:rsid w:val="39D8A716"/>
    <w:rsid w:val="3A17D513"/>
    <w:rsid w:val="3A251964"/>
    <w:rsid w:val="3A34C6AE"/>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820A71"/>
    <w:rsid w:val="4E892733"/>
    <w:rsid w:val="4E91AB36"/>
    <w:rsid w:val="4EA1AE60"/>
    <w:rsid w:val="4F13DE5F"/>
    <w:rsid w:val="4F1F5E35"/>
    <w:rsid w:val="4F2128BA"/>
    <w:rsid w:val="4F31AB56"/>
    <w:rsid w:val="4F37D274"/>
    <w:rsid w:val="4F44836C"/>
    <w:rsid w:val="4F4BE4FC"/>
    <w:rsid w:val="4F4C1371"/>
    <w:rsid w:val="4F70708F"/>
    <w:rsid w:val="4F72A1DA"/>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D473"/>
    <w:rsid w:val="644307FD"/>
    <w:rsid w:val="644993F3"/>
    <w:rsid w:val="64621BCC"/>
    <w:rsid w:val="64715B15"/>
    <w:rsid w:val="64ABF74F"/>
    <w:rsid w:val="64B01A9C"/>
    <w:rsid w:val="64B339B5"/>
    <w:rsid w:val="64BFE29F"/>
    <w:rsid w:val="64C93766"/>
    <w:rsid w:val="64DE6510"/>
    <w:rsid w:val="64E0600F"/>
    <w:rsid w:val="64F53D22"/>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9EBD9F"/>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EE6D1208-C222-437E-8154-7A2E0963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485565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887657">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72087168">
      <w:bodyDiv w:val="1"/>
      <w:marLeft w:val="0"/>
      <w:marRight w:val="0"/>
      <w:marTop w:val="0"/>
      <w:marBottom w:val="0"/>
      <w:divBdr>
        <w:top w:val="none" w:sz="0" w:space="0" w:color="auto"/>
        <w:left w:val="none" w:sz="0" w:space="0" w:color="auto"/>
        <w:bottom w:val="none" w:sz="0" w:space="0" w:color="auto"/>
        <w:right w:val="none" w:sz="0" w:space="0" w:color="auto"/>
      </w:divBdr>
      <w:divsChild>
        <w:div w:id="881403055">
          <w:marLeft w:val="0"/>
          <w:marRight w:val="0"/>
          <w:marTop w:val="0"/>
          <w:marBottom w:val="0"/>
          <w:divBdr>
            <w:top w:val="none" w:sz="0" w:space="0" w:color="auto"/>
            <w:left w:val="none" w:sz="0" w:space="0" w:color="auto"/>
            <w:bottom w:val="none" w:sz="0" w:space="0" w:color="auto"/>
            <w:right w:val="none" w:sz="0" w:space="0" w:color="auto"/>
          </w:divBdr>
          <w:divsChild>
            <w:div w:id="221871274">
              <w:marLeft w:val="0"/>
              <w:marRight w:val="0"/>
              <w:marTop w:val="0"/>
              <w:marBottom w:val="0"/>
              <w:divBdr>
                <w:top w:val="none" w:sz="0" w:space="0" w:color="auto"/>
                <w:left w:val="none" w:sz="0" w:space="0" w:color="auto"/>
                <w:bottom w:val="none" w:sz="0" w:space="0" w:color="auto"/>
                <w:right w:val="none" w:sz="0" w:space="0" w:color="auto"/>
              </w:divBdr>
            </w:div>
            <w:div w:id="1267617588">
              <w:marLeft w:val="0"/>
              <w:marRight w:val="0"/>
              <w:marTop w:val="0"/>
              <w:marBottom w:val="0"/>
              <w:divBdr>
                <w:top w:val="none" w:sz="0" w:space="0" w:color="auto"/>
                <w:left w:val="none" w:sz="0" w:space="0" w:color="auto"/>
                <w:bottom w:val="none" w:sz="0" w:space="0" w:color="auto"/>
                <w:right w:val="none" w:sz="0" w:space="0" w:color="auto"/>
              </w:divBdr>
            </w:div>
            <w:div w:id="1660185847">
              <w:marLeft w:val="0"/>
              <w:marRight w:val="0"/>
              <w:marTop w:val="0"/>
              <w:marBottom w:val="0"/>
              <w:divBdr>
                <w:top w:val="none" w:sz="0" w:space="0" w:color="auto"/>
                <w:left w:val="none" w:sz="0" w:space="0" w:color="auto"/>
                <w:bottom w:val="none" w:sz="0" w:space="0" w:color="auto"/>
                <w:right w:val="none" w:sz="0" w:space="0" w:color="auto"/>
              </w:divBdr>
            </w:div>
            <w:div w:id="1977027346">
              <w:marLeft w:val="0"/>
              <w:marRight w:val="0"/>
              <w:marTop w:val="0"/>
              <w:marBottom w:val="0"/>
              <w:divBdr>
                <w:top w:val="none" w:sz="0" w:space="0" w:color="auto"/>
                <w:left w:val="none" w:sz="0" w:space="0" w:color="auto"/>
                <w:bottom w:val="none" w:sz="0" w:space="0" w:color="auto"/>
                <w:right w:val="none" w:sz="0" w:space="0" w:color="auto"/>
              </w:divBdr>
            </w:div>
          </w:divsChild>
        </w:div>
        <w:div w:id="1602179709">
          <w:marLeft w:val="0"/>
          <w:marRight w:val="0"/>
          <w:marTop w:val="0"/>
          <w:marBottom w:val="0"/>
          <w:divBdr>
            <w:top w:val="none" w:sz="0" w:space="0" w:color="auto"/>
            <w:left w:val="none" w:sz="0" w:space="0" w:color="auto"/>
            <w:bottom w:val="none" w:sz="0" w:space="0" w:color="auto"/>
            <w:right w:val="none" w:sz="0" w:space="0" w:color="auto"/>
          </w:divBdr>
          <w:divsChild>
            <w:div w:id="553934540">
              <w:marLeft w:val="0"/>
              <w:marRight w:val="0"/>
              <w:marTop w:val="0"/>
              <w:marBottom w:val="0"/>
              <w:divBdr>
                <w:top w:val="none" w:sz="0" w:space="0" w:color="auto"/>
                <w:left w:val="none" w:sz="0" w:space="0" w:color="auto"/>
                <w:bottom w:val="none" w:sz="0" w:space="0" w:color="auto"/>
                <w:right w:val="none" w:sz="0" w:space="0" w:color="auto"/>
              </w:divBdr>
            </w:div>
            <w:div w:id="1052969020">
              <w:marLeft w:val="0"/>
              <w:marRight w:val="0"/>
              <w:marTop w:val="0"/>
              <w:marBottom w:val="0"/>
              <w:divBdr>
                <w:top w:val="none" w:sz="0" w:space="0" w:color="auto"/>
                <w:left w:val="none" w:sz="0" w:space="0" w:color="auto"/>
                <w:bottom w:val="none" w:sz="0" w:space="0" w:color="auto"/>
                <w:right w:val="none" w:sz="0" w:space="0" w:color="auto"/>
              </w:divBdr>
            </w:div>
            <w:div w:id="173665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9495017">
      <w:bodyDiv w:val="1"/>
      <w:marLeft w:val="0"/>
      <w:marRight w:val="0"/>
      <w:marTop w:val="0"/>
      <w:marBottom w:val="0"/>
      <w:divBdr>
        <w:top w:val="none" w:sz="0" w:space="0" w:color="auto"/>
        <w:left w:val="none" w:sz="0" w:space="0" w:color="auto"/>
        <w:bottom w:val="none" w:sz="0" w:space="0" w:color="auto"/>
        <w:right w:val="none" w:sz="0" w:space="0" w:color="auto"/>
      </w:divBdr>
      <w:divsChild>
        <w:div w:id="323171954">
          <w:marLeft w:val="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11007630">
      <w:bodyDiv w:val="1"/>
      <w:marLeft w:val="0"/>
      <w:marRight w:val="0"/>
      <w:marTop w:val="0"/>
      <w:marBottom w:val="0"/>
      <w:divBdr>
        <w:top w:val="none" w:sz="0" w:space="0" w:color="auto"/>
        <w:left w:val="none" w:sz="0" w:space="0" w:color="auto"/>
        <w:bottom w:val="none" w:sz="0" w:space="0" w:color="auto"/>
        <w:right w:val="none" w:sz="0" w:space="0" w:color="auto"/>
      </w:divBdr>
      <w:divsChild>
        <w:div w:id="755908737">
          <w:marLeft w:val="0"/>
          <w:marRight w:val="0"/>
          <w:marTop w:val="0"/>
          <w:marBottom w:val="0"/>
          <w:divBdr>
            <w:top w:val="none" w:sz="0" w:space="0" w:color="auto"/>
            <w:left w:val="none" w:sz="0" w:space="0" w:color="auto"/>
            <w:bottom w:val="none" w:sz="0" w:space="0" w:color="auto"/>
            <w:right w:val="none" w:sz="0" w:space="0" w:color="auto"/>
          </w:divBdr>
          <w:divsChild>
            <w:div w:id="338001659">
              <w:marLeft w:val="0"/>
              <w:marRight w:val="0"/>
              <w:marTop w:val="0"/>
              <w:marBottom w:val="0"/>
              <w:divBdr>
                <w:top w:val="none" w:sz="0" w:space="0" w:color="auto"/>
                <w:left w:val="none" w:sz="0" w:space="0" w:color="auto"/>
                <w:bottom w:val="none" w:sz="0" w:space="0" w:color="auto"/>
                <w:right w:val="none" w:sz="0" w:space="0" w:color="auto"/>
              </w:divBdr>
            </w:div>
            <w:div w:id="638805167">
              <w:marLeft w:val="0"/>
              <w:marRight w:val="0"/>
              <w:marTop w:val="0"/>
              <w:marBottom w:val="0"/>
              <w:divBdr>
                <w:top w:val="none" w:sz="0" w:space="0" w:color="auto"/>
                <w:left w:val="none" w:sz="0" w:space="0" w:color="auto"/>
                <w:bottom w:val="none" w:sz="0" w:space="0" w:color="auto"/>
                <w:right w:val="none" w:sz="0" w:space="0" w:color="auto"/>
              </w:divBdr>
            </w:div>
          </w:divsChild>
        </w:div>
        <w:div w:id="1357929604">
          <w:marLeft w:val="0"/>
          <w:marRight w:val="0"/>
          <w:marTop w:val="0"/>
          <w:marBottom w:val="0"/>
          <w:divBdr>
            <w:top w:val="none" w:sz="0" w:space="0" w:color="auto"/>
            <w:left w:val="none" w:sz="0" w:space="0" w:color="auto"/>
            <w:bottom w:val="none" w:sz="0" w:space="0" w:color="auto"/>
            <w:right w:val="none" w:sz="0" w:space="0" w:color="auto"/>
          </w:divBdr>
          <w:divsChild>
            <w:div w:id="967324728">
              <w:marLeft w:val="0"/>
              <w:marRight w:val="0"/>
              <w:marTop w:val="0"/>
              <w:marBottom w:val="0"/>
              <w:divBdr>
                <w:top w:val="none" w:sz="0" w:space="0" w:color="auto"/>
                <w:left w:val="none" w:sz="0" w:space="0" w:color="auto"/>
                <w:bottom w:val="none" w:sz="0" w:space="0" w:color="auto"/>
                <w:right w:val="none" w:sz="0" w:space="0" w:color="auto"/>
              </w:divBdr>
            </w:div>
          </w:divsChild>
        </w:div>
        <w:div w:id="1525244914">
          <w:marLeft w:val="0"/>
          <w:marRight w:val="0"/>
          <w:marTop w:val="0"/>
          <w:marBottom w:val="0"/>
          <w:divBdr>
            <w:top w:val="none" w:sz="0" w:space="0" w:color="auto"/>
            <w:left w:val="none" w:sz="0" w:space="0" w:color="auto"/>
            <w:bottom w:val="none" w:sz="0" w:space="0" w:color="auto"/>
            <w:right w:val="none" w:sz="0" w:space="0" w:color="auto"/>
          </w:divBdr>
          <w:divsChild>
            <w:div w:id="45691695">
              <w:marLeft w:val="0"/>
              <w:marRight w:val="0"/>
              <w:marTop w:val="0"/>
              <w:marBottom w:val="0"/>
              <w:divBdr>
                <w:top w:val="none" w:sz="0" w:space="0" w:color="auto"/>
                <w:left w:val="none" w:sz="0" w:space="0" w:color="auto"/>
                <w:bottom w:val="none" w:sz="0" w:space="0" w:color="auto"/>
                <w:right w:val="none" w:sz="0" w:space="0" w:color="auto"/>
              </w:divBdr>
            </w:div>
            <w:div w:id="674571289">
              <w:marLeft w:val="0"/>
              <w:marRight w:val="0"/>
              <w:marTop w:val="0"/>
              <w:marBottom w:val="0"/>
              <w:divBdr>
                <w:top w:val="none" w:sz="0" w:space="0" w:color="auto"/>
                <w:left w:val="none" w:sz="0" w:space="0" w:color="auto"/>
                <w:bottom w:val="none" w:sz="0" w:space="0" w:color="auto"/>
                <w:right w:val="none" w:sz="0" w:space="0" w:color="auto"/>
              </w:divBdr>
            </w:div>
            <w:div w:id="890845455">
              <w:marLeft w:val="0"/>
              <w:marRight w:val="0"/>
              <w:marTop w:val="0"/>
              <w:marBottom w:val="0"/>
              <w:divBdr>
                <w:top w:val="none" w:sz="0" w:space="0" w:color="auto"/>
                <w:left w:val="none" w:sz="0" w:space="0" w:color="auto"/>
                <w:bottom w:val="none" w:sz="0" w:space="0" w:color="auto"/>
                <w:right w:val="none" w:sz="0" w:space="0" w:color="auto"/>
              </w:divBdr>
            </w:div>
            <w:div w:id="16468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766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3_Iu/TSGR3_112-e/Docs/R3-212974.zip"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3_Iu/TSGR3_112-e/Docs/R3-2129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5AIRPNAIUNRU-1830940522-11347</_dlc_DocId>
    <_dlc_DocIdUrl xmlns="71c5aaf6-e6ce-465b-b873-5148d2a4c105">
      <Url>https://nokia.sharepoint.com/sites/c5g/5gradio/_layouts/15/DocIdRedir.aspx?ID=5AIRPNAIUNRU-1830940522-11347</Url>
      <Description>5AIRPNAIUNRU-1830940522-11347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ebabf6ce-2443-438c-9946-ecc878e7654a"/>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1617</Words>
  <Characters>9223</Characters>
  <Application>Microsoft Office Word</Application>
  <DocSecurity>0</DocSecurity>
  <Lines>76</Lines>
  <Paragraphs>21</Paragraphs>
  <ScaleCrop>false</ScaleCrop>
  <Company>Nokia &amp; NSN</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2016-06-20T21:35:00Z</cp:lastPrinted>
  <dcterms:created xsi:type="dcterms:W3CDTF">2021-08-06T18:11:00Z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15192149-03c3-4125-bc25-8cdb23d4ef47</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