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116958DE" w:rsidR="00E03E1D" w:rsidRPr="0067142E" w:rsidRDefault="00E03E1D" w:rsidP="00E03E1D">
      <w:pPr>
        <w:tabs>
          <w:tab w:val="right" w:pos="9216"/>
        </w:tabs>
        <w:jc w:val="left"/>
        <w:rPr>
          <w:rFonts w:cs="Times New Roman"/>
          <w:b/>
          <w:kern w:val="2"/>
          <w:lang w:val="en-GB"/>
        </w:rPr>
      </w:pPr>
      <w:r w:rsidRPr="0067142E">
        <w:rPr>
          <w:rFonts w:cs="Times New Roman"/>
          <w:b/>
          <w:kern w:val="2"/>
          <w:lang w:val="en-GB"/>
        </w:rPr>
        <w:t xml:space="preserve">3GPP TSG RAN WG1 </w:t>
      </w:r>
      <w:r w:rsidR="0004513C">
        <w:rPr>
          <w:rFonts w:cs="Times New Roman"/>
          <w:b/>
          <w:kern w:val="2"/>
          <w:lang w:val="en-GB"/>
        </w:rPr>
        <w:t>M</w:t>
      </w:r>
      <w:r w:rsidR="0012321A">
        <w:rPr>
          <w:rFonts w:cs="Times New Roman"/>
          <w:b/>
          <w:kern w:val="2"/>
          <w:lang w:val="en-GB"/>
        </w:rPr>
        <w:t xml:space="preserve">eeting </w:t>
      </w:r>
      <w:r w:rsidRPr="0067142E">
        <w:rPr>
          <w:rFonts w:cs="Times New Roman"/>
          <w:b/>
          <w:kern w:val="2"/>
          <w:lang w:val="en-GB"/>
        </w:rPr>
        <w:t>#10</w:t>
      </w:r>
      <w:r w:rsidR="00733CF4">
        <w:rPr>
          <w:rFonts w:cs="Times New Roman"/>
          <w:b/>
          <w:kern w:val="2"/>
          <w:lang w:val="en-GB"/>
        </w:rPr>
        <w:t>6</w:t>
      </w:r>
      <w:r w:rsidRPr="0067142E">
        <w:rPr>
          <w:rFonts w:cs="Times New Roman"/>
          <w:b/>
          <w:kern w:val="2"/>
          <w:lang w:val="en-GB"/>
        </w:rPr>
        <w:t>-e</w:t>
      </w:r>
      <w:r w:rsidRPr="0067142E">
        <w:rPr>
          <w:rFonts w:cs="Times New Roman"/>
          <w:b/>
          <w:kern w:val="2"/>
          <w:lang w:val="en-GB"/>
        </w:rPr>
        <w:tab/>
      </w:r>
      <w:r w:rsidR="0012321A" w:rsidRPr="0012321A">
        <w:rPr>
          <w:rFonts w:cs="Times New Roman"/>
          <w:b/>
          <w:kern w:val="2"/>
          <w:lang w:val="en-GB"/>
        </w:rPr>
        <w:t>R1-2106463</w:t>
      </w:r>
    </w:p>
    <w:p w14:paraId="44443533" w14:textId="4A24D83C" w:rsidR="00E03E1D" w:rsidRPr="0067142E" w:rsidRDefault="00DC21D7" w:rsidP="00E03E1D">
      <w:pPr>
        <w:tabs>
          <w:tab w:val="right" w:pos="9216"/>
        </w:tabs>
        <w:spacing w:afterLines="50" w:after="156"/>
        <w:jc w:val="left"/>
        <w:rPr>
          <w:rFonts w:cs="Times New Roman"/>
          <w:b/>
          <w:kern w:val="2"/>
          <w:lang w:val="en-GB"/>
        </w:rPr>
      </w:pPr>
      <w:r>
        <w:rPr>
          <w:rFonts w:cs="Times New Roman"/>
          <w:b/>
          <w:kern w:val="2"/>
        </w:rPr>
        <w:t>E</w:t>
      </w:r>
      <w:r w:rsidR="00E03E1D" w:rsidRPr="0067142E">
        <w:rPr>
          <w:rFonts w:cs="Times New Roman"/>
          <w:b/>
          <w:kern w:val="2"/>
        </w:rPr>
        <w:t>-</w:t>
      </w:r>
      <w:r>
        <w:rPr>
          <w:rFonts w:cs="Times New Roman"/>
          <w:b/>
          <w:kern w:val="2"/>
        </w:rPr>
        <w:t>m</w:t>
      </w:r>
      <w:r w:rsidR="00CF7D8E" w:rsidRPr="0067142E">
        <w:rPr>
          <w:rFonts w:cs="Times New Roman"/>
          <w:b/>
          <w:kern w:val="2"/>
        </w:rPr>
        <w:t>eeting</w:t>
      </w:r>
      <w:r w:rsidR="00E03E1D" w:rsidRPr="0067142E">
        <w:rPr>
          <w:rFonts w:cs="Times New Roman"/>
          <w:b/>
          <w:kern w:val="2"/>
        </w:rPr>
        <w:t xml:space="preserve">, </w:t>
      </w:r>
      <w:r w:rsidR="004A1D17">
        <w:rPr>
          <w:rFonts w:cs="Times New Roman"/>
          <w:b/>
          <w:kern w:val="2"/>
        </w:rPr>
        <w:t>August</w:t>
      </w:r>
      <w:r w:rsidR="00E03E1D" w:rsidRPr="0067142E">
        <w:rPr>
          <w:rFonts w:cs="Times New Roman"/>
          <w:b/>
          <w:kern w:val="2"/>
        </w:rPr>
        <w:t xml:space="preserve"> </w:t>
      </w:r>
      <w:r w:rsidR="004A1D17">
        <w:rPr>
          <w:rFonts w:cs="Times New Roman"/>
          <w:b/>
          <w:kern w:val="2"/>
        </w:rPr>
        <w:t>16</w:t>
      </w:r>
      <w:r w:rsidR="00CF7D8E" w:rsidRPr="00AC2719">
        <w:rPr>
          <w:rFonts w:cs="Times New Roman"/>
          <w:b/>
          <w:kern w:val="2"/>
          <w:vertAlign w:val="superscript"/>
        </w:rPr>
        <w:t>th</w:t>
      </w:r>
      <w:r w:rsidR="00CF7D8E">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431325">
        <w:rPr>
          <w:rFonts w:cs="Times New Roman"/>
          <w:b/>
          <w:kern w:val="2"/>
        </w:rPr>
        <w:t>27</w:t>
      </w:r>
      <w:r w:rsidR="0048744D"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t>8.1.1</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0AC55E54"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t>Enhanc</w:t>
      </w:r>
      <w:r w:rsidR="00BF1F5C">
        <w:rPr>
          <w:rFonts w:cs="Times New Roman"/>
          <w:b/>
          <w:kern w:val="2"/>
          <w:lang w:val="en-GB"/>
        </w:rPr>
        <w:t>ements on multi-beam operation</w:t>
      </w:r>
      <w:r w:rsidR="00DB6A3F">
        <w:rPr>
          <w:rFonts w:cs="Times New Roman"/>
          <w:b/>
          <w:kern w:val="2"/>
          <w:lang w:val="en-GB"/>
        </w:rPr>
        <w:t xml:space="preserve"> in Rel</w:t>
      </w:r>
      <w:r w:rsidR="00DB6A3F">
        <w:rPr>
          <w:rFonts w:asciiTheme="minorEastAsia" w:eastAsiaTheme="minorEastAsia" w:hAnsiTheme="minorEastAsia" w:cs="Times New Roman" w:hint="eastAsia"/>
          <w:b/>
          <w:kern w:val="2"/>
          <w:lang w:val="en-GB"/>
        </w:rPr>
        <w:t>-</w:t>
      </w:r>
      <w:r w:rsidR="00DB6A3F">
        <w:rPr>
          <w:rFonts w:cs="Times New Roman"/>
          <w:b/>
          <w:kern w:val="2"/>
          <w:lang w:val="en-GB"/>
        </w:rPr>
        <w:t>17</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3AFFFBA3" w14:textId="1F25BC93" w:rsidR="00BC1621" w:rsidRDefault="00E03E1D" w:rsidP="00E03E1D">
      <w:pPr>
        <w:rPr>
          <w:rFonts w:cs="Times New Roman"/>
          <w:kern w:val="2"/>
          <w:lang w:val="en-GB"/>
        </w:rPr>
      </w:pPr>
      <w:r w:rsidRPr="0067142E">
        <w:rPr>
          <w:rFonts w:cs="Times New Roman"/>
          <w:kern w:val="2"/>
          <w:lang w:val="en-GB"/>
        </w:rPr>
        <w:t>In this paper, we provide our views on enhancements for multi-beam operation.</w:t>
      </w:r>
    </w:p>
    <w:p w14:paraId="35C5D8BC" w14:textId="77777777" w:rsidR="00CF100E" w:rsidRDefault="00CF100E" w:rsidP="00CF100E">
      <w:pPr>
        <w:pStyle w:val="1"/>
        <w:rPr>
          <w:szCs w:val="20"/>
        </w:rPr>
      </w:pPr>
      <w:r w:rsidRPr="0067142E">
        <w:rPr>
          <w:szCs w:val="20"/>
          <w:lang w:eastAsia="zh-CN"/>
        </w:rPr>
        <w:t>U</w:t>
      </w:r>
      <w:r w:rsidRPr="0067142E">
        <w:rPr>
          <w:szCs w:val="20"/>
        </w:rPr>
        <w:t>nified TCI framework</w:t>
      </w:r>
    </w:p>
    <w:p w14:paraId="02187659" w14:textId="556F276F" w:rsidR="00672CBF" w:rsidRPr="00672CBF" w:rsidRDefault="00672CBF" w:rsidP="00672CBF">
      <w:pPr>
        <w:autoSpaceDE w:val="0"/>
        <w:autoSpaceDN w:val="0"/>
        <w:adjustRightInd w:val="0"/>
        <w:snapToGrid w:val="0"/>
        <w:spacing w:after="120"/>
        <w:rPr>
          <w:rFonts w:cs="Times New Roman"/>
          <w:szCs w:val="22"/>
        </w:rPr>
      </w:pPr>
      <w:r w:rsidRPr="00672CBF">
        <w:rPr>
          <w:rFonts w:cs="Times New Roman" w:hint="eastAsia"/>
          <w:szCs w:val="22"/>
        </w:rPr>
        <w:t>R</w:t>
      </w:r>
      <w:r w:rsidRPr="00672CBF">
        <w:rPr>
          <w:rFonts w:cs="Times New Roman"/>
          <w:szCs w:val="22"/>
        </w:rPr>
        <w:t>egarding unified TCI framework, the following was agreed in RAN1#10</w:t>
      </w:r>
      <w:r w:rsidR="004A1D17">
        <w:rPr>
          <w:rFonts w:cs="Times New Roman"/>
          <w:szCs w:val="22"/>
        </w:rPr>
        <w:t>5</w:t>
      </w:r>
      <w:r w:rsidRPr="00672CBF">
        <w:rPr>
          <w:rFonts w:cs="Times New Roman"/>
          <w:szCs w:val="22"/>
        </w:rPr>
        <w:t>-e:</w:t>
      </w:r>
    </w:p>
    <w:tbl>
      <w:tblPr>
        <w:tblStyle w:val="a6"/>
        <w:tblW w:w="0" w:type="auto"/>
        <w:tblLook w:val="04A0" w:firstRow="1" w:lastRow="0" w:firstColumn="1" w:lastColumn="0" w:noHBand="0" w:noVBand="1"/>
      </w:tblPr>
      <w:tblGrid>
        <w:gridCol w:w="8296"/>
      </w:tblGrid>
      <w:tr w:rsidR="00672CBF" w:rsidRPr="0019056C" w14:paraId="7D808B73" w14:textId="77777777" w:rsidTr="00672CBF">
        <w:tc>
          <w:tcPr>
            <w:tcW w:w="8296" w:type="dxa"/>
          </w:tcPr>
          <w:p w14:paraId="74113B8B" w14:textId="77777777" w:rsidR="00057EAF" w:rsidRPr="0019056C" w:rsidRDefault="00057EAF" w:rsidP="00A9232A">
            <w:pPr>
              <w:snapToGrid w:val="0"/>
              <w:rPr>
                <w:rFonts w:cs="Times"/>
                <w:bCs/>
                <w:sz w:val="20"/>
                <w:szCs w:val="20"/>
                <w:highlight w:val="green"/>
              </w:rPr>
            </w:pPr>
            <w:r w:rsidRPr="0019056C">
              <w:rPr>
                <w:rFonts w:cs="Times"/>
                <w:bCs/>
                <w:sz w:val="20"/>
                <w:szCs w:val="20"/>
                <w:highlight w:val="green"/>
              </w:rPr>
              <w:t>Agreement</w:t>
            </w:r>
          </w:p>
          <w:p w14:paraId="542629EC" w14:textId="77777777" w:rsidR="00057EAF" w:rsidRPr="0019056C" w:rsidRDefault="00057EAF">
            <w:pPr>
              <w:snapToGrid w:val="0"/>
              <w:rPr>
                <w:rFonts w:cs="Times"/>
                <w:sz w:val="20"/>
                <w:szCs w:val="20"/>
              </w:rPr>
            </w:pPr>
            <w:r w:rsidRPr="0019056C">
              <w:rPr>
                <w:rFonts w:cs="Times"/>
                <w:sz w:val="20"/>
                <w:szCs w:val="20"/>
              </w:rPr>
              <w:t>On path-loss measurement for Rel.17 unified TCI framework</w:t>
            </w:r>
            <w:r w:rsidRPr="0019056C">
              <w:rPr>
                <w:rFonts w:cs="Times"/>
                <w:sz w:val="20"/>
                <w:szCs w:val="20"/>
                <w:lang w:eastAsia="ja-JP"/>
              </w:rPr>
              <w:t>, a PL-RS (configured for path-loss calculation) is either included in</w:t>
            </w:r>
            <w:r w:rsidRPr="0019056C">
              <w:rPr>
                <w:rStyle w:val="apple-converted-space"/>
                <w:rFonts w:cs="Times"/>
                <w:sz w:val="20"/>
                <w:szCs w:val="20"/>
                <w:lang w:eastAsia="ja-JP"/>
              </w:rPr>
              <w:t> </w:t>
            </w:r>
            <w:r w:rsidRPr="0019056C">
              <w:rPr>
                <w:rStyle w:val="apple-converted-space"/>
                <w:rFonts w:cs="Times"/>
                <w:sz w:val="20"/>
                <w:szCs w:val="20"/>
              </w:rPr>
              <w:t xml:space="preserve">UL </w:t>
            </w:r>
            <w:r w:rsidRPr="0019056C">
              <w:rPr>
                <w:rStyle w:val="apple-converted-space"/>
                <w:rFonts w:cs="Times"/>
                <w:sz w:val="20"/>
                <w:szCs w:val="20"/>
                <w:lang w:eastAsia="ja-JP"/>
              </w:rPr>
              <w:t>TCI state</w:t>
            </w:r>
            <w:r w:rsidRPr="0019056C">
              <w:rPr>
                <w:rStyle w:val="apple-converted-space"/>
                <w:rFonts w:cs="Times"/>
                <w:sz w:val="20"/>
                <w:szCs w:val="20"/>
              </w:rPr>
              <w:t xml:space="preserve"> or (if applicable) joint TCI state</w:t>
            </w:r>
            <w:r w:rsidRPr="0019056C">
              <w:rPr>
                <w:rStyle w:val="apple-converted-space"/>
                <w:rFonts w:cs="Times"/>
                <w:sz w:val="20"/>
                <w:szCs w:val="20"/>
                <w:lang w:eastAsia="ja-JP"/>
              </w:rPr>
              <w:t xml:space="preserve"> or associated with </w:t>
            </w:r>
            <w:r w:rsidRPr="0019056C">
              <w:rPr>
                <w:rFonts w:cs="Times"/>
                <w:sz w:val="20"/>
                <w:szCs w:val="20"/>
                <w:lang w:eastAsia="ja-JP"/>
              </w:rPr>
              <w:t>UL TCI state or (if applicable) joint TCI state.</w:t>
            </w:r>
          </w:p>
          <w:p w14:paraId="57232843" w14:textId="77777777" w:rsidR="00057EAF" w:rsidRPr="0019056C" w:rsidRDefault="00057EAF">
            <w:pPr>
              <w:pStyle w:val="a3"/>
              <w:numPr>
                <w:ilvl w:val="0"/>
                <w:numId w:val="24"/>
              </w:numPr>
              <w:snapToGrid w:val="0"/>
              <w:ind w:firstLineChars="0"/>
              <w:rPr>
                <w:rFonts w:cs="Times"/>
                <w:sz w:val="20"/>
                <w:szCs w:val="20"/>
                <w:lang w:eastAsia="ko-KR"/>
              </w:rPr>
            </w:pPr>
            <w:r w:rsidRPr="0019056C">
              <w:rPr>
                <w:rStyle w:val="msoins0"/>
                <w:rFonts w:cs="Times"/>
                <w:sz w:val="20"/>
                <w:szCs w:val="20"/>
              </w:rPr>
              <w:t>Whether a UE supports “beam misalignment or not” (detailed definition FFS)</w:t>
            </w:r>
            <w:r w:rsidRPr="0019056C">
              <w:rPr>
                <w:rStyle w:val="apple-converted-space"/>
                <w:rFonts w:cs="Times"/>
                <w:sz w:val="20"/>
                <w:szCs w:val="20"/>
              </w:rPr>
              <w:t> </w:t>
            </w:r>
            <w:r w:rsidRPr="0019056C">
              <w:rPr>
                <w:rStyle w:val="msoins0"/>
                <w:rFonts w:cs="Times"/>
                <w:sz w:val="20"/>
                <w:szCs w:val="20"/>
              </w:rPr>
              <w:t>between</w:t>
            </w:r>
            <w:r w:rsidRPr="0019056C">
              <w:rPr>
                <w:rStyle w:val="apple-converted-space"/>
                <w:rFonts w:cs="Times"/>
                <w:sz w:val="20"/>
                <w:szCs w:val="20"/>
              </w:rPr>
              <w:t> the</w:t>
            </w:r>
            <w:r w:rsidRPr="0019056C">
              <w:rPr>
                <w:rFonts w:cs="Times"/>
                <w:sz w:val="20"/>
                <w:szCs w:val="20"/>
              </w:rPr>
              <w:t xml:space="preserve"> DL source RS in</w:t>
            </w:r>
            <w:r w:rsidRPr="0019056C">
              <w:rPr>
                <w:rStyle w:val="apple-converted-space"/>
                <w:rFonts w:cs="Times"/>
                <w:sz w:val="20"/>
                <w:szCs w:val="20"/>
              </w:rPr>
              <w:t> </w:t>
            </w:r>
            <w:r w:rsidRPr="0019056C">
              <w:rPr>
                <w:rFonts w:cs="Times"/>
                <w:sz w:val="20"/>
                <w:szCs w:val="20"/>
              </w:rPr>
              <w:t>the UL or (if applicable) joint TCI state</w:t>
            </w:r>
            <w:r w:rsidRPr="0019056C">
              <w:rPr>
                <w:rStyle w:val="apple-converted-space"/>
                <w:rFonts w:cs="Times"/>
                <w:sz w:val="20"/>
                <w:szCs w:val="20"/>
              </w:rPr>
              <w:t> </w:t>
            </w:r>
            <w:r w:rsidRPr="0019056C">
              <w:rPr>
                <w:rFonts w:cs="Times"/>
                <w:sz w:val="20"/>
                <w:szCs w:val="20"/>
              </w:rPr>
              <w:t>to provide spatial relation indication and the PL-RS is a UE capability</w:t>
            </w:r>
          </w:p>
          <w:p w14:paraId="7ACC70E5" w14:textId="77777777" w:rsidR="00057EAF" w:rsidRPr="0019056C" w:rsidRDefault="00057EAF">
            <w:pPr>
              <w:pStyle w:val="a3"/>
              <w:numPr>
                <w:ilvl w:val="1"/>
                <w:numId w:val="24"/>
              </w:numPr>
              <w:snapToGrid w:val="0"/>
              <w:ind w:firstLineChars="0"/>
              <w:rPr>
                <w:rFonts w:cs="Times"/>
                <w:sz w:val="20"/>
                <w:szCs w:val="20"/>
                <w:lang w:eastAsia="ko-KR"/>
              </w:rPr>
            </w:pPr>
            <w:r w:rsidRPr="0019056C">
              <w:rPr>
                <w:rFonts w:cs="Times"/>
                <w:sz w:val="20"/>
                <w:szCs w:val="20"/>
              </w:rPr>
              <w:t>Note: The term “</w:t>
            </w:r>
            <w:r w:rsidRPr="0019056C">
              <w:rPr>
                <w:rStyle w:val="msoins0"/>
                <w:rFonts w:cs="Times"/>
                <w:sz w:val="20"/>
                <w:szCs w:val="20"/>
              </w:rPr>
              <w:t>beam misalignment</w:t>
            </w:r>
            <w:r w:rsidRPr="0019056C">
              <w:rPr>
                <w:rFonts w:cs="Times"/>
                <w:sz w:val="20"/>
                <w:szCs w:val="20"/>
              </w:rPr>
              <w:t>” is for discussion purpose only</w:t>
            </w:r>
          </w:p>
          <w:p w14:paraId="10140A3D" w14:textId="77777777" w:rsidR="00057EAF" w:rsidRPr="0019056C" w:rsidRDefault="00057EAF">
            <w:pPr>
              <w:pStyle w:val="a3"/>
              <w:numPr>
                <w:ilvl w:val="0"/>
                <w:numId w:val="24"/>
              </w:numPr>
              <w:snapToGrid w:val="0"/>
              <w:ind w:firstLineChars="0"/>
              <w:rPr>
                <w:rFonts w:cs="Times"/>
                <w:sz w:val="20"/>
                <w:szCs w:val="20"/>
                <w:lang w:eastAsia="ko-KR"/>
              </w:rPr>
            </w:pPr>
            <w:r w:rsidRPr="0019056C">
              <w:rPr>
                <w:rFonts w:cs="Times"/>
                <w:sz w:val="20"/>
                <w:szCs w:val="20"/>
              </w:rPr>
              <w:t>Whether it is ‘included in’ or ‘associated with’ (including the manner it is performed and the signaling) is up to RAN2</w:t>
            </w:r>
          </w:p>
          <w:p w14:paraId="6BD9822D" w14:textId="77777777" w:rsidR="00057EAF" w:rsidRPr="0019056C" w:rsidRDefault="00057EAF">
            <w:pPr>
              <w:numPr>
                <w:ilvl w:val="0"/>
                <w:numId w:val="23"/>
              </w:numPr>
              <w:snapToGrid w:val="0"/>
              <w:rPr>
                <w:rFonts w:cs="Times"/>
                <w:sz w:val="20"/>
                <w:szCs w:val="20"/>
              </w:rPr>
            </w:pPr>
            <w:r w:rsidRPr="0019056C">
              <w:rPr>
                <w:rFonts w:cs="Times"/>
                <w:sz w:val="20"/>
                <w:szCs w:val="20"/>
              </w:rPr>
              <w:t>The UE maintains the PL-RS of the activated UL TCI state or (if applicable) joint TCI state</w:t>
            </w:r>
          </w:p>
          <w:p w14:paraId="1263E526" w14:textId="77777777" w:rsidR="00057EAF" w:rsidRPr="0019056C" w:rsidRDefault="00057EAF">
            <w:pPr>
              <w:numPr>
                <w:ilvl w:val="0"/>
                <w:numId w:val="23"/>
              </w:numPr>
              <w:snapToGrid w:val="0"/>
              <w:rPr>
                <w:rFonts w:cs="Times"/>
                <w:sz w:val="20"/>
                <w:szCs w:val="20"/>
              </w:rPr>
            </w:pPr>
            <w:r w:rsidRPr="0019056C">
              <w:rPr>
                <w:rFonts w:cs="Times"/>
                <w:sz w:val="20"/>
                <w:szCs w:val="20"/>
              </w:rPr>
              <w:t>The maximum number of activated UL TCI states or (if applicable) joint TCI states per band per cell is a UE capability</w:t>
            </w:r>
          </w:p>
          <w:p w14:paraId="1D5A8C64" w14:textId="77777777" w:rsidR="00057EAF" w:rsidRPr="0019056C" w:rsidRDefault="00057EAF">
            <w:pPr>
              <w:numPr>
                <w:ilvl w:val="0"/>
                <w:numId w:val="23"/>
              </w:numPr>
              <w:snapToGrid w:val="0"/>
              <w:rPr>
                <w:rFonts w:cs="Times"/>
                <w:sz w:val="20"/>
                <w:szCs w:val="20"/>
                <w:lang w:eastAsia="ko-KR"/>
              </w:rPr>
            </w:pPr>
            <w:r w:rsidRPr="0019056C">
              <w:rPr>
                <w:rFonts w:cs="Times"/>
                <w:sz w:val="20"/>
                <w:szCs w:val="20"/>
                <w:lang w:eastAsia="ja-JP"/>
              </w:rPr>
              <w:t>FFS: detailed aspects of PL-RS, e.g. CSI-RS type(s), restriction on configuration</w:t>
            </w:r>
          </w:p>
          <w:p w14:paraId="35C8AAE6" w14:textId="77777777" w:rsidR="00057EAF" w:rsidRPr="0019056C" w:rsidRDefault="00057EAF">
            <w:pPr>
              <w:numPr>
                <w:ilvl w:val="0"/>
                <w:numId w:val="23"/>
              </w:numPr>
              <w:snapToGrid w:val="0"/>
              <w:rPr>
                <w:rFonts w:cs="Times"/>
                <w:sz w:val="20"/>
                <w:szCs w:val="20"/>
                <w:lang w:eastAsia="ja-JP"/>
              </w:rPr>
            </w:pPr>
            <w:r w:rsidRPr="0019056C">
              <w:rPr>
                <w:rFonts w:cs="Times"/>
                <w:sz w:val="20"/>
                <w:szCs w:val="20"/>
                <w:lang w:eastAsia="ja-JP"/>
              </w:rPr>
              <w:t>FFS: For the definition of “</w:t>
            </w:r>
            <w:r w:rsidRPr="0019056C">
              <w:rPr>
                <w:rStyle w:val="msoins0"/>
                <w:rFonts w:cs="Times"/>
                <w:sz w:val="20"/>
                <w:szCs w:val="20"/>
              </w:rPr>
              <w:t>beam misalignment</w:t>
            </w:r>
            <w:r w:rsidRPr="0019056C">
              <w:rPr>
                <w:rFonts w:cs="Times"/>
                <w:sz w:val="20"/>
                <w:szCs w:val="20"/>
                <w:lang w:eastAsia="ja-JP"/>
              </w:rPr>
              <w:t xml:space="preserve"> or not”, at least consider the case where the periodic DL source RS in</w:t>
            </w:r>
            <w:r w:rsidRPr="0019056C">
              <w:rPr>
                <w:rFonts w:cs="Times"/>
                <w:sz w:val="20"/>
                <w:szCs w:val="20"/>
              </w:rPr>
              <w:t> </w:t>
            </w:r>
            <w:r w:rsidRPr="0019056C">
              <w:rPr>
                <w:rFonts w:cs="Times"/>
                <w:sz w:val="20"/>
                <w:szCs w:val="20"/>
                <w:lang w:eastAsia="ja-JP"/>
              </w:rPr>
              <w:t>the UL or (if applicable) joint TCI state to provide spatial relation indication is configured/associated as the PL-RS</w:t>
            </w:r>
          </w:p>
          <w:p w14:paraId="6E5119D6" w14:textId="77777777" w:rsidR="00057EAF" w:rsidRPr="0019056C" w:rsidRDefault="00057EAF">
            <w:pPr>
              <w:numPr>
                <w:ilvl w:val="0"/>
                <w:numId w:val="23"/>
              </w:numPr>
              <w:snapToGrid w:val="0"/>
              <w:rPr>
                <w:rFonts w:eastAsia="Malgun Gothic" w:cs="Times"/>
                <w:sz w:val="20"/>
                <w:szCs w:val="20"/>
                <w:lang w:eastAsia="ja-JP"/>
              </w:rPr>
            </w:pPr>
            <w:r w:rsidRPr="0019056C">
              <w:rPr>
                <w:rFonts w:cs="Times"/>
                <w:sz w:val="20"/>
                <w:szCs w:val="20"/>
                <w:lang w:eastAsia="ja-JP"/>
              </w:rPr>
              <w:t>Note: PL-RS is assumed to be periodic</w:t>
            </w:r>
          </w:p>
          <w:p w14:paraId="3859103E" w14:textId="77777777" w:rsidR="00057EAF" w:rsidRPr="0019056C" w:rsidRDefault="00057EAF" w:rsidP="007C3235">
            <w:pPr>
              <w:snapToGrid w:val="0"/>
              <w:rPr>
                <w:sz w:val="20"/>
                <w:szCs w:val="20"/>
              </w:rPr>
            </w:pPr>
          </w:p>
          <w:p w14:paraId="4BD0EAC5" w14:textId="77777777" w:rsidR="00057EAF" w:rsidRPr="0019056C" w:rsidRDefault="00057EAF" w:rsidP="00A9232A">
            <w:pPr>
              <w:snapToGrid w:val="0"/>
              <w:rPr>
                <w:sz w:val="20"/>
                <w:szCs w:val="20"/>
                <w:lang w:eastAsia="ko-KR"/>
              </w:rPr>
            </w:pPr>
            <w:r w:rsidRPr="0019056C">
              <w:rPr>
                <w:sz w:val="20"/>
                <w:szCs w:val="20"/>
                <w:highlight w:val="green"/>
              </w:rPr>
              <w:t>Agreement</w:t>
            </w:r>
          </w:p>
          <w:p w14:paraId="28CB7603" w14:textId="77777777" w:rsidR="00057EAF" w:rsidRPr="0019056C" w:rsidRDefault="00057EAF">
            <w:pPr>
              <w:snapToGrid w:val="0"/>
              <w:rPr>
                <w:sz w:val="20"/>
                <w:szCs w:val="20"/>
              </w:rPr>
            </w:pPr>
            <w:r w:rsidRPr="0019056C">
              <w:rPr>
                <w:sz w:val="20"/>
                <w:szCs w:val="20"/>
              </w:rPr>
              <w:t xml:space="preserve">On Rel.17 unified TCI framework, </w:t>
            </w:r>
          </w:p>
          <w:p w14:paraId="207B20E4" w14:textId="77777777" w:rsidR="00057EAF" w:rsidRPr="0019056C" w:rsidRDefault="00057EAF">
            <w:pPr>
              <w:pStyle w:val="a3"/>
              <w:numPr>
                <w:ilvl w:val="0"/>
                <w:numId w:val="25"/>
              </w:numPr>
              <w:snapToGrid w:val="0"/>
              <w:ind w:firstLineChars="0"/>
              <w:jc w:val="left"/>
              <w:rPr>
                <w:sz w:val="20"/>
                <w:szCs w:val="20"/>
                <w:lang w:eastAsia="en-US"/>
              </w:rPr>
            </w:pPr>
            <w:r w:rsidRPr="0019056C">
              <w:rPr>
                <w:sz w:val="20"/>
                <w:szCs w:val="20"/>
              </w:rPr>
              <w:t>Any DL RS that is a valid target DL RS of a Rel-15/16 TCI state based on the Rel-15/16 QCL rules can be configured as a target DL RS of Rel-17 DL TCI (hence the Rel-17 DL TCI state pool)</w:t>
            </w:r>
          </w:p>
          <w:p w14:paraId="2EA98F77" w14:textId="77777777" w:rsidR="00057EAF" w:rsidRPr="0019056C" w:rsidRDefault="00057EAF">
            <w:pPr>
              <w:pStyle w:val="a3"/>
              <w:numPr>
                <w:ilvl w:val="1"/>
                <w:numId w:val="25"/>
              </w:numPr>
              <w:snapToGrid w:val="0"/>
              <w:ind w:firstLineChars="0"/>
              <w:jc w:val="left"/>
              <w:rPr>
                <w:sz w:val="20"/>
                <w:szCs w:val="20"/>
                <w:lang w:eastAsia="ko-KR"/>
              </w:rPr>
            </w:pPr>
            <w:r w:rsidRPr="0019056C">
              <w:rPr>
                <w:sz w:val="20"/>
                <w:szCs w:val="20"/>
              </w:rPr>
              <w:t>Note: This does not imply that all such DL RSs necessarily share a same TCI state</w:t>
            </w:r>
          </w:p>
          <w:p w14:paraId="39F18A65" w14:textId="77777777" w:rsidR="00057EAF" w:rsidRPr="0019056C" w:rsidRDefault="00057EAF">
            <w:pPr>
              <w:pStyle w:val="a3"/>
              <w:numPr>
                <w:ilvl w:val="1"/>
                <w:numId w:val="25"/>
              </w:numPr>
              <w:snapToGrid w:val="0"/>
              <w:ind w:firstLineChars="0"/>
              <w:jc w:val="left"/>
              <w:rPr>
                <w:sz w:val="20"/>
                <w:szCs w:val="20"/>
                <w:lang w:eastAsia="en-US"/>
              </w:rPr>
            </w:pPr>
            <w:r w:rsidRPr="0019056C">
              <w:rPr>
                <w:sz w:val="20"/>
                <w:szCs w:val="20"/>
              </w:rPr>
              <w:t>The DL RS includes CSI-RS and DMRS for PDSCH or PDCCH</w:t>
            </w:r>
          </w:p>
          <w:p w14:paraId="02570715" w14:textId="77777777" w:rsidR="00057EAF" w:rsidRPr="0019056C" w:rsidRDefault="00057EAF">
            <w:pPr>
              <w:pStyle w:val="a3"/>
              <w:numPr>
                <w:ilvl w:val="0"/>
                <w:numId w:val="25"/>
              </w:numPr>
              <w:snapToGrid w:val="0"/>
              <w:ind w:firstLineChars="0"/>
              <w:jc w:val="left"/>
              <w:rPr>
                <w:sz w:val="20"/>
                <w:szCs w:val="20"/>
                <w:lang w:eastAsia="ko-KR"/>
              </w:rPr>
            </w:pPr>
            <w:r w:rsidRPr="0019056C">
              <w:rPr>
                <w:sz w:val="20"/>
                <w:szCs w:val="20"/>
              </w:rPr>
              <w:t>FFS: Whether some SRS resources or resource sets for BM can be configured as a target signal/channel of a Rel-17 UL TCI (hence the Rel-17 UL TCI state pool)</w:t>
            </w:r>
          </w:p>
          <w:p w14:paraId="5FB7618E" w14:textId="77777777" w:rsidR="00057EAF" w:rsidRDefault="00057EAF">
            <w:pPr>
              <w:pStyle w:val="a3"/>
              <w:numPr>
                <w:ilvl w:val="0"/>
                <w:numId w:val="25"/>
              </w:numPr>
              <w:snapToGrid w:val="0"/>
              <w:ind w:firstLineChars="0"/>
              <w:jc w:val="left"/>
              <w:rPr>
                <w:sz w:val="20"/>
                <w:szCs w:val="20"/>
              </w:rPr>
            </w:pPr>
            <w:r w:rsidRPr="0019056C">
              <w:rPr>
                <w:sz w:val="20"/>
                <w:szCs w:val="20"/>
              </w:rPr>
              <w:t>Note: This does not imply that DL and UL TCI state pools are separate or shared for separate DL/UL TCI (this issue is still TBD)</w:t>
            </w:r>
          </w:p>
          <w:p w14:paraId="62EDB5E4" w14:textId="77777777" w:rsidR="00F061CB" w:rsidRPr="007C3235" w:rsidRDefault="00F061CB" w:rsidP="007C3235">
            <w:pPr>
              <w:snapToGrid w:val="0"/>
              <w:jc w:val="left"/>
              <w:rPr>
                <w:sz w:val="20"/>
                <w:szCs w:val="20"/>
              </w:rPr>
            </w:pPr>
          </w:p>
          <w:p w14:paraId="192675E2" w14:textId="77777777" w:rsidR="00057EAF" w:rsidRPr="0019056C" w:rsidRDefault="00057EAF" w:rsidP="00A9232A">
            <w:pPr>
              <w:snapToGrid w:val="0"/>
              <w:rPr>
                <w:sz w:val="20"/>
                <w:szCs w:val="20"/>
              </w:rPr>
            </w:pPr>
            <w:r w:rsidRPr="0019056C">
              <w:rPr>
                <w:sz w:val="20"/>
                <w:szCs w:val="20"/>
                <w:highlight w:val="green"/>
              </w:rPr>
              <w:t>Agreement</w:t>
            </w:r>
          </w:p>
          <w:p w14:paraId="73851BCA" w14:textId="77777777" w:rsidR="00057EAF" w:rsidRPr="0019056C" w:rsidRDefault="00057EAF">
            <w:pPr>
              <w:snapToGrid w:val="0"/>
              <w:rPr>
                <w:sz w:val="20"/>
                <w:szCs w:val="20"/>
              </w:rPr>
            </w:pPr>
            <w:r w:rsidRPr="0019056C">
              <w:rPr>
                <w:sz w:val="20"/>
                <w:szCs w:val="20"/>
              </w:rPr>
              <w:t>On Rel.17 unified TCI framework, discuss and decide by RAN1#106-e (August 2021)</w:t>
            </w:r>
          </w:p>
          <w:p w14:paraId="54881988" w14:textId="77777777" w:rsidR="00057EAF" w:rsidRPr="0019056C" w:rsidRDefault="00057EAF">
            <w:pPr>
              <w:pStyle w:val="a3"/>
              <w:numPr>
                <w:ilvl w:val="0"/>
                <w:numId w:val="22"/>
              </w:numPr>
              <w:autoSpaceDN w:val="0"/>
              <w:snapToGrid w:val="0"/>
              <w:ind w:firstLineChars="0"/>
              <w:rPr>
                <w:sz w:val="20"/>
                <w:szCs w:val="20"/>
                <w:lang w:eastAsia="en-US"/>
              </w:rPr>
            </w:pPr>
            <w:r w:rsidRPr="0019056C">
              <w:rPr>
                <w:sz w:val="20"/>
                <w:szCs w:val="20"/>
              </w:rPr>
              <w:t>Whether each of the following DL RSs can share the same indicated Rel-17 TCI state as UE-dedicated reception on PDSCH and for UE-dedicated reception on all or subset of CORESETs in a CC</w:t>
            </w:r>
          </w:p>
          <w:p w14:paraId="044847B5" w14:textId="77777777" w:rsidR="00057EAF" w:rsidRPr="0019056C" w:rsidRDefault="00057EAF">
            <w:pPr>
              <w:pStyle w:val="a3"/>
              <w:numPr>
                <w:ilvl w:val="1"/>
                <w:numId w:val="22"/>
              </w:numPr>
              <w:autoSpaceDN w:val="0"/>
              <w:snapToGrid w:val="0"/>
              <w:ind w:firstLineChars="0"/>
              <w:rPr>
                <w:sz w:val="20"/>
                <w:szCs w:val="20"/>
                <w:lang w:eastAsia="ko-KR"/>
              </w:rPr>
            </w:pPr>
            <w:r w:rsidRPr="0019056C">
              <w:rPr>
                <w:sz w:val="20"/>
                <w:szCs w:val="20"/>
              </w:rPr>
              <w:t>CSI-RS resources for CSI</w:t>
            </w:r>
          </w:p>
          <w:p w14:paraId="63F3A14D" w14:textId="77777777" w:rsidR="00057EAF" w:rsidRPr="0019056C" w:rsidRDefault="00057EAF">
            <w:pPr>
              <w:pStyle w:val="a3"/>
              <w:numPr>
                <w:ilvl w:val="1"/>
                <w:numId w:val="22"/>
              </w:numPr>
              <w:autoSpaceDN w:val="0"/>
              <w:snapToGrid w:val="0"/>
              <w:ind w:firstLineChars="0"/>
              <w:rPr>
                <w:sz w:val="20"/>
                <w:szCs w:val="20"/>
                <w:lang w:eastAsia="en-US"/>
              </w:rPr>
            </w:pPr>
            <w:r w:rsidRPr="0019056C">
              <w:rPr>
                <w:sz w:val="20"/>
                <w:szCs w:val="20"/>
              </w:rPr>
              <w:t>Some CSI-RS resources for BM, if so, which ones (e.g. aperiodic, repetition ‘ON’)</w:t>
            </w:r>
          </w:p>
          <w:p w14:paraId="147FE9CE" w14:textId="77777777" w:rsidR="00057EAF" w:rsidRPr="0019056C" w:rsidRDefault="00057EAF">
            <w:pPr>
              <w:pStyle w:val="a3"/>
              <w:numPr>
                <w:ilvl w:val="1"/>
                <w:numId w:val="22"/>
              </w:numPr>
              <w:autoSpaceDN w:val="0"/>
              <w:snapToGrid w:val="0"/>
              <w:ind w:firstLineChars="0"/>
              <w:rPr>
                <w:sz w:val="20"/>
                <w:szCs w:val="20"/>
                <w:lang w:eastAsia="ko-KR"/>
              </w:rPr>
            </w:pPr>
            <w:r w:rsidRPr="0019056C">
              <w:rPr>
                <w:sz w:val="20"/>
                <w:szCs w:val="20"/>
              </w:rPr>
              <w:t>CSI-RS for tracking</w:t>
            </w:r>
          </w:p>
          <w:p w14:paraId="0A394DB8" w14:textId="77777777" w:rsidR="00057EAF" w:rsidRPr="0019056C" w:rsidRDefault="00057EAF">
            <w:pPr>
              <w:pStyle w:val="a3"/>
              <w:numPr>
                <w:ilvl w:val="1"/>
                <w:numId w:val="22"/>
              </w:numPr>
              <w:autoSpaceDN w:val="0"/>
              <w:snapToGrid w:val="0"/>
              <w:ind w:firstLineChars="0"/>
              <w:rPr>
                <w:sz w:val="20"/>
                <w:szCs w:val="20"/>
              </w:rPr>
            </w:pPr>
            <w:r w:rsidRPr="0019056C">
              <w:rPr>
                <w:sz w:val="20"/>
                <w:szCs w:val="20"/>
              </w:rPr>
              <w:lastRenderedPageBreak/>
              <w:t>DMRS(s) associated with non-UE-dedicated reception on PDSCH and all/subset of CORESETs</w:t>
            </w:r>
          </w:p>
          <w:p w14:paraId="53674311" w14:textId="77777777" w:rsidR="00057EAF" w:rsidRPr="0019056C" w:rsidRDefault="00057EAF">
            <w:pPr>
              <w:pStyle w:val="a3"/>
              <w:numPr>
                <w:ilvl w:val="0"/>
                <w:numId w:val="22"/>
              </w:numPr>
              <w:autoSpaceDN w:val="0"/>
              <w:snapToGrid w:val="0"/>
              <w:ind w:firstLineChars="0"/>
              <w:rPr>
                <w:sz w:val="20"/>
                <w:szCs w:val="20"/>
              </w:rPr>
            </w:pPr>
            <w:r w:rsidRPr="0019056C">
              <w:rPr>
                <w:sz w:val="20"/>
                <w:szCs w:val="20"/>
              </w:rPr>
              <w:t>Whether some SRS resources or resource sets for BM can share the same indicated Rel-17 TCI state as dynamic-grant/configured-grant based PUSCH, all or subset of dedicated PUCCH resources in a CC</w:t>
            </w:r>
          </w:p>
          <w:p w14:paraId="3B84B7FF" w14:textId="77777777" w:rsidR="00057EAF" w:rsidRPr="0019056C" w:rsidRDefault="00057EAF">
            <w:pPr>
              <w:snapToGrid w:val="0"/>
              <w:rPr>
                <w:sz w:val="20"/>
                <w:szCs w:val="20"/>
              </w:rPr>
            </w:pPr>
          </w:p>
          <w:p w14:paraId="6D937CCA" w14:textId="77777777" w:rsidR="00057EAF" w:rsidRPr="0019056C" w:rsidRDefault="00057EAF">
            <w:pPr>
              <w:snapToGrid w:val="0"/>
              <w:rPr>
                <w:sz w:val="20"/>
                <w:szCs w:val="20"/>
              </w:rPr>
            </w:pPr>
            <w:r w:rsidRPr="0019056C">
              <w:rPr>
                <w:sz w:val="20"/>
                <w:szCs w:val="20"/>
                <w:highlight w:val="green"/>
              </w:rPr>
              <w:t>Agreement</w:t>
            </w:r>
          </w:p>
          <w:p w14:paraId="4E273257" w14:textId="77777777" w:rsidR="00057EAF" w:rsidRPr="0019056C" w:rsidRDefault="00057EAF">
            <w:pPr>
              <w:snapToGrid w:val="0"/>
              <w:rPr>
                <w:sz w:val="20"/>
                <w:szCs w:val="20"/>
              </w:rPr>
            </w:pPr>
            <w:r w:rsidRPr="0019056C">
              <w:rPr>
                <w:sz w:val="20"/>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50C30F3E" w14:textId="77777777" w:rsidR="00057EAF" w:rsidRPr="0019056C" w:rsidRDefault="00057EAF">
            <w:pPr>
              <w:pStyle w:val="a3"/>
              <w:numPr>
                <w:ilvl w:val="0"/>
                <w:numId w:val="26"/>
              </w:numPr>
              <w:snapToGrid w:val="0"/>
              <w:ind w:firstLineChars="0"/>
              <w:rPr>
                <w:sz w:val="20"/>
                <w:szCs w:val="20"/>
              </w:rPr>
            </w:pPr>
            <w:r w:rsidRPr="0019056C">
              <w:rPr>
                <w:sz w:val="20"/>
                <w:szCs w:val="20"/>
              </w:rPr>
              <w:t xml:space="preserve">Alt1. Rel-15/16 TCI state update signaling/configuration mechanism(s) are reused to update/configure the Rel-17 TCI state </w:t>
            </w:r>
          </w:p>
          <w:p w14:paraId="662C9CFB" w14:textId="77777777" w:rsidR="00057EAF" w:rsidRPr="0019056C" w:rsidRDefault="00057EAF">
            <w:pPr>
              <w:pStyle w:val="a3"/>
              <w:numPr>
                <w:ilvl w:val="0"/>
                <w:numId w:val="26"/>
              </w:numPr>
              <w:snapToGrid w:val="0"/>
              <w:ind w:firstLineChars="0"/>
              <w:rPr>
                <w:sz w:val="20"/>
                <w:szCs w:val="20"/>
              </w:rPr>
            </w:pPr>
            <w:r w:rsidRPr="0019056C">
              <w:rPr>
                <w:sz w:val="20"/>
                <w:szCs w:val="20"/>
              </w:rPr>
              <w:t>Alt2. Rel-17 TCI state update signaling/configuration mechanism(s) are used, e.g. with Rel-17 MAC-CE/DCI-based beam indication for Rel-17 joint/separate TCI</w:t>
            </w:r>
          </w:p>
          <w:p w14:paraId="588F32C2" w14:textId="77777777" w:rsidR="00057EAF" w:rsidRPr="0019056C" w:rsidRDefault="00057EAF">
            <w:pPr>
              <w:snapToGrid w:val="0"/>
              <w:rPr>
                <w:sz w:val="20"/>
                <w:szCs w:val="20"/>
              </w:rPr>
            </w:pPr>
            <w:r w:rsidRPr="0019056C">
              <w:rPr>
                <w:sz w:val="20"/>
                <w:szCs w:val="20"/>
              </w:rPr>
              <w:t>Note: The DL RS includes CSI-RS and DMRS for PDSCH or PDCCH</w:t>
            </w:r>
          </w:p>
          <w:p w14:paraId="089B13B2" w14:textId="77777777" w:rsidR="00057EAF" w:rsidRPr="0019056C" w:rsidRDefault="00057EAF">
            <w:pPr>
              <w:snapToGrid w:val="0"/>
              <w:rPr>
                <w:sz w:val="20"/>
                <w:szCs w:val="20"/>
              </w:rPr>
            </w:pPr>
            <w:r w:rsidRPr="0019056C">
              <w:rPr>
                <w:sz w:val="20"/>
                <w:szCs w:val="20"/>
              </w:rPr>
              <w:t>Note: For some channels/signals, only one of the above two alternatives may apply (to be discussed).</w:t>
            </w:r>
          </w:p>
          <w:p w14:paraId="404F57A0" w14:textId="77777777" w:rsidR="00057EAF" w:rsidRPr="0019056C" w:rsidRDefault="00057EAF">
            <w:pPr>
              <w:snapToGrid w:val="0"/>
              <w:rPr>
                <w:sz w:val="20"/>
                <w:szCs w:val="20"/>
              </w:rPr>
            </w:pPr>
          </w:p>
          <w:p w14:paraId="3EE1654C" w14:textId="77777777" w:rsidR="00057EAF" w:rsidRPr="0019056C" w:rsidRDefault="00057EAF">
            <w:pPr>
              <w:snapToGrid w:val="0"/>
              <w:rPr>
                <w:sz w:val="20"/>
                <w:szCs w:val="20"/>
                <w:highlight w:val="green"/>
              </w:rPr>
            </w:pPr>
            <w:r w:rsidRPr="0019056C">
              <w:rPr>
                <w:sz w:val="20"/>
                <w:szCs w:val="20"/>
                <w:highlight w:val="green"/>
              </w:rPr>
              <w:t>Agreement</w:t>
            </w:r>
          </w:p>
          <w:p w14:paraId="67F7FC15" w14:textId="77777777" w:rsidR="00057EAF" w:rsidRPr="0019056C" w:rsidRDefault="00057EAF">
            <w:pPr>
              <w:snapToGrid w:val="0"/>
              <w:rPr>
                <w:rFonts w:eastAsia="Malgun Gothic"/>
                <w:sz w:val="20"/>
                <w:szCs w:val="20"/>
              </w:rPr>
            </w:pPr>
            <w:r w:rsidRPr="0019056C">
              <w:rPr>
                <w:rFonts w:eastAsia="Malgun Gothic"/>
                <w:sz w:val="20"/>
                <w:szCs w:val="20"/>
              </w:rPr>
              <w:t>On Rel.17 unified TCI framework,</w:t>
            </w:r>
            <w:r w:rsidRPr="0019056C">
              <w:rPr>
                <w:rFonts w:eastAsia="Malgun Gothic"/>
                <w:sz w:val="20"/>
                <w:szCs w:val="20"/>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2F8EABEA" w14:textId="77777777" w:rsidR="00057EAF" w:rsidRPr="0019056C" w:rsidRDefault="00057EAF">
            <w:pPr>
              <w:numPr>
                <w:ilvl w:val="0"/>
                <w:numId w:val="28"/>
              </w:numPr>
              <w:snapToGrid w:val="0"/>
              <w:rPr>
                <w:sz w:val="20"/>
                <w:szCs w:val="20"/>
                <w:shd w:val="clear" w:color="auto" w:fill="FFFFFF"/>
              </w:rPr>
            </w:pPr>
            <w:r w:rsidRPr="0019056C">
              <w:rPr>
                <w:sz w:val="20"/>
                <w:szCs w:val="20"/>
                <w:shd w:val="clear" w:color="auto" w:fill="FFFFFF"/>
              </w:rPr>
              <w:t>The source RS determined from the indicated common TCI state ID to provide QCL Type-D indication and to determine UL TX spatial filter for a target CC can be configured in the target CC or other CC</w:t>
            </w:r>
          </w:p>
          <w:p w14:paraId="0F65F445" w14:textId="77777777" w:rsidR="00057EAF" w:rsidRPr="0019056C" w:rsidRDefault="00057EAF">
            <w:pPr>
              <w:numPr>
                <w:ilvl w:val="0"/>
                <w:numId w:val="28"/>
              </w:numPr>
              <w:snapToGrid w:val="0"/>
              <w:rPr>
                <w:sz w:val="20"/>
                <w:szCs w:val="20"/>
              </w:rPr>
            </w:pPr>
            <w:r w:rsidRPr="0019056C">
              <w:rPr>
                <w:sz w:val="20"/>
                <w:szCs w:val="20"/>
                <w:shd w:val="clear" w:color="auto" w:fill="FFFFFF"/>
              </w:rPr>
              <w:t xml:space="preserve">For intra-band CA, the following configurations can be supported without additional QCL rules: </w:t>
            </w:r>
          </w:p>
          <w:p w14:paraId="5558C0C0" w14:textId="77777777" w:rsidR="00057EAF" w:rsidRPr="0019056C" w:rsidRDefault="00057EAF">
            <w:pPr>
              <w:numPr>
                <w:ilvl w:val="1"/>
                <w:numId w:val="30"/>
              </w:numPr>
              <w:shd w:val="clear" w:color="auto" w:fill="FFFFFF"/>
              <w:snapToGrid w:val="0"/>
              <w:rPr>
                <w:sz w:val="20"/>
                <w:szCs w:val="20"/>
              </w:rPr>
            </w:pPr>
            <w:r w:rsidRPr="0019056C">
              <w:rPr>
                <w:sz w:val="20"/>
                <w:szCs w:val="20"/>
                <w:bdr w:val="none" w:sz="0" w:space="0" w:color="auto" w:frame="1"/>
              </w:rPr>
              <w:t>One source RS across CCs can be </w:t>
            </w:r>
            <w:r w:rsidRPr="0019056C">
              <w:rPr>
                <w:sz w:val="20"/>
                <w:szCs w:val="20"/>
                <w:bdr w:val="none" w:sz="0" w:space="0" w:color="auto" w:frame="1"/>
                <w:shd w:val="clear" w:color="auto" w:fill="FFFFFF"/>
              </w:rPr>
              <w:t>determined from the indicated common TCI state ID to provide QCL Type-D indication and to determine UL TX spatial filter for the set of configured CCs</w:t>
            </w:r>
            <w:r w:rsidRPr="0019056C">
              <w:rPr>
                <w:sz w:val="20"/>
                <w:szCs w:val="20"/>
              </w:rPr>
              <w:t> </w:t>
            </w:r>
          </w:p>
          <w:p w14:paraId="48E75CBE" w14:textId="10096620" w:rsidR="00057EAF" w:rsidRPr="0019056C" w:rsidRDefault="00057EAF">
            <w:pPr>
              <w:numPr>
                <w:ilvl w:val="1"/>
                <w:numId w:val="28"/>
              </w:numPr>
              <w:snapToGrid w:val="0"/>
              <w:rPr>
                <w:sz w:val="20"/>
                <w:szCs w:val="20"/>
              </w:rPr>
            </w:pPr>
            <w:r w:rsidRPr="0019056C">
              <w:rPr>
                <w:sz w:val="20"/>
                <w:szCs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w:t>
            </w:r>
            <w:r w:rsidR="003427D7">
              <w:rPr>
                <w:sz w:val="20"/>
                <w:szCs w:val="20"/>
                <w:bdr w:val="none" w:sz="0" w:space="0" w:color="auto" w:frame="1"/>
                <w:shd w:val="clear" w:color="auto" w:fill="FFFFFF"/>
              </w:rPr>
              <w:t>-</w:t>
            </w:r>
            <w:r w:rsidRPr="0019056C">
              <w:rPr>
                <w:sz w:val="20"/>
                <w:szCs w:val="20"/>
                <w:bdr w:val="none" w:sz="0" w:space="0" w:color="auto" w:frame="1"/>
                <w:shd w:val="clear" w:color="auto" w:fill="FFFFFF"/>
              </w:rPr>
              <w:t>D RS</w:t>
            </w:r>
            <w:r w:rsidRPr="0019056C">
              <w:rPr>
                <w:sz w:val="20"/>
                <w:szCs w:val="20"/>
                <w:bdr w:val="none" w:sz="0" w:space="0" w:color="auto" w:frame="1"/>
              </w:rPr>
              <w:t> </w:t>
            </w:r>
          </w:p>
          <w:p w14:paraId="6EDDBA70" w14:textId="77777777" w:rsidR="00057EAF" w:rsidRPr="0019056C" w:rsidRDefault="00057EAF">
            <w:pPr>
              <w:numPr>
                <w:ilvl w:val="0"/>
                <w:numId w:val="27"/>
              </w:numPr>
              <w:snapToGrid w:val="0"/>
              <w:rPr>
                <w:rFonts w:eastAsia="Malgun Gothic"/>
                <w:strike/>
                <w:sz w:val="20"/>
                <w:szCs w:val="20"/>
                <w:lang w:eastAsia="ja-JP"/>
              </w:rPr>
            </w:pPr>
            <w:r w:rsidRPr="0019056C">
              <w:rPr>
                <w:rFonts w:eastAsia="Malgun Gothic"/>
                <w:sz w:val="20"/>
                <w:szCs w:val="20"/>
                <w:lang w:eastAsia="ja-JP"/>
              </w:rPr>
              <w:t xml:space="preserve">“A set of configured CCs/BWPs” includes all the BWPs in the set of configured CCs </w:t>
            </w:r>
          </w:p>
          <w:p w14:paraId="2B7A3687" w14:textId="77777777" w:rsidR="00F061CB" w:rsidRDefault="00F061CB">
            <w:pPr>
              <w:pStyle w:val="xmsonormal"/>
              <w:snapToGrid w:val="0"/>
              <w:spacing w:before="0" w:beforeAutospacing="0" w:after="0" w:afterAutospacing="0"/>
              <w:jc w:val="both"/>
              <w:rPr>
                <w:b/>
                <w:sz w:val="20"/>
                <w:szCs w:val="20"/>
              </w:rPr>
            </w:pPr>
          </w:p>
          <w:p w14:paraId="2F490755" w14:textId="77777777" w:rsidR="00057EAF" w:rsidRPr="0019056C" w:rsidRDefault="00057EAF">
            <w:pPr>
              <w:pStyle w:val="xmsonormal"/>
              <w:snapToGrid w:val="0"/>
              <w:spacing w:before="0" w:beforeAutospacing="0" w:after="0" w:afterAutospacing="0"/>
              <w:jc w:val="both"/>
              <w:rPr>
                <w:b/>
                <w:sz w:val="20"/>
                <w:szCs w:val="20"/>
              </w:rPr>
            </w:pPr>
            <w:r w:rsidRPr="0019056C">
              <w:rPr>
                <w:b/>
                <w:sz w:val="20"/>
                <w:szCs w:val="20"/>
              </w:rPr>
              <w:t>Conclusion</w:t>
            </w:r>
          </w:p>
          <w:p w14:paraId="1FAB210C" w14:textId="77777777" w:rsidR="00057EAF" w:rsidRPr="0019056C" w:rsidRDefault="00057EAF">
            <w:pPr>
              <w:pStyle w:val="xmsonormal"/>
              <w:snapToGrid w:val="0"/>
              <w:spacing w:before="0" w:beforeAutospacing="0" w:after="0" w:afterAutospacing="0"/>
              <w:jc w:val="both"/>
              <w:rPr>
                <w:sz w:val="20"/>
                <w:szCs w:val="20"/>
              </w:rPr>
            </w:pPr>
            <w:r w:rsidRPr="0019056C">
              <w:rPr>
                <w:sz w:val="20"/>
                <w:szCs w:val="20"/>
              </w:rPr>
              <w:t xml:space="preserve">On Rel-17 unified TCI framework, for a UE configured with both joint TCI and separate DL/UL TCI, configuration of joint TCI or separate DL/UL TCI is based on RRC signaling </w:t>
            </w:r>
          </w:p>
          <w:p w14:paraId="031F82AF" w14:textId="77777777" w:rsidR="00057EAF" w:rsidRPr="0019056C" w:rsidRDefault="00057EAF">
            <w:pPr>
              <w:pStyle w:val="a3"/>
              <w:numPr>
                <w:ilvl w:val="0"/>
                <w:numId w:val="31"/>
              </w:numPr>
              <w:snapToGrid w:val="0"/>
              <w:ind w:firstLineChars="0"/>
              <w:rPr>
                <w:sz w:val="20"/>
                <w:szCs w:val="20"/>
              </w:rPr>
            </w:pPr>
            <w:r w:rsidRPr="0019056C">
              <w:rPr>
                <w:sz w:val="20"/>
                <w:szCs w:val="20"/>
              </w:rPr>
              <w:t>There is no consensus in RAN1 on how to support dynamic switching (either MAC-CE or codepoint based)</w:t>
            </w:r>
          </w:p>
          <w:p w14:paraId="0A8AADCA" w14:textId="77777777" w:rsidR="00F061CB" w:rsidRDefault="00F061CB" w:rsidP="007C3235">
            <w:pPr>
              <w:snapToGrid w:val="0"/>
              <w:rPr>
                <w:rStyle w:val="ac"/>
                <w:rFonts w:cs="Times"/>
                <w:color w:val="000000"/>
                <w:sz w:val="20"/>
                <w:szCs w:val="20"/>
                <w:highlight w:val="green"/>
              </w:rPr>
            </w:pPr>
          </w:p>
          <w:p w14:paraId="6AE52553" w14:textId="77777777" w:rsidR="00057EAF" w:rsidRPr="0019056C" w:rsidRDefault="00057EAF" w:rsidP="007C3235">
            <w:pPr>
              <w:snapToGrid w:val="0"/>
              <w:rPr>
                <w:rFonts w:cs="Times"/>
                <w:sz w:val="20"/>
                <w:szCs w:val="20"/>
              </w:rPr>
            </w:pPr>
            <w:r w:rsidRPr="0019056C">
              <w:rPr>
                <w:rStyle w:val="ac"/>
                <w:rFonts w:cs="Times"/>
                <w:color w:val="000000"/>
                <w:sz w:val="20"/>
                <w:szCs w:val="20"/>
                <w:highlight w:val="green"/>
              </w:rPr>
              <w:t>Agreement</w:t>
            </w:r>
          </w:p>
          <w:p w14:paraId="73D5D25E" w14:textId="77777777" w:rsidR="00057EAF" w:rsidRPr="0019056C" w:rsidRDefault="00057EAF" w:rsidP="00A9232A">
            <w:pPr>
              <w:pStyle w:val="ad"/>
              <w:snapToGrid w:val="0"/>
              <w:spacing w:before="0" w:beforeAutospacing="0" w:after="0" w:afterAutospacing="0"/>
              <w:jc w:val="both"/>
              <w:rPr>
                <w:rFonts w:ascii="Times" w:hAnsi="Times" w:cs="Times"/>
                <w:color w:val="auto"/>
                <w:sz w:val="20"/>
                <w:szCs w:val="20"/>
              </w:rPr>
            </w:pPr>
            <w:r w:rsidRPr="0019056C">
              <w:rPr>
                <w:rFonts w:ascii="Times" w:hAnsi="Times" w:cs="Times"/>
                <w:color w:val="auto"/>
                <w:sz w:val="20"/>
                <w:szCs w:val="20"/>
              </w:rPr>
              <w:t>On the setting of UL PC parameters except for PL-RS (P0, alpha, closed loop index) for Rel.17 unified TCI framework,</w:t>
            </w:r>
          </w:p>
          <w:p w14:paraId="6CF46299" w14:textId="77777777" w:rsidR="00057EAF" w:rsidRPr="0019056C" w:rsidRDefault="00057EAF" w:rsidP="007C3235">
            <w:pPr>
              <w:numPr>
                <w:ilvl w:val="0"/>
                <w:numId w:val="32"/>
              </w:numPr>
              <w:snapToGrid w:val="0"/>
              <w:jc w:val="left"/>
              <w:rPr>
                <w:rFonts w:cs="Times"/>
                <w:sz w:val="20"/>
                <w:szCs w:val="20"/>
              </w:rPr>
            </w:pPr>
            <w:r w:rsidRPr="0019056C">
              <w:rPr>
                <w:rFonts w:cs="Times"/>
                <w:sz w:val="20"/>
                <w:szCs w:val="20"/>
              </w:rPr>
              <w:t xml:space="preserve">For each of PUSCH and PUCCH, the setting of (P0, alpha, closed loop index) can be associated with UL or (if applicable) joint TCI state per BWP. </w:t>
            </w:r>
          </w:p>
          <w:p w14:paraId="76776A8F" w14:textId="77777777" w:rsidR="00057EAF" w:rsidRPr="0019056C" w:rsidRDefault="00057EAF" w:rsidP="007C3235">
            <w:pPr>
              <w:numPr>
                <w:ilvl w:val="1"/>
                <w:numId w:val="32"/>
              </w:numPr>
              <w:snapToGrid w:val="0"/>
              <w:jc w:val="left"/>
              <w:rPr>
                <w:rFonts w:cs="Times"/>
                <w:sz w:val="20"/>
                <w:szCs w:val="20"/>
              </w:rPr>
            </w:pPr>
            <w:r w:rsidRPr="0019056C">
              <w:rPr>
                <w:rFonts w:cs="Times"/>
                <w:sz w:val="20"/>
                <w:szCs w:val="20"/>
              </w:rPr>
              <w:t xml:space="preserve">In this case, multiple settings are configured. Each setting can be associated with at least one TCI state, and, for a given TCI state, only one setting for PUSCH and only one setting for PUCCH can be associated at a time. </w:t>
            </w:r>
          </w:p>
          <w:p w14:paraId="55A21D47" w14:textId="77777777" w:rsidR="00057EAF" w:rsidRPr="0019056C" w:rsidRDefault="00057EAF" w:rsidP="007C3235">
            <w:pPr>
              <w:numPr>
                <w:ilvl w:val="0"/>
                <w:numId w:val="32"/>
              </w:numPr>
              <w:snapToGrid w:val="0"/>
              <w:jc w:val="left"/>
              <w:rPr>
                <w:rFonts w:cs="Times"/>
                <w:sz w:val="20"/>
                <w:szCs w:val="20"/>
              </w:rPr>
            </w:pPr>
            <w:r w:rsidRPr="0019056C">
              <w:rPr>
                <w:rFonts w:cs="Times"/>
                <w:sz w:val="20"/>
                <w:szCs w:val="20"/>
              </w:rPr>
              <w:t>If not associated, for each of the PUSCH and PUCCH, the setting(s) of (P0, alpha, closed loop index) per channel/signal per BWP is independent of the UL or (if applicable) joint TCI states</w:t>
            </w:r>
          </w:p>
          <w:p w14:paraId="474A0535" w14:textId="77777777" w:rsidR="00057EAF" w:rsidRPr="0019056C" w:rsidRDefault="00057EAF" w:rsidP="007C3235">
            <w:pPr>
              <w:numPr>
                <w:ilvl w:val="0"/>
                <w:numId w:val="32"/>
              </w:numPr>
              <w:snapToGrid w:val="0"/>
              <w:jc w:val="left"/>
              <w:rPr>
                <w:rFonts w:cs="Times"/>
                <w:sz w:val="20"/>
                <w:szCs w:val="20"/>
              </w:rPr>
            </w:pPr>
            <w:r w:rsidRPr="0019056C">
              <w:rPr>
                <w:rFonts w:cs="Times"/>
                <w:sz w:val="20"/>
                <w:szCs w:val="20"/>
              </w:rPr>
              <w:t>FFS: If the setting of (P0, alpha, closed loop index) for SRS can also be associated with UL or (if applicable) joint TCI state.</w:t>
            </w:r>
          </w:p>
          <w:p w14:paraId="7DB6A8FA" w14:textId="77777777" w:rsidR="00057EAF" w:rsidRPr="0019056C" w:rsidRDefault="00057EAF" w:rsidP="007C3235">
            <w:pPr>
              <w:numPr>
                <w:ilvl w:val="0"/>
                <w:numId w:val="32"/>
              </w:numPr>
              <w:snapToGrid w:val="0"/>
              <w:jc w:val="left"/>
              <w:rPr>
                <w:rFonts w:cs="Times"/>
                <w:sz w:val="20"/>
                <w:szCs w:val="20"/>
              </w:rPr>
            </w:pPr>
            <w:r w:rsidRPr="0019056C">
              <w:rPr>
                <w:rFonts w:cs="Times"/>
                <w:sz w:val="20"/>
                <w:szCs w:val="20"/>
              </w:rPr>
              <w:t xml:space="preserve">FFS: (to be decided in RAN1#106-e) whether to configure the same setting of (P0, alpha, closed loop index) per TCI state across channels and apply a channel dependent </w:t>
            </w:r>
            <w:r w:rsidRPr="0019056C">
              <w:rPr>
                <w:rFonts w:cs="Times"/>
                <w:sz w:val="20"/>
                <w:szCs w:val="20"/>
              </w:rPr>
              <w:lastRenderedPageBreak/>
              <w:t>component, or configure a channel dependent setting of (P0, alpha, closed loop index) per TCI state</w:t>
            </w:r>
          </w:p>
          <w:p w14:paraId="637D8025" w14:textId="77777777" w:rsidR="00057EAF" w:rsidRPr="0019056C" w:rsidRDefault="00057EAF" w:rsidP="007C3235">
            <w:pPr>
              <w:snapToGrid w:val="0"/>
              <w:rPr>
                <w:sz w:val="20"/>
                <w:szCs w:val="20"/>
              </w:rPr>
            </w:pPr>
          </w:p>
          <w:p w14:paraId="60A9F90F" w14:textId="77777777" w:rsidR="00057EAF" w:rsidRPr="0019056C" w:rsidRDefault="00057EAF" w:rsidP="007C3235">
            <w:pPr>
              <w:snapToGrid w:val="0"/>
              <w:rPr>
                <w:rFonts w:cs="Times"/>
                <w:sz w:val="20"/>
                <w:szCs w:val="20"/>
              </w:rPr>
            </w:pPr>
            <w:r w:rsidRPr="0019056C">
              <w:rPr>
                <w:rStyle w:val="ac"/>
                <w:rFonts w:cs="Times"/>
                <w:color w:val="000000"/>
                <w:sz w:val="20"/>
                <w:szCs w:val="20"/>
                <w:highlight w:val="green"/>
              </w:rPr>
              <w:t>Agreement</w:t>
            </w:r>
          </w:p>
          <w:p w14:paraId="73C4AAAF" w14:textId="77777777" w:rsidR="00057EAF" w:rsidRPr="0019056C" w:rsidRDefault="00057EAF" w:rsidP="007C3235">
            <w:pPr>
              <w:snapToGrid w:val="0"/>
              <w:rPr>
                <w:rFonts w:cs="Times"/>
                <w:sz w:val="20"/>
                <w:szCs w:val="20"/>
              </w:rPr>
            </w:pPr>
            <w:r w:rsidRPr="0019056C">
              <w:rPr>
                <w:rFonts w:cs="Times"/>
                <w:sz w:val="20"/>
                <w:szCs w:val="20"/>
              </w:rPr>
              <w:t>On Rel-17 unified TCI,</w:t>
            </w:r>
            <w:r w:rsidRPr="0019056C">
              <w:rPr>
                <w:rStyle w:val="apple-converted-space"/>
                <w:rFonts w:cs="Times"/>
                <w:sz w:val="20"/>
                <w:szCs w:val="20"/>
              </w:rPr>
              <w:t> </w:t>
            </w:r>
            <w:r w:rsidRPr="0019056C">
              <w:rPr>
                <w:rFonts w:cs="Times"/>
                <w:sz w:val="20"/>
                <w:szCs w:val="20"/>
              </w:rPr>
              <w:t>in RAN1#106-e, for M&gt;1 and/or N&gt;1:</w:t>
            </w:r>
          </w:p>
          <w:p w14:paraId="5AD4ED8A" w14:textId="77777777" w:rsidR="00057EAF" w:rsidRPr="0019056C" w:rsidRDefault="00057EAF" w:rsidP="007C3235">
            <w:pPr>
              <w:numPr>
                <w:ilvl w:val="0"/>
                <w:numId w:val="32"/>
              </w:numPr>
              <w:snapToGrid w:val="0"/>
              <w:jc w:val="left"/>
              <w:rPr>
                <w:rFonts w:cs="Times"/>
                <w:sz w:val="20"/>
                <w:szCs w:val="20"/>
              </w:rPr>
            </w:pPr>
            <w:r w:rsidRPr="0019056C">
              <w:rPr>
                <w:rFonts w:cs="Times"/>
                <w:sz w:val="20"/>
                <w:szCs w:val="20"/>
              </w:rPr>
              <w:t>Identify and agree on use cases </w:t>
            </w:r>
          </w:p>
          <w:p w14:paraId="35A9AB9D" w14:textId="77777777" w:rsidR="00057EAF" w:rsidRPr="0019056C" w:rsidRDefault="00057EAF" w:rsidP="007C3235">
            <w:pPr>
              <w:numPr>
                <w:ilvl w:val="0"/>
                <w:numId w:val="32"/>
              </w:numPr>
              <w:snapToGrid w:val="0"/>
              <w:jc w:val="left"/>
              <w:rPr>
                <w:rFonts w:cs="Times"/>
                <w:sz w:val="20"/>
                <w:szCs w:val="20"/>
              </w:rPr>
            </w:pPr>
            <w:r w:rsidRPr="0019056C">
              <w:rPr>
                <w:rFonts w:cs="Times"/>
                <w:sz w:val="20"/>
                <w:szCs w:val="20"/>
              </w:rPr>
              <w:t>Decide whether to support M&gt;1 and/or N&gt;1, and if so, the maximum value of M and/or N</w:t>
            </w:r>
          </w:p>
          <w:p w14:paraId="49296FC4" w14:textId="77777777" w:rsidR="00057EAF" w:rsidRPr="0019056C" w:rsidRDefault="00057EAF" w:rsidP="007C3235">
            <w:pPr>
              <w:numPr>
                <w:ilvl w:val="0"/>
                <w:numId w:val="32"/>
              </w:numPr>
              <w:snapToGrid w:val="0"/>
              <w:jc w:val="left"/>
              <w:rPr>
                <w:rFonts w:cs="Times"/>
                <w:sz w:val="20"/>
                <w:szCs w:val="20"/>
              </w:rPr>
            </w:pPr>
            <w:r w:rsidRPr="0019056C">
              <w:rPr>
                <w:rFonts w:cs="Times"/>
                <w:sz w:val="20"/>
                <w:szCs w:val="20"/>
              </w:rPr>
              <w:t>If supported, identify feasible candidate schemes for beam indication signaling mechanism (including TCI state activation)</w:t>
            </w:r>
          </w:p>
          <w:p w14:paraId="55B181DA" w14:textId="77777777" w:rsidR="00057EAF" w:rsidRPr="0019056C" w:rsidRDefault="00057EAF" w:rsidP="007C3235">
            <w:pPr>
              <w:snapToGrid w:val="0"/>
              <w:rPr>
                <w:rFonts w:cs="Times"/>
                <w:sz w:val="20"/>
                <w:szCs w:val="20"/>
              </w:rPr>
            </w:pPr>
            <w:r w:rsidRPr="0019056C">
              <w:rPr>
                <w:rFonts w:cs="Times"/>
                <w:sz w:val="20"/>
                <w:szCs w:val="20"/>
              </w:rPr>
              <w:t>Note:</w:t>
            </w:r>
          </w:p>
          <w:p w14:paraId="15CF6542" w14:textId="77777777" w:rsidR="00057EAF" w:rsidRPr="0019056C" w:rsidRDefault="00057EAF" w:rsidP="007C3235">
            <w:pPr>
              <w:numPr>
                <w:ilvl w:val="0"/>
                <w:numId w:val="33"/>
              </w:numPr>
              <w:snapToGrid w:val="0"/>
              <w:jc w:val="left"/>
              <w:rPr>
                <w:rFonts w:cs="Times"/>
                <w:sz w:val="20"/>
                <w:szCs w:val="20"/>
              </w:rPr>
            </w:pPr>
            <w:r w:rsidRPr="0019056C">
              <w:rPr>
                <w:rFonts w:cs="Times"/>
                <w:sz w:val="20"/>
                <w:szCs w:val="20"/>
              </w:rPr>
              <w:t>Previous agreement in RAN1#104b-e that remaining unused DCI fields and codepoints are reserved in R17 are not to be reverted.</w:t>
            </w:r>
          </w:p>
          <w:p w14:paraId="3CF0D0A1" w14:textId="0C663C1C" w:rsidR="00672CBF" w:rsidRPr="0019056C" w:rsidRDefault="00057EAF" w:rsidP="007C3235">
            <w:pPr>
              <w:numPr>
                <w:ilvl w:val="0"/>
                <w:numId w:val="33"/>
              </w:numPr>
              <w:snapToGrid w:val="0"/>
              <w:jc w:val="left"/>
              <w:rPr>
                <w:rFonts w:cs="Times"/>
                <w:sz w:val="20"/>
                <w:szCs w:val="20"/>
              </w:rPr>
            </w:pPr>
            <w:r w:rsidRPr="0019056C">
              <w:rPr>
                <w:rFonts w:cs="Times"/>
                <w:sz w:val="20"/>
                <w:szCs w:val="20"/>
              </w:rPr>
              <w:t>The use case of simultaneous UL transmission from multiple UE panels are not to be considered in Rel-17 as it is out of scope</w:t>
            </w:r>
          </w:p>
        </w:tc>
      </w:tr>
    </w:tbl>
    <w:p w14:paraId="4772A83F" w14:textId="77777777" w:rsidR="00672CBF" w:rsidRDefault="00672CBF" w:rsidP="00672CBF">
      <w:pPr>
        <w:rPr>
          <w:lang w:eastAsia="en-US"/>
        </w:rPr>
      </w:pPr>
    </w:p>
    <w:p w14:paraId="358FCB69" w14:textId="37EAA3F3" w:rsidR="00361991" w:rsidRDefault="005C6D39" w:rsidP="00361991">
      <w:pPr>
        <w:pStyle w:val="2"/>
        <w:rPr>
          <w:lang w:val="en-GB"/>
        </w:rPr>
      </w:pPr>
      <w:r>
        <w:rPr>
          <w:lang w:val="en-GB"/>
        </w:rPr>
        <w:t>Target RS of unified</w:t>
      </w:r>
      <w:r w:rsidR="00361991" w:rsidRPr="002916A5">
        <w:rPr>
          <w:lang w:val="en-GB"/>
        </w:rPr>
        <w:t xml:space="preserve"> TCI </w:t>
      </w:r>
    </w:p>
    <w:p w14:paraId="1F304C49" w14:textId="1182E424" w:rsidR="00361991" w:rsidRDefault="00361991" w:rsidP="00361991">
      <w:pPr>
        <w:spacing w:beforeLines="50" w:before="156"/>
        <w:rPr>
          <w:lang w:val="en-GB"/>
        </w:rPr>
      </w:pPr>
      <w:r>
        <w:rPr>
          <w:lang w:val="en-GB"/>
        </w:rPr>
        <w:t xml:space="preserve">In </w:t>
      </w:r>
      <w:r w:rsidRPr="00910463">
        <w:rPr>
          <w:lang w:val="en-GB"/>
        </w:rPr>
        <w:t>RAN1#10</w:t>
      </w:r>
      <w:r w:rsidR="005C6D39">
        <w:rPr>
          <w:lang w:val="en-GB"/>
        </w:rPr>
        <w:t>5</w:t>
      </w:r>
      <w:r w:rsidRPr="00910463">
        <w:rPr>
          <w:lang w:val="en-GB"/>
        </w:rPr>
        <w:t>-e</w:t>
      </w:r>
      <w:r>
        <w:rPr>
          <w:lang w:val="en-GB"/>
        </w:rPr>
        <w:t>, the issue of whether to apply</w:t>
      </w:r>
      <w:r w:rsidR="00826D20">
        <w:rPr>
          <w:lang w:val="en-GB"/>
        </w:rPr>
        <w:t xml:space="preserve"> the</w:t>
      </w:r>
      <w:r>
        <w:rPr>
          <w:lang w:val="en-GB"/>
        </w:rPr>
        <w:t xml:space="preserve"> indicated joint/</w:t>
      </w:r>
      <w:r w:rsidR="00773AB1">
        <w:rPr>
          <w:lang w:val="en-GB"/>
        </w:rPr>
        <w:t>separate</w:t>
      </w:r>
      <w:r w:rsidR="00773AB1" w:rsidRPr="002916A5">
        <w:rPr>
          <w:lang w:val="en-GB"/>
        </w:rPr>
        <w:t xml:space="preserve"> </w:t>
      </w:r>
      <w:r>
        <w:rPr>
          <w:lang w:val="en-GB"/>
        </w:rPr>
        <w:t>TCI to</w:t>
      </w:r>
      <w:r w:rsidRPr="00942135">
        <w:rPr>
          <w:lang w:val="en-GB"/>
        </w:rPr>
        <w:t xml:space="preserve"> </w:t>
      </w:r>
      <w:r w:rsidR="00906A9B">
        <w:rPr>
          <w:lang w:val="en-GB"/>
        </w:rPr>
        <w:t xml:space="preserve">additional </w:t>
      </w:r>
      <w:r w:rsidR="004E6332">
        <w:rPr>
          <w:lang w:val="en-GB"/>
        </w:rPr>
        <w:t>RS</w:t>
      </w:r>
      <w:r w:rsidR="00826D20">
        <w:rPr>
          <w:lang w:val="en-GB"/>
        </w:rPr>
        <w:t>(</w:t>
      </w:r>
      <w:r w:rsidR="004E6332">
        <w:rPr>
          <w:lang w:val="en-GB"/>
        </w:rPr>
        <w:t>s</w:t>
      </w:r>
      <w:r w:rsidR="00826D20">
        <w:rPr>
          <w:lang w:val="en-GB"/>
        </w:rPr>
        <w:t>)</w:t>
      </w:r>
      <w:r>
        <w:rPr>
          <w:lang w:val="en-GB"/>
        </w:rPr>
        <w:t xml:space="preserve"> were discussed</w:t>
      </w:r>
      <w:r w:rsidR="005C6D39">
        <w:rPr>
          <w:lang w:val="en-GB"/>
        </w:rPr>
        <w:t>,</w:t>
      </w:r>
      <w:r w:rsidR="004E6332">
        <w:rPr>
          <w:lang w:val="en-GB"/>
        </w:rPr>
        <w:t xml:space="preserve"> </w:t>
      </w:r>
      <w:r w:rsidR="00780226">
        <w:rPr>
          <w:lang w:val="en-GB"/>
        </w:rPr>
        <w:t xml:space="preserve">one remaining issue </w:t>
      </w:r>
      <w:r w:rsidR="005C6D39">
        <w:rPr>
          <w:lang w:val="en-GB"/>
        </w:rPr>
        <w:t>was on whether s</w:t>
      </w:r>
      <w:r w:rsidR="005C6D39" w:rsidRPr="005C6D39">
        <w:rPr>
          <w:lang w:val="en-GB"/>
        </w:rPr>
        <w:t>ome SRS resources or resource sets for BM can be configured as a target signal</w:t>
      </w:r>
      <w:r w:rsidR="005C6D39">
        <w:rPr>
          <w:lang w:val="en-GB"/>
        </w:rPr>
        <w:t xml:space="preserve">. </w:t>
      </w:r>
      <w:r w:rsidRPr="00910463">
        <w:rPr>
          <w:lang w:val="en-GB"/>
        </w:rPr>
        <w:t xml:space="preserve">When it comes to UL, </w:t>
      </w:r>
      <w:r w:rsidRPr="00910463">
        <w:rPr>
          <w:rFonts w:hint="eastAsia"/>
          <w:lang w:val="en-GB"/>
        </w:rPr>
        <w:t>S</w:t>
      </w:r>
      <w:r w:rsidRPr="00910463">
        <w:rPr>
          <w:lang w:val="en-GB"/>
        </w:rPr>
        <w:t xml:space="preserve">RS for BM is configured for UL beam training, and applying the indicated UL TCI </w:t>
      </w:r>
      <w:r w:rsidR="0033037F">
        <w:rPr>
          <w:lang w:val="en-GB"/>
        </w:rPr>
        <w:t xml:space="preserve">(targeting </w:t>
      </w:r>
      <w:r w:rsidR="00AE08B0">
        <w:rPr>
          <w:lang w:val="en-GB"/>
        </w:rPr>
        <w:t xml:space="preserve">active </w:t>
      </w:r>
      <w:r w:rsidR="0033037F">
        <w:rPr>
          <w:lang w:val="en-GB"/>
        </w:rPr>
        <w:t>PUCCH/PUSCH</w:t>
      </w:r>
      <w:r w:rsidR="00AE08B0">
        <w:rPr>
          <w:lang w:val="en-GB"/>
        </w:rPr>
        <w:t xml:space="preserve"> transmission</w:t>
      </w:r>
      <w:r w:rsidR="0033037F">
        <w:rPr>
          <w:lang w:val="en-GB"/>
        </w:rPr>
        <w:t xml:space="preserve">) </w:t>
      </w:r>
      <w:r w:rsidRPr="00910463">
        <w:rPr>
          <w:lang w:val="en-GB"/>
        </w:rPr>
        <w:t xml:space="preserve">to SRS for BM would mandate the UE to use the same Tx beam to transmit them, with which the point of having SRS for BM could be lost. Similar as CSI-RS case, if the indicated UL TCI is applied to SRS for BM, the relation </w:t>
      </w:r>
      <w:r w:rsidR="0033037F">
        <w:rPr>
          <w:lang w:val="en-GB"/>
        </w:rPr>
        <w:t xml:space="preserve">with </w:t>
      </w:r>
      <w:r w:rsidR="00AE08B0">
        <w:rPr>
          <w:lang w:val="en-GB"/>
        </w:rPr>
        <w:t xml:space="preserve">the </w:t>
      </w:r>
      <w:r w:rsidRPr="00910463">
        <w:rPr>
          <w:lang w:val="en-GB"/>
        </w:rPr>
        <w:t xml:space="preserve">spatial relation indicated per SRS resource </w:t>
      </w:r>
      <w:r w:rsidR="00AE08B0">
        <w:rPr>
          <w:lang w:val="en-GB"/>
        </w:rPr>
        <w:t>becomes</w:t>
      </w:r>
      <w:r w:rsidR="00AE08B0" w:rsidRPr="00910463">
        <w:rPr>
          <w:lang w:val="en-GB"/>
        </w:rPr>
        <w:t xml:space="preserve"> </w:t>
      </w:r>
      <w:r w:rsidRPr="00910463">
        <w:rPr>
          <w:lang w:val="en-GB"/>
        </w:rPr>
        <w:t>unclear. To sum up, w</w:t>
      </w:r>
      <w:r>
        <w:rPr>
          <w:lang w:val="en-GB"/>
        </w:rPr>
        <w:t xml:space="preserve">e don’t see a strong motivation to apply UL TCI </w:t>
      </w:r>
      <w:r w:rsidR="00AE08B0">
        <w:rPr>
          <w:lang w:val="en-GB"/>
        </w:rPr>
        <w:t xml:space="preserve">(targeting active PUCCH/PUSCH transmission) </w:t>
      </w:r>
      <w:r>
        <w:rPr>
          <w:lang w:val="en-GB"/>
        </w:rPr>
        <w:t xml:space="preserve">to SRS for BM. </w:t>
      </w:r>
      <w:r w:rsidRPr="00910463">
        <w:rPr>
          <w:lang w:val="en-GB"/>
        </w:rPr>
        <w:t xml:space="preserve"> </w:t>
      </w:r>
    </w:p>
    <w:p w14:paraId="5F5C31D2" w14:textId="6C39861A" w:rsidR="00D97BA5" w:rsidRDefault="00361991" w:rsidP="00361991">
      <w:pPr>
        <w:rPr>
          <w:b/>
          <w:i/>
          <w:lang w:val="en-GB"/>
        </w:rPr>
      </w:pPr>
      <w:r w:rsidRPr="00C44333">
        <w:rPr>
          <w:b/>
          <w:i/>
          <w:lang w:val="en-GB"/>
        </w:rPr>
        <w:t xml:space="preserve">Proposal </w:t>
      </w:r>
      <w:r>
        <w:rPr>
          <w:b/>
          <w:i/>
          <w:lang w:val="en-GB"/>
        </w:rPr>
        <w:t>2-1</w:t>
      </w:r>
      <w:r w:rsidRPr="00C44333">
        <w:rPr>
          <w:b/>
          <w:i/>
          <w:lang w:val="en-GB"/>
        </w:rPr>
        <w:t xml:space="preserve">: </w:t>
      </w:r>
      <w:r w:rsidR="001E0CD6" w:rsidRPr="001E0CD6">
        <w:rPr>
          <w:b/>
          <w:i/>
          <w:lang w:val="en-GB"/>
        </w:rPr>
        <w:t>The UL TCI indicated for UE-specific PUxCH transmission should not be applied to SRS for BM</w:t>
      </w:r>
      <w:r w:rsidR="001D24A3">
        <w:rPr>
          <w:b/>
          <w:i/>
          <w:lang w:val="en-GB"/>
        </w:rPr>
        <w:t>.</w:t>
      </w:r>
    </w:p>
    <w:p w14:paraId="41A6F151" w14:textId="2A437F1B" w:rsidR="005D54DB" w:rsidRPr="00910463" w:rsidRDefault="005D54DB" w:rsidP="005D54DB">
      <w:pPr>
        <w:spacing w:beforeLines="50" w:before="156"/>
        <w:rPr>
          <w:lang w:val="en-GB"/>
        </w:rPr>
      </w:pPr>
      <w:r>
        <w:rPr>
          <w:lang w:val="en-GB"/>
        </w:rPr>
        <w:t xml:space="preserve">The original motivation for </w:t>
      </w:r>
      <w:r w:rsidR="00C86F9E">
        <w:rPr>
          <w:lang w:val="en-GB"/>
        </w:rPr>
        <w:t xml:space="preserve">introducing </w:t>
      </w:r>
      <w:r>
        <w:rPr>
          <w:lang w:val="en-GB"/>
        </w:rPr>
        <w:t xml:space="preserve">unified TCI was </w:t>
      </w:r>
      <w:r w:rsidR="000E76C8">
        <w:rPr>
          <w:lang w:val="en-GB"/>
        </w:rPr>
        <w:t xml:space="preserve">to apply to both </w:t>
      </w:r>
      <w:r>
        <w:rPr>
          <w:lang w:val="en-GB"/>
        </w:rPr>
        <w:t xml:space="preserve">PDCCH and PDSCH. </w:t>
      </w:r>
      <w:r w:rsidR="00361D78">
        <w:rPr>
          <w:lang w:val="en-GB"/>
        </w:rPr>
        <w:t>It is still to be decided</w:t>
      </w:r>
      <w:r w:rsidR="00C86F9E">
        <w:rPr>
          <w:lang w:val="en-GB"/>
        </w:rPr>
        <w:t xml:space="preserve"> whether to apply to </w:t>
      </w:r>
      <w:r w:rsidR="00361D78">
        <w:rPr>
          <w:lang w:val="en-GB"/>
        </w:rPr>
        <w:t xml:space="preserve">CSI-RS. </w:t>
      </w:r>
      <w:r>
        <w:rPr>
          <w:rFonts w:hint="eastAsia"/>
          <w:lang w:val="en-GB"/>
        </w:rPr>
        <w:t>F</w:t>
      </w:r>
      <w:r w:rsidRPr="00942135">
        <w:rPr>
          <w:lang w:val="en-GB"/>
        </w:rPr>
        <w:t>or CSI-RS for CSI,</w:t>
      </w:r>
      <w:r w:rsidRPr="00C05E2E">
        <w:rPr>
          <w:lang w:val="en-GB"/>
        </w:rPr>
        <w:t xml:space="preserve"> </w:t>
      </w:r>
      <w:r w:rsidRPr="00942135">
        <w:rPr>
          <w:lang w:val="en-GB"/>
        </w:rPr>
        <w:t xml:space="preserve">not applying </w:t>
      </w:r>
      <w:r>
        <w:rPr>
          <w:lang w:val="en-GB"/>
        </w:rPr>
        <w:t>DL TCI for PDCCH</w:t>
      </w:r>
      <w:r>
        <w:rPr>
          <w:rFonts w:hint="eastAsia"/>
          <w:lang w:val="en-GB"/>
        </w:rPr>
        <w:t>/</w:t>
      </w:r>
      <w:r>
        <w:rPr>
          <w:lang w:val="en-GB"/>
        </w:rPr>
        <w:t>PDSCH</w:t>
      </w:r>
      <w:r w:rsidRPr="00942135">
        <w:rPr>
          <w:lang w:val="en-GB"/>
        </w:rPr>
        <w:t xml:space="preserve"> would allow NW to configure UE to report CSI for a candidate beam pair before switching to it</w:t>
      </w:r>
      <w:r>
        <w:rPr>
          <w:lang w:val="en-GB"/>
        </w:rPr>
        <w:t>. For this reason, in Rel-15/16, TCI state for CSI-RS for CSI is indicated separate from PDCCH</w:t>
      </w:r>
      <w:r>
        <w:rPr>
          <w:rFonts w:hint="eastAsia"/>
          <w:lang w:val="en-GB"/>
        </w:rPr>
        <w:t>/</w:t>
      </w:r>
      <w:r>
        <w:rPr>
          <w:lang w:val="en-GB"/>
        </w:rPr>
        <w:t>PDSCH</w:t>
      </w:r>
      <w:r>
        <w:rPr>
          <w:rFonts w:hint="eastAsia"/>
          <w:lang w:val="en-GB"/>
        </w:rPr>
        <w:t>,</w:t>
      </w:r>
      <w:r>
        <w:rPr>
          <w:lang w:val="en-GB"/>
        </w:rPr>
        <w:t xml:space="preserve"> and it is possible to update TCI state for AP-CSI</w:t>
      </w:r>
      <w:r w:rsidR="00C86F9E">
        <w:rPr>
          <w:lang w:val="en-GB"/>
        </w:rPr>
        <w:t>-RS</w:t>
      </w:r>
      <w:r>
        <w:rPr>
          <w:lang w:val="en-GB"/>
        </w:rPr>
        <w:t xml:space="preserve"> by DCI and that for SP-CSI</w:t>
      </w:r>
      <w:r w:rsidR="00C86F9E">
        <w:rPr>
          <w:lang w:val="en-GB"/>
        </w:rPr>
        <w:t>-RS</w:t>
      </w:r>
      <w:r>
        <w:rPr>
          <w:lang w:val="en-GB"/>
        </w:rPr>
        <w:t xml:space="preserve"> by MAC-CE. Regarding to CSI-RS for BM with repetition “off”, it may not be transmitted with a fixed beam pattern, thus the joint TCI should not be applied in this case. </w:t>
      </w:r>
      <w:r w:rsidRPr="00942135">
        <w:rPr>
          <w:lang w:val="en-GB"/>
        </w:rPr>
        <w:t>When it comes to CSI-RS for tracking, which is the primary source of QCL for PDCCH/PDSCH in R</w:t>
      </w:r>
      <w:r>
        <w:rPr>
          <w:lang w:val="en-GB"/>
        </w:rPr>
        <w:t>el-</w:t>
      </w:r>
      <w:r w:rsidRPr="00942135">
        <w:rPr>
          <w:lang w:val="en-GB"/>
        </w:rPr>
        <w:t xml:space="preserve">15/16, applying </w:t>
      </w:r>
      <w:r>
        <w:rPr>
          <w:lang w:val="en-GB"/>
        </w:rPr>
        <w:t>DL TCI</w:t>
      </w:r>
      <w:r w:rsidRPr="00942135">
        <w:rPr>
          <w:lang w:val="en-GB"/>
        </w:rPr>
        <w:t xml:space="preserve"> to CSI-RS for tracking may create a chicken-and-egg problem </w:t>
      </w:r>
      <w:r>
        <w:rPr>
          <w:lang w:val="en-GB"/>
        </w:rPr>
        <w:t>(i.e. whether PDCCH/PDSCH follow indicated DL TCI or CSI-RS for tracking?). Besides, th</w:t>
      </w:r>
      <w:r w:rsidRPr="00942135">
        <w:rPr>
          <w:lang w:val="en-GB"/>
        </w:rPr>
        <w:t xml:space="preserve">e NW </w:t>
      </w:r>
      <w:r>
        <w:rPr>
          <w:lang w:val="en-GB"/>
        </w:rPr>
        <w:t>may</w:t>
      </w:r>
      <w:r w:rsidRPr="00942135">
        <w:rPr>
          <w:lang w:val="en-GB"/>
        </w:rPr>
        <w:t xml:space="preserve"> configure</w:t>
      </w:r>
      <w:r>
        <w:rPr>
          <w:lang w:val="en-GB"/>
        </w:rPr>
        <w:t xml:space="preserve"> multiple TRS configurations to a</w:t>
      </w:r>
      <w:r w:rsidRPr="00942135">
        <w:rPr>
          <w:lang w:val="en-GB"/>
        </w:rPr>
        <w:t xml:space="preserve"> UE</w:t>
      </w:r>
      <w:r>
        <w:rPr>
          <w:lang w:val="en-GB"/>
        </w:rPr>
        <w:t>, it is not clear that the indicated TCI should apply to which one of them</w:t>
      </w:r>
      <w:r w:rsidRPr="00942135">
        <w:rPr>
          <w:lang w:val="en-GB"/>
        </w:rPr>
        <w:t>, hence it is not preferred.</w:t>
      </w:r>
      <w:r>
        <w:rPr>
          <w:lang w:val="en-GB"/>
        </w:rPr>
        <w:t xml:space="preserve"> </w:t>
      </w:r>
      <w:r w:rsidR="00A52D68">
        <w:rPr>
          <w:lang w:val="en-GB"/>
        </w:rPr>
        <w:t>For</w:t>
      </w:r>
      <w:r w:rsidRPr="00780226">
        <w:rPr>
          <w:lang w:val="en-GB"/>
        </w:rPr>
        <w:t xml:space="preserve"> </w:t>
      </w:r>
      <w:r w:rsidR="00A52D68">
        <w:rPr>
          <w:lang w:val="en-GB"/>
        </w:rPr>
        <w:t>a</w:t>
      </w:r>
      <w:r w:rsidR="00A52D68" w:rsidRPr="00780226">
        <w:rPr>
          <w:lang w:val="en-GB"/>
        </w:rPr>
        <w:t xml:space="preserve"> </w:t>
      </w:r>
      <w:r w:rsidRPr="00780226">
        <w:rPr>
          <w:lang w:val="en-GB"/>
        </w:rPr>
        <w:t xml:space="preserve">DL RS that does not share the same indicated TCI state as </w:t>
      </w:r>
      <w:r>
        <w:rPr>
          <w:lang w:val="en-GB"/>
        </w:rPr>
        <w:t>PDCCH</w:t>
      </w:r>
      <w:r w:rsidR="00C86F9E">
        <w:rPr>
          <w:lang w:val="en-GB"/>
        </w:rPr>
        <w:t>/</w:t>
      </w:r>
      <w:r>
        <w:rPr>
          <w:lang w:val="en-GB"/>
        </w:rPr>
        <w:t>PDSCH</w:t>
      </w:r>
      <w:r w:rsidRPr="00780226">
        <w:rPr>
          <w:lang w:val="en-GB"/>
        </w:rPr>
        <w:t>, but can be configured as a target DL RS of a Rel-17 DL TCI</w:t>
      </w:r>
      <w:r>
        <w:rPr>
          <w:lang w:val="en-GB"/>
        </w:rPr>
        <w:t xml:space="preserve">, </w:t>
      </w:r>
      <w:r w:rsidRPr="00780226">
        <w:rPr>
          <w:lang w:val="en-GB"/>
        </w:rPr>
        <w:t xml:space="preserve">Rel-15/16 TCI state update signaling/configuration mechanism(s) </w:t>
      </w:r>
      <w:r w:rsidR="00A52D68">
        <w:rPr>
          <w:lang w:val="en-GB"/>
        </w:rPr>
        <w:t>can be</w:t>
      </w:r>
      <w:r w:rsidR="00A52D68" w:rsidRPr="00780226">
        <w:rPr>
          <w:lang w:val="en-GB"/>
        </w:rPr>
        <w:t xml:space="preserve"> </w:t>
      </w:r>
      <w:r w:rsidRPr="00780226">
        <w:rPr>
          <w:lang w:val="en-GB"/>
        </w:rPr>
        <w:t>reused to update/configure the Rel-17 TCI state</w:t>
      </w:r>
      <w:r>
        <w:rPr>
          <w:lang w:val="en-GB"/>
        </w:rPr>
        <w:t>.</w:t>
      </w:r>
    </w:p>
    <w:p w14:paraId="368C89EA" w14:textId="5E5E5843" w:rsidR="00780226" w:rsidRPr="005D54DB" w:rsidRDefault="00D97BA5" w:rsidP="00361991">
      <w:pPr>
        <w:rPr>
          <w:rFonts w:eastAsiaTheme="minorEastAsia"/>
          <w:b/>
          <w:i/>
          <w:lang w:val="en-GB"/>
        </w:rPr>
      </w:pPr>
      <w:r w:rsidRPr="00C44333">
        <w:rPr>
          <w:b/>
          <w:i/>
          <w:lang w:val="en-GB"/>
        </w:rPr>
        <w:t xml:space="preserve">Proposal </w:t>
      </w:r>
      <w:r>
        <w:rPr>
          <w:b/>
          <w:i/>
          <w:lang w:val="en-GB"/>
        </w:rPr>
        <w:t>2-2</w:t>
      </w:r>
      <w:r w:rsidRPr="00C44333">
        <w:rPr>
          <w:b/>
          <w:i/>
          <w:lang w:val="en-GB"/>
        </w:rPr>
        <w:t xml:space="preserve">: </w:t>
      </w:r>
      <w:r>
        <w:rPr>
          <w:b/>
          <w:i/>
          <w:lang w:val="en-GB"/>
        </w:rPr>
        <w:t xml:space="preserve">For the DL RS that does not share the </w:t>
      </w:r>
      <w:r w:rsidRPr="00D97BA5">
        <w:rPr>
          <w:b/>
          <w:i/>
          <w:lang w:val="en-GB"/>
        </w:rPr>
        <w:t>same indicated</w:t>
      </w:r>
      <w:r>
        <w:rPr>
          <w:b/>
          <w:i/>
          <w:lang w:val="en-GB"/>
        </w:rPr>
        <w:t xml:space="preserve"> unified TCI state(s) as PDCCH/</w:t>
      </w:r>
      <w:r w:rsidRPr="00D97BA5">
        <w:rPr>
          <w:b/>
          <w:i/>
          <w:lang w:val="en-GB"/>
        </w:rPr>
        <w:t>PDSCH</w:t>
      </w:r>
      <w:r>
        <w:rPr>
          <w:b/>
          <w:i/>
          <w:lang w:val="en-GB"/>
        </w:rPr>
        <w:t xml:space="preserve">, </w:t>
      </w:r>
      <w:r w:rsidRPr="00D97BA5">
        <w:rPr>
          <w:b/>
          <w:i/>
          <w:lang w:val="en-GB"/>
        </w:rPr>
        <w:t xml:space="preserve">Rel-15/16 TCI state update signaling/configuration mechanism(s) </w:t>
      </w:r>
      <w:r>
        <w:rPr>
          <w:b/>
          <w:i/>
          <w:lang w:val="en-GB"/>
        </w:rPr>
        <w:t>can be reused.</w:t>
      </w:r>
    </w:p>
    <w:p w14:paraId="650D000E" w14:textId="77777777" w:rsidR="00AF12F5" w:rsidRPr="00AF015A" w:rsidRDefault="00AF12F5" w:rsidP="00AF12F5">
      <w:pPr>
        <w:pStyle w:val="2"/>
        <w:rPr>
          <w:szCs w:val="24"/>
          <w:lang w:val="en-GB" w:eastAsia="zh-CN"/>
        </w:rPr>
      </w:pPr>
      <w:r>
        <w:rPr>
          <w:szCs w:val="24"/>
          <w:lang w:val="en-GB" w:eastAsia="zh-CN"/>
        </w:rPr>
        <w:lastRenderedPageBreak/>
        <w:t>TCI state pooling and mapping</w:t>
      </w:r>
    </w:p>
    <w:p w14:paraId="3EC7F540" w14:textId="4778BD8E" w:rsidR="00AF12F5" w:rsidRDefault="00AF12F5" w:rsidP="00AF12F5">
      <w:pPr>
        <w:spacing w:beforeLines="50" w:before="156"/>
        <w:rPr>
          <w:lang w:val="en-GB"/>
        </w:rPr>
      </w:pPr>
      <w:r>
        <w:rPr>
          <w:rFonts w:hint="eastAsia"/>
          <w:lang w:val="en-GB"/>
        </w:rPr>
        <w:t>A</w:t>
      </w:r>
      <w:r>
        <w:rPr>
          <w:lang w:val="en-GB"/>
        </w:rPr>
        <w:t>s analysed above, DL TCI and UL TCI have different use cases, which requires different types of source RS and chain rules. Expanding the definition of TCI state in R15/16 to allow all kinds of source RSs (e.g.</w:t>
      </w:r>
      <w:r w:rsidR="009B33ED">
        <w:rPr>
          <w:lang w:val="en-GB"/>
        </w:rPr>
        <w:t>,</w:t>
      </w:r>
      <w:r>
        <w:rPr>
          <w:lang w:val="en-GB"/>
        </w:rPr>
        <w:t xml:space="preserve"> to include SRS in DL TCI state) and thereby support a mixed TCI state pool for DL/UL would consume extra signalling overhead even when separate UL beam indication is not needed (e.g.</w:t>
      </w:r>
      <w:r w:rsidR="00403AC6">
        <w:rPr>
          <w:lang w:val="en-GB"/>
        </w:rPr>
        <w:t>,</w:t>
      </w:r>
      <w:r>
        <w:rPr>
          <w:lang w:val="en-GB"/>
        </w:rPr>
        <w:t xml:space="preserve"> for CPE/FWA, where MPE is not a major concern). In addition, having separate</w:t>
      </w:r>
      <w:r w:rsidR="00403AC6">
        <w:rPr>
          <w:lang w:val="en-GB"/>
        </w:rPr>
        <w:t xml:space="preserve"> </w:t>
      </w:r>
      <w:r>
        <w:rPr>
          <w:lang w:val="en-GB"/>
        </w:rPr>
        <w:t xml:space="preserve">DL and UL TCI state pools is also beneficial for designing UL-specific aspect such as power control, with which a smaller addressing space and thereby signalling overhead can be achieved via the pool name itself. For these reasons, in the case of </w:t>
      </w:r>
      <w:r w:rsidRPr="00B00342">
        <w:rPr>
          <w:lang w:val="en-GB"/>
        </w:rPr>
        <w:t xml:space="preserve">separate </w:t>
      </w:r>
      <w:r>
        <w:rPr>
          <w:lang w:val="en-GB"/>
        </w:rPr>
        <w:t xml:space="preserve">DL/UL </w:t>
      </w:r>
      <w:r w:rsidRPr="00B00342">
        <w:rPr>
          <w:lang w:val="en-GB"/>
        </w:rPr>
        <w:t>TCI</w:t>
      </w:r>
      <w:r>
        <w:rPr>
          <w:lang w:val="en-GB"/>
        </w:rPr>
        <w:t xml:space="preserve"> indication</w:t>
      </w:r>
      <w:r w:rsidRPr="00B00342">
        <w:rPr>
          <w:lang w:val="en-GB"/>
        </w:rPr>
        <w:t xml:space="preserve">, </w:t>
      </w:r>
      <w:r>
        <w:rPr>
          <w:lang w:val="en-GB"/>
        </w:rPr>
        <w:t xml:space="preserve">we propose that </w:t>
      </w:r>
      <w:r w:rsidRPr="00B00342">
        <w:rPr>
          <w:lang w:val="en-GB"/>
        </w:rPr>
        <w:t xml:space="preserve">DL TCI </w:t>
      </w:r>
      <w:r>
        <w:rPr>
          <w:lang w:val="en-GB"/>
        </w:rPr>
        <w:t xml:space="preserve">state and UL TCI state are </w:t>
      </w:r>
      <w:r w:rsidRPr="00B00342">
        <w:rPr>
          <w:lang w:val="en-GB"/>
        </w:rPr>
        <w:t>take</w:t>
      </w:r>
      <w:r>
        <w:rPr>
          <w:lang w:val="en-GB"/>
        </w:rPr>
        <w:t>n</w:t>
      </w:r>
      <w:r w:rsidRPr="00B00342">
        <w:rPr>
          <w:lang w:val="en-GB"/>
        </w:rPr>
        <w:t xml:space="preserve"> from </w:t>
      </w:r>
      <w:r>
        <w:rPr>
          <w:lang w:val="en-GB"/>
        </w:rPr>
        <w:t xml:space="preserve">separate </w:t>
      </w:r>
      <w:r w:rsidRPr="00B00342">
        <w:rPr>
          <w:lang w:val="en-GB"/>
        </w:rPr>
        <w:t>TCI state pool</w:t>
      </w:r>
      <w:r>
        <w:rPr>
          <w:lang w:val="en-GB"/>
        </w:rPr>
        <w:t>s</w:t>
      </w:r>
      <w:r w:rsidRPr="00B00342">
        <w:rPr>
          <w:lang w:val="en-GB"/>
        </w:rPr>
        <w:t>.</w:t>
      </w:r>
      <w:r>
        <w:rPr>
          <w:lang w:val="en-GB"/>
        </w:rPr>
        <w:t xml:space="preserve"> For example, 2 TCI state pools are configured for DL and UL separately (similar to TCI state and spatial relation in </w:t>
      </w:r>
      <w:r w:rsidR="009B33ED">
        <w:rPr>
          <w:lang w:val="en-GB"/>
        </w:rPr>
        <w:t>R</w:t>
      </w:r>
      <w:r>
        <w:rPr>
          <w:lang w:val="en-GB"/>
        </w:rPr>
        <w:t>15/16), where the DL TCI state pool is configured in PDSCH-Config while the UL TCI state pool is configured in PUCCH-Config.</w:t>
      </w:r>
    </w:p>
    <w:p w14:paraId="18185BC3" w14:textId="0172D885" w:rsidR="00AF12F5" w:rsidRPr="00B00342" w:rsidRDefault="00AF12F5" w:rsidP="00AF12F5">
      <w:pPr>
        <w:rPr>
          <w:b/>
          <w:i/>
          <w:lang w:val="en-GB"/>
        </w:rPr>
      </w:pPr>
      <w:r w:rsidRPr="00C44333">
        <w:rPr>
          <w:b/>
          <w:i/>
          <w:lang w:val="en-GB"/>
        </w:rPr>
        <w:t xml:space="preserve">Proposal </w:t>
      </w:r>
      <w:r>
        <w:rPr>
          <w:b/>
          <w:i/>
          <w:lang w:val="en-GB"/>
        </w:rPr>
        <w:t>2-3</w:t>
      </w:r>
      <w:r w:rsidRPr="00C44333">
        <w:rPr>
          <w:b/>
          <w:i/>
          <w:lang w:val="en-GB"/>
        </w:rPr>
        <w:t xml:space="preserve">: </w:t>
      </w:r>
      <w:r>
        <w:rPr>
          <w:b/>
          <w:i/>
          <w:lang w:val="en-GB"/>
        </w:rPr>
        <w:t>For separate DL/UL T</w:t>
      </w:r>
      <w:r w:rsidRPr="00B00342">
        <w:rPr>
          <w:b/>
          <w:i/>
          <w:lang w:val="en-GB"/>
        </w:rPr>
        <w:t>CI</w:t>
      </w:r>
      <w:r>
        <w:rPr>
          <w:b/>
          <w:i/>
          <w:lang w:val="en-GB"/>
        </w:rPr>
        <w:t xml:space="preserve"> indication</w:t>
      </w:r>
      <w:r w:rsidRPr="00B00342">
        <w:rPr>
          <w:b/>
          <w:i/>
          <w:lang w:val="en-GB"/>
        </w:rPr>
        <w:t xml:space="preserve">, DL TCI </w:t>
      </w:r>
      <w:r>
        <w:rPr>
          <w:b/>
          <w:i/>
          <w:lang w:val="en-GB"/>
        </w:rPr>
        <w:t xml:space="preserve">state is </w:t>
      </w:r>
      <w:r w:rsidRPr="00B00342">
        <w:rPr>
          <w:b/>
          <w:i/>
          <w:lang w:val="en-GB"/>
        </w:rPr>
        <w:t>take</w:t>
      </w:r>
      <w:r>
        <w:rPr>
          <w:b/>
          <w:i/>
          <w:lang w:val="en-GB"/>
        </w:rPr>
        <w:t>n</w:t>
      </w:r>
      <w:r w:rsidRPr="00B00342">
        <w:rPr>
          <w:b/>
          <w:i/>
          <w:lang w:val="en-GB"/>
        </w:rPr>
        <w:t xml:space="preserve"> from </w:t>
      </w:r>
      <w:r>
        <w:rPr>
          <w:b/>
          <w:i/>
          <w:lang w:val="en-GB"/>
        </w:rPr>
        <w:t xml:space="preserve">DL </w:t>
      </w:r>
      <w:r w:rsidRPr="00B00342">
        <w:rPr>
          <w:b/>
          <w:i/>
          <w:lang w:val="en-GB"/>
        </w:rPr>
        <w:t>TCI state pool</w:t>
      </w:r>
      <w:r>
        <w:rPr>
          <w:b/>
          <w:i/>
          <w:lang w:val="en-GB"/>
        </w:rPr>
        <w:t>, while UL</w:t>
      </w:r>
      <w:r w:rsidRPr="00B00342">
        <w:rPr>
          <w:b/>
          <w:i/>
          <w:lang w:val="en-GB"/>
        </w:rPr>
        <w:t xml:space="preserve"> TCI </w:t>
      </w:r>
      <w:r>
        <w:rPr>
          <w:b/>
          <w:i/>
          <w:lang w:val="en-GB"/>
        </w:rPr>
        <w:t xml:space="preserve">state is </w:t>
      </w:r>
      <w:r w:rsidRPr="00B00342">
        <w:rPr>
          <w:b/>
          <w:i/>
          <w:lang w:val="en-GB"/>
        </w:rPr>
        <w:t>take</w:t>
      </w:r>
      <w:r>
        <w:rPr>
          <w:b/>
          <w:i/>
          <w:lang w:val="en-GB"/>
        </w:rPr>
        <w:t>n</w:t>
      </w:r>
      <w:r w:rsidRPr="00B00342">
        <w:rPr>
          <w:b/>
          <w:i/>
          <w:lang w:val="en-GB"/>
        </w:rPr>
        <w:t xml:space="preserve"> from </w:t>
      </w:r>
      <w:r>
        <w:rPr>
          <w:b/>
          <w:i/>
          <w:lang w:val="en-GB"/>
        </w:rPr>
        <w:t xml:space="preserve">UL </w:t>
      </w:r>
      <w:r w:rsidRPr="00B00342">
        <w:rPr>
          <w:b/>
          <w:i/>
          <w:lang w:val="en-GB"/>
        </w:rPr>
        <w:t>TCI state pool</w:t>
      </w:r>
      <w:r>
        <w:rPr>
          <w:b/>
          <w:i/>
          <w:lang w:val="en-GB"/>
        </w:rPr>
        <w:t xml:space="preserve"> that is separate from DL TCI state pool</w:t>
      </w:r>
      <w:r w:rsidRPr="00B00342">
        <w:rPr>
          <w:b/>
          <w:i/>
          <w:lang w:val="en-GB"/>
        </w:rPr>
        <w:t>.</w:t>
      </w:r>
    </w:p>
    <w:p w14:paraId="1F0AAA7A" w14:textId="77777777" w:rsidR="00E1404A" w:rsidRPr="00236334" w:rsidRDefault="00E1404A" w:rsidP="009B013E">
      <w:pPr>
        <w:rPr>
          <w:rFonts w:eastAsiaTheme="minorEastAsia" w:cs="Times New Roman"/>
          <w:lang w:val="en-GB"/>
        </w:rPr>
      </w:pPr>
    </w:p>
    <w:p w14:paraId="1BE12F73" w14:textId="224BA399" w:rsidR="00CF100E" w:rsidRDefault="00540C3A" w:rsidP="00CF100E">
      <w:pPr>
        <w:pStyle w:val="1"/>
        <w:rPr>
          <w:lang w:val="en-GB"/>
        </w:rPr>
      </w:pPr>
      <w:r>
        <w:rPr>
          <w:lang w:val="en-GB"/>
        </w:rPr>
        <w:t>I</w:t>
      </w:r>
      <w:r w:rsidR="00CF100E" w:rsidRPr="0067142E">
        <w:rPr>
          <w:lang w:val="en-GB"/>
        </w:rPr>
        <w:t xml:space="preserve">nter-cell </w:t>
      </w:r>
      <w:r>
        <w:rPr>
          <w:lang w:val="en-GB"/>
        </w:rPr>
        <w:t>beam management</w:t>
      </w:r>
    </w:p>
    <w:p w14:paraId="28E6095F" w14:textId="65221B63" w:rsidR="00672CBF" w:rsidRDefault="00672CBF" w:rsidP="00672CBF">
      <w:pPr>
        <w:rPr>
          <w:rFonts w:cs="Times New Roman"/>
          <w:szCs w:val="22"/>
        </w:rPr>
      </w:pPr>
      <w:r w:rsidRPr="00672CBF">
        <w:rPr>
          <w:rFonts w:cs="Times New Roman" w:hint="eastAsia"/>
          <w:szCs w:val="22"/>
        </w:rPr>
        <w:t>R</w:t>
      </w:r>
      <w:r w:rsidRPr="00672CBF">
        <w:rPr>
          <w:rFonts w:cs="Times New Roman"/>
          <w:szCs w:val="22"/>
        </w:rPr>
        <w:t>egarding L1/L2</w:t>
      </w:r>
      <w:r w:rsidR="005F7295">
        <w:rPr>
          <w:rFonts w:cs="Times New Roman"/>
          <w:szCs w:val="22"/>
        </w:rPr>
        <w:t>-centric</w:t>
      </w:r>
      <w:r w:rsidRPr="00672CBF">
        <w:rPr>
          <w:rFonts w:cs="Times New Roman"/>
          <w:szCs w:val="22"/>
        </w:rPr>
        <w:t xml:space="preserve"> inter-cell mobility, the following </w:t>
      </w:r>
      <w:r w:rsidR="00B23B9D">
        <w:rPr>
          <w:rFonts w:cs="Times New Roman"/>
          <w:szCs w:val="22"/>
        </w:rPr>
        <w:t xml:space="preserve">agreements and working assumption </w:t>
      </w:r>
      <w:r w:rsidR="00AA64EE">
        <w:rPr>
          <w:rFonts w:cs="Times New Roman"/>
          <w:szCs w:val="22"/>
        </w:rPr>
        <w:t>were</w:t>
      </w:r>
      <w:r w:rsidR="00AA64EE" w:rsidRPr="00672CBF">
        <w:rPr>
          <w:rFonts w:cs="Times New Roman"/>
          <w:szCs w:val="22"/>
        </w:rPr>
        <w:t xml:space="preserve"> </w:t>
      </w:r>
      <w:r w:rsidR="00B23B9D">
        <w:rPr>
          <w:rFonts w:cs="Times New Roman"/>
          <w:szCs w:val="22"/>
        </w:rPr>
        <w:t>achieved</w:t>
      </w:r>
      <w:r w:rsidRPr="00672CBF">
        <w:rPr>
          <w:rFonts w:cs="Times New Roman"/>
          <w:szCs w:val="22"/>
        </w:rPr>
        <w:t xml:space="preserve"> in RAN1#10</w:t>
      </w:r>
      <w:r w:rsidR="00D42FCA">
        <w:rPr>
          <w:rFonts w:cs="Times New Roman"/>
          <w:szCs w:val="22"/>
        </w:rPr>
        <w:t>5</w:t>
      </w:r>
      <w:r w:rsidRPr="00672CBF">
        <w:rPr>
          <w:rFonts w:cs="Times New Roman"/>
          <w:szCs w:val="22"/>
        </w:rPr>
        <w:t>-e</w:t>
      </w:r>
      <w:r w:rsidR="00183ABD">
        <w:rPr>
          <w:rFonts w:cs="Times New Roman"/>
          <w:szCs w:val="22"/>
        </w:rPr>
        <w:t xml:space="preserve">. Note that L1/L2-centric inter-cell mobility has been updated as inter-cell beam management in RAN#92. </w:t>
      </w:r>
    </w:p>
    <w:tbl>
      <w:tblPr>
        <w:tblStyle w:val="a6"/>
        <w:tblW w:w="0" w:type="auto"/>
        <w:tblLook w:val="04A0" w:firstRow="1" w:lastRow="0" w:firstColumn="1" w:lastColumn="0" w:noHBand="0" w:noVBand="1"/>
      </w:tblPr>
      <w:tblGrid>
        <w:gridCol w:w="8296"/>
      </w:tblGrid>
      <w:tr w:rsidR="00674ABB" w:rsidRPr="00057EAF" w14:paraId="72FA66B0" w14:textId="77777777" w:rsidTr="00674ABB">
        <w:tc>
          <w:tcPr>
            <w:tcW w:w="8296" w:type="dxa"/>
          </w:tcPr>
          <w:p w14:paraId="082BAB7D" w14:textId="77777777" w:rsidR="00057EAF" w:rsidRPr="00057EAF" w:rsidRDefault="00057EAF" w:rsidP="00A9232A">
            <w:pPr>
              <w:snapToGrid w:val="0"/>
              <w:rPr>
                <w:sz w:val="20"/>
              </w:rPr>
            </w:pPr>
            <w:r w:rsidRPr="00057EAF">
              <w:rPr>
                <w:sz w:val="20"/>
                <w:highlight w:val="green"/>
              </w:rPr>
              <w:t>Agreement</w:t>
            </w:r>
          </w:p>
          <w:p w14:paraId="0E5EA0C5" w14:textId="77777777" w:rsidR="00057EAF" w:rsidRPr="00057EAF" w:rsidRDefault="00057EAF">
            <w:pPr>
              <w:snapToGrid w:val="0"/>
              <w:rPr>
                <w:sz w:val="20"/>
              </w:rPr>
            </w:pPr>
            <w:r w:rsidRPr="00057EAF">
              <w:rPr>
                <w:sz w:val="20"/>
              </w:rPr>
              <w:t xml:space="preserve">On Rel.17 L1-RSRP multi-beam measurement/reporting enhancements </w:t>
            </w:r>
            <w:r w:rsidRPr="00057EAF">
              <w:rPr>
                <w:color w:val="000000"/>
                <w:sz w:val="20"/>
              </w:rPr>
              <w:t>for L1/L2-centric inter-cell mobility and inter-cell mTRP</w:t>
            </w:r>
            <w:r w:rsidRPr="00057EAF">
              <w:rPr>
                <w:sz w:val="20"/>
              </w:rPr>
              <w:t>,</w:t>
            </w:r>
          </w:p>
          <w:p w14:paraId="5F4A6E8C" w14:textId="77777777" w:rsidR="00057EAF" w:rsidRPr="00057EAF" w:rsidRDefault="00057EAF">
            <w:pPr>
              <w:pStyle w:val="a3"/>
              <w:numPr>
                <w:ilvl w:val="0"/>
                <w:numId w:val="36"/>
              </w:numPr>
              <w:snapToGrid w:val="0"/>
              <w:ind w:firstLineChars="0"/>
              <w:rPr>
                <w:sz w:val="20"/>
              </w:rPr>
            </w:pPr>
            <w:r w:rsidRPr="00057EAF">
              <w:rPr>
                <w:sz w:val="20"/>
              </w:rPr>
              <w:t>Support at least K=4, where K is defined as the number of beams associated at least with non-serving cell(s) reported in a single CSI reporting instance</w:t>
            </w:r>
          </w:p>
          <w:p w14:paraId="457FC78D" w14:textId="77777777" w:rsidR="00057EAF" w:rsidRPr="00057EAF" w:rsidRDefault="00057EAF">
            <w:pPr>
              <w:pStyle w:val="a3"/>
              <w:numPr>
                <w:ilvl w:val="1"/>
                <w:numId w:val="36"/>
              </w:numPr>
              <w:snapToGrid w:val="0"/>
              <w:ind w:firstLineChars="0"/>
              <w:rPr>
                <w:sz w:val="20"/>
              </w:rPr>
            </w:pPr>
            <w:r w:rsidRPr="00057EAF">
              <w:rPr>
                <w:sz w:val="20"/>
              </w:rPr>
              <w:t>The maximum value of supported K is a UE capability</w:t>
            </w:r>
          </w:p>
          <w:p w14:paraId="52174C21" w14:textId="77777777" w:rsidR="00057EAF" w:rsidRPr="00057EAF" w:rsidRDefault="00057EAF">
            <w:pPr>
              <w:pStyle w:val="a3"/>
              <w:numPr>
                <w:ilvl w:val="1"/>
                <w:numId w:val="36"/>
              </w:numPr>
              <w:snapToGrid w:val="0"/>
              <w:ind w:firstLineChars="0"/>
              <w:rPr>
                <w:sz w:val="20"/>
              </w:rPr>
            </w:pPr>
            <w:r w:rsidRPr="00057EAF">
              <w:rPr>
                <w:sz w:val="20"/>
              </w:rPr>
              <w:t xml:space="preserve">K is configured by NW based on the UE capability </w:t>
            </w:r>
          </w:p>
          <w:p w14:paraId="62D07B02" w14:textId="77777777" w:rsidR="00057EAF" w:rsidRPr="00057EAF" w:rsidRDefault="00057EAF">
            <w:pPr>
              <w:pStyle w:val="a3"/>
              <w:numPr>
                <w:ilvl w:val="1"/>
                <w:numId w:val="36"/>
              </w:numPr>
              <w:snapToGrid w:val="0"/>
              <w:ind w:firstLineChars="0"/>
              <w:rPr>
                <w:sz w:val="20"/>
              </w:rPr>
            </w:pPr>
            <w:r w:rsidRPr="00057EAF">
              <w:rPr>
                <w:sz w:val="20"/>
              </w:rPr>
              <w:t>FFS: The support of K=8 and 16</w:t>
            </w:r>
          </w:p>
          <w:p w14:paraId="730BE094" w14:textId="77777777" w:rsidR="00057EAF" w:rsidRPr="00057EAF" w:rsidRDefault="00057EAF">
            <w:pPr>
              <w:pStyle w:val="a3"/>
              <w:numPr>
                <w:ilvl w:val="2"/>
                <w:numId w:val="36"/>
              </w:numPr>
              <w:snapToGrid w:val="0"/>
              <w:ind w:firstLineChars="0"/>
              <w:rPr>
                <w:sz w:val="20"/>
              </w:rPr>
            </w:pPr>
            <w:r w:rsidRPr="00057EAF">
              <w:rPr>
                <w:sz w:val="20"/>
              </w:rPr>
              <w:t>For K&gt;4, the maximum number of beams associated with one cell is 4</w:t>
            </w:r>
          </w:p>
          <w:p w14:paraId="29B37A57" w14:textId="77777777" w:rsidR="00057EAF" w:rsidRPr="00057EAF" w:rsidRDefault="00057EAF">
            <w:pPr>
              <w:pStyle w:val="a3"/>
              <w:numPr>
                <w:ilvl w:val="0"/>
                <w:numId w:val="36"/>
              </w:numPr>
              <w:snapToGrid w:val="0"/>
              <w:ind w:firstLineChars="0"/>
              <w:rPr>
                <w:sz w:val="20"/>
              </w:rPr>
            </w:pPr>
            <w:r w:rsidRPr="00057EAF">
              <w:rPr>
                <w:sz w:val="20"/>
              </w:rPr>
              <w:t>FFS: Support L1-based event-driven reporting based on Rel-16 SCell BFR framework or analogous to L3-based event-driven reporting, including the definition of L1-based event, if needed</w:t>
            </w:r>
          </w:p>
          <w:p w14:paraId="656916B9" w14:textId="77777777" w:rsidR="00057EAF" w:rsidRDefault="00057EAF">
            <w:pPr>
              <w:snapToGrid w:val="0"/>
              <w:rPr>
                <w:sz w:val="20"/>
              </w:rPr>
            </w:pPr>
            <w:r w:rsidRPr="00057EAF">
              <w:rPr>
                <w:sz w:val="20"/>
              </w:rPr>
              <w:t>Note: If another beam metric other than L1-RSRP is supported (e.g. L3-RSRP is still FFS), the above also applies</w:t>
            </w:r>
          </w:p>
          <w:p w14:paraId="3793C298" w14:textId="77777777" w:rsidR="00F061CB" w:rsidRPr="00057EAF" w:rsidRDefault="00F061CB">
            <w:pPr>
              <w:snapToGrid w:val="0"/>
              <w:rPr>
                <w:sz w:val="20"/>
              </w:rPr>
            </w:pPr>
          </w:p>
          <w:p w14:paraId="67D8312F" w14:textId="77777777" w:rsidR="00B23B9D" w:rsidRPr="00B23B9D" w:rsidRDefault="00B23B9D">
            <w:pPr>
              <w:snapToGrid w:val="0"/>
              <w:rPr>
                <w:rFonts w:eastAsia="Malgun Gothic"/>
                <w:sz w:val="20"/>
                <w:highlight w:val="darkYellow"/>
              </w:rPr>
            </w:pPr>
            <w:r w:rsidRPr="00B23B9D">
              <w:rPr>
                <w:rFonts w:eastAsia="宋体"/>
                <w:sz w:val="20"/>
                <w:highlight w:val="darkYellow"/>
              </w:rPr>
              <w:t>Working Assumption</w:t>
            </w:r>
          </w:p>
          <w:p w14:paraId="6BE3BEE0" w14:textId="77777777" w:rsidR="00B23B9D" w:rsidRPr="00B23B9D" w:rsidRDefault="00B23B9D">
            <w:pPr>
              <w:snapToGrid w:val="0"/>
              <w:rPr>
                <w:rFonts w:eastAsia="Malgun Gothic"/>
                <w:sz w:val="20"/>
              </w:rPr>
            </w:pPr>
            <w:r w:rsidRPr="00B23B9D">
              <w:rPr>
                <w:rFonts w:eastAsia="Malgun Gothic"/>
                <w:sz w:val="20"/>
              </w:rPr>
              <w:t xml:space="preserve">On Rel.17 beam indication enhancements </w:t>
            </w:r>
            <w:r w:rsidRPr="00B23B9D">
              <w:rPr>
                <w:rFonts w:eastAsia="Malgun Gothic"/>
                <w:color w:val="000000"/>
                <w:sz w:val="20"/>
              </w:rPr>
              <w:t>for L1/L2-centric inter-cell mobility</w:t>
            </w:r>
            <w:r w:rsidRPr="00B23B9D">
              <w:rPr>
                <w:rFonts w:eastAsia="Malgun Gothic"/>
                <w:sz w:val="20"/>
              </w:rPr>
              <w:t>, support the following:</w:t>
            </w:r>
          </w:p>
          <w:p w14:paraId="1B1E794F" w14:textId="77777777" w:rsidR="00B23B9D" w:rsidRPr="00B23B9D" w:rsidRDefault="00B23B9D">
            <w:pPr>
              <w:numPr>
                <w:ilvl w:val="0"/>
                <w:numId w:val="9"/>
              </w:numPr>
              <w:snapToGrid w:val="0"/>
              <w:rPr>
                <w:rFonts w:eastAsia="宋体"/>
                <w:sz w:val="20"/>
              </w:rPr>
            </w:pPr>
            <w:r w:rsidRPr="00B23B9D">
              <w:rPr>
                <w:rFonts w:eastAsia="宋体"/>
                <w:sz w:val="20"/>
              </w:rPr>
              <w:t xml:space="preserve">Rel-17 MAC-CE-based and/or DCI-based beam indication (at least using DCI formats 1_1/1_2 with and without DL assignment including the associated MAC-CE-based TCI state activation) </w:t>
            </w:r>
          </w:p>
          <w:p w14:paraId="7B208EC2" w14:textId="77777777" w:rsidR="00B23B9D" w:rsidRPr="00B23B9D" w:rsidRDefault="00B23B9D">
            <w:pPr>
              <w:numPr>
                <w:ilvl w:val="1"/>
                <w:numId w:val="9"/>
              </w:numPr>
              <w:snapToGrid w:val="0"/>
              <w:rPr>
                <w:rFonts w:eastAsia="宋体"/>
                <w:sz w:val="20"/>
              </w:rPr>
            </w:pPr>
            <w:r w:rsidRPr="00B23B9D">
              <w:rPr>
                <w:rFonts w:eastAsia="宋体"/>
                <w:sz w:val="20"/>
              </w:rPr>
              <w:t xml:space="preserve">FFS (to be decided in RAN1#106-e): Whether this also applies to </w:t>
            </w:r>
            <w:r w:rsidRPr="00B23B9D">
              <w:rPr>
                <w:sz w:val="20"/>
              </w:rPr>
              <w:t xml:space="preserve">PDSCH/PUSCH associated with UE-dedicated CORESETs only or additional target channels (e.g. UE-dedicated PDCCH/PUCCH) </w:t>
            </w:r>
          </w:p>
          <w:p w14:paraId="2B11981F" w14:textId="77777777" w:rsidR="00B23B9D" w:rsidRPr="00B23B9D" w:rsidRDefault="00B23B9D">
            <w:pPr>
              <w:numPr>
                <w:ilvl w:val="1"/>
                <w:numId w:val="9"/>
              </w:numPr>
              <w:snapToGrid w:val="0"/>
              <w:rPr>
                <w:rFonts w:eastAsia="宋体"/>
                <w:sz w:val="20"/>
              </w:rPr>
            </w:pPr>
            <w:r w:rsidRPr="00B23B9D">
              <w:rPr>
                <w:rFonts w:eastAsia="宋体"/>
                <w:sz w:val="20"/>
              </w:rPr>
              <w:t xml:space="preserve">FFS: Whether the above is supported only for joint TCI, or both joint TCI and separate DL/UL TCI (including that, if separate DL/UL TCI is supported, the DL TCI and UL TCI associated with a same cell) </w:t>
            </w:r>
          </w:p>
          <w:p w14:paraId="5D05A99D" w14:textId="77777777" w:rsidR="00B23B9D" w:rsidRPr="00B23B9D" w:rsidRDefault="00B23B9D">
            <w:pPr>
              <w:numPr>
                <w:ilvl w:val="1"/>
                <w:numId w:val="9"/>
              </w:numPr>
              <w:snapToGrid w:val="0"/>
              <w:rPr>
                <w:rFonts w:eastAsia="宋体"/>
                <w:sz w:val="20"/>
              </w:rPr>
            </w:pPr>
            <w:r w:rsidRPr="00B23B9D">
              <w:rPr>
                <w:rFonts w:eastAsia="宋体"/>
                <w:sz w:val="20"/>
              </w:rPr>
              <w:t>FFS: Whether to support activation of TCI states for more than one cells simultaneously</w:t>
            </w:r>
          </w:p>
          <w:p w14:paraId="3D48C965" w14:textId="77777777" w:rsidR="00B23B9D" w:rsidRPr="00B23B9D" w:rsidRDefault="00B23B9D">
            <w:pPr>
              <w:numPr>
                <w:ilvl w:val="1"/>
                <w:numId w:val="9"/>
              </w:numPr>
              <w:snapToGrid w:val="0"/>
              <w:rPr>
                <w:rFonts w:eastAsia="宋体"/>
                <w:sz w:val="20"/>
              </w:rPr>
            </w:pPr>
            <w:r w:rsidRPr="00B23B9D">
              <w:rPr>
                <w:rFonts w:eastAsia="宋体"/>
                <w:sz w:val="20"/>
              </w:rPr>
              <w:t>FFS: Whether down-selection between MAC-CE only based and MAC-CE+DCI-based beam indication scheme is necessary</w:t>
            </w:r>
          </w:p>
          <w:p w14:paraId="2C630DF8" w14:textId="77777777" w:rsidR="00B23B9D" w:rsidRPr="00B23B9D" w:rsidRDefault="00B23B9D">
            <w:pPr>
              <w:numPr>
                <w:ilvl w:val="0"/>
                <w:numId w:val="9"/>
              </w:numPr>
              <w:snapToGrid w:val="0"/>
              <w:rPr>
                <w:rFonts w:eastAsia="宋体"/>
                <w:sz w:val="20"/>
              </w:rPr>
            </w:pPr>
            <w:r w:rsidRPr="00B23B9D">
              <w:rPr>
                <w:rFonts w:eastAsia="宋体"/>
                <w:sz w:val="20"/>
              </w:rPr>
              <w:lastRenderedPageBreak/>
              <w:t xml:space="preserve">The DL QCL and UL spatial relation rules already agreed for intra-cell scenario </w:t>
            </w:r>
          </w:p>
          <w:p w14:paraId="6F1BBA9C" w14:textId="77777777" w:rsidR="00B23B9D" w:rsidRPr="00B23B9D" w:rsidRDefault="00B23B9D">
            <w:pPr>
              <w:numPr>
                <w:ilvl w:val="0"/>
                <w:numId w:val="9"/>
              </w:numPr>
              <w:snapToGrid w:val="0"/>
              <w:rPr>
                <w:rFonts w:eastAsia="宋体"/>
                <w:sz w:val="20"/>
              </w:rPr>
            </w:pPr>
            <w:r w:rsidRPr="00B23B9D">
              <w:rPr>
                <w:rFonts w:eastAsia="宋体"/>
                <w:sz w:val="20"/>
              </w:rPr>
              <w:t xml:space="preserve">FFS: The use of SSB associated with a physical cell ID different from that of the serving cell as an indirect QCL reference for UE-dedicated PDSCH </w:t>
            </w:r>
          </w:p>
          <w:p w14:paraId="15D2D282" w14:textId="77777777" w:rsidR="00B23B9D" w:rsidRPr="00B23B9D" w:rsidRDefault="00B23B9D">
            <w:pPr>
              <w:numPr>
                <w:ilvl w:val="1"/>
                <w:numId w:val="9"/>
              </w:numPr>
              <w:snapToGrid w:val="0"/>
              <w:rPr>
                <w:rFonts w:eastAsia="宋体"/>
                <w:sz w:val="20"/>
              </w:rPr>
            </w:pPr>
            <w:r w:rsidRPr="00B23B9D">
              <w:rPr>
                <w:rFonts w:eastAsia="宋体"/>
                <w:sz w:val="20"/>
              </w:rPr>
              <w:t xml:space="preserve">FFS (to be decided in RAN1#106-e): Whether this also applies to UE-dedicated PDCCH </w:t>
            </w:r>
          </w:p>
          <w:p w14:paraId="53E284FD" w14:textId="77777777" w:rsidR="00B23B9D" w:rsidRPr="00B23B9D" w:rsidRDefault="00B23B9D">
            <w:pPr>
              <w:numPr>
                <w:ilvl w:val="1"/>
                <w:numId w:val="9"/>
              </w:numPr>
              <w:snapToGrid w:val="0"/>
              <w:rPr>
                <w:rFonts w:eastAsia="宋体"/>
                <w:sz w:val="20"/>
              </w:rPr>
            </w:pPr>
            <w:r w:rsidRPr="00B23B9D">
              <w:rPr>
                <w:rFonts w:eastAsia="宋体"/>
                <w:sz w:val="20"/>
              </w:rPr>
              <w:t>Note: When RS X is an indirect QCL reference of a target channel, there exists at least one other source signal on the QCL chain between RS X and the target channel</w:t>
            </w:r>
          </w:p>
          <w:p w14:paraId="3414CDDB" w14:textId="77777777" w:rsidR="00B23B9D" w:rsidRPr="00B23B9D" w:rsidRDefault="00B23B9D">
            <w:pPr>
              <w:numPr>
                <w:ilvl w:val="1"/>
                <w:numId w:val="9"/>
              </w:numPr>
              <w:snapToGrid w:val="0"/>
              <w:rPr>
                <w:rFonts w:eastAsia="宋体"/>
                <w:sz w:val="20"/>
              </w:rPr>
            </w:pPr>
            <w:r w:rsidRPr="00B23B9D">
              <w:rPr>
                <w:rFonts w:eastAsia="宋体"/>
                <w:sz w:val="20"/>
              </w:rPr>
              <w:t>FFS (to be decided in RAN1#106-e): Whether SSB associated with a physical cell ID different from that of the serving cell can also be used as a direct QCL reference (source RS) for UE-dedicated PDCCH/PDSCH</w:t>
            </w:r>
          </w:p>
          <w:p w14:paraId="1F2D1636" w14:textId="776A8016" w:rsidR="00057EAF" w:rsidRPr="00B23B9D" w:rsidRDefault="00057EAF" w:rsidP="007C3235">
            <w:pPr>
              <w:snapToGrid w:val="0"/>
              <w:rPr>
                <w:sz w:val="20"/>
              </w:rPr>
            </w:pPr>
          </w:p>
          <w:p w14:paraId="1FB9E3B2" w14:textId="77777777" w:rsidR="00057EAF" w:rsidRPr="00057EAF" w:rsidRDefault="00057EAF" w:rsidP="00A9232A">
            <w:pPr>
              <w:snapToGrid w:val="0"/>
              <w:rPr>
                <w:sz w:val="20"/>
                <w:lang w:eastAsia="ko-KR"/>
              </w:rPr>
            </w:pPr>
            <w:r w:rsidRPr="00057EAF">
              <w:rPr>
                <w:sz w:val="20"/>
                <w:highlight w:val="green"/>
              </w:rPr>
              <w:t>Agreement</w:t>
            </w:r>
          </w:p>
          <w:p w14:paraId="3960E17B" w14:textId="77777777" w:rsidR="00057EAF" w:rsidRPr="00057EAF" w:rsidRDefault="00057EAF">
            <w:pPr>
              <w:snapToGrid w:val="0"/>
              <w:rPr>
                <w:sz w:val="20"/>
              </w:rPr>
            </w:pPr>
            <w:r w:rsidRPr="00057EAF">
              <w:rPr>
                <w:sz w:val="20"/>
              </w:rPr>
              <w:t>On Rel.17 L1-RSRP multi-beam measurement/reporting enhancements for L1/L2-centric inter-cell mobility and inter-cell mTRP, decide by RAN1#106-e whether to support the following RS types as measurement RS or not:</w:t>
            </w:r>
          </w:p>
          <w:p w14:paraId="54B6FFE7" w14:textId="77777777" w:rsidR="00057EAF" w:rsidRPr="00057EAF" w:rsidRDefault="00057EAF">
            <w:pPr>
              <w:pStyle w:val="a3"/>
              <w:numPr>
                <w:ilvl w:val="0"/>
                <w:numId w:val="35"/>
              </w:numPr>
              <w:snapToGrid w:val="0"/>
              <w:ind w:firstLineChars="0"/>
              <w:rPr>
                <w:sz w:val="20"/>
              </w:rPr>
            </w:pPr>
            <w:r w:rsidRPr="00057EAF">
              <w:rPr>
                <w:sz w:val="20"/>
              </w:rPr>
              <w:t xml:space="preserve">CSI-RS for mobility/RRM associated with a non-serving cell  </w:t>
            </w:r>
          </w:p>
          <w:p w14:paraId="0B84210E" w14:textId="77777777" w:rsidR="00057EAF" w:rsidRPr="00057EAF" w:rsidRDefault="00057EAF">
            <w:pPr>
              <w:pStyle w:val="a3"/>
              <w:numPr>
                <w:ilvl w:val="0"/>
                <w:numId w:val="35"/>
              </w:numPr>
              <w:snapToGrid w:val="0"/>
              <w:ind w:firstLineChars="0"/>
              <w:rPr>
                <w:sz w:val="20"/>
              </w:rPr>
            </w:pPr>
            <w:r w:rsidRPr="00057EAF">
              <w:rPr>
                <w:sz w:val="20"/>
              </w:rPr>
              <w:t xml:space="preserve">CSI-RS for BM associated with a non-serving cell  </w:t>
            </w:r>
          </w:p>
          <w:p w14:paraId="66F4CB48" w14:textId="77777777" w:rsidR="00057EAF" w:rsidRPr="00057EAF" w:rsidRDefault="00057EAF">
            <w:pPr>
              <w:pStyle w:val="a3"/>
              <w:numPr>
                <w:ilvl w:val="0"/>
                <w:numId w:val="35"/>
              </w:numPr>
              <w:snapToGrid w:val="0"/>
              <w:ind w:firstLineChars="0"/>
              <w:rPr>
                <w:sz w:val="20"/>
              </w:rPr>
            </w:pPr>
            <w:r w:rsidRPr="00057EAF">
              <w:rPr>
                <w:sz w:val="20"/>
              </w:rPr>
              <w:t xml:space="preserve">CSI-RS for tracking associated with a non-serving cell  </w:t>
            </w:r>
          </w:p>
          <w:p w14:paraId="58278802" w14:textId="77777777" w:rsidR="00057EAF" w:rsidRPr="00057EAF" w:rsidRDefault="00057EAF">
            <w:pPr>
              <w:snapToGrid w:val="0"/>
              <w:rPr>
                <w:sz w:val="20"/>
              </w:rPr>
            </w:pPr>
            <w:r w:rsidRPr="00057EAF">
              <w:rPr>
                <w:sz w:val="20"/>
              </w:rPr>
              <w:t>Note: If another beam metric other than L1-RSRP is supported (e.g. L3-RSRP is still FFS), the above also applies</w:t>
            </w:r>
          </w:p>
          <w:p w14:paraId="7FEAEFB1" w14:textId="46936CE4" w:rsidR="00674ABB" w:rsidRPr="0006665D" w:rsidRDefault="00057EAF">
            <w:pPr>
              <w:snapToGrid w:val="0"/>
              <w:rPr>
                <w:rFonts w:eastAsiaTheme="minorEastAsia"/>
                <w:sz w:val="20"/>
              </w:rPr>
            </w:pPr>
            <w:r w:rsidRPr="00057EAF">
              <w:rPr>
                <w:sz w:val="20"/>
              </w:rPr>
              <w:t>Note: An RS is associated with a non-serving cell means that it is either configured for a non-serving cell or configured for a serving cell but is QCLed with a non-serving cell SSB</w:t>
            </w:r>
          </w:p>
        </w:tc>
      </w:tr>
    </w:tbl>
    <w:p w14:paraId="408688B4" w14:textId="21B816AF" w:rsidR="00F1412C" w:rsidRDefault="00F1412C" w:rsidP="00BF522D">
      <w:pPr>
        <w:pStyle w:val="2"/>
      </w:pPr>
      <w:r>
        <w:lastRenderedPageBreak/>
        <w:t>M</w:t>
      </w:r>
      <w:r w:rsidRPr="004D6D70">
        <w:t>easurement/reporting</w:t>
      </w:r>
    </w:p>
    <w:p w14:paraId="4BA1277A" w14:textId="5F27A4B3" w:rsidR="009730B8" w:rsidRDefault="00A23322" w:rsidP="003027B2">
      <w:pPr>
        <w:spacing w:beforeLines="50" w:before="156"/>
        <w:rPr>
          <w:rFonts w:eastAsiaTheme="minorEastAsia"/>
          <w:lang w:val="en-GB"/>
        </w:rPr>
      </w:pPr>
      <w:r>
        <w:rPr>
          <w:rFonts w:eastAsiaTheme="minorEastAsia" w:hint="eastAsia"/>
          <w:lang w:val="en-GB"/>
        </w:rPr>
        <w:t>F</w:t>
      </w:r>
      <w:r>
        <w:rPr>
          <w:rFonts w:eastAsiaTheme="minorEastAsia"/>
          <w:lang w:val="en-GB"/>
        </w:rPr>
        <w:t xml:space="preserve">or the </w:t>
      </w:r>
      <w:r w:rsidR="00DC2E7D" w:rsidRPr="00DC2E7D">
        <w:rPr>
          <w:rFonts w:eastAsiaTheme="minorEastAsia"/>
          <w:lang w:val="en-GB"/>
        </w:rPr>
        <w:t xml:space="preserve">number of beam qualities associated with non-serving cell(s) </w:t>
      </w:r>
      <w:r w:rsidR="0064478E">
        <w:rPr>
          <w:rFonts w:eastAsiaTheme="minorEastAsia"/>
          <w:lang w:val="en-GB"/>
        </w:rPr>
        <w:t xml:space="preserve">that </w:t>
      </w:r>
      <w:r w:rsidR="00DC2E7D" w:rsidRPr="00DC2E7D">
        <w:rPr>
          <w:rFonts w:eastAsiaTheme="minorEastAsia"/>
          <w:lang w:val="en-GB"/>
        </w:rPr>
        <w:t>can be reported in a single CSI reporting instance</w:t>
      </w:r>
      <w:r w:rsidR="00DC2E7D">
        <w:rPr>
          <w:rFonts w:eastAsiaTheme="minorEastAsia"/>
          <w:lang w:val="en-GB"/>
        </w:rPr>
        <w:t xml:space="preserve"> (i.e.</w:t>
      </w:r>
      <w:r w:rsidR="0064478E">
        <w:rPr>
          <w:rFonts w:eastAsiaTheme="minorEastAsia"/>
          <w:lang w:val="en-GB"/>
        </w:rPr>
        <w:t>,</w:t>
      </w:r>
      <w:r w:rsidR="00DC2E7D">
        <w:rPr>
          <w:rFonts w:eastAsiaTheme="minorEastAsia"/>
          <w:lang w:val="en-GB"/>
        </w:rPr>
        <w:t xml:space="preserve"> K value in the </w:t>
      </w:r>
      <w:r w:rsidR="00DE3803">
        <w:rPr>
          <w:rFonts w:eastAsiaTheme="minorEastAsia"/>
          <w:lang w:val="en-GB"/>
        </w:rPr>
        <w:t>agreement</w:t>
      </w:r>
      <w:r w:rsidR="0064478E">
        <w:rPr>
          <w:rFonts w:eastAsiaTheme="minorEastAsia"/>
          <w:lang w:val="en-GB"/>
        </w:rPr>
        <w:t xml:space="preserve"> above</w:t>
      </w:r>
      <w:r w:rsidR="00DC2E7D">
        <w:rPr>
          <w:rFonts w:eastAsiaTheme="minorEastAsia"/>
          <w:lang w:val="en-GB"/>
        </w:rPr>
        <w:t xml:space="preserve">), </w:t>
      </w:r>
      <w:r w:rsidR="00540C3A">
        <w:rPr>
          <w:rFonts w:eastAsiaTheme="minorEastAsia"/>
          <w:lang w:val="en-GB"/>
        </w:rPr>
        <w:t xml:space="preserve">the </w:t>
      </w:r>
      <w:r w:rsidR="00DC2E7D">
        <w:rPr>
          <w:rFonts w:eastAsiaTheme="minorEastAsia"/>
          <w:lang w:val="en-GB"/>
        </w:rPr>
        <w:t>value</w:t>
      </w:r>
      <w:r w:rsidR="00540C3A">
        <w:rPr>
          <w:rFonts w:eastAsiaTheme="minorEastAsia"/>
          <w:lang w:val="en-GB"/>
        </w:rPr>
        <w:t xml:space="preserve"> </w:t>
      </w:r>
      <w:r w:rsidR="00DC6464">
        <w:rPr>
          <w:rFonts w:eastAsiaTheme="minorEastAsia"/>
          <w:lang w:val="en-GB"/>
        </w:rPr>
        <w:t xml:space="preserve">of </w:t>
      </w:r>
      <w:r w:rsidR="00DC2E7D">
        <w:rPr>
          <w:rFonts w:eastAsiaTheme="minorEastAsia"/>
          <w:lang w:val="en-GB"/>
        </w:rPr>
        <w:t>4</w:t>
      </w:r>
      <w:r w:rsidR="00540C3A">
        <w:rPr>
          <w:rFonts w:eastAsiaTheme="minorEastAsia"/>
          <w:lang w:val="en-GB"/>
        </w:rPr>
        <w:t xml:space="preserve"> was agreed</w:t>
      </w:r>
      <w:r w:rsidR="00DC2E7D">
        <w:rPr>
          <w:rFonts w:eastAsiaTheme="minorEastAsia"/>
          <w:lang w:val="en-GB"/>
        </w:rPr>
        <w:t xml:space="preserve">. In our view, the </w:t>
      </w:r>
      <w:r w:rsidR="0064478E">
        <w:rPr>
          <w:rFonts w:eastAsiaTheme="minorEastAsia"/>
          <w:lang w:val="en-GB"/>
        </w:rPr>
        <w:t xml:space="preserve">maximum </w:t>
      </w:r>
      <w:r w:rsidR="006C35D1">
        <w:rPr>
          <w:rFonts w:eastAsiaTheme="minorEastAsia"/>
          <w:lang w:val="en-GB"/>
        </w:rPr>
        <w:t xml:space="preserve">K </w:t>
      </w:r>
      <w:r w:rsidR="00DC2E7D">
        <w:rPr>
          <w:rFonts w:eastAsiaTheme="minorEastAsia"/>
          <w:lang w:val="en-GB"/>
        </w:rPr>
        <w:t xml:space="preserve">value for which a UE can support highly depends on </w:t>
      </w:r>
      <w:r w:rsidR="00D63012">
        <w:rPr>
          <w:rFonts w:eastAsiaTheme="minorEastAsia"/>
          <w:lang w:val="en-GB"/>
        </w:rPr>
        <w:t xml:space="preserve">UE </w:t>
      </w:r>
      <w:r w:rsidR="00DC2E7D">
        <w:rPr>
          <w:rFonts w:eastAsiaTheme="minorEastAsia"/>
          <w:lang w:val="en-GB"/>
        </w:rPr>
        <w:t xml:space="preserve">capability. To restrict </w:t>
      </w:r>
      <w:r w:rsidR="0064478E">
        <w:rPr>
          <w:rFonts w:eastAsiaTheme="minorEastAsia"/>
          <w:lang w:val="en-GB"/>
        </w:rPr>
        <w:t xml:space="preserve">to </w:t>
      </w:r>
      <w:r w:rsidR="00DC2E7D">
        <w:rPr>
          <w:rFonts w:eastAsiaTheme="minorEastAsia"/>
          <w:lang w:val="en-GB"/>
        </w:rPr>
        <w:t xml:space="preserve">a small value </w:t>
      </w:r>
      <w:r w:rsidR="00D63012">
        <w:rPr>
          <w:rFonts w:eastAsiaTheme="minorEastAsia"/>
          <w:lang w:val="en-GB"/>
        </w:rPr>
        <w:t>(</w:t>
      </w:r>
      <w:r w:rsidR="0064478E">
        <w:rPr>
          <w:rFonts w:eastAsiaTheme="minorEastAsia"/>
          <w:lang w:val="en-GB"/>
        </w:rPr>
        <w:t xml:space="preserve">such as </w:t>
      </w:r>
      <w:r w:rsidR="00DC2E7D">
        <w:rPr>
          <w:rFonts w:eastAsiaTheme="minorEastAsia"/>
          <w:lang w:val="en-GB"/>
        </w:rPr>
        <w:t>4</w:t>
      </w:r>
      <w:r w:rsidR="00D63012">
        <w:rPr>
          <w:rFonts w:eastAsiaTheme="minorEastAsia"/>
          <w:lang w:val="en-GB"/>
        </w:rPr>
        <w:t>)</w:t>
      </w:r>
      <w:r w:rsidR="00DC2E7D">
        <w:rPr>
          <w:rFonts w:eastAsiaTheme="minorEastAsia"/>
          <w:lang w:val="en-GB"/>
        </w:rPr>
        <w:t xml:space="preserve"> for all UEs in R17 </w:t>
      </w:r>
      <w:r w:rsidR="0064478E">
        <w:rPr>
          <w:rFonts w:eastAsiaTheme="minorEastAsia" w:hint="eastAsia"/>
          <w:lang w:val="en-GB"/>
        </w:rPr>
        <w:t>see</w:t>
      </w:r>
      <w:r w:rsidR="0064478E">
        <w:rPr>
          <w:rFonts w:eastAsiaTheme="minorEastAsia"/>
          <w:lang w:val="en-GB"/>
        </w:rPr>
        <w:t>ms</w:t>
      </w:r>
      <w:r w:rsidR="00DC2E7D">
        <w:rPr>
          <w:rFonts w:eastAsiaTheme="minorEastAsia"/>
          <w:lang w:val="en-GB"/>
        </w:rPr>
        <w:t xml:space="preserve"> unnecessar</w:t>
      </w:r>
      <w:r w:rsidR="00DC6464">
        <w:rPr>
          <w:rFonts w:eastAsiaTheme="minorEastAsia"/>
          <w:lang w:val="en-GB"/>
        </w:rPr>
        <w:t>ily restrictive for performance and NW planning</w:t>
      </w:r>
      <w:r w:rsidR="00DC2E7D">
        <w:rPr>
          <w:rFonts w:eastAsiaTheme="minorEastAsia"/>
          <w:lang w:val="en-GB"/>
        </w:rPr>
        <w:t>. If a UE report</w:t>
      </w:r>
      <w:r w:rsidR="0064478E">
        <w:rPr>
          <w:rFonts w:eastAsiaTheme="minorEastAsia"/>
          <w:lang w:val="en-GB"/>
        </w:rPr>
        <w:t>s</w:t>
      </w:r>
      <w:r w:rsidR="00DC2E7D">
        <w:rPr>
          <w:rFonts w:eastAsiaTheme="minorEastAsia"/>
          <w:lang w:val="en-GB"/>
        </w:rPr>
        <w:t xml:space="preserve"> it can support 8</w:t>
      </w:r>
      <w:r w:rsidR="0064478E">
        <w:rPr>
          <w:rFonts w:eastAsiaTheme="minorEastAsia"/>
          <w:lang w:val="en-GB"/>
        </w:rPr>
        <w:t xml:space="preserve"> or 1</w:t>
      </w:r>
      <w:r w:rsidR="00DC2E7D">
        <w:rPr>
          <w:rFonts w:eastAsiaTheme="minorEastAsia"/>
          <w:lang w:val="en-GB"/>
        </w:rPr>
        <w:t xml:space="preserve">6 </w:t>
      </w:r>
      <w:r w:rsidR="0064478E">
        <w:rPr>
          <w:rFonts w:eastAsiaTheme="minorEastAsia"/>
          <w:lang w:val="en-GB"/>
        </w:rPr>
        <w:t xml:space="preserve">via </w:t>
      </w:r>
      <w:r w:rsidR="00DC6464">
        <w:rPr>
          <w:rFonts w:eastAsiaTheme="minorEastAsia"/>
          <w:lang w:val="en-GB"/>
        </w:rPr>
        <w:t xml:space="preserve">UE </w:t>
      </w:r>
      <w:r w:rsidR="00DC2E7D">
        <w:rPr>
          <w:rFonts w:eastAsiaTheme="minorEastAsia"/>
          <w:lang w:val="en-GB"/>
        </w:rPr>
        <w:t xml:space="preserve">capability reporting, with more </w:t>
      </w:r>
      <w:r w:rsidR="00DC6464">
        <w:rPr>
          <w:rFonts w:eastAsiaTheme="minorEastAsia"/>
          <w:lang w:val="en-GB"/>
        </w:rPr>
        <w:t xml:space="preserve">candidate </w:t>
      </w:r>
      <w:r w:rsidR="00DC2E7D">
        <w:rPr>
          <w:rFonts w:eastAsiaTheme="minorEastAsia"/>
          <w:lang w:val="en-GB"/>
        </w:rPr>
        <w:t xml:space="preserve">beams reported in </w:t>
      </w:r>
      <w:r w:rsidR="00D63012">
        <w:rPr>
          <w:rFonts w:eastAsiaTheme="minorEastAsia"/>
          <w:lang w:val="en-GB"/>
        </w:rPr>
        <w:t xml:space="preserve">one </w:t>
      </w:r>
      <w:r w:rsidR="00DC2E7D">
        <w:rPr>
          <w:rFonts w:eastAsiaTheme="minorEastAsia"/>
          <w:lang w:val="en-GB"/>
        </w:rPr>
        <w:t xml:space="preserve">reporting instance, </w:t>
      </w:r>
      <w:r w:rsidR="006F0D64">
        <w:rPr>
          <w:rFonts w:eastAsiaTheme="minorEastAsia"/>
          <w:lang w:val="en-GB"/>
        </w:rPr>
        <w:t>extra</w:t>
      </w:r>
      <w:r w:rsidR="00DC2E7D">
        <w:rPr>
          <w:rFonts w:eastAsiaTheme="minorEastAsia"/>
          <w:lang w:val="en-GB"/>
        </w:rPr>
        <w:t xml:space="preserve"> reliability and flexibility can be achieved. </w:t>
      </w:r>
    </w:p>
    <w:p w14:paraId="78DBB739" w14:textId="6940B034" w:rsidR="00233380" w:rsidRDefault="00233380" w:rsidP="00233380">
      <w:pPr>
        <w:pStyle w:val="a7"/>
        <w:rPr>
          <w:b/>
          <w:i/>
          <w:szCs w:val="22"/>
          <w:lang w:val="en-GB"/>
        </w:rPr>
      </w:pPr>
      <w:r w:rsidRPr="00233380">
        <w:rPr>
          <w:b/>
          <w:i/>
          <w:szCs w:val="22"/>
          <w:lang w:val="en-GB"/>
        </w:rPr>
        <w:t xml:space="preserve">Proposal 3-1: The </w:t>
      </w:r>
      <w:r w:rsidR="009730B8">
        <w:rPr>
          <w:b/>
          <w:i/>
          <w:szCs w:val="22"/>
          <w:lang w:val="en-GB"/>
        </w:rPr>
        <w:t>maximum number of beam qualities associated with non-serving cell(s) that can be reported in a single CSI reporting instance is 16 (subject to UE capability)</w:t>
      </w:r>
      <w:r w:rsidR="00D63012">
        <w:rPr>
          <w:b/>
          <w:i/>
          <w:szCs w:val="22"/>
          <w:lang w:val="en-GB"/>
        </w:rPr>
        <w:t>.</w:t>
      </w:r>
    </w:p>
    <w:p w14:paraId="4F1ECD43" w14:textId="34A65B8D" w:rsidR="00A4737D" w:rsidRDefault="00A4737D" w:rsidP="00A4737D">
      <w:pPr>
        <w:pStyle w:val="2"/>
      </w:pPr>
      <w:r>
        <w:t>Beam indication</w:t>
      </w:r>
    </w:p>
    <w:p w14:paraId="6A71B095" w14:textId="596A3FDE" w:rsidR="00BF522D" w:rsidRPr="00A338BC" w:rsidRDefault="00403DAF" w:rsidP="00A338BC">
      <w:pPr>
        <w:spacing w:beforeLines="50" w:before="156"/>
        <w:rPr>
          <w:rFonts w:eastAsiaTheme="minorEastAsia"/>
        </w:rPr>
      </w:pPr>
      <w:r>
        <w:rPr>
          <w:rFonts w:eastAsiaTheme="minorEastAsia"/>
        </w:rPr>
        <w:t xml:space="preserve">With </w:t>
      </w:r>
      <w:r w:rsidR="00A338BC">
        <w:rPr>
          <w:rFonts w:eastAsiaTheme="minorEastAsia"/>
        </w:rPr>
        <w:t xml:space="preserve">current design for intra-cell BM, DCI can be used to indicate a TCI </w:t>
      </w:r>
      <w:r>
        <w:rPr>
          <w:rFonts w:eastAsiaTheme="minorEastAsia"/>
        </w:rPr>
        <w:t xml:space="preserve">codepoint </w:t>
      </w:r>
      <w:r w:rsidR="00A338BC">
        <w:rPr>
          <w:rFonts w:eastAsiaTheme="minorEastAsia"/>
        </w:rPr>
        <w:t>when multiple TCI states were activated by MAC-CE. First</w:t>
      </w:r>
      <w:r w:rsidR="00297F57">
        <w:rPr>
          <w:rFonts w:eastAsiaTheme="minorEastAsia"/>
        </w:rPr>
        <w:t xml:space="preserve"> of all</w:t>
      </w:r>
      <w:r w:rsidR="00A338BC">
        <w:rPr>
          <w:rFonts w:eastAsiaTheme="minorEastAsia"/>
        </w:rPr>
        <w:t>, the implementation complexity should be considered</w:t>
      </w:r>
      <w:r w:rsidR="00A51D56">
        <w:rPr>
          <w:rFonts w:eastAsiaTheme="minorEastAsia"/>
        </w:rPr>
        <w:t xml:space="preserve"> for activating TCI states from multiple cells in a single MAC-CE</w:t>
      </w:r>
      <w:r w:rsidR="00A338BC">
        <w:rPr>
          <w:rFonts w:eastAsiaTheme="minorEastAsia"/>
        </w:rPr>
        <w:t xml:space="preserve">. In such case, UE may need to track the RSs from </w:t>
      </w:r>
      <w:r>
        <w:rPr>
          <w:rFonts w:eastAsiaTheme="minorEastAsia"/>
        </w:rPr>
        <w:t xml:space="preserve">multiple </w:t>
      </w:r>
      <w:r w:rsidR="00A338BC">
        <w:rPr>
          <w:rFonts w:eastAsiaTheme="minorEastAsia"/>
        </w:rPr>
        <w:t>cells simultaneously.</w:t>
      </w:r>
      <w:r w:rsidR="00297F57">
        <w:rPr>
          <w:rFonts w:eastAsiaTheme="minorEastAsia"/>
        </w:rPr>
        <w:t xml:space="preserve"> Secondly, </w:t>
      </w:r>
      <w:r w:rsidR="00D81D4E">
        <w:rPr>
          <w:rFonts w:eastAsiaTheme="minorEastAsia"/>
        </w:rPr>
        <w:t>up to</w:t>
      </w:r>
      <w:r w:rsidR="00297F57">
        <w:rPr>
          <w:rFonts w:eastAsiaTheme="minorEastAsia"/>
        </w:rPr>
        <w:t xml:space="preserve"> 8 TCI </w:t>
      </w:r>
      <w:r>
        <w:rPr>
          <w:rFonts w:eastAsiaTheme="minorEastAsia"/>
        </w:rPr>
        <w:t xml:space="preserve">codepoints </w:t>
      </w:r>
      <w:r w:rsidR="00297F57">
        <w:rPr>
          <w:rFonts w:eastAsiaTheme="minorEastAsia"/>
        </w:rPr>
        <w:t xml:space="preserve">can be activated </w:t>
      </w:r>
      <w:r w:rsidR="00D81D4E">
        <w:rPr>
          <w:rFonts w:eastAsiaTheme="minorEastAsia"/>
        </w:rPr>
        <w:t>by MAC-CE. Those</w:t>
      </w:r>
      <w:r w:rsidR="00297F57">
        <w:rPr>
          <w:rFonts w:eastAsiaTheme="minorEastAsia"/>
        </w:rPr>
        <w:t xml:space="preserve"> codepoints were designed to be used in one cell</w:t>
      </w:r>
      <w:r>
        <w:rPr>
          <w:rFonts w:eastAsiaTheme="minorEastAsia"/>
        </w:rPr>
        <w:t>. I</w:t>
      </w:r>
      <w:r w:rsidR="00297F57">
        <w:rPr>
          <w:rFonts w:eastAsiaTheme="minorEastAsia"/>
        </w:rPr>
        <w:t xml:space="preserve">f some of them are </w:t>
      </w:r>
      <w:r w:rsidR="00D81D4E">
        <w:rPr>
          <w:rFonts w:eastAsiaTheme="minorEastAsia"/>
        </w:rPr>
        <w:t xml:space="preserve">occupied for inter-cell beam indication, it may </w:t>
      </w:r>
      <w:r>
        <w:rPr>
          <w:rFonts w:eastAsiaTheme="minorEastAsia"/>
        </w:rPr>
        <w:t xml:space="preserve">impact the </w:t>
      </w:r>
      <w:r w:rsidR="00D81D4E">
        <w:rPr>
          <w:rFonts w:eastAsiaTheme="minorEastAsia"/>
        </w:rPr>
        <w:t>flexibility for intra-cell beam indication.</w:t>
      </w:r>
      <w:r w:rsidR="00A338BC">
        <w:rPr>
          <w:rFonts w:eastAsiaTheme="minorEastAsia"/>
        </w:rPr>
        <w:t xml:space="preserve"> </w:t>
      </w:r>
      <w:r w:rsidR="00D81D4E">
        <w:rPr>
          <w:rFonts w:eastAsiaTheme="minorEastAsia"/>
        </w:rPr>
        <w:t xml:space="preserve">Lastly, the </w:t>
      </w:r>
      <w:r w:rsidR="00A51D56">
        <w:rPr>
          <w:rFonts w:eastAsiaTheme="minorEastAsia"/>
        </w:rPr>
        <w:t>TCI state indication for inter-cell beam management</w:t>
      </w:r>
      <w:r w:rsidR="00CA719D">
        <w:rPr>
          <w:rFonts w:eastAsiaTheme="minorEastAsia"/>
        </w:rPr>
        <w:t xml:space="preserve"> is not expected to happen very often, with which </w:t>
      </w:r>
      <w:r w:rsidR="00A51D56">
        <w:rPr>
          <w:rFonts w:eastAsiaTheme="minorEastAsia"/>
        </w:rPr>
        <w:t>the signaling delay</w:t>
      </w:r>
      <w:r w:rsidR="00CA719D">
        <w:rPr>
          <w:rFonts w:eastAsiaTheme="minorEastAsia"/>
        </w:rPr>
        <w:t xml:space="preserve"> may</w:t>
      </w:r>
      <w:r w:rsidR="00A51D56">
        <w:rPr>
          <w:rFonts w:eastAsiaTheme="minorEastAsia"/>
        </w:rPr>
        <w:t xml:space="preserve"> not </w:t>
      </w:r>
      <w:r w:rsidR="00CA719D">
        <w:rPr>
          <w:rFonts w:eastAsiaTheme="minorEastAsia"/>
        </w:rPr>
        <w:t xml:space="preserve">be </w:t>
      </w:r>
      <w:r w:rsidR="00A51D56">
        <w:rPr>
          <w:rFonts w:eastAsiaTheme="minorEastAsia"/>
        </w:rPr>
        <w:t>a critical issue.</w:t>
      </w:r>
    </w:p>
    <w:p w14:paraId="01DA1F64" w14:textId="1721514C" w:rsidR="00FE7A0B" w:rsidRPr="00673386" w:rsidRDefault="002A4502" w:rsidP="00673386">
      <w:pPr>
        <w:spacing w:beforeLines="50" w:before="156"/>
        <w:rPr>
          <w:rFonts w:eastAsiaTheme="minorEastAsia"/>
          <w:b/>
          <w:i/>
        </w:rPr>
      </w:pPr>
      <w:r w:rsidRPr="00442DB2">
        <w:rPr>
          <w:b/>
          <w:i/>
        </w:rPr>
        <w:t>Proposal 3-</w:t>
      </w:r>
      <w:r>
        <w:rPr>
          <w:b/>
          <w:i/>
        </w:rPr>
        <w:t>2</w:t>
      </w:r>
      <w:r w:rsidRPr="00442DB2">
        <w:rPr>
          <w:b/>
          <w:i/>
        </w:rPr>
        <w:t>:</w:t>
      </w:r>
      <w:r>
        <w:rPr>
          <w:b/>
          <w:i/>
        </w:rPr>
        <w:t xml:space="preserve"> </w:t>
      </w:r>
      <w:r w:rsidRPr="007C7C15">
        <w:rPr>
          <w:b/>
          <w:i/>
        </w:rPr>
        <w:t>Support</w:t>
      </w:r>
      <w:r w:rsidR="00A4737D">
        <w:rPr>
          <w:b/>
          <w:i/>
        </w:rPr>
        <w:t xml:space="preserve"> MAC-</w:t>
      </w:r>
      <w:r w:rsidR="00CA719D">
        <w:rPr>
          <w:b/>
          <w:i/>
        </w:rPr>
        <w:t>CE-</w:t>
      </w:r>
      <w:r w:rsidR="00BF522D">
        <w:rPr>
          <w:b/>
          <w:i/>
        </w:rPr>
        <w:t>only</w:t>
      </w:r>
      <w:r w:rsidR="00BF522D" w:rsidRPr="007C7C15">
        <w:rPr>
          <w:b/>
          <w:i/>
        </w:rPr>
        <w:t xml:space="preserve"> </w:t>
      </w:r>
      <w:r w:rsidR="00A4737D">
        <w:rPr>
          <w:b/>
          <w:i/>
        </w:rPr>
        <w:t xml:space="preserve">beam indication </w:t>
      </w:r>
      <w:r w:rsidR="00CA719D">
        <w:rPr>
          <w:b/>
          <w:i/>
        </w:rPr>
        <w:t>for inter-cell beam management</w:t>
      </w:r>
      <w:r>
        <w:rPr>
          <w:b/>
          <w:i/>
        </w:rPr>
        <w:t>.</w:t>
      </w:r>
    </w:p>
    <w:p w14:paraId="468B82BF" w14:textId="0AD85445" w:rsidR="00065D4D" w:rsidRDefault="00F63B0D" w:rsidP="008F63B4">
      <w:pPr>
        <w:pStyle w:val="a7"/>
        <w:jc w:val="both"/>
        <w:rPr>
          <w:rFonts w:eastAsiaTheme="minorEastAsia"/>
          <w:lang w:val="en-GB"/>
        </w:rPr>
      </w:pPr>
      <w:r>
        <w:rPr>
          <w:rFonts w:eastAsiaTheme="minorEastAsia"/>
          <w:lang w:val="en-GB"/>
        </w:rPr>
        <w:t xml:space="preserve">Another issue discussed during last meeting was the QCL rule. </w:t>
      </w:r>
      <w:r w:rsidR="00065D4D">
        <w:rPr>
          <w:rFonts w:eastAsiaTheme="minorEastAsia"/>
          <w:lang w:val="en-GB"/>
        </w:rPr>
        <w:t>W</w:t>
      </w:r>
      <w:r w:rsidR="00065D4D" w:rsidRPr="00065D4D">
        <w:rPr>
          <w:rFonts w:eastAsiaTheme="minorEastAsia"/>
          <w:lang w:val="en-GB"/>
        </w:rPr>
        <w:t xml:space="preserve">ith </w:t>
      </w:r>
      <w:r w:rsidR="0098639E">
        <w:rPr>
          <w:rFonts w:eastAsiaTheme="minorEastAsia"/>
          <w:lang w:val="en-GB"/>
        </w:rPr>
        <w:t>L1/L2 mobility</w:t>
      </w:r>
      <w:r w:rsidR="00065D4D" w:rsidRPr="00065D4D">
        <w:rPr>
          <w:rFonts w:eastAsiaTheme="minorEastAsia"/>
          <w:lang w:val="en-GB"/>
        </w:rPr>
        <w:t xml:space="preserve"> where the serving cell is to be changed, there is no motivation to build an indirect QCL link between PDCCH in source cell and SSB in target cell. </w:t>
      </w:r>
      <w:r w:rsidR="0098639E">
        <w:rPr>
          <w:rFonts w:eastAsiaTheme="minorEastAsia"/>
          <w:lang w:val="en-GB"/>
        </w:rPr>
        <w:t xml:space="preserve">However, the WID was updated after last RAN plenary meeting and the </w:t>
      </w:r>
      <w:r w:rsidR="00270C6A">
        <w:rPr>
          <w:rFonts w:eastAsiaTheme="minorEastAsia"/>
          <w:lang w:val="en-GB"/>
        </w:rPr>
        <w:t xml:space="preserve">objective has been changed to </w:t>
      </w:r>
      <w:r w:rsidR="0098639E">
        <w:rPr>
          <w:rFonts w:eastAsiaTheme="minorEastAsia"/>
          <w:lang w:val="en-GB"/>
        </w:rPr>
        <w:t>“</w:t>
      </w:r>
      <w:r w:rsidR="00270C6A">
        <w:rPr>
          <w:rFonts w:eastAsiaTheme="minorEastAsia"/>
          <w:lang w:val="en-GB"/>
        </w:rPr>
        <w:t>inter-</w:t>
      </w:r>
      <w:r w:rsidR="0098639E">
        <w:rPr>
          <w:rFonts w:eastAsiaTheme="minorEastAsia"/>
          <w:lang w:val="en-GB"/>
        </w:rPr>
        <w:t xml:space="preserve">cell beam management”, </w:t>
      </w:r>
      <w:r w:rsidR="00270C6A">
        <w:rPr>
          <w:rFonts w:eastAsiaTheme="minorEastAsia"/>
          <w:lang w:val="en-GB"/>
        </w:rPr>
        <w:t>where</w:t>
      </w:r>
      <w:r w:rsidR="00065D4D" w:rsidRPr="00065D4D">
        <w:rPr>
          <w:rFonts w:eastAsiaTheme="minorEastAsia"/>
          <w:lang w:val="en-GB"/>
        </w:rPr>
        <w:t xml:space="preserve"> </w:t>
      </w:r>
      <w:r w:rsidR="00270C6A">
        <w:rPr>
          <w:rFonts w:eastAsiaTheme="minorEastAsia"/>
          <w:lang w:val="en-GB"/>
        </w:rPr>
        <w:t xml:space="preserve">the </w:t>
      </w:r>
      <w:r w:rsidR="00065D4D" w:rsidRPr="00065D4D">
        <w:rPr>
          <w:rFonts w:eastAsiaTheme="minorEastAsia"/>
          <w:lang w:val="en-GB"/>
        </w:rPr>
        <w:t xml:space="preserve">serving cell is </w:t>
      </w:r>
      <w:r w:rsidR="00065D4D">
        <w:rPr>
          <w:rFonts w:eastAsiaTheme="minorEastAsia"/>
          <w:lang w:val="en-GB"/>
        </w:rPr>
        <w:t>not to be changed</w:t>
      </w:r>
      <w:r w:rsidR="0098639E">
        <w:rPr>
          <w:rFonts w:eastAsiaTheme="minorEastAsia"/>
          <w:lang w:val="en-GB"/>
        </w:rPr>
        <w:t>.</w:t>
      </w:r>
      <w:r w:rsidR="00065D4D">
        <w:rPr>
          <w:rFonts w:eastAsiaTheme="minorEastAsia"/>
          <w:lang w:val="en-GB"/>
        </w:rPr>
        <w:t xml:space="preserve"> </w:t>
      </w:r>
      <w:r w:rsidR="001E39EB">
        <w:rPr>
          <w:rFonts w:eastAsiaTheme="minorEastAsia"/>
          <w:lang w:val="en-GB"/>
        </w:rPr>
        <w:t xml:space="preserve">In </w:t>
      </w:r>
      <w:r w:rsidR="0098639E">
        <w:rPr>
          <w:rFonts w:eastAsiaTheme="minorEastAsia"/>
          <w:lang w:val="en-GB"/>
        </w:rPr>
        <w:t xml:space="preserve">this case, </w:t>
      </w:r>
      <w:r w:rsidR="00270C6A">
        <w:rPr>
          <w:rFonts w:eastAsiaTheme="minorEastAsia"/>
          <w:lang w:val="en-GB"/>
        </w:rPr>
        <w:t xml:space="preserve">for PDCCH reception in current serving cell, </w:t>
      </w:r>
      <w:r w:rsidR="0098639E">
        <w:rPr>
          <w:rFonts w:eastAsiaTheme="minorEastAsia"/>
          <w:lang w:val="en-GB"/>
        </w:rPr>
        <w:lastRenderedPageBreak/>
        <w:t>the UE</w:t>
      </w:r>
      <w:r w:rsidR="00270C6A">
        <w:rPr>
          <w:rFonts w:eastAsiaTheme="minorEastAsia"/>
          <w:lang w:val="en-GB"/>
        </w:rPr>
        <w:t xml:space="preserve"> can be indicated with a TCI state containing CSI-RS which </w:t>
      </w:r>
      <w:r w:rsidR="001E39EB">
        <w:rPr>
          <w:rFonts w:eastAsiaTheme="minorEastAsia"/>
          <w:lang w:val="en-GB"/>
        </w:rPr>
        <w:t>is QCLed to</w:t>
      </w:r>
      <w:r w:rsidR="00270C6A">
        <w:rPr>
          <w:rFonts w:eastAsiaTheme="minorEastAsia"/>
          <w:lang w:val="en-GB"/>
        </w:rPr>
        <w:t xml:space="preserve"> an SSB with a PCI that is different from current serving cell. </w:t>
      </w:r>
    </w:p>
    <w:p w14:paraId="04120AD8" w14:textId="56C0F4F8" w:rsidR="00B23B9D" w:rsidRPr="00673386" w:rsidRDefault="00B23B9D" w:rsidP="00B23B9D">
      <w:pPr>
        <w:spacing w:beforeLines="50" w:before="156"/>
        <w:rPr>
          <w:rFonts w:eastAsiaTheme="minorEastAsia"/>
          <w:b/>
          <w:i/>
        </w:rPr>
      </w:pPr>
      <w:r w:rsidRPr="00442DB2">
        <w:rPr>
          <w:b/>
          <w:i/>
        </w:rPr>
        <w:t>Proposal 3-</w:t>
      </w:r>
      <w:r>
        <w:rPr>
          <w:b/>
          <w:i/>
        </w:rPr>
        <w:t>3</w:t>
      </w:r>
      <w:r w:rsidRPr="00442DB2">
        <w:rPr>
          <w:b/>
          <w:i/>
        </w:rPr>
        <w:t>:</w:t>
      </w:r>
      <w:r>
        <w:rPr>
          <w:b/>
          <w:i/>
        </w:rPr>
        <w:t xml:space="preserve"> </w:t>
      </w:r>
      <w:r w:rsidR="0098639E">
        <w:rPr>
          <w:b/>
          <w:i/>
        </w:rPr>
        <w:t>S</w:t>
      </w:r>
      <w:r w:rsidR="004567E6">
        <w:rPr>
          <w:b/>
          <w:i/>
        </w:rPr>
        <w:t xml:space="preserve">upport </w:t>
      </w:r>
      <w:r w:rsidR="001E39EB">
        <w:rPr>
          <w:b/>
          <w:i/>
        </w:rPr>
        <w:t xml:space="preserve">using </w:t>
      </w:r>
      <w:r w:rsidR="00065D4D" w:rsidRPr="00065D4D">
        <w:rPr>
          <w:b/>
          <w:i/>
        </w:rPr>
        <w:t xml:space="preserve">SSB with </w:t>
      </w:r>
      <w:r w:rsidR="001E39EB">
        <w:rPr>
          <w:b/>
          <w:i/>
        </w:rPr>
        <w:t xml:space="preserve">a PCI that is </w:t>
      </w:r>
      <w:r w:rsidR="00065D4D" w:rsidRPr="00065D4D">
        <w:rPr>
          <w:b/>
          <w:i/>
        </w:rPr>
        <w:t xml:space="preserve">different from the serving cell as </w:t>
      </w:r>
      <w:r w:rsidR="004A2465">
        <w:rPr>
          <w:b/>
          <w:i/>
        </w:rPr>
        <w:t>indirect QCL reference for</w:t>
      </w:r>
      <w:r w:rsidR="00065D4D" w:rsidRPr="00065D4D">
        <w:rPr>
          <w:b/>
          <w:i/>
        </w:rPr>
        <w:t xml:space="preserve"> PD</w:t>
      </w:r>
      <w:r w:rsidR="004A2465">
        <w:rPr>
          <w:b/>
          <w:i/>
        </w:rPr>
        <w:t>C</w:t>
      </w:r>
      <w:r w:rsidR="00065D4D" w:rsidRPr="00065D4D">
        <w:rPr>
          <w:b/>
          <w:i/>
        </w:rPr>
        <w:t>CH</w:t>
      </w:r>
      <w:r w:rsidR="001E39EB">
        <w:rPr>
          <w:b/>
          <w:i/>
        </w:rPr>
        <w:t xml:space="preserve"> in the serving cell</w:t>
      </w:r>
      <w:r>
        <w:rPr>
          <w:b/>
          <w:i/>
        </w:rPr>
        <w:t>.</w:t>
      </w:r>
    </w:p>
    <w:p w14:paraId="6B8C2AD2" w14:textId="4D8F78D1" w:rsidR="00054397" w:rsidRDefault="00EE10A8" w:rsidP="00054397">
      <w:pPr>
        <w:pStyle w:val="a7"/>
        <w:jc w:val="both"/>
        <w:rPr>
          <w:rFonts w:eastAsiaTheme="minorEastAsia"/>
          <w:lang w:val="en-GB"/>
        </w:rPr>
      </w:pPr>
      <w:r>
        <w:rPr>
          <w:rFonts w:eastAsiaTheme="minorEastAsia"/>
          <w:lang w:val="en-GB"/>
        </w:rPr>
        <w:t xml:space="preserve">As explicitly captured in the updated WID, </w:t>
      </w:r>
      <w:r w:rsidR="00054397">
        <w:rPr>
          <w:rFonts w:eastAsiaTheme="minorEastAsia"/>
          <w:lang w:val="en-GB"/>
        </w:rPr>
        <w:t>f</w:t>
      </w:r>
      <w:r w:rsidR="00054397" w:rsidRPr="001D1BF3">
        <w:rPr>
          <w:rFonts w:eastAsiaTheme="minorEastAsia"/>
          <w:lang w:val="en-GB"/>
        </w:rPr>
        <w:t>or inter-cell beam management, a UE can transmit to or receive from only a single cell (i.e. serving cell does not change when beam selection is done).</w:t>
      </w:r>
      <w:r w:rsidR="00054397">
        <w:rPr>
          <w:rFonts w:eastAsiaTheme="minorEastAsia"/>
          <w:lang w:val="en-GB"/>
        </w:rPr>
        <w:t xml:space="preserve"> </w:t>
      </w:r>
      <w:r>
        <w:rPr>
          <w:rFonts w:eastAsiaTheme="minorEastAsia"/>
          <w:lang w:val="en-GB"/>
        </w:rPr>
        <w:t>With this in mind, it is natural to assume the</w:t>
      </w:r>
      <w:r w:rsidR="00FF459C">
        <w:rPr>
          <w:rFonts w:eastAsiaTheme="minorEastAsia"/>
          <w:lang w:val="en-GB"/>
        </w:rPr>
        <w:t xml:space="preserve"> </w:t>
      </w:r>
      <w:r w:rsidR="00FF459C" w:rsidRPr="001D1BF3">
        <w:rPr>
          <w:rFonts w:eastAsiaTheme="minorEastAsia"/>
          <w:lang w:val="en-GB"/>
        </w:rPr>
        <w:t>UE will continue to receive broadcast PDCCH/PDSCH from the serving cell only, i.e. not to receive broadcast PDCCH/PDSCH from the cell containing the SSB that is used for QCL indication for CSI-RS of serving cell but with PCI different from the serving cell</w:t>
      </w:r>
      <w:r w:rsidR="00FF459C">
        <w:rPr>
          <w:rFonts w:eastAsiaTheme="minorEastAsia"/>
          <w:lang w:val="en-GB"/>
        </w:rPr>
        <w:t xml:space="preserve">.  </w:t>
      </w:r>
    </w:p>
    <w:p w14:paraId="4EDBFBBD" w14:textId="53ADA10D" w:rsidR="00054397" w:rsidRPr="001D1BF3" w:rsidRDefault="00054397" w:rsidP="00054397">
      <w:pPr>
        <w:pStyle w:val="a7"/>
        <w:jc w:val="both"/>
        <w:rPr>
          <w:rFonts w:eastAsiaTheme="minorEastAsia"/>
          <w:b/>
          <w:i/>
          <w:lang w:val="en-GB"/>
        </w:rPr>
      </w:pPr>
      <w:r w:rsidRPr="001D1BF3">
        <w:rPr>
          <w:rFonts w:eastAsiaTheme="minorEastAsia" w:hint="eastAsia"/>
          <w:b/>
          <w:i/>
          <w:lang w:val="en-GB"/>
        </w:rPr>
        <w:t>P</w:t>
      </w:r>
      <w:r w:rsidRPr="001D1BF3">
        <w:rPr>
          <w:rFonts w:eastAsiaTheme="minorEastAsia"/>
          <w:b/>
          <w:i/>
          <w:lang w:val="en-GB"/>
        </w:rPr>
        <w:t>roposal 3-</w:t>
      </w:r>
      <w:r w:rsidR="00FF459C">
        <w:rPr>
          <w:rFonts w:eastAsiaTheme="minorEastAsia"/>
          <w:b/>
          <w:i/>
          <w:lang w:val="en-GB"/>
        </w:rPr>
        <w:t>4</w:t>
      </w:r>
      <w:r w:rsidRPr="001D1BF3">
        <w:rPr>
          <w:rFonts w:eastAsiaTheme="minorEastAsia"/>
          <w:b/>
          <w:i/>
          <w:lang w:val="en-GB"/>
        </w:rPr>
        <w:t xml:space="preserve">: </w:t>
      </w:r>
      <w:r w:rsidR="00FF459C" w:rsidRPr="00FF459C">
        <w:rPr>
          <w:rFonts w:eastAsiaTheme="minorEastAsia"/>
          <w:b/>
          <w:i/>
          <w:lang w:val="en-GB"/>
        </w:rPr>
        <w:t xml:space="preserve">UE </w:t>
      </w:r>
      <w:r w:rsidR="001E39EB">
        <w:rPr>
          <w:rFonts w:eastAsiaTheme="minorEastAsia"/>
          <w:b/>
          <w:i/>
          <w:lang w:val="en-GB"/>
        </w:rPr>
        <w:t>is</w:t>
      </w:r>
      <w:r w:rsidR="001E39EB" w:rsidRPr="00FF459C">
        <w:rPr>
          <w:rFonts w:eastAsiaTheme="minorEastAsia"/>
          <w:b/>
          <w:i/>
          <w:lang w:val="en-GB"/>
        </w:rPr>
        <w:t xml:space="preserve"> </w:t>
      </w:r>
      <w:r w:rsidR="00FF459C" w:rsidRPr="00FF459C">
        <w:rPr>
          <w:rFonts w:eastAsiaTheme="minorEastAsia"/>
          <w:b/>
          <w:i/>
          <w:lang w:val="en-GB"/>
        </w:rPr>
        <w:t xml:space="preserve">not </w:t>
      </w:r>
      <w:r w:rsidR="001E39EB">
        <w:rPr>
          <w:rFonts w:eastAsiaTheme="minorEastAsia"/>
          <w:b/>
          <w:i/>
          <w:lang w:val="en-GB"/>
        </w:rPr>
        <w:t xml:space="preserve">expected to </w:t>
      </w:r>
      <w:r w:rsidR="00FF459C" w:rsidRPr="00FF459C">
        <w:rPr>
          <w:rFonts w:eastAsiaTheme="minorEastAsia"/>
          <w:b/>
          <w:i/>
          <w:lang w:val="en-GB"/>
        </w:rPr>
        <w:t xml:space="preserve">receive broadcast </w:t>
      </w:r>
      <w:r w:rsidR="005913A0">
        <w:rPr>
          <w:rFonts w:eastAsiaTheme="minorEastAsia"/>
          <w:b/>
          <w:i/>
          <w:lang w:val="en-GB"/>
        </w:rPr>
        <w:t>system information</w:t>
      </w:r>
      <w:r w:rsidR="00FF459C" w:rsidRPr="00FF459C">
        <w:rPr>
          <w:rFonts w:eastAsiaTheme="minorEastAsia"/>
          <w:b/>
          <w:i/>
          <w:lang w:val="en-GB"/>
        </w:rPr>
        <w:t xml:space="preserve"> from the cell containing the SSB that is used for QCL indication for CSI-RS of serving cell but with PCI different from the serving cell.</w:t>
      </w:r>
    </w:p>
    <w:p w14:paraId="5C586733" w14:textId="77777777" w:rsidR="00A4737D" w:rsidRPr="00054397" w:rsidRDefault="00A4737D" w:rsidP="00233380">
      <w:pPr>
        <w:pStyle w:val="a7"/>
        <w:rPr>
          <w:b/>
          <w:i/>
          <w:szCs w:val="22"/>
          <w:lang w:val="en-GB"/>
        </w:rPr>
      </w:pPr>
    </w:p>
    <w:p w14:paraId="00482039" w14:textId="77777777" w:rsidR="00CF100E" w:rsidRDefault="00CF100E" w:rsidP="00CF100E">
      <w:pPr>
        <w:pStyle w:val="1"/>
        <w:rPr>
          <w:szCs w:val="20"/>
        </w:rPr>
      </w:pPr>
      <w:r w:rsidRPr="0067142E">
        <w:rPr>
          <w:szCs w:val="20"/>
        </w:rPr>
        <w:t xml:space="preserve">Dynamic TCI update </w:t>
      </w:r>
    </w:p>
    <w:p w14:paraId="6A08DD5B" w14:textId="01225734" w:rsidR="00674ABB" w:rsidRDefault="00674ABB" w:rsidP="00674ABB">
      <w:pPr>
        <w:rPr>
          <w:rFonts w:cs="Times New Roman"/>
          <w:szCs w:val="22"/>
        </w:rPr>
      </w:pPr>
      <w:r w:rsidRPr="00674ABB">
        <w:rPr>
          <w:rFonts w:cs="Times New Roman" w:hint="eastAsia"/>
          <w:szCs w:val="22"/>
        </w:rPr>
        <w:t>R</w:t>
      </w:r>
      <w:r w:rsidRPr="00674ABB">
        <w:rPr>
          <w:rFonts w:cs="Times New Roman"/>
          <w:szCs w:val="22"/>
        </w:rPr>
        <w:t>egarding dynamic TCI update, the following was agreed in RAN1#10</w:t>
      </w:r>
      <w:r w:rsidR="00057EAF">
        <w:rPr>
          <w:rFonts w:cs="Times New Roman"/>
          <w:szCs w:val="22"/>
        </w:rPr>
        <w:t>5</w:t>
      </w:r>
      <w:r w:rsidRPr="00674ABB">
        <w:rPr>
          <w:rFonts w:cs="Times New Roman"/>
          <w:szCs w:val="22"/>
        </w:rPr>
        <w:t>-e:</w:t>
      </w:r>
    </w:p>
    <w:tbl>
      <w:tblPr>
        <w:tblStyle w:val="a6"/>
        <w:tblW w:w="0" w:type="auto"/>
        <w:tblLook w:val="04A0" w:firstRow="1" w:lastRow="0" w:firstColumn="1" w:lastColumn="0" w:noHBand="0" w:noVBand="1"/>
      </w:tblPr>
      <w:tblGrid>
        <w:gridCol w:w="8296"/>
      </w:tblGrid>
      <w:tr w:rsidR="008A4668" w:rsidRPr="00057EAF" w14:paraId="4319E539" w14:textId="77777777" w:rsidTr="007C3235">
        <w:trPr>
          <w:trHeight w:val="1448"/>
        </w:trPr>
        <w:tc>
          <w:tcPr>
            <w:tcW w:w="8296" w:type="dxa"/>
          </w:tcPr>
          <w:p w14:paraId="213E962C" w14:textId="77777777" w:rsidR="00057EAF" w:rsidRPr="00057EAF" w:rsidRDefault="00057EAF" w:rsidP="00A9232A">
            <w:pPr>
              <w:snapToGrid w:val="0"/>
              <w:rPr>
                <w:rFonts w:cs="Times"/>
                <w:bCs/>
                <w:sz w:val="20"/>
                <w:szCs w:val="20"/>
                <w:highlight w:val="green"/>
              </w:rPr>
            </w:pPr>
            <w:r w:rsidRPr="00057EAF">
              <w:rPr>
                <w:rFonts w:cs="Times"/>
                <w:bCs/>
                <w:sz w:val="20"/>
                <w:szCs w:val="20"/>
                <w:highlight w:val="green"/>
              </w:rPr>
              <w:t>Agreement</w:t>
            </w:r>
          </w:p>
          <w:p w14:paraId="7913D69B" w14:textId="77777777" w:rsidR="00057EAF" w:rsidRPr="00057EAF" w:rsidRDefault="00057EAF">
            <w:pPr>
              <w:snapToGrid w:val="0"/>
              <w:rPr>
                <w:rFonts w:cs="Times"/>
                <w:sz w:val="20"/>
                <w:szCs w:val="20"/>
              </w:rPr>
            </w:pPr>
            <w:r w:rsidRPr="00057EAF">
              <w:rPr>
                <w:rFonts w:cs="Times"/>
                <w:sz w:val="20"/>
                <w:szCs w:val="20"/>
              </w:rPr>
              <w:t>On Rel-17 DCI-based beam indication, regarding application time of the beam indication, the first slot that is at least X ms or Y symbols after the last symbol of the acknowledgment of the joint or separate DL/UL beam indication.</w:t>
            </w:r>
          </w:p>
          <w:p w14:paraId="091CFED9" w14:textId="77777777" w:rsidR="00057EAF" w:rsidRPr="00057EAF" w:rsidRDefault="00057EAF">
            <w:pPr>
              <w:pStyle w:val="a3"/>
              <w:numPr>
                <w:ilvl w:val="0"/>
                <w:numId w:val="34"/>
              </w:numPr>
              <w:snapToGrid w:val="0"/>
              <w:ind w:firstLineChars="0"/>
              <w:rPr>
                <w:rFonts w:cs="Times"/>
                <w:b/>
                <w:sz w:val="20"/>
                <w:u w:val="single"/>
              </w:rPr>
            </w:pPr>
            <w:r w:rsidRPr="00057EAF">
              <w:rPr>
                <w:rFonts w:cs="Times"/>
                <w:sz w:val="20"/>
              </w:rPr>
              <w:t>Note: The gap between the last symbol of the beam indication DCI and that first slot shall satisfy the UE capability</w:t>
            </w:r>
          </w:p>
          <w:p w14:paraId="3869705F" w14:textId="77777777" w:rsidR="00057EAF" w:rsidRPr="00057EAF" w:rsidRDefault="00057EAF">
            <w:pPr>
              <w:pStyle w:val="a3"/>
              <w:numPr>
                <w:ilvl w:val="0"/>
                <w:numId w:val="34"/>
              </w:numPr>
              <w:snapToGrid w:val="0"/>
              <w:ind w:firstLineChars="0"/>
              <w:rPr>
                <w:rFonts w:cs="Times"/>
                <w:b/>
                <w:sz w:val="20"/>
                <w:u w:val="single"/>
              </w:rPr>
            </w:pPr>
            <w:r w:rsidRPr="00057EAF">
              <w:rPr>
                <w:rFonts w:cs="Times"/>
                <w:bCs/>
                <w:sz w:val="20"/>
              </w:rPr>
              <w:t xml:space="preserve">FFS: </w:t>
            </w:r>
            <w:r w:rsidRPr="00057EAF">
              <w:rPr>
                <w:rFonts w:cs="Times"/>
                <w:sz w:val="20"/>
              </w:rPr>
              <w:t xml:space="preserve">Application time and </w:t>
            </w:r>
            <w:r w:rsidRPr="00057EAF">
              <w:rPr>
                <w:rFonts w:cs="Times"/>
                <w:bCs/>
                <w:sz w:val="20"/>
              </w:rPr>
              <w:t xml:space="preserve">whether additional offset is needed for the application time in case of cross carrier beam indication and </w:t>
            </w:r>
            <w:r w:rsidRPr="00057EAF">
              <w:rPr>
                <w:rFonts w:cs="Times"/>
                <w:sz w:val="20"/>
              </w:rPr>
              <w:t>common TCI state ID update across a set of configured CCs if CCs have different SCSs</w:t>
            </w:r>
            <w:r w:rsidRPr="00057EAF" w:rsidDel="00F356C9">
              <w:rPr>
                <w:rFonts w:cs="Times"/>
                <w:bCs/>
                <w:sz w:val="20"/>
              </w:rPr>
              <w:t xml:space="preserve"> </w:t>
            </w:r>
          </w:p>
          <w:p w14:paraId="4008C66D" w14:textId="77777777" w:rsidR="00057EAF" w:rsidRPr="00057EAF" w:rsidRDefault="00057EAF">
            <w:pPr>
              <w:pStyle w:val="a3"/>
              <w:numPr>
                <w:ilvl w:val="0"/>
                <w:numId w:val="34"/>
              </w:numPr>
              <w:snapToGrid w:val="0"/>
              <w:ind w:firstLineChars="0"/>
              <w:rPr>
                <w:rFonts w:cs="Times"/>
                <w:b/>
                <w:sz w:val="20"/>
                <w:u w:val="single"/>
              </w:rPr>
            </w:pPr>
            <w:r w:rsidRPr="00057EAF">
              <w:rPr>
                <w:rFonts w:cs="Times"/>
                <w:bCs/>
                <w:sz w:val="20"/>
              </w:rPr>
              <w:t>FFS: Whether inter-cell beam switching needs higher X/Y values than intra-cell</w:t>
            </w:r>
          </w:p>
          <w:p w14:paraId="2BB11C3D" w14:textId="77777777" w:rsidR="00057EAF" w:rsidRPr="00057EAF" w:rsidRDefault="00057EAF">
            <w:pPr>
              <w:pStyle w:val="a3"/>
              <w:numPr>
                <w:ilvl w:val="0"/>
                <w:numId w:val="34"/>
              </w:numPr>
              <w:snapToGrid w:val="0"/>
              <w:ind w:firstLineChars="0"/>
              <w:rPr>
                <w:rFonts w:cs="Times"/>
                <w:b/>
                <w:sz w:val="20"/>
                <w:u w:val="single"/>
              </w:rPr>
            </w:pPr>
            <w:r w:rsidRPr="00057EAF">
              <w:rPr>
                <w:rFonts w:cs="Times"/>
                <w:bCs/>
                <w:sz w:val="20"/>
              </w:rPr>
              <w:t>FFS: Whether application time can be indicated/determined dynamically for different scenarios, e.g. cross CC, inter-cell, inter-panel without reverting previous RAN1 agreements</w:t>
            </w:r>
          </w:p>
          <w:p w14:paraId="4495256E" w14:textId="77777777" w:rsidR="00057EAF" w:rsidRPr="00057EAF" w:rsidRDefault="00057EAF" w:rsidP="007C3235">
            <w:pPr>
              <w:snapToGrid w:val="0"/>
              <w:rPr>
                <w:rFonts w:cs="Times"/>
                <w:bCs/>
                <w:sz w:val="20"/>
              </w:rPr>
            </w:pPr>
          </w:p>
          <w:p w14:paraId="28C9BB90" w14:textId="77777777" w:rsidR="00057EAF" w:rsidRPr="00057EAF" w:rsidRDefault="00057EAF" w:rsidP="00A9232A">
            <w:pPr>
              <w:snapToGrid w:val="0"/>
              <w:rPr>
                <w:rFonts w:cs="Times"/>
                <w:bCs/>
                <w:sz w:val="20"/>
                <w:szCs w:val="20"/>
                <w:highlight w:val="green"/>
              </w:rPr>
            </w:pPr>
            <w:r w:rsidRPr="00057EAF">
              <w:rPr>
                <w:rFonts w:cs="Times"/>
                <w:bCs/>
                <w:sz w:val="20"/>
                <w:szCs w:val="20"/>
                <w:highlight w:val="green"/>
              </w:rPr>
              <w:t>Agreement</w:t>
            </w:r>
          </w:p>
          <w:p w14:paraId="5E2D4B8B" w14:textId="77777777" w:rsidR="00057EAF" w:rsidRPr="00057EAF" w:rsidRDefault="00057EAF">
            <w:pPr>
              <w:snapToGrid w:val="0"/>
              <w:rPr>
                <w:rFonts w:cs="Times"/>
                <w:sz w:val="20"/>
                <w:szCs w:val="20"/>
                <w:lang w:eastAsia="x-none"/>
              </w:rPr>
            </w:pPr>
            <w:r w:rsidRPr="00057EAF">
              <w:rPr>
                <w:rFonts w:cs="Times"/>
                <w:sz w:val="20"/>
                <w:szCs w:val="20"/>
              </w:rPr>
              <w:t xml:space="preserve">For </w:t>
            </w:r>
            <w:r w:rsidRPr="00057EAF">
              <w:rPr>
                <w:rFonts w:cs="Times"/>
                <w:bCs/>
                <w:sz w:val="20"/>
                <w:szCs w:val="18"/>
              </w:rPr>
              <w:t>M=N=1, o</w:t>
            </w:r>
            <w:r w:rsidRPr="00057EAF">
              <w:rPr>
                <w:rFonts w:cs="Times"/>
                <w:sz w:val="20"/>
                <w:szCs w:val="20"/>
              </w:rPr>
              <w:t xml:space="preserve">n Rel-17 unified TCI, for separate DL/UL TCI, </w:t>
            </w:r>
            <w:r w:rsidRPr="00057EAF">
              <w:rPr>
                <w:rFonts w:cs="Times"/>
                <w:sz w:val="20"/>
                <w:szCs w:val="20"/>
                <w:lang w:eastAsia="x-none"/>
              </w:rPr>
              <w:t xml:space="preserve">one instance of beam indication using DCI formats 1_1/1_2 (with and without DL assignment) can be used as follows: </w:t>
            </w:r>
          </w:p>
          <w:p w14:paraId="0AB7F13C" w14:textId="77777777" w:rsidR="00057EAF" w:rsidRPr="00057EAF" w:rsidRDefault="00057EAF">
            <w:pPr>
              <w:pStyle w:val="a3"/>
              <w:numPr>
                <w:ilvl w:val="0"/>
                <w:numId w:val="34"/>
              </w:numPr>
              <w:snapToGrid w:val="0"/>
              <w:ind w:firstLineChars="0"/>
              <w:rPr>
                <w:rFonts w:cs="Times"/>
                <w:sz w:val="20"/>
              </w:rPr>
            </w:pPr>
            <w:r w:rsidRPr="00057EAF">
              <w:rPr>
                <w:rFonts w:cs="Times"/>
                <w:sz w:val="20"/>
              </w:rPr>
              <w:t>One TCI field codepoint represents a pair of DL TCI state and UL TCI state. If the DCI indicates such a TCI field codepoint, the UE applies the corresponding DL TCI state and UL TCI state.</w:t>
            </w:r>
          </w:p>
          <w:p w14:paraId="4DAE4730" w14:textId="77777777" w:rsidR="00057EAF" w:rsidRPr="00057EAF" w:rsidRDefault="00057EAF">
            <w:pPr>
              <w:pStyle w:val="a3"/>
              <w:numPr>
                <w:ilvl w:val="0"/>
                <w:numId w:val="34"/>
              </w:numPr>
              <w:snapToGrid w:val="0"/>
              <w:ind w:firstLineChars="0"/>
              <w:rPr>
                <w:rFonts w:cs="Times"/>
                <w:sz w:val="20"/>
              </w:rPr>
            </w:pPr>
            <w:r w:rsidRPr="00057EAF">
              <w:rPr>
                <w:rFonts w:cs="Times"/>
                <w:sz w:val="20"/>
              </w:rPr>
              <w:t>One TCI field codepoint represents only a DL TCI state. If the DCI indicates such a TCI field codepoint, the UE applies the corresponding DL TCI state, and keeps the current UL TCI state.</w:t>
            </w:r>
          </w:p>
          <w:p w14:paraId="150A3181" w14:textId="47085B05" w:rsidR="008A4668" w:rsidRPr="007C3235" w:rsidRDefault="00057EAF" w:rsidP="007C3235">
            <w:pPr>
              <w:pStyle w:val="a3"/>
              <w:numPr>
                <w:ilvl w:val="0"/>
                <w:numId w:val="34"/>
              </w:numPr>
              <w:snapToGrid w:val="0"/>
              <w:ind w:firstLineChars="0"/>
              <w:rPr>
                <w:rFonts w:cs="Times New Roman"/>
                <w:sz w:val="20"/>
                <w:szCs w:val="20"/>
                <w:lang w:eastAsia="en-US"/>
              </w:rPr>
            </w:pPr>
            <w:r w:rsidRPr="00057EAF">
              <w:rPr>
                <w:rFonts w:cs="Times"/>
                <w:sz w:val="20"/>
              </w:rPr>
              <w:t>One TCI field codepoint represents only an UL TCI state. If the DCI indicates such a TCI field codepoint, the UE applies the corresponding UL TCI state, and keeps the current DL TCI state.</w:t>
            </w:r>
          </w:p>
        </w:tc>
      </w:tr>
    </w:tbl>
    <w:p w14:paraId="537BA0DC" w14:textId="4A2BFF76" w:rsidR="008A4668" w:rsidRDefault="00BA28F6" w:rsidP="002A7AED">
      <w:pPr>
        <w:pStyle w:val="2"/>
      </w:pPr>
      <w:r>
        <w:t>B</w:t>
      </w:r>
      <w:r w:rsidR="002A7AED" w:rsidRPr="00EF4DD7">
        <w:t xml:space="preserve">eam application </w:t>
      </w:r>
      <w:r w:rsidR="0064691D">
        <w:t>time</w:t>
      </w:r>
    </w:p>
    <w:p w14:paraId="2254ABE8" w14:textId="5DE1B58D" w:rsidR="00E3670D" w:rsidRDefault="00E3670D" w:rsidP="00E3670D">
      <w:pPr>
        <w:spacing w:beforeLines="50" w:before="156"/>
        <w:rPr>
          <w:lang w:val="en-GB"/>
        </w:rPr>
      </w:pPr>
      <w:r>
        <w:rPr>
          <w:lang w:val="en-GB"/>
        </w:rPr>
        <w:t>C</w:t>
      </w:r>
      <w:r>
        <w:rPr>
          <w:rFonts w:hint="eastAsia"/>
          <w:lang w:val="en-GB"/>
        </w:rPr>
        <w:t>onsidering</w:t>
      </w:r>
      <w:r>
        <w:rPr>
          <w:lang w:val="en-GB"/>
        </w:rPr>
        <w:t xml:space="preserve"> the scenario of</w:t>
      </w:r>
      <w:r w:rsidRPr="00DF3AC6">
        <w:rPr>
          <w:lang w:val="en-GB"/>
        </w:rPr>
        <w:t xml:space="preserve"> </w:t>
      </w:r>
      <w:r w:rsidR="0064691D" w:rsidRPr="00DF3AC6">
        <w:rPr>
          <w:lang w:val="en-GB"/>
        </w:rPr>
        <w:t>cross</w:t>
      </w:r>
      <w:r w:rsidR="0064691D">
        <w:rPr>
          <w:lang w:val="en-GB"/>
        </w:rPr>
        <w:t>-</w:t>
      </w:r>
      <w:r w:rsidRPr="00DF3AC6">
        <w:rPr>
          <w:lang w:val="en-GB"/>
        </w:rPr>
        <w:t>carrier beam indication and common TCI state ID update across a set of configured CCs</w:t>
      </w:r>
      <w:r>
        <w:rPr>
          <w:lang w:val="en-GB"/>
        </w:rPr>
        <w:t>,</w:t>
      </w:r>
      <w:r w:rsidRPr="00DF3AC6">
        <w:rPr>
          <w:lang w:val="en-GB"/>
        </w:rPr>
        <w:t xml:space="preserve"> if </w:t>
      </w:r>
      <w:r>
        <w:rPr>
          <w:lang w:val="en-GB"/>
        </w:rPr>
        <w:t xml:space="preserve">the </w:t>
      </w:r>
      <w:r w:rsidRPr="00DF3AC6">
        <w:rPr>
          <w:lang w:val="en-GB"/>
        </w:rPr>
        <w:t>CCs have different SCSs</w:t>
      </w:r>
      <w:r w:rsidRPr="00DF3AC6">
        <w:rPr>
          <w:rFonts w:eastAsiaTheme="minorEastAsia" w:cs="Times New Roman"/>
          <w:lang w:val="en-GB"/>
        </w:rPr>
        <w:t xml:space="preserve">, </w:t>
      </w:r>
      <w:r w:rsidR="0064691D">
        <w:rPr>
          <w:rFonts w:eastAsiaTheme="minorEastAsia" w:cs="Times New Roman"/>
          <w:lang w:val="en-GB"/>
        </w:rPr>
        <w:t>it is worth clarifying which SCS is used to determine the beam</w:t>
      </w:r>
      <w:r w:rsidRPr="00DF3AC6">
        <w:rPr>
          <w:rFonts w:eastAsiaTheme="minorEastAsia" w:cs="Times New Roman"/>
          <w:lang w:val="en-GB"/>
        </w:rPr>
        <w:t xml:space="preserve"> </w:t>
      </w:r>
      <w:r>
        <w:rPr>
          <w:rFonts w:eastAsiaTheme="minorEastAsia" w:cs="Times New Roman"/>
          <w:lang w:val="en-GB"/>
        </w:rPr>
        <w:t xml:space="preserve">application time. In </w:t>
      </w:r>
      <w:r w:rsidR="006F5FE3">
        <w:rPr>
          <w:rFonts w:eastAsiaTheme="minorEastAsia" w:cs="Times New Roman"/>
          <w:lang w:val="en-GB"/>
        </w:rPr>
        <w:t xml:space="preserve">our view, </w:t>
      </w:r>
      <w:r w:rsidR="006F5FE3" w:rsidRPr="006F5FE3">
        <w:rPr>
          <w:rFonts w:eastAsiaTheme="minorEastAsia" w:cs="Times New Roman"/>
          <w:lang w:val="en-GB"/>
        </w:rPr>
        <w:t xml:space="preserve">the symbol duration of beam </w:t>
      </w:r>
      <w:r w:rsidR="006F5FE3">
        <w:rPr>
          <w:rFonts w:eastAsiaTheme="minorEastAsia" w:cs="Times New Roman"/>
          <w:lang w:val="en-GB"/>
        </w:rPr>
        <w:t>application time of Y symbols can be</w:t>
      </w:r>
      <w:r w:rsidR="006F5FE3" w:rsidRPr="006F5FE3">
        <w:rPr>
          <w:rFonts w:eastAsiaTheme="minorEastAsia" w:cs="Times New Roman"/>
          <w:lang w:val="en-GB"/>
        </w:rPr>
        <w:t xml:space="preserve"> determined based on smallest SCS among involved CC and active BWPs</w:t>
      </w:r>
      <w:r w:rsidR="006F5FE3">
        <w:rPr>
          <w:rFonts w:eastAsiaTheme="minorEastAsia" w:cs="Times New Roman"/>
          <w:lang w:val="en-GB"/>
        </w:rPr>
        <w:t>, which gives sufficient processing time to the UE</w:t>
      </w:r>
      <w:r>
        <w:rPr>
          <w:rFonts w:eastAsiaTheme="minorEastAsia" w:cs="Times New Roman"/>
          <w:lang w:val="en-GB"/>
        </w:rPr>
        <w:t>.</w:t>
      </w:r>
      <w:r>
        <w:rPr>
          <w:lang w:val="en-GB"/>
        </w:rPr>
        <w:t xml:space="preserve"> </w:t>
      </w:r>
    </w:p>
    <w:p w14:paraId="28B45603" w14:textId="222ED8CD" w:rsidR="002A7AED" w:rsidRPr="008C6457" w:rsidRDefault="00E3670D" w:rsidP="00E3670D">
      <w:pPr>
        <w:spacing w:beforeLines="50" w:before="156"/>
        <w:rPr>
          <w:b/>
          <w:i/>
          <w:lang w:val="en-GB"/>
        </w:rPr>
      </w:pPr>
      <w:r w:rsidRPr="008C6457">
        <w:rPr>
          <w:b/>
          <w:i/>
          <w:lang w:val="en-GB"/>
        </w:rPr>
        <w:lastRenderedPageBreak/>
        <w:t>Proposal 4-</w:t>
      </w:r>
      <w:r>
        <w:rPr>
          <w:b/>
          <w:i/>
          <w:lang w:val="en-GB"/>
        </w:rPr>
        <w:t>1</w:t>
      </w:r>
      <w:r w:rsidRPr="008C6457">
        <w:rPr>
          <w:b/>
          <w:i/>
          <w:lang w:val="en-GB"/>
        </w:rPr>
        <w:t xml:space="preserve">: </w:t>
      </w:r>
      <w:r w:rsidR="001E0CD6" w:rsidRPr="001E0CD6">
        <w:rPr>
          <w:b/>
          <w:i/>
          <w:iCs/>
        </w:rPr>
        <w:t>For cross-carrier beam indication and common TCI state ID update across CCs with different SCSs, the symbol duration of beam application time of Y symbols is determined based on smallest SCS among involved CC and active BWPs</w:t>
      </w:r>
      <w:r w:rsidRPr="008C6457">
        <w:rPr>
          <w:b/>
          <w:i/>
          <w:lang w:val="en-GB"/>
        </w:rPr>
        <w:t>.</w:t>
      </w:r>
    </w:p>
    <w:p w14:paraId="1BB2464E" w14:textId="36FED5EA" w:rsidR="00D42FCA" w:rsidRDefault="00D42FCA" w:rsidP="00D42FCA">
      <w:pPr>
        <w:pStyle w:val="2"/>
      </w:pPr>
      <w:r>
        <w:t>Default codepoint</w:t>
      </w:r>
    </w:p>
    <w:p w14:paraId="213FD76F" w14:textId="77777777" w:rsidR="00D42FCA" w:rsidRDefault="00D42FCA" w:rsidP="00D42FCA">
      <w:pPr>
        <w:spacing w:beforeLines="50" w:before="156"/>
        <w:rPr>
          <w:rFonts w:eastAsiaTheme="minorEastAsia"/>
          <w:lang w:val="en-GB"/>
        </w:rPr>
      </w:pPr>
      <w:r>
        <w:rPr>
          <w:rFonts w:eastAsiaTheme="minorEastAsia"/>
        </w:rPr>
        <w:t>Due to the e</w:t>
      </w:r>
      <w:r w:rsidRPr="0012343F">
        <w:rPr>
          <w:rFonts w:eastAsiaTheme="minorEastAsia"/>
        </w:rPr>
        <w:t>nthusiasm</w:t>
      </w:r>
      <w:r>
        <w:rPr>
          <w:rFonts w:eastAsiaTheme="minorEastAsia"/>
        </w:rPr>
        <w:t xml:space="preserve"> on DCI-based TCI indication, so far there is not much agreement on MAC-CE TCI state activation/selection. It should be clear that DCI-based TCI indication cannot work without MAC-CE activation. As captured in previous agreement, there is one FFS point on whether to apply TCI states corresponding to the lowest codepoint right after MAC-CE activation. </w:t>
      </w:r>
      <w:r>
        <w:rPr>
          <w:rFonts w:eastAsiaTheme="minorEastAsia"/>
          <w:lang w:val="en-GB"/>
        </w:rPr>
        <w:t xml:space="preserve">In our view, it is beneficial to support this add-on feature, which can be turned on or off by RRC or inside the activation MAC-CE. With this feature, NW can map the TCI states (that are to be applied immediately right after TCI activation) to the lowest codepoint, with which there is no need to send in a DCI for TCI indication immediately (hence saving one DCI and associated ACK), while further DCI-based TCI indication (to select among the activated ones) can still be performed when needed (possibly at a later time). </w:t>
      </w:r>
    </w:p>
    <w:p w14:paraId="29388089" w14:textId="0E6D92D6" w:rsidR="00D42FCA" w:rsidRPr="00FE73E8" w:rsidRDefault="00D42FCA" w:rsidP="00D42FCA">
      <w:pPr>
        <w:spacing w:beforeLines="50" w:before="156"/>
        <w:rPr>
          <w:b/>
          <w:i/>
          <w:lang w:val="en-GB"/>
        </w:rPr>
      </w:pPr>
      <w:r w:rsidRPr="00FE73E8">
        <w:rPr>
          <w:b/>
          <w:i/>
          <w:lang w:val="en-GB"/>
        </w:rPr>
        <w:t>Proposal 4-</w:t>
      </w:r>
      <w:r w:rsidR="00334A79">
        <w:rPr>
          <w:b/>
          <w:i/>
          <w:lang w:val="en-GB"/>
        </w:rPr>
        <w:t>2</w:t>
      </w:r>
      <w:r w:rsidRPr="00FE73E8">
        <w:rPr>
          <w:b/>
          <w:i/>
          <w:lang w:val="en-GB"/>
        </w:rPr>
        <w:t xml:space="preserve">: </w:t>
      </w:r>
      <w:r>
        <w:rPr>
          <w:b/>
          <w:i/>
          <w:lang w:val="en-GB"/>
        </w:rPr>
        <w:t>W</w:t>
      </w:r>
      <w:r w:rsidRPr="00FE73E8">
        <w:rPr>
          <w:b/>
          <w:i/>
          <w:lang w:val="en-GB"/>
        </w:rPr>
        <w:t>hen more than one TCI codepoints are activated by MAC CE, the activated TCI state(s) for the lowest codepoint is/are applied.</w:t>
      </w:r>
    </w:p>
    <w:p w14:paraId="300168D9" w14:textId="77777777" w:rsidR="001D6BA9" w:rsidRPr="00D42FCA" w:rsidRDefault="001D6BA9" w:rsidP="00F94A95">
      <w:pPr>
        <w:rPr>
          <w:rFonts w:cs="Times New Roman"/>
          <w:lang w:val="en-GB"/>
        </w:rPr>
      </w:pPr>
    </w:p>
    <w:p w14:paraId="4B12BEB2" w14:textId="77777777" w:rsidR="00CF100E" w:rsidRDefault="00CF100E" w:rsidP="00CF100E">
      <w:pPr>
        <w:pStyle w:val="1"/>
        <w:rPr>
          <w:szCs w:val="20"/>
        </w:rPr>
      </w:pPr>
      <w:r w:rsidRPr="0067142E">
        <w:rPr>
          <w:szCs w:val="20"/>
        </w:rPr>
        <w:t>Fast UL panel selection</w:t>
      </w:r>
    </w:p>
    <w:p w14:paraId="292AA083" w14:textId="1DBA7E40" w:rsidR="00674ABB" w:rsidRDefault="00674ABB" w:rsidP="00674ABB">
      <w:pPr>
        <w:rPr>
          <w:rFonts w:cs="Times New Roman"/>
          <w:szCs w:val="22"/>
        </w:rPr>
      </w:pPr>
      <w:r w:rsidRPr="00674ABB">
        <w:rPr>
          <w:rFonts w:cs="Times New Roman" w:hint="eastAsia"/>
          <w:szCs w:val="22"/>
        </w:rPr>
        <w:t>R</w:t>
      </w:r>
      <w:r w:rsidRPr="00674ABB">
        <w:rPr>
          <w:rFonts w:cs="Times New Roman"/>
          <w:szCs w:val="22"/>
        </w:rPr>
        <w:t>egarding fast UE Tx panel selection, the following was agreed in RAN1#10</w:t>
      </w:r>
      <w:r>
        <w:rPr>
          <w:rFonts w:cs="Times New Roman"/>
          <w:szCs w:val="22"/>
        </w:rPr>
        <w:t>4</w:t>
      </w:r>
      <w:r w:rsidR="00773AB1">
        <w:rPr>
          <w:rFonts w:cs="Times New Roman"/>
          <w:szCs w:val="22"/>
        </w:rPr>
        <w:t>bis</w:t>
      </w:r>
      <w:r w:rsidRPr="00674ABB">
        <w:rPr>
          <w:rFonts w:cs="Times New Roman"/>
          <w:szCs w:val="22"/>
        </w:rPr>
        <w:t>-e:</w:t>
      </w:r>
    </w:p>
    <w:tbl>
      <w:tblPr>
        <w:tblStyle w:val="a6"/>
        <w:tblW w:w="0" w:type="auto"/>
        <w:tblLook w:val="04A0" w:firstRow="1" w:lastRow="0" w:firstColumn="1" w:lastColumn="0" w:noHBand="0" w:noVBand="1"/>
      </w:tblPr>
      <w:tblGrid>
        <w:gridCol w:w="8296"/>
      </w:tblGrid>
      <w:tr w:rsidR="00674ABB" w:rsidRPr="004D665B" w14:paraId="666FA67A" w14:textId="77777777" w:rsidTr="00674ABB">
        <w:tc>
          <w:tcPr>
            <w:tcW w:w="8296" w:type="dxa"/>
          </w:tcPr>
          <w:p w14:paraId="2A63C4B1" w14:textId="77777777" w:rsidR="00AE1BFF" w:rsidRPr="00AE1BFF" w:rsidRDefault="00AE1BFF" w:rsidP="007C3235">
            <w:pPr>
              <w:snapToGrid w:val="0"/>
              <w:rPr>
                <w:rFonts w:cs="Times"/>
                <w:b/>
                <w:bCs/>
                <w:sz w:val="20"/>
                <w:szCs w:val="20"/>
              </w:rPr>
            </w:pPr>
            <w:r w:rsidRPr="00AE1BFF">
              <w:rPr>
                <w:rFonts w:cs="Times"/>
                <w:b/>
                <w:bCs/>
                <w:sz w:val="20"/>
                <w:szCs w:val="20"/>
                <w:highlight w:val="green"/>
              </w:rPr>
              <w:t>Agreement</w:t>
            </w:r>
          </w:p>
          <w:p w14:paraId="507D9197" w14:textId="77777777" w:rsidR="00AE1BFF" w:rsidRPr="00AE1BFF" w:rsidRDefault="00AE1BFF" w:rsidP="00A9232A">
            <w:pPr>
              <w:snapToGrid w:val="0"/>
              <w:rPr>
                <w:rFonts w:cs="Times"/>
                <w:sz w:val="20"/>
                <w:szCs w:val="20"/>
              </w:rPr>
            </w:pPr>
            <w:r w:rsidRPr="00AE1BFF">
              <w:rPr>
                <w:rFonts w:cs="Times"/>
                <w:sz w:val="20"/>
                <w:szCs w:val="20"/>
              </w:rPr>
              <w:t>On Rel.17 enhancements to facilitate UE-initiated panel activation and selection, for CSI/beam measurement/reporting, down select and/or modify from the following candidates:</w:t>
            </w:r>
          </w:p>
          <w:p w14:paraId="7C473F25" w14:textId="77777777" w:rsidR="00AE1BFF" w:rsidRPr="00AE1BFF" w:rsidRDefault="00AE1BFF">
            <w:pPr>
              <w:pStyle w:val="a3"/>
              <w:numPr>
                <w:ilvl w:val="0"/>
                <w:numId w:val="13"/>
              </w:numPr>
              <w:snapToGrid w:val="0"/>
              <w:ind w:firstLineChars="0"/>
              <w:jc w:val="left"/>
              <w:rPr>
                <w:rFonts w:cs="Times"/>
                <w:sz w:val="20"/>
                <w:szCs w:val="20"/>
              </w:rPr>
            </w:pPr>
            <w:r w:rsidRPr="00AE1BFF">
              <w:rPr>
                <w:rFonts w:cs="Times"/>
                <w:sz w:val="20"/>
                <w:szCs w:val="20"/>
              </w:rPr>
              <w:t>Opt1-1: A panel entity corresponds to a reported CSI-RS and/or SSB resource index in a beam reporting instance</w:t>
            </w:r>
          </w:p>
          <w:p w14:paraId="544E60DB" w14:textId="77777777" w:rsidR="00AE1BFF" w:rsidRPr="00AE1BFF" w:rsidRDefault="00AE1BFF">
            <w:pPr>
              <w:pStyle w:val="a3"/>
              <w:numPr>
                <w:ilvl w:val="1"/>
                <w:numId w:val="13"/>
              </w:numPr>
              <w:snapToGrid w:val="0"/>
              <w:ind w:firstLineChars="0"/>
              <w:jc w:val="left"/>
              <w:rPr>
                <w:rFonts w:cs="Times"/>
                <w:sz w:val="20"/>
                <w:szCs w:val="20"/>
              </w:rPr>
            </w:pPr>
            <w:r w:rsidRPr="00AE1BFF">
              <w:rPr>
                <w:rFonts w:cs="Times"/>
                <w:sz w:val="20"/>
                <w:szCs w:val="20"/>
              </w:rPr>
              <w:t>The correspondence between a panel entity and a reported CSI-RS and/or SSB resource index is informed to NW</w:t>
            </w:r>
          </w:p>
          <w:p w14:paraId="5DE6997C" w14:textId="77777777" w:rsidR="00AE1BFF" w:rsidRPr="00AE1BFF" w:rsidRDefault="00AE1BFF">
            <w:pPr>
              <w:pStyle w:val="a3"/>
              <w:numPr>
                <w:ilvl w:val="2"/>
                <w:numId w:val="13"/>
              </w:numPr>
              <w:snapToGrid w:val="0"/>
              <w:ind w:firstLineChars="0"/>
              <w:jc w:val="left"/>
              <w:rPr>
                <w:rFonts w:cs="Times"/>
                <w:sz w:val="20"/>
                <w:szCs w:val="20"/>
              </w:rPr>
            </w:pPr>
            <w:r w:rsidRPr="00AE1BFF">
              <w:rPr>
                <w:rFonts w:cs="Times"/>
                <w:sz w:val="20"/>
                <w:szCs w:val="20"/>
              </w:rPr>
              <w:t>FFS: How to inform through CSI/beam reporting framework</w:t>
            </w:r>
          </w:p>
          <w:p w14:paraId="729B0169" w14:textId="77777777" w:rsidR="00AE1BFF" w:rsidRPr="00AE1BFF" w:rsidRDefault="00AE1BFF">
            <w:pPr>
              <w:pStyle w:val="a3"/>
              <w:numPr>
                <w:ilvl w:val="1"/>
                <w:numId w:val="13"/>
              </w:numPr>
              <w:snapToGrid w:val="0"/>
              <w:ind w:firstLineChars="0"/>
              <w:jc w:val="left"/>
              <w:rPr>
                <w:rFonts w:cs="Times"/>
                <w:sz w:val="20"/>
                <w:szCs w:val="20"/>
              </w:rPr>
            </w:pPr>
            <w:r w:rsidRPr="00AE1BFF">
              <w:rPr>
                <w:rFonts w:cs="Times"/>
                <w:sz w:val="20"/>
                <w:szCs w:val="20"/>
              </w:rPr>
              <w:t xml:space="preserve">FFS: Detailed design of the correspondence including the conveyed information </w:t>
            </w:r>
          </w:p>
          <w:p w14:paraId="3F921168" w14:textId="77777777" w:rsidR="00AE1BFF" w:rsidRPr="00AE1BFF" w:rsidRDefault="00AE1BFF">
            <w:pPr>
              <w:pStyle w:val="a3"/>
              <w:numPr>
                <w:ilvl w:val="1"/>
                <w:numId w:val="13"/>
              </w:numPr>
              <w:snapToGrid w:val="0"/>
              <w:ind w:firstLineChars="0"/>
              <w:jc w:val="left"/>
              <w:rPr>
                <w:rFonts w:cs="Times"/>
                <w:sz w:val="20"/>
                <w:szCs w:val="20"/>
              </w:rPr>
            </w:pPr>
            <w:r w:rsidRPr="00AE1BFF">
              <w:rPr>
                <w:rFonts w:cs="Times"/>
                <w:sz w:val="20"/>
                <w:szCs w:val="20"/>
              </w:rPr>
              <w:t>Note: the correspondence between a CSI-RS and/or SSB resource index and a panel entity is determined by the UE (analogous to Rel-15/16)</w:t>
            </w:r>
          </w:p>
          <w:p w14:paraId="61B28AC9" w14:textId="77777777" w:rsidR="00AE1BFF" w:rsidRPr="00AE1BFF" w:rsidRDefault="00AE1BFF">
            <w:pPr>
              <w:pStyle w:val="a3"/>
              <w:numPr>
                <w:ilvl w:val="0"/>
                <w:numId w:val="13"/>
              </w:numPr>
              <w:snapToGrid w:val="0"/>
              <w:ind w:firstLineChars="0"/>
              <w:jc w:val="left"/>
              <w:rPr>
                <w:rFonts w:cs="Times"/>
                <w:sz w:val="20"/>
                <w:szCs w:val="20"/>
              </w:rPr>
            </w:pPr>
            <w:r w:rsidRPr="00AE1BFF">
              <w:rPr>
                <w:rFonts w:cs="Times"/>
                <w:sz w:val="20"/>
                <w:szCs w:val="20"/>
              </w:rPr>
              <w:t>Opt1-2: A panel entity is referring to a new panel ID within CSI/beam reports</w:t>
            </w:r>
          </w:p>
          <w:p w14:paraId="19833037" w14:textId="77777777" w:rsidR="00AE1BFF" w:rsidRPr="00AE1BFF" w:rsidRDefault="00AE1BFF">
            <w:pPr>
              <w:pStyle w:val="a3"/>
              <w:numPr>
                <w:ilvl w:val="1"/>
                <w:numId w:val="13"/>
              </w:numPr>
              <w:snapToGrid w:val="0"/>
              <w:ind w:firstLineChars="0"/>
              <w:jc w:val="left"/>
              <w:rPr>
                <w:rFonts w:cs="Times"/>
                <w:sz w:val="20"/>
                <w:szCs w:val="20"/>
              </w:rPr>
            </w:pPr>
            <w:r w:rsidRPr="00AE1BFF">
              <w:rPr>
                <w:rFonts w:cs="Times"/>
                <w:sz w:val="20"/>
                <w:szCs w:val="20"/>
              </w:rPr>
              <w:t>FFS: Detailed design of the new panel ID including the information conveyed by the new panel ID</w:t>
            </w:r>
          </w:p>
          <w:p w14:paraId="58DD76BC" w14:textId="77777777" w:rsidR="00AE1BFF" w:rsidRPr="00AE1BFF" w:rsidRDefault="00AE1BFF">
            <w:pPr>
              <w:pStyle w:val="a3"/>
              <w:numPr>
                <w:ilvl w:val="1"/>
                <w:numId w:val="13"/>
              </w:numPr>
              <w:snapToGrid w:val="0"/>
              <w:ind w:firstLineChars="0"/>
              <w:jc w:val="left"/>
              <w:rPr>
                <w:rFonts w:cs="Times"/>
                <w:sz w:val="20"/>
                <w:szCs w:val="20"/>
              </w:rPr>
            </w:pPr>
            <w:r w:rsidRPr="00AE1BFF">
              <w:rPr>
                <w:rFonts w:cs="Times"/>
                <w:sz w:val="20"/>
                <w:szCs w:val="20"/>
              </w:rPr>
              <w:t>Note: The association between the new panel ID and the panel entity is determined by the UE</w:t>
            </w:r>
          </w:p>
          <w:p w14:paraId="4320F273" w14:textId="77777777" w:rsidR="00AE1BFF" w:rsidRPr="00AE1BFF" w:rsidRDefault="00AE1BFF">
            <w:pPr>
              <w:pStyle w:val="a3"/>
              <w:numPr>
                <w:ilvl w:val="0"/>
                <w:numId w:val="13"/>
              </w:numPr>
              <w:snapToGrid w:val="0"/>
              <w:ind w:firstLineChars="0"/>
              <w:jc w:val="left"/>
              <w:rPr>
                <w:rFonts w:cs="Times"/>
                <w:sz w:val="20"/>
                <w:szCs w:val="20"/>
              </w:rPr>
            </w:pPr>
            <w:r w:rsidRPr="00AE1BFF">
              <w:rPr>
                <w:rFonts w:cs="Times"/>
                <w:sz w:val="20"/>
                <w:szCs w:val="20"/>
              </w:rPr>
              <w:t>Opt1-3: No additional specification support</w:t>
            </w:r>
          </w:p>
          <w:p w14:paraId="6201EBAF" w14:textId="77777777" w:rsidR="00AE1BFF" w:rsidRPr="00AE1BFF" w:rsidRDefault="00AE1BFF">
            <w:pPr>
              <w:pStyle w:val="a3"/>
              <w:numPr>
                <w:ilvl w:val="0"/>
                <w:numId w:val="13"/>
              </w:numPr>
              <w:snapToGrid w:val="0"/>
              <w:ind w:firstLineChars="0"/>
              <w:jc w:val="left"/>
              <w:rPr>
                <w:rFonts w:cs="Times"/>
                <w:sz w:val="20"/>
                <w:szCs w:val="20"/>
              </w:rPr>
            </w:pPr>
            <w:r w:rsidRPr="00AE1BFF">
              <w:rPr>
                <w:rFonts w:cs="Times"/>
                <w:sz w:val="20"/>
                <w:szCs w:val="20"/>
              </w:rPr>
              <w:t>The duration in which the above panel entity reference is valid and the respective setting are FFS</w:t>
            </w:r>
          </w:p>
          <w:p w14:paraId="7AD5DF02" w14:textId="21DC8B8C" w:rsidR="00AE1BFF" w:rsidRPr="004055DA" w:rsidRDefault="00AE1BFF">
            <w:pPr>
              <w:snapToGrid w:val="0"/>
              <w:rPr>
                <w:rFonts w:eastAsiaTheme="minorEastAsia" w:cs="Times"/>
                <w:sz w:val="20"/>
                <w:szCs w:val="20"/>
              </w:rPr>
            </w:pPr>
            <w:r w:rsidRPr="00AE1BFF">
              <w:rPr>
                <w:rFonts w:cs="Times"/>
                <w:sz w:val="20"/>
                <w:szCs w:val="20"/>
              </w:rPr>
              <w:t>Note: “panel entity” is only used for discussion purpose</w:t>
            </w:r>
          </w:p>
          <w:p w14:paraId="79D953D2" w14:textId="77777777" w:rsidR="00AE1BFF" w:rsidRPr="00AE1BFF" w:rsidRDefault="00AE1BFF">
            <w:pPr>
              <w:snapToGrid w:val="0"/>
              <w:rPr>
                <w:rFonts w:eastAsia="Malgun Gothic"/>
                <w:b/>
                <w:bCs/>
                <w:sz w:val="20"/>
                <w:szCs w:val="20"/>
                <w:highlight w:val="green"/>
              </w:rPr>
            </w:pPr>
          </w:p>
          <w:p w14:paraId="2171A87C" w14:textId="77777777" w:rsidR="00AE1BFF" w:rsidRPr="00AE1BFF" w:rsidRDefault="00AE1BFF">
            <w:pPr>
              <w:snapToGrid w:val="0"/>
              <w:rPr>
                <w:rFonts w:eastAsia="Malgun Gothic"/>
                <w:bCs/>
                <w:sz w:val="20"/>
                <w:szCs w:val="20"/>
                <w:highlight w:val="green"/>
              </w:rPr>
            </w:pPr>
            <w:r w:rsidRPr="00AE1BFF">
              <w:rPr>
                <w:rFonts w:eastAsia="Malgun Gothic"/>
                <w:b/>
                <w:bCs/>
                <w:sz w:val="20"/>
                <w:szCs w:val="20"/>
                <w:highlight w:val="green"/>
              </w:rPr>
              <w:t>Agreement</w:t>
            </w:r>
          </w:p>
          <w:p w14:paraId="20596701" w14:textId="77777777" w:rsidR="00AE1BFF" w:rsidRPr="00AE1BFF" w:rsidRDefault="00AE1BFF">
            <w:pPr>
              <w:snapToGrid w:val="0"/>
              <w:rPr>
                <w:rFonts w:eastAsia="Malgun Gothic"/>
                <w:bCs/>
                <w:sz w:val="20"/>
                <w:szCs w:val="20"/>
              </w:rPr>
            </w:pPr>
            <w:r w:rsidRPr="00AE1BFF">
              <w:rPr>
                <w:sz w:val="20"/>
                <w:szCs w:val="20"/>
              </w:rPr>
              <w:t>On Rel.17 enhancements for MPUE, f</w:t>
            </w:r>
            <w:r w:rsidRPr="00AE1BFF">
              <w:rPr>
                <w:rFonts w:eastAsia="Malgun Gothic"/>
                <w:bCs/>
                <w:sz w:val="20"/>
                <w:szCs w:val="20"/>
              </w:rPr>
              <w:t>or codebook based UL transmission, decide by August RAN1 meeting whether to support CB-based SRS resources with different numbers of ports</w:t>
            </w:r>
          </w:p>
          <w:p w14:paraId="20D14F8E" w14:textId="77777777" w:rsidR="00AE1BFF" w:rsidRPr="00AE1BFF" w:rsidRDefault="00AE1BFF">
            <w:pPr>
              <w:pStyle w:val="a3"/>
              <w:numPr>
                <w:ilvl w:val="0"/>
                <w:numId w:val="15"/>
              </w:numPr>
              <w:autoSpaceDE w:val="0"/>
              <w:autoSpaceDN w:val="0"/>
              <w:snapToGrid w:val="0"/>
              <w:ind w:firstLineChars="0"/>
              <w:rPr>
                <w:rFonts w:eastAsia="Malgun Gothic"/>
                <w:bCs/>
                <w:sz w:val="20"/>
                <w:szCs w:val="20"/>
                <w:lang w:eastAsia="ko-KR"/>
              </w:rPr>
            </w:pPr>
            <w:r w:rsidRPr="00AE1BFF">
              <w:rPr>
                <w:rFonts w:eastAsia="Malgun Gothic"/>
                <w:bCs/>
                <w:sz w:val="20"/>
                <w:szCs w:val="20"/>
                <w:lang w:eastAsia="ko-KR"/>
              </w:rPr>
              <w:t>FFS details (e.g. per resource or per resource set)</w:t>
            </w:r>
          </w:p>
          <w:p w14:paraId="18E5CB49" w14:textId="77777777" w:rsidR="00AE1BFF" w:rsidRPr="00AE1BFF" w:rsidRDefault="00AE1BFF">
            <w:pPr>
              <w:pStyle w:val="a3"/>
              <w:numPr>
                <w:ilvl w:val="0"/>
                <w:numId w:val="15"/>
              </w:numPr>
              <w:autoSpaceDE w:val="0"/>
              <w:autoSpaceDN w:val="0"/>
              <w:snapToGrid w:val="0"/>
              <w:ind w:firstLineChars="0"/>
              <w:rPr>
                <w:rFonts w:eastAsia="Malgun Gothic"/>
                <w:bCs/>
                <w:sz w:val="20"/>
                <w:szCs w:val="20"/>
                <w:lang w:eastAsia="ko-KR"/>
              </w:rPr>
            </w:pPr>
            <w:r w:rsidRPr="00AE1BFF">
              <w:rPr>
                <w:rFonts w:eastAsia="Malgun Gothic"/>
                <w:bCs/>
                <w:sz w:val="20"/>
                <w:szCs w:val="20"/>
                <w:lang w:eastAsia="ko-KR"/>
              </w:rPr>
              <w:t>Note: the above is not for Rel-16 full power transmission but for Rel-17 panel-specific UL transmission</w:t>
            </w:r>
          </w:p>
          <w:p w14:paraId="42B47B0C" w14:textId="77777777" w:rsidR="00AE1BFF" w:rsidRPr="00AE1BFF" w:rsidRDefault="00AE1BFF">
            <w:pPr>
              <w:pStyle w:val="a3"/>
              <w:numPr>
                <w:ilvl w:val="0"/>
                <w:numId w:val="15"/>
              </w:numPr>
              <w:autoSpaceDE w:val="0"/>
              <w:autoSpaceDN w:val="0"/>
              <w:snapToGrid w:val="0"/>
              <w:ind w:firstLineChars="0"/>
              <w:rPr>
                <w:rFonts w:eastAsia="Malgun Gothic"/>
                <w:bCs/>
                <w:sz w:val="20"/>
                <w:szCs w:val="20"/>
                <w:lang w:eastAsia="ko-KR"/>
              </w:rPr>
            </w:pPr>
            <w:r w:rsidRPr="00AE1BFF">
              <w:rPr>
                <w:rFonts w:eastAsia="Malgun Gothic"/>
                <w:bCs/>
                <w:sz w:val="20"/>
                <w:szCs w:val="20"/>
                <w:lang w:eastAsia="ko-KR"/>
              </w:rPr>
              <w:t>FFS: non-codebook based UL transmission for MPUE</w:t>
            </w:r>
            <w:r w:rsidRPr="00AE1BFF">
              <w:rPr>
                <w:rFonts w:eastAsia="Malgun Gothic" w:hint="eastAsia"/>
                <w:bCs/>
                <w:sz w:val="20"/>
                <w:szCs w:val="20"/>
              </w:rPr>
              <w:t xml:space="preserve"> </w:t>
            </w:r>
          </w:p>
          <w:p w14:paraId="20E158CC" w14:textId="77777777" w:rsidR="00AE1BFF" w:rsidRPr="00AE1BFF" w:rsidRDefault="00AE1BFF" w:rsidP="007C3235">
            <w:pPr>
              <w:snapToGrid w:val="0"/>
              <w:rPr>
                <w:rFonts w:eastAsia="Malgun Gothic"/>
                <w:bCs/>
                <w:sz w:val="20"/>
                <w:szCs w:val="20"/>
              </w:rPr>
            </w:pPr>
            <w:r w:rsidRPr="00AE1BFF">
              <w:rPr>
                <w:rFonts w:eastAsia="Malgun Gothic" w:hint="eastAsia"/>
                <w:bCs/>
                <w:sz w:val="20"/>
                <w:szCs w:val="20"/>
              </w:rPr>
              <w:t>F</w:t>
            </w:r>
            <w:r w:rsidRPr="00AE1BFF">
              <w:rPr>
                <w:rFonts w:eastAsia="Malgun Gothic"/>
                <w:bCs/>
                <w:sz w:val="20"/>
                <w:szCs w:val="20"/>
              </w:rPr>
              <w:t>FS whether existing BWP switch based mechanism (discussed previously in Rel-16 power saving WI) can serve such purpose</w:t>
            </w:r>
          </w:p>
          <w:p w14:paraId="001850FF" w14:textId="77777777" w:rsidR="00AE1BFF" w:rsidRPr="00AE1BFF" w:rsidRDefault="00AE1BFF" w:rsidP="007C3235">
            <w:pPr>
              <w:snapToGrid w:val="0"/>
              <w:rPr>
                <w:rFonts w:eastAsiaTheme="minorEastAsia"/>
                <w:sz w:val="20"/>
                <w:szCs w:val="20"/>
              </w:rPr>
            </w:pPr>
          </w:p>
          <w:p w14:paraId="3FE7F3AB" w14:textId="77777777" w:rsidR="00AE1BFF" w:rsidRPr="00AE1BFF" w:rsidRDefault="00AE1BFF" w:rsidP="00A9232A">
            <w:pPr>
              <w:snapToGrid w:val="0"/>
              <w:rPr>
                <w:rFonts w:eastAsia="Malgun Gothic"/>
                <w:bCs/>
                <w:sz w:val="20"/>
                <w:szCs w:val="20"/>
                <w:highlight w:val="green"/>
              </w:rPr>
            </w:pPr>
            <w:r w:rsidRPr="00AE1BFF">
              <w:rPr>
                <w:rFonts w:eastAsia="Malgun Gothic"/>
                <w:b/>
                <w:bCs/>
                <w:sz w:val="20"/>
                <w:szCs w:val="20"/>
                <w:highlight w:val="green"/>
              </w:rPr>
              <w:lastRenderedPageBreak/>
              <w:t>Agreement</w:t>
            </w:r>
          </w:p>
          <w:p w14:paraId="407BC755" w14:textId="77777777" w:rsidR="00AE1BFF" w:rsidRPr="00AE1BFF" w:rsidRDefault="00AE1BFF">
            <w:pPr>
              <w:snapToGrid w:val="0"/>
              <w:rPr>
                <w:rFonts w:eastAsia="Malgun Gothic"/>
                <w:bCs/>
                <w:sz w:val="20"/>
                <w:szCs w:val="20"/>
              </w:rPr>
            </w:pPr>
            <w:r w:rsidRPr="00AE1BFF">
              <w:rPr>
                <w:sz w:val="20"/>
                <w:szCs w:val="20"/>
              </w:rPr>
              <w:t xml:space="preserve">On Rel.17 enhancements for MPUE, </w:t>
            </w:r>
            <w:r w:rsidRPr="00AE1BFF">
              <w:rPr>
                <w:rFonts w:eastAsia="Malgun Gothic"/>
                <w:bCs/>
                <w:sz w:val="20"/>
                <w:szCs w:val="20"/>
              </w:rPr>
              <w:t xml:space="preserve">investigate and, </w:t>
            </w:r>
            <w:r w:rsidRPr="00AE1BFF">
              <w:rPr>
                <w:rFonts w:eastAsia="Malgun Gothic"/>
                <w:b/>
                <w:sz w:val="20"/>
                <w:szCs w:val="20"/>
                <w:u w:val="single"/>
              </w:rPr>
              <w:t>if needed</w:t>
            </w:r>
            <w:r w:rsidRPr="00AE1BFF">
              <w:rPr>
                <w:rFonts w:eastAsia="Malgun Gothic"/>
                <w:bCs/>
                <w:sz w:val="20"/>
                <w:szCs w:val="20"/>
              </w:rPr>
              <w:t>, specify the following:</w:t>
            </w:r>
          </w:p>
          <w:p w14:paraId="679AD1AE" w14:textId="77777777" w:rsidR="00AE1BFF" w:rsidRPr="00AE1BFF" w:rsidRDefault="00AE1BFF">
            <w:pPr>
              <w:pStyle w:val="a3"/>
              <w:numPr>
                <w:ilvl w:val="0"/>
                <w:numId w:val="14"/>
              </w:numPr>
              <w:autoSpaceDE w:val="0"/>
              <w:autoSpaceDN w:val="0"/>
              <w:snapToGrid w:val="0"/>
              <w:ind w:firstLineChars="0"/>
              <w:rPr>
                <w:rFonts w:eastAsia="Malgun Gothic"/>
                <w:bCs/>
                <w:sz w:val="20"/>
                <w:szCs w:val="20"/>
              </w:rPr>
            </w:pPr>
            <w:r w:rsidRPr="00AE1BFF">
              <w:rPr>
                <w:rFonts w:eastAsia="Malgun Gothic"/>
                <w:bCs/>
                <w:sz w:val="20"/>
                <w:szCs w:val="20"/>
              </w:rPr>
              <w:t>UE reporting of panel-specific information as a UE capability, for example:</w:t>
            </w:r>
          </w:p>
          <w:p w14:paraId="396AFD31" w14:textId="77777777" w:rsidR="00AE1BFF" w:rsidRPr="00AE1BFF" w:rsidRDefault="00AE1BFF">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Information related to the total number of DL/UL panel entities</w:t>
            </w:r>
          </w:p>
          <w:p w14:paraId="588019BD" w14:textId="77777777" w:rsidR="00AE1BFF" w:rsidRPr="00AE1BFF" w:rsidRDefault="00AE1BFF">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Information related to the number of (max) antenna ports/layers per panel entity</w:t>
            </w:r>
          </w:p>
          <w:p w14:paraId="456858CD" w14:textId="77777777" w:rsidR="00AE1BFF" w:rsidRPr="00AE1BFF" w:rsidRDefault="00AE1BFF">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Information related to the maximum number of resources per panel entity for SRS BM</w:t>
            </w:r>
          </w:p>
          <w:p w14:paraId="4F2394F3" w14:textId="77777777" w:rsidR="00AE1BFF" w:rsidRPr="00AE1BFF" w:rsidRDefault="00AE1BFF">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 xml:space="preserve">Information related to panel </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lang w:eastAsia="ko-KR"/>
              </w:rPr>
              <w:t>delay</w:t>
            </w:r>
          </w:p>
          <w:p w14:paraId="23161E5F" w14:textId="77777777" w:rsidR="00AE1BFF" w:rsidRPr="00AE1BFF" w:rsidRDefault="00AE1BFF">
            <w:pPr>
              <w:pStyle w:val="a3"/>
              <w:numPr>
                <w:ilvl w:val="1"/>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 xml:space="preserve">Information related to panel activation delay </w:t>
            </w:r>
          </w:p>
          <w:p w14:paraId="2297F22A" w14:textId="77777777" w:rsidR="00AE1BFF" w:rsidRPr="00AE1BFF" w:rsidRDefault="00AE1BFF">
            <w:pPr>
              <w:pStyle w:val="a3"/>
              <w:numPr>
                <w:ilvl w:val="0"/>
                <w:numId w:val="14"/>
              </w:numPr>
              <w:autoSpaceDE w:val="0"/>
              <w:autoSpaceDN w:val="0"/>
              <w:snapToGrid w:val="0"/>
              <w:ind w:firstLineChars="0"/>
              <w:rPr>
                <w:rFonts w:eastAsia="Malgun Gothic"/>
                <w:bCs/>
                <w:sz w:val="20"/>
                <w:szCs w:val="20"/>
              </w:rPr>
            </w:pPr>
            <w:r w:rsidRPr="00AE1BFF">
              <w:rPr>
                <w:rFonts w:eastAsia="Malgun Gothic" w:hint="eastAsia"/>
                <w:bCs/>
                <w:sz w:val="20"/>
                <w:szCs w:val="20"/>
              </w:rPr>
              <w:t>UE report</w:t>
            </w:r>
            <w:r w:rsidRPr="00AE1BFF">
              <w:rPr>
                <w:rFonts w:eastAsia="Malgun Gothic"/>
                <w:bCs/>
                <w:sz w:val="20"/>
                <w:szCs w:val="20"/>
              </w:rPr>
              <w:t>ing</w:t>
            </w:r>
            <w:r w:rsidRPr="00AE1BFF">
              <w:rPr>
                <w:rFonts w:eastAsia="Malgun Gothic" w:hint="eastAsia"/>
                <w:bCs/>
                <w:sz w:val="20"/>
                <w:szCs w:val="20"/>
              </w:rPr>
              <w:t xml:space="preserve"> information related to</w:t>
            </w:r>
            <w:r w:rsidRPr="00AE1BFF">
              <w:rPr>
                <w:rFonts w:eastAsia="Malgun Gothic"/>
                <w:bCs/>
                <w:sz w:val="20"/>
                <w:szCs w:val="20"/>
              </w:rPr>
              <w:t xml:space="preserve"> minimal </w:t>
            </w:r>
            <w:r w:rsidRPr="00AE1BFF">
              <w:rPr>
                <w:rFonts w:eastAsia="Malgun Gothic"/>
                <w:bCs/>
                <w:sz w:val="20"/>
                <w:szCs w:val="20"/>
                <w:lang w:eastAsia="ko-KR"/>
              </w:rPr>
              <w:t>activation/</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rPr>
              <w:t>delay for a panel based on L1 or L2 signaling</w:t>
            </w:r>
          </w:p>
          <w:p w14:paraId="3A31EBF5" w14:textId="77777777" w:rsidR="00AE1BFF" w:rsidRPr="00AE1BFF" w:rsidRDefault="00AE1BFF">
            <w:pPr>
              <w:pStyle w:val="a3"/>
              <w:numPr>
                <w:ilvl w:val="0"/>
                <w:numId w:val="14"/>
              </w:numPr>
              <w:autoSpaceDE w:val="0"/>
              <w:autoSpaceDN w:val="0"/>
              <w:snapToGrid w:val="0"/>
              <w:ind w:firstLineChars="0"/>
              <w:rPr>
                <w:rFonts w:eastAsia="Malgun Gothic"/>
                <w:bCs/>
                <w:sz w:val="20"/>
                <w:szCs w:val="20"/>
              </w:rPr>
            </w:pPr>
            <w:r w:rsidRPr="00AE1BFF">
              <w:rPr>
                <w:rFonts w:eastAsia="Malgun Gothic"/>
                <w:bCs/>
                <w:sz w:val="20"/>
                <w:szCs w:val="20"/>
              </w:rPr>
              <w:t xml:space="preserve">UE reporting of panel </w:t>
            </w:r>
            <w:r w:rsidRPr="00AE1BFF">
              <w:rPr>
                <w:rFonts w:eastAsia="Malgun Gothic"/>
                <w:bCs/>
                <w:sz w:val="20"/>
                <w:szCs w:val="20"/>
                <w:lang w:eastAsia="ko-KR"/>
              </w:rPr>
              <w:t>activation/</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rPr>
              <w:t>status of a panel entity, e.g. active state for both DL and UL, or active state for DL only</w:t>
            </w:r>
          </w:p>
          <w:p w14:paraId="2835E069" w14:textId="77777777" w:rsidR="00AE1BFF" w:rsidRPr="00AE1BFF" w:rsidRDefault="00AE1BFF">
            <w:pPr>
              <w:pStyle w:val="a3"/>
              <w:numPr>
                <w:ilvl w:val="1"/>
                <w:numId w:val="14"/>
              </w:numPr>
              <w:autoSpaceDE w:val="0"/>
              <w:autoSpaceDN w:val="0"/>
              <w:snapToGrid w:val="0"/>
              <w:ind w:firstLineChars="0"/>
              <w:rPr>
                <w:rFonts w:eastAsia="Malgun Gothic"/>
                <w:bCs/>
                <w:sz w:val="20"/>
                <w:szCs w:val="20"/>
              </w:rPr>
            </w:pPr>
            <w:r w:rsidRPr="00AE1BFF">
              <w:rPr>
                <w:rFonts w:eastAsia="Malgun Gothic" w:hint="eastAsia"/>
                <w:bCs/>
                <w:sz w:val="20"/>
                <w:szCs w:val="20"/>
                <w:lang w:eastAsia="ko-KR"/>
              </w:rPr>
              <w:t xml:space="preserve">FFS: </w:t>
            </w:r>
            <w:r w:rsidRPr="00AE1BFF">
              <w:rPr>
                <w:rFonts w:eastAsia="Malgun Gothic"/>
                <w:bCs/>
                <w:sz w:val="20"/>
                <w:szCs w:val="20"/>
                <w:lang w:eastAsia="ko-KR"/>
              </w:rPr>
              <w:t>details of this information (e.g. minimal activation/</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lang w:eastAsia="ko-KR"/>
              </w:rPr>
              <w:t>delay for a panel) and signaling (e.g. L1 or L2 signaling)</w:t>
            </w:r>
          </w:p>
          <w:p w14:paraId="35EEDDC8" w14:textId="77777777" w:rsidR="00AE1BFF" w:rsidRPr="00AE1BFF" w:rsidRDefault="00AE1BFF">
            <w:pPr>
              <w:pStyle w:val="a3"/>
              <w:numPr>
                <w:ilvl w:val="0"/>
                <w:numId w:val="14"/>
              </w:numPr>
              <w:autoSpaceDE w:val="0"/>
              <w:autoSpaceDN w:val="0"/>
              <w:snapToGrid w:val="0"/>
              <w:ind w:firstLineChars="0"/>
              <w:rPr>
                <w:rFonts w:eastAsia="Malgun Gothic"/>
                <w:bCs/>
                <w:sz w:val="20"/>
                <w:szCs w:val="20"/>
              </w:rPr>
            </w:pPr>
            <w:r w:rsidRPr="00AE1BFF">
              <w:rPr>
                <w:rFonts w:eastAsia="Malgun Gothic"/>
                <w:bCs/>
                <w:sz w:val="20"/>
                <w:szCs w:val="20"/>
              </w:rPr>
              <w:t xml:space="preserve">UE-reported information in MPE report (if supported) is used to indicate the minimal </w:t>
            </w:r>
            <w:r w:rsidRPr="00AE1BFF">
              <w:rPr>
                <w:rFonts w:eastAsia="Malgun Gothic"/>
                <w:bCs/>
                <w:sz w:val="20"/>
                <w:szCs w:val="20"/>
                <w:lang w:eastAsia="ko-KR"/>
              </w:rPr>
              <w:t>activation/</w:t>
            </w:r>
            <w:r w:rsidRPr="00AE1BFF">
              <w:rPr>
                <w:sz w:val="20"/>
                <w:szCs w:val="20"/>
              </w:rPr>
              <w:t>s</w:t>
            </w:r>
            <w:r w:rsidRPr="00AE1BFF">
              <w:rPr>
                <w:rFonts w:hint="eastAsia"/>
                <w:sz w:val="20"/>
                <w:szCs w:val="20"/>
              </w:rPr>
              <w:t>election</w:t>
            </w:r>
            <w:r w:rsidRPr="00AE1BFF">
              <w:rPr>
                <w:sz w:val="20"/>
                <w:szCs w:val="20"/>
              </w:rPr>
              <w:t xml:space="preserve"> </w:t>
            </w:r>
            <w:r w:rsidRPr="00AE1BFF">
              <w:rPr>
                <w:rFonts w:eastAsia="Malgun Gothic"/>
                <w:bCs/>
                <w:sz w:val="20"/>
                <w:szCs w:val="20"/>
              </w:rPr>
              <w:t>delay and panel activation/selection status</w:t>
            </w:r>
            <w:r w:rsidRPr="00AE1BFF">
              <w:rPr>
                <w:rFonts w:eastAsia="Malgun Gothic"/>
                <w:bCs/>
                <w:sz w:val="20"/>
                <w:szCs w:val="20"/>
                <w:lang w:eastAsia="ko-KR"/>
              </w:rPr>
              <w:t xml:space="preserve"> </w:t>
            </w:r>
          </w:p>
          <w:p w14:paraId="27BF1FFE" w14:textId="77777777" w:rsidR="00AE1BFF" w:rsidRPr="00AE1BFF" w:rsidRDefault="00AE1BFF">
            <w:pPr>
              <w:pStyle w:val="a3"/>
              <w:numPr>
                <w:ilvl w:val="0"/>
                <w:numId w:val="14"/>
              </w:numPr>
              <w:autoSpaceDE w:val="0"/>
              <w:autoSpaceDN w:val="0"/>
              <w:snapToGrid w:val="0"/>
              <w:ind w:firstLineChars="0"/>
              <w:rPr>
                <w:rFonts w:eastAsia="Malgun Gothic"/>
                <w:bCs/>
                <w:sz w:val="20"/>
                <w:szCs w:val="20"/>
              </w:rPr>
            </w:pPr>
            <w:r w:rsidRPr="00AE1BFF">
              <w:rPr>
                <w:rFonts w:eastAsia="Malgun Gothic"/>
                <w:bCs/>
                <w:sz w:val="20"/>
                <w:szCs w:val="20"/>
                <w:lang w:eastAsia="ko-KR"/>
              </w:rPr>
              <w:t>Note: above ‘panel entity’ is a logical entity and how to map physical panels to the logical entities is up to UE implementation</w:t>
            </w:r>
          </w:p>
          <w:p w14:paraId="11939960" w14:textId="6377BE36" w:rsidR="00674ABB" w:rsidRPr="00AC2719" w:rsidRDefault="00AE1BFF">
            <w:pPr>
              <w:pStyle w:val="a3"/>
              <w:numPr>
                <w:ilvl w:val="0"/>
                <w:numId w:val="14"/>
              </w:numPr>
              <w:autoSpaceDE w:val="0"/>
              <w:autoSpaceDN w:val="0"/>
              <w:snapToGrid w:val="0"/>
              <w:ind w:firstLineChars="0"/>
              <w:rPr>
                <w:rFonts w:cs="Times New Roman"/>
                <w:kern w:val="2"/>
                <w:sz w:val="20"/>
                <w:szCs w:val="20"/>
                <w:lang w:eastAsia="ko-KR"/>
              </w:rPr>
            </w:pPr>
            <w:r w:rsidRPr="00AE1BFF">
              <w:rPr>
                <w:rFonts w:eastAsia="Malgun Gothic"/>
                <w:bCs/>
                <w:sz w:val="20"/>
                <w:szCs w:val="20"/>
              </w:rPr>
              <w:t>Note</w:t>
            </w:r>
            <w:r w:rsidRPr="00AE1BFF">
              <w:rPr>
                <w:rFonts w:eastAsia="Malgun Gothic" w:hint="eastAsia"/>
                <w:bCs/>
                <w:sz w:val="20"/>
                <w:szCs w:val="20"/>
              </w:rPr>
              <w:t xml:space="preserve">: This will depend on </w:t>
            </w:r>
            <w:r w:rsidRPr="00AE1BFF">
              <w:rPr>
                <w:rFonts w:eastAsia="Malgun Gothic"/>
                <w:bCs/>
                <w:sz w:val="20"/>
                <w:szCs w:val="20"/>
              </w:rPr>
              <w:t xml:space="preserve">the final outcome of </w:t>
            </w:r>
            <w:r w:rsidRPr="00AE1BFF">
              <w:rPr>
                <w:rFonts w:eastAsia="Malgun Gothic" w:hint="eastAsia"/>
                <w:bCs/>
                <w:sz w:val="20"/>
                <w:szCs w:val="20"/>
              </w:rPr>
              <w:t>whether</w:t>
            </w:r>
            <w:r w:rsidRPr="00AE1BFF">
              <w:rPr>
                <w:rFonts w:ascii="PMingLiU" w:eastAsia="PMingLiU" w:hAnsi="PMingLiU" w:hint="eastAsia"/>
                <w:bCs/>
                <w:sz w:val="20"/>
                <w:szCs w:val="20"/>
                <w:lang w:eastAsia="zh-TW"/>
              </w:rPr>
              <w:t xml:space="preserve"> </w:t>
            </w:r>
            <w:r w:rsidRPr="00AE1BFF">
              <w:rPr>
                <w:sz w:val="20"/>
                <w:szCs w:val="20"/>
              </w:rPr>
              <w:t xml:space="preserve">specification support for </w:t>
            </w:r>
            <w:r w:rsidRPr="00AE1BFF">
              <w:rPr>
                <w:rFonts w:hint="eastAsia"/>
                <w:sz w:val="20"/>
                <w:szCs w:val="20"/>
              </w:rPr>
              <w:t xml:space="preserve">UE-initiated panel </w:t>
            </w:r>
            <w:r w:rsidRPr="00AE1BFF">
              <w:rPr>
                <w:rFonts w:eastAsia="Malgun Gothic"/>
                <w:bCs/>
                <w:sz w:val="20"/>
                <w:szCs w:val="20"/>
                <w:lang w:eastAsia="ko-KR"/>
              </w:rPr>
              <w:t>activation/</w:t>
            </w:r>
            <w:r w:rsidRPr="00AE1BFF">
              <w:rPr>
                <w:sz w:val="20"/>
                <w:szCs w:val="20"/>
              </w:rPr>
              <w:t>s</w:t>
            </w:r>
            <w:r w:rsidRPr="00AE1BFF">
              <w:rPr>
                <w:rFonts w:hint="eastAsia"/>
                <w:sz w:val="20"/>
                <w:szCs w:val="20"/>
              </w:rPr>
              <w:t>election</w:t>
            </w:r>
            <w:r w:rsidRPr="00AE1BFF">
              <w:rPr>
                <w:sz w:val="20"/>
                <w:szCs w:val="20"/>
              </w:rPr>
              <w:t xml:space="preserve"> is agreed </w:t>
            </w:r>
          </w:p>
        </w:tc>
      </w:tr>
    </w:tbl>
    <w:p w14:paraId="17B68540" w14:textId="77777777" w:rsidR="00974FED" w:rsidRPr="00D37936" w:rsidRDefault="00974FED" w:rsidP="00A42680">
      <w:pPr>
        <w:rPr>
          <w:rFonts w:eastAsiaTheme="minorEastAsia" w:cs="Times New Roman"/>
        </w:rPr>
      </w:pPr>
    </w:p>
    <w:p w14:paraId="6D804A2D" w14:textId="03C8F86F" w:rsidR="005350F0" w:rsidRPr="00EE009A" w:rsidRDefault="00457389" w:rsidP="005350F0">
      <w:pPr>
        <w:pStyle w:val="2"/>
        <w:rPr>
          <w:szCs w:val="24"/>
          <w:lang w:val="en-GB" w:eastAsia="zh-CN"/>
        </w:rPr>
      </w:pPr>
      <w:r>
        <w:rPr>
          <w:szCs w:val="24"/>
          <w:lang w:val="en-GB" w:eastAsia="zh-CN"/>
        </w:rPr>
        <w:t xml:space="preserve">Definition of UE </w:t>
      </w:r>
      <w:r w:rsidR="00A36A94">
        <w:rPr>
          <w:szCs w:val="24"/>
          <w:lang w:val="en-GB" w:eastAsia="zh-CN"/>
        </w:rPr>
        <w:t>p</w:t>
      </w:r>
      <w:r w:rsidR="005350F0">
        <w:rPr>
          <w:szCs w:val="24"/>
          <w:lang w:val="en-GB" w:eastAsia="zh-CN"/>
        </w:rPr>
        <w:t>anel entity</w:t>
      </w:r>
    </w:p>
    <w:p w14:paraId="6DAA868C" w14:textId="302E9951" w:rsidR="005350F0" w:rsidRDefault="005350F0" w:rsidP="005350F0">
      <w:pPr>
        <w:spacing w:beforeLines="50" w:before="156"/>
        <w:rPr>
          <w:lang w:val="en-GB"/>
        </w:rPr>
      </w:pPr>
      <w:r>
        <w:rPr>
          <w:lang w:val="en-GB"/>
        </w:rPr>
        <w:t xml:space="preserve">In the last meeting, three options </w:t>
      </w:r>
      <w:r w:rsidR="0068003E">
        <w:rPr>
          <w:lang w:val="en-GB"/>
        </w:rPr>
        <w:t xml:space="preserve">on how to define UE panel entity </w:t>
      </w:r>
      <w:r>
        <w:rPr>
          <w:lang w:val="en-GB"/>
        </w:rPr>
        <w:t xml:space="preserve">were </w:t>
      </w:r>
      <w:r w:rsidR="0068003E">
        <w:rPr>
          <w:lang w:val="en-GB"/>
        </w:rPr>
        <w:t>discussed</w:t>
      </w:r>
      <w:r>
        <w:rPr>
          <w:lang w:val="en-GB"/>
        </w:rPr>
        <w:t>.</w:t>
      </w:r>
    </w:p>
    <w:p w14:paraId="41F89FC5" w14:textId="06BC8B86" w:rsidR="005350F0" w:rsidRDefault="005350F0" w:rsidP="005350F0">
      <w:pPr>
        <w:pStyle w:val="a3"/>
        <w:numPr>
          <w:ilvl w:val="0"/>
          <w:numId w:val="13"/>
        </w:numPr>
        <w:snapToGrid w:val="0"/>
        <w:ind w:left="360" w:firstLineChars="0"/>
        <w:jc w:val="left"/>
        <w:rPr>
          <w:rFonts w:cs="Times"/>
          <w:szCs w:val="22"/>
        </w:rPr>
      </w:pPr>
      <w:r w:rsidRPr="00985098">
        <w:rPr>
          <w:rFonts w:cs="Times"/>
          <w:szCs w:val="22"/>
        </w:rPr>
        <w:t>Option</w:t>
      </w:r>
      <w:r>
        <w:rPr>
          <w:lang w:val="en-GB"/>
        </w:rPr>
        <w:t xml:space="preserve"> 1</w:t>
      </w:r>
      <w:r w:rsidR="009660C6">
        <w:rPr>
          <w:lang w:val="en-GB"/>
        </w:rPr>
        <w:t>-1</w:t>
      </w:r>
      <w:r>
        <w:rPr>
          <w:lang w:val="en-GB"/>
        </w:rPr>
        <w:t xml:space="preserve">: </w:t>
      </w:r>
      <w:r w:rsidRPr="00837EC8">
        <w:rPr>
          <w:rFonts w:cs="Times"/>
          <w:szCs w:val="22"/>
        </w:rPr>
        <w:t>A panel entity corresponds to a reported CSI-RS and/or SSB resource index in a beam reporting instance</w:t>
      </w:r>
    </w:p>
    <w:p w14:paraId="7A162C98" w14:textId="4676A584" w:rsidR="005350F0" w:rsidRPr="00985098" w:rsidRDefault="005350F0" w:rsidP="005350F0">
      <w:pPr>
        <w:pStyle w:val="a3"/>
        <w:numPr>
          <w:ilvl w:val="0"/>
          <w:numId w:val="13"/>
        </w:numPr>
        <w:snapToGrid w:val="0"/>
        <w:ind w:left="360" w:firstLineChars="0"/>
        <w:jc w:val="left"/>
        <w:rPr>
          <w:rFonts w:cs="Times"/>
          <w:szCs w:val="22"/>
        </w:rPr>
      </w:pPr>
      <w:r w:rsidRPr="00837EC8">
        <w:rPr>
          <w:rFonts w:cs="Times"/>
          <w:szCs w:val="22"/>
        </w:rPr>
        <w:t>Opt</w:t>
      </w:r>
      <w:r>
        <w:rPr>
          <w:rFonts w:cs="Times"/>
          <w:szCs w:val="22"/>
        </w:rPr>
        <w:t xml:space="preserve">ion </w:t>
      </w:r>
      <w:r w:rsidR="009660C6">
        <w:rPr>
          <w:rFonts w:cs="Times"/>
          <w:szCs w:val="22"/>
        </w:rPr>
        <w:t>1-</w:t>
      </w:r>
      <w:r w:rsidRPr="00837EC8">
        <w:rPr>
          <w:rFonts w:cs="Times"/>
          <w:szCs w:val="22"/>
        </w:rPr>
        <w:t>2: A panel entity is referring to a new panel ID within CSI/beam reports</w:t>
      </w:r>
    </w:p>
    <w:p w14:paraId="3FB9AFDD" w14:textId="53742C76" w:rsidR="005350F0" w:rsidRPr="00837EC8" w:rsidRDefault="005350F0" w:rsidP="005350F0">
      <w:pPr>
        <w:pStyle w:val="a3"/>
        <w:numPr>
          <w:ilvl w:val="0"/>
          <w:numId w:val="13"/>
        </w:numPr>
        <w:snapToGrid w:val="0"/>
        <w:ind w:left="360" w:firstLineChars="0"/>
        <w:jc w:val="left"/>
        <w:rPr>
          <w:rFonts w:cs="Times"/>
          <w:szCs w:val="22"/>
        </w:rPr>
      </w:pPr>
      <w:r w:rsidRPr="00837EC8">
        <w:rPr>
          <w:rFonts w:cs="Times"/>
          <w:szCs w:val="22"/>
        </w:rPr>
        <w:t>Opt</w:t>
      </w:r>
      <w:r>
        <w:rPr>
          <w:rFonts w:cs="Times"/>
          <w:szCs w:val="22"/>
        </w:rPr>
        <w:t xml:space="preserve">ion </w:t>
      </w:r>
      <w:r w:rsidR="009660C6">
        <w:rPr>
          <w:rFonts w:cs="Times"/>
          <w:szCs w:val="22"/>
        </w:rPr>
        <w:t>1-</w:t>
      </w:r>
      <w:r w:rsidRPr="00837EC8">
        <w:rPr>
          <w:rFonts w:cs="Times"/>
          <w:szCs w:val="22"/>
        </w:rPr>
        <w:t>3: No additional specification support</w:t>
      </w:r>
    </w:p>
    <w:p w14:paraId="519C99CF" w14:textId="696136DD" w:rsidR="005350F0" w:rsidRDefault="002D5861" w:rsidP="005350F0">
      <w:pPr>
        <w:spacing w:beforeLines="50" w:before="156"/>
        <w:rPr>
          <w:rFonts w:eastAsiaTheme="minorEastAsia"/>
          <w:lang w:val="en-GB"/>
        </w:rPr>
      </w:pPr>
      <w:r>
        <w:rPr>
          <w:rFonts w:eastAsiaTheme="minorEastAsia"/>
          <w:lang w:val="en-GB"/>
        </w:rPr>
        <w:t xml:space="preserve">To us, </w:t>
      </w:r>
      <w:r w:rsidR="006F5FE3">
        <w:rPr>
          <w:rFonts w:eastAsiaTheme="minorEastAsia"/>
          <w:lang w:val="en-GB"/>
        </w:rPr>
        <w:t xml:space="preserve">Option 1-1 and 1-2 </w:t>
      </w:r>
      <w:r>
        <w:rPr>
          <w:rFonts w:eastAsiaTheme="minorEastAsia"/>
          <w:lang w:val="en-GB"/>
        </w:rPr>
        <w:t>above are not mutually exclusive. For a given measurement resource, if the UE is able to turn on multiple panels to perform measurement, it seems reasonable to allow the UE to compare results measured from multiple panels and then report the highest one, with which a resource index and a virtual panel ID (not implying specific UE antenna architecture) would both be needed. We understand there can be UEs not able to support this mode, with which separate measurement resources may be needed for such UEs. In this case, multiple measurement resource sets can be configured for this UE, each set is to be measured by one UE panel</w:t>
      </w:r>
      <w:r>
        <w:rPr>
          <w:rFonts w:eastAsiaTheme="minorEastAsia" w:hint="eastAsia"/>
          <w:lang w:val="en-GB"/>
        </w:rPr>
        <w:t>,</w:t>
      </w:r>
      <w:r>
        <w:rPr>
          <w:rFonts w:eastAsiaTheme="minorEastAsia"/>
          <w:lang w:val="en-GB"/>
        </w:rPr>
        <w:t xml:space="preserve"> and the </w:t>
      </w:r>
      <w:r w:rsidR="009C0058">
        <w:rPr>
          <w:rFonts w:eastAsiaTheme="minorEastAsia"/>
          <w:lang w:val="en-GB"/>
        </w:rPr>
        <w:t>reported resource index would implicitly correspond to UE panel entity already</w:t>
      </w:r>
      <w:r w:rsidR="00C128D8">
        <w:rPr>
          <w:rFonts w:eastAsiaTheme="minorEastAsia"/>
          <w:lang w:val="en-GB"/>
        </w:rPr>
        <w:t>, with which a new panel ID may not be needed</w:t>
      </w:r>
      <w:r w:rsidR="009C0058">
        <w:rPr>
          <w:rFonts w:eastAsiaTheme="minorEastAsia"/>
          <w:lang w:val="en-GB"/>
        </w:rPr>
        <w:t xml:space="preserve">. </w:t>
      </w:r>
    </w:p>
    <w:p w14:paraId="7FC582F2" w14:textId="077EF488" w:rsidR="005350F0" w:rsidRPr="00360FB3" w:rsidRDefault="005350F0" w:rsidP="005350F0">
      <w:pPr>
        <w:spacing w:beforeLines="50" w:before="156"/>
        <w:rPr>
          <w:b/>
          <w:i/>
          <w:lang w:val="en-GB"/>
        </w:rPr>
      </w:pPr>
      <w:r w:rsidRPr="00A22E0B">
        <w:rPr>
          <w:b/>
          <w:i/>
          <w:lang w:val="en-GB"/>
        </w:rPr>
        <w:t xml:space="preserve">Proposal </w:t>
      </w:r>
      <w:r>
        <w:rPr>
          <w:b/>
          <w:i/>
          <w:lang w:val="en-GB"/>
        </w:rPr>
        <w:t>5-1</w:t>
      </w:r>
      <w:r w:rsidRPr="00A22E0B">
        <w:rPr>
          <w:b/>
          <w:i/>
          <w:lang w:val="en-GB"/>
        </w:rPr>
        <w:t xml:space="preserve">: </w:t>
      </w:r>
      <w:r w:rsidR="001E0CD6" w:rsidRPr="001E0CD6">
        <w:rPr>
          <w:b/>
          <w:i/>
          <w:iCs/>
        </w:rPr>
        <w:t>A UE panel entity corresponds to a reported CSI-RS/SSB resource index (</w:t>
      </w:r>
      <w:r w:rsidR="001E0CD6" w:rsidRPr="001E0CD6">
        <w:rPr>
          <w:b/>
          <w:i/>
          <w:iCs/>
          <w:lang w:val="en-GB"/>
        </w:rPr>
        <w:t xml:space="preserve">if gNB has indicated </w:t>
      </w:r>
      <w:r w:rsidR="001E0CD6" w:rsidRPr="001E0CD6">
        <w:rPr>
          <w:b/>
          <w:i/>
          <w:iCs/>
        </w:rPr>
        <w:t>which UE panel is to be used for measurement) or a new virtual UE panel ID in beam report (</w:t>
      </w:r>
      <w:r w:rsidR="001E0CD6" w:rsidRPr="001E0CD6">
        <w:rPr>
          <w:b/>
          <w:i/>
          <w:iCs/>
          <w:lang w:val="en-GB"/>
        </w:rPr>
        <w:t>if it is left to UE to select panel for measurement</w:t>
      </w:r>
      <w:r w:rsidR="001E0CD6" w:rsidRPr="001E0CD6">
        <w:rPr>
          <w:b/>
          <w:i/>
          <w:iCs/>
        </w:rPr>
        <w:t>)</w:t>
      </w:r>
      <w:r w:rsidR="009E0993">
        <w:rPr>
          <w:b/>
          <w:i/>
          <w:lang w:val="en-GB"/>
        </w:rPr>
        <w:t>.</w:t>
      </w:r>
    </w:p>
    <w:p w14:paraId="573D7B91" w14:textId="77777777" w:rsidR="005350F0" w:rsidRPr="00672DD9" w:rsidRDefault="005350F0" w:rsidP="005350F0">
      <w:pPr>
        <w:rPr>
          <w:lang w:val="en-GB"/>
        </w:rPr>
      </w:pPr>
    </w:p>
    <w:p w14:paraId="6CBA5B0A" w14:textId="1CB682C9" w:rsidR="005350F0" w:rsidRPr="00573924" w:rsidRDefault="00A142C8" w:rsidP="005350F0">
      <w:pPr>
        <w:pStyle w:val="2"/>
        <w:rPr>
          <w:b w:val="0"/>
          <w:lang w:eastAsia="zh-CN"/>
        </w:rPr>
      </w:pPr>
      <w:r>
        <w:rPr>
          <w:szCs w:val="24"/>
          <w:lang w:val="en-GB" w:eastAsia="zh-CN"/>
        </w:rPr>
        <w:t>NW</w:t>
      </w:r>
      <w:r w:rsidR="005350F0">
        <w:rPr>
          <w:rFonts w:hint="eastAsia"/>
          <w:szCs w:val="24"/>
          <w:lang w:val="en-GB" w:eastAsia="zh-CN"/>
        </w:rPr>
        <w:t>-</w:t>
      </w:r>
      <w:r w:rsidR="005350F0">
        <w:rPr>
          <w:szCs w:val="24"/>
          <w:lang w:val="en-GB" w:eastAsia="zh-CN"/>
        </w:rPr>
        <w:t>initiated panel activation</w:t>
      </w:r>
    </w:p>
    <w:p w14:paraId="44438804" w14:textId="6EB57A42" w:rsidR="005350F0" w:rsidRDefault="005350F0" w:rsidP="005350F0">
      <w:pPr>
        <w:spacing w:beforeLines="50" w:before="156"/>
        <w:rPr>
          <w:lang w:val="en-GB"/>
        </w:rPr>
      </w:pPr>
      <w:r w:rsidRPr="00B952F4">
        <w:rPr>
          <w:lang w:val="en-GB"/>
        </w:rPr>
        <w:t xml:space="preserve">UE-initiated UL panel </w:t>
      </w:r>
      <w:r>
        <w:rPr>
          <w:lang w:val="en-GB"/>
        </w:rPr>
        <w:t>selection/</w:t>
      </w:r>
      <w:r w:rsidRPr="00B952F4">
        <w:rPr>
          <w:lang w:val="en-GB"/>
        </w:rPr>
        <w:t xml:space="preserve">activation </w:t>
      </w:r>
      <w:r>
        <w:rPr>
          <w:lang w:val="en-GB"/>
        </w:rPr>
        <w:t>was agreed in RAN1#103e and further discussed in RAN1</w:t>
      </w:r>
      <w:r w:rsidRPr="00AC2719">
        <w:rPr>
          <w:lang w:val="en-GB"/>
        </w:rPr>
        <w:t>#</w:t>
      </w:r>
      <w:r>
        <w:rPr>
          <w:lang w:val="en-GB"/>
        </w:rPr>
        <w:t>104e</w:t>
      </w:r>
      <w:r w:rsidR="00413D95">
        <w:rPr>
          <w:lang w:val="en-GB"/>
        </w:rPr>
        <w:t xml:space="preserve"> and RAN1</w:t>
      </w:r>
      <w:r w:rsidR="00413D95" w:rsidRPr="00AC2719">
        <w:rPr>
          <w:lang w:val="en-GB"/>
        </w:rPr>
        <w:t>#</w:t>
      </w:r>
      <w:r w:rsidR="00413D95">
        <w:rPr>
          <w:lang w:val="en-GB"/>
        </w:rPr>
        <w:t>104bis</w:t>
      </w:r>
      <w:r w:rsidR="00773AB1">
        <w:rPr>
          <w:lang w:val="en-GB"/>
        </w:rPr>
        <w:t>-</w:t>
      </w:r>
      <w:r w:rsidR="00413D95">
        <w:rPr>
          <w:lang w:val="en-GB"/>
        </w:rPr>
        <w:t>e</w:t>
      </w:r>
      <w:r w:rsidRPr="00B952F4">
        <w:rPr>
          <w:lang w:val="en-GB"/>
        </w:rPr>
        <w:t>.</w:t>
      </w:r>
      <w:r w:rsidR="00807147">
        <w:rPr>
          <w:lang w:val="en-GB"/>
        </w:rPr>
        <w:t xml:space="preserve"> </w:t>
      </w:r>
      <w:r>
        <w:rPr>
          <w:lang w:val="en-GB"/>
        </w:rPr>
        <w:t xml:space="preserve">To some extent, this UE-initiated UL panel selection/activation can help with link re-adaptation in the cases of UE movement, rotation, and blockage that requires switching panel at UE side. Still, in some cases like UE movement, due to the nature of UE-initiated procedure, the overall latency may not be small, i.e., not that ‘fast’. To speed up UL panel selection, one possible solution is to support gNB-initiated/controlled </w:t>
      </w:r>
      <w:r>
        <w:rPr>
          <w:lang w:val="en-GB"/>
        </w:rPr>
        <w:lastRenderedPageBreak/>
        <w:t>UE panel activation</w:t>
      </w:r>
      <w:r w:rsidR="009D54B5">
        <w:rPr>
          <w:lang w:val="en-GB"/>
        </w:rPr>
        <w:t xml:space="preserve">. Note that </w:t>
      </w:r>
      <w:r w:rsidR="007C6415">
        <w:rPr>
          <w:lang w:val="en-GB"/>
        </w:rPr>
        <w:t xml:space="preserve">gNB-initiated UE panel selection </w:t>
      </w:r>
      <w:r w:rsidR="009D54B5">
        <w:rPr>
          <w:lang w:val="en-GB"/>
        </w:rPr>
        <w:t xml:space="preserve">(instead of activation) </w:t>
      </w:r>
      <w:r w:rsidR="007C6415">
        <w:rPr>
          <w:lang w:val="en-GB"/>
        </w:rPr>
        <w:t xml:space="preserve">has been agreed to be supported </w:t>
      </w:r>
      <w:r w:rsidR="009D54B5">
        <w:rPr>
          <w:lang w:val="en-GB"/>
        </w:rPr>
        <w:t>re</w:t>
      </w:r>
      <w:r w:rsidR="007C6415">
        <w:rPr>
          <w:lang w:val="en-GB"/>
        </w:rPr>
        <w:t xml:space="preserve">using </w:t>
      </w:r>
      <w:r w:rsidR="007C6415" w:rsidRPr="00C5650C">
        <w:rPr>
          <w:rFonts w:eastAsia="Batang"/>
          <w:szCs w:val="22"/>
          <w:lang w:val="en-GB" w:eastAsia="en-US"/>
        </w:rPr>
        <w:t>R17 TCI state update</w:t>
      </w:r>
      <w:r w:rsidR="007C6415">
        <w:rPr>
          <w:rFonts w:eastAsia="Batang"/>
          <w:szCs w:val="22"/>
          <w:lang w:val="en-GB" w:eastAsia="en-US"/>
        </w:rPr>
        <w:t xml:space="preserve"> mechanism</w:t>
      </w:r>
      <w:r w:rsidR="009D54B5">
        <w:rPr>
          <w:lang w:val="en-GB"/>
        </w:rPr>
        <w:t>.</w:t>
      </w:r>
    </w:p>
    <w:p w14:paraId="0957B37B" w14:textId="77777777" w:rsidR="005350F0" w:rsidRDefault="005350F0" w:rsidP="005350F0">
      <w:pPr>
        <w:spacing w:beforeLines="50" w:before="156"/>
      </w:pPr>
      <w:r>
        <w:rPr>
          <w:lang w:val="en-GB"/>
        </w:rPr>
        <w:t xml:space="preserve">Performance-wise, it is preferable </w:t>
      </w:r>
      <w:r>
        <w:rPr>
          <w:rFonts w:hint="eastAsia"/>
          <w:lang w:val="en-GB"/>
        </w:rPr>
        <w:t>t</w:t>
      </w:r>
      <w:r>
        <w:rPr>
          <w:lang w:val="en-GB"/>
        </w:rPr>
        <w:t xml:space="preserve">o turn on all UE panels, but it may be excessive in terms of power consumption. To support gNB-initiated UE panel activation (instead of selection), proper balancing between performance and power consumption needs to be established. To this end, </w:t>
      </w:r>
      <w:r>
        <w:t xml:space="preserve">a </w:t>
      </w:r>
      <w:r w:rsidRPr="00573924">
        <w:t>handshake mechanism</w:t>
      </w:r>
      <w:r>
        <w:t xml:space="preserve"> can be considered as shown the figure below. For instance, a gNB first sends a panel activation request to UE, then </w:t>
      </w:r>
      <w:r w:rsidRPr="00573924">
        <w:t>a UE respon</w:t>
      </w:r>
      <w:r>
        <w:t>d</w:t>
      </w:r>
      <w:r w:rsidRPr="00573924">
        <w:t xml:space="preserve"> </w:t>
      </w:r>
      <w:r>
        <w:t xml:space="preserve">with acceptance or </w:t>
      </w:r>
      <w:r w:rsidRPr="00573924">
        <w:t>rejectio</w:t>
      </w:r>
      <w:r>
        <w:t xml:space="preserve">n, possibly on per-panel basis. As these signaling are used for preparation of fast UL panel selection instead of indicating fast UL panel selection directly, they can be transmitted via MAC-CE, with which the existing timeline can reused. </w:t>
      </w:r>
    </w:p>
    <w:p w14:paraId="11F99BCF" w14:textId="531FE904" w:rsidR="007717E4" w:rsidRDefault="007717E4" w:rsidP="007717E4">
      <w:pPr>
        <w:spacing w:beforeLines="50" w:before="156"/>
        <w:jc w:val="center"/>
        <w:rPr>
          <w:rFonts w:eastAsiaTheme="minorEastAsia"/>
        </w:rPr>
      </w:pPr>
      <w:r>
        <w:rPr>
          <w:noProof/>
        </w:rPr>
        <w:drawing>
          <wp:inline distT="0" distB="0" distL="0" distR="0" wp14:anchorId="0A3B3285" wp14:editId="1C0DD9A8">
            <wp:extent cx="1811408" cy="136372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69785" cy="1407670"/>
                    </a:xfrm>
                    <a:prstGeom prst="rect">
                      <a:avLst/>
                    </a:prstGeom>
                  </pic:spPr>
                </pic:pic>
              </a:graphicData>
            </a:graphic>
          </wp:inline>
        </w:drawing>
      </w:r>
    </w:p>
    <w:p w14:paraId="5A63C47E" w14:textId="60B61303" w:rsidR="007717E4" w:rsidRPr="007717E4" w:rsidRDefault="007717E4" w:rsidP="007717E4">
      <w:pPr>
        <w:pStyle w:val="ab"/>
        <w:spacing w:after="0"/>
        <w:ind w:firstLine="440"/>
      </w:pPr>
      <w:r w:rsidRPr="00F85D63">
        <w:rPr>
          <w:b w:val="0"/>
        </w:rPr>
        <w:t xml:space="preserve">Figure </w:t>
      </w:r>
      <w:r w:rsidR="00287FF3">
        <w:rPr>
          <w:b w:val="0"/>
        </w:rPr>
        <w:t>1</w:t>
      </w:r>
      <w:r>
        <w:rPr>
          <w:b w:val="0"/>
        </w:rPr>
        <w:t>:</w:t>
      </w:r>
      <w:r w:rsidRPr="00F85D63">
        <w:rPr>
          <w:b w:val="0"/>
        </w:rPr>
        <w:t xml:space="preserve"> </w:t>
      </w:r>
      <w:r>
        <w:rPr>
          <w:b w:val="0"/>
        </w:rPr>
        <w:t>H</w:t>
      </w:r>
      <w:r w:rsidRPr="00F85D63">
        <w:rPr>
          <w:b w:val="0"/>
        </w:rPr>
        <w:t>andshak</w:t>
      </w:r>
      <w:r>
        <w:rPr>
          <w:b w:val="0"/>
        </w:rPr>
        <w:t>e</w:t>
      </w:r>
      <w:r w:rsidRPr="00F85D63">
        <w:rPr>
          <w:b w:val="0"/>
        </w:rPr>
        <w:t xml:space="preserve"> mechanism for </w:t>
      </w:r>
      <w:r>
        <w:rPr>
          <w:b w:val="0"/>
        </w:rPr>
        <w:t xml:space="preserve">NE-initiated UE </w:t>
      </w:r>
      <w:r w:rsidRPr="00F85D63">
        <w:rPr>
          <w:b w:val="0"/>
        </w:rPr>
        <w:t xml:space="preserve">panel </w:t>
      </w:r>
      <w:r>
        <w:rPr>
          <w:b w:val="0"/>
        </w:rPr>
        <w:t>activation</w:t>
      </w:r>
    </w:p>
    <w:p w14:paraId="048D3693" w14:textId="1F1B7DDF" w:rsidR="005350F0" w:rsidRDefault="005350F0" w:rsidP="005350F0">
      <w:pPr>
        <w:spacing w:beforeLines="50" w:before="156"/>
      </w:pPr>
      <w:r w:rsidRPr="00573924">
        <w:rPr>
          <w:b/>
          <w:i/>
          <w:lang w:val="en-GB"/>
        </w:rPr>
        <w:t>Proposal 5-</w:t>
      </w:r>
      <w:r w:rsidR="009D54B5">
        <w:rPr>
          <w:b/>
          <w:i/>
          <w:lang w:val="en-GB"/>
        </w:rPr>
        <w:t>2</w:t>
      </w:r>
      <w:r w:rsidRPr="00573924">
        <w:rPr>
          <w:b/>
          <w:i/>
          <w:lang w:val="en-GB"/>
        </w:rPr>
        <w:t xml:space="preserve">: </w:t>
      </w:r>
      <w:r w:rsidR="00D2138B">
        <w:rPr>
          <w:b/>
          <w:i/>
          <w:lang w:val="en-GB"/>
        </w:rPr>
        <w:t>Introduce a</w:t>
      </w:r>
      <w:r>
        <w:rPr>
          <w:b/>
          <w:i/>
          <w:lang w:val="en-GB"/>
        </w:rPr>
        <w:t xml:space="preserve"> handshake mechanism </w:t>
      </w:r>
      <w:r w:rsidR="00FD6B6E">
        <w:rPr>
          <w:b/>
          <w:i/>
          <w:lang w:val="en-GB"/>
        </w:rPr>
        <w:t xml:space="preserve">including gNB request and </w:t>
      </w:r>
      <w:r>
        <w:rPr>
          <w:b/>
          <w:i/>
          <w:lang w:val="en-GB"/>
        </w:rPr>
        <w:t xml:space="preserve">UE </w:t>
      </w:r>
      <w:r w:rsidR="00FD6B6E">
        <w:rPr>
          <w:b/>
          <w:i/>
          <w:lang w:val="en-GB"/>
        </w:rPr>
        <w:t>response (</w:t>
      </w:r>
      <w:r>
        <w:rPr>
          <w:b/>
          <w:i/>
          <w:lang w:val="en-GB"/>
        </w:rPr>
        <w:t>acceptance/rejection</w:t>
      </w:r>
      <w:r w:rsidR="00FD6B6E">
        <w:rPr>
          <w:b/>
          <w:i/>
          <w:lang w:val="en-GB"/>
        </w:rPr>
        <w:t>)</w:t>
      </w:r>
      <w:r w:rsidR="003A0B68">
        <w:rPr>
          <w:b/>
          <w:i/>
          <w:lang w:val="en-GB"/>
        </w:rPr>
        <w:t xml:space="preserve"> </w:t>
      </w:r>
      <w:r>
        <w:rPr>
          <w:b/>
          <w:i/>
          <w:lang w:val="en-GB"/>
        </w:rPr>
        <w:t>for gN</w:t>
      </w:r>
      <w:r w:rsidRPr="008C6457">
        <w:rPr>
          <w:b/>
          <w:i/>
          <w:lang w:val="en-GB"/>
        </w:rPr>
        <w:t>B-initiated</w:t>
      </w:r>
      <w:r w:rsidRPr="00573924">
        <w:rPr>
          <w:b/>
          <w:i/>
          <w:lang w:val="en-GB"/>
        </w:rPr>
        <w:t xml:space="preserve"> </w:t>
      </w:r>
      <w:r>
        <w:rPr>
          <w:b/>
          <w:i/>
          <w:lang w:val="en-GB"/>
        </w:rPr>
        <w:t>UE panel activation.</w:t>
      </w:r>
    </w:p>
    <w:p w14:paraId="3873646B" w14:textId="75A3AF3F" w:rsidR="005350F0" w:rsidRDefault="005350F0" w:rsidP="005350F0">
      <w:pPr>
        <w:pStyle w:val="ab"/>
        <w:spacing w:after="0"/>
        <w:ind w:firstLine="440"/>
        <w:rPr>
          <w:lang w:eastAsia="zh-CN"/>
        </w:rPr>
      </w:pPr>
    </w:p>
    <w:p w14:paraId="13A5775F" w14:textId="4128ABDF" w:rsidR="008511F4" w:rsidRPr="00573924" w:rsidRDefault="008511F4" w:rsidP="008511F4">
      <w:pPr>
        <w:pStyle w:val="2"/>
        <w:rPr>
          <w:b w:val="0"/>
          <w:lang w:eastAsia="zh-CN"/>
        </w:rPr>
      </w:pPr>
      <w:r>
        <w:rPr>
          <w:szCs w:val="24"/>
          <w:lang w:val="en-GB" w:eastAsia="zh-CN"/>
        </w:rPr>
        <w:t xml:space="preserve">SRS for different </w:t>
      </w:r>
      <w:r w:rsidR="00D37326">
        <w:rPr>
          <w:szCs w:val="24"/>
          <w:lang w:val="en-GB" w:eastAsia="zh-CN"/>
        </w:rPr>
        <w:t xml:space="preserve">UE </w:t>
      </w:r>
      <w:r>
        <w:rPr>
          <w:szCs w:val="24"/>
          <w:lang w:val="en-GB" w:eastAsia="zh-CN"/>
        </w:rPr>
        <w:t>panel</w:t>
      </w:r>
      <w:r w:rsidR="00D37326">
        <w:rPr>
          <w:szCs w:val="24"/>
          <w:lang w:val="en-GB" w:eastAsia="zh-CN"/>
        </w:rPr>
        <w:t>s</w:t>
      </w:r>
    </w:p>
    <w:p w14:paraId="4DE14643" w14:textId="2BF567E3" w:rsidR="008511F4" w:rsidRDefault="008511F4" w:rsidP="008511F4">
      <w:pPr>
        <w:spacing w:beforeLines="50" w:before="156"/>
        <w:rPr>
          <w:rFonts w:eastAsiaTheme="minorEastAsia"/>
          <w:lang w:val="en-GB"/>
        </w:rPr>
      </w:pPr>
      <w:r>
        <w:rPr>
          <w:lang w:val="en-GB"/>
        </w:rPr>
        <w:t>It was discussed whether SRS resources</w:t>
      </w:r>
      <w:r w:rsidR="00D2138B">
        <w:rPr>
          <w:lang w:val="en-GB"/>
        </w:rPr>
        <w:t xml:space="preserve"> for codebook-based UL transmission</w:t>
      </w:r>
      <w:r>
        <w:rPr>
          <w:lang w:val="en-GB"/>
        </w:rPr>
        <w:t xml:space="preserve"> can be configured with different </w:t>
      </w:r>
      <w:r w:rsidR="00D2138B">
        <w:rPr>
          <w:lang w:val="en-GB"/>
        </w:rPr>
        <w:t xml:space="preserve">numbers of </w:t>
      </w:r>
      <w:r>
        <w:rPr>
          <w:lang w:val="en-GB"/>
        </w:rPr>
        <w:t>ports</w:t>
      </w:r>
      <w:r>
        <w:rPr>
          <w:rFonts w:eastAsiaTheme="minorEastAsia"/>
          <w:lang w:val="en-GB"/>
        </w:rPr>
        <w:t xml:space="preserve">. In Rel-15, </w:t>
      </w:r>
      <w:r w:rsidR="00D2138B">
        <w:rPr>
          <w:rFonts w:eastAsiaTheme="minorEastAsia"/>
          <w:lang w:val="en-GB"/>
        </w:rPr>
        <w:t>SRS resources for codebook-</w:t>
      </w:r>
      <w:r>
        <w:rPr>
          <w:rFonts w:eastAsiaTheme="minorEastAsia"/>
          <w:lang w:val="en-GB"/>
        </w:rPr>
        <w:t xml:space="preserve">based </w:t>
      </w:r>
      <w:r w:rsidR="00D2138B">
        <w:rPr>
          <w:rFonts w:eastAsiaTheme="minorEastAsia"/>
          <w:lang w:val="en-GB"/>
        </w:rPr>
        <w:t>UL transmission</w:t>
      </w:r>
      <w:r>
        <w:rPr>
          <w:rFonts w:eastAsiaTheme="minorEastAsia"/>
          <w:lang w:val="en-GB"/>
        </w:rPr>
        <w:t xml:space="preserve"> in a </w:t>
      </w:r>
      <w:r w:rsidR="00D2138B">
        <w:rPr>
          <w:rFonts w:eastAsiaTheme="minorEastAsia"/>
          <w:lang w:val="en-GB"/>
        </w:rPr>
        <w:t xml:space="preserve">SRS </w:t>
      </w:r>
      <w:r>
        <w:rPr>
          <w:rFonts w:eastAsiaTheme="minorEastAsia"/>
          <w:lang w:val="en-GB"/>
        </w:rPr>
        <w:t xml:space="preserve">resource set should have the same number of ports. This </w:t>
      </w:r>
      <w:r w:rsidR="00D2138B">
        <w:rPr>
          <w:rFonts w:eastAsiaTheme="minorEastAsia"/>
          <w:lang w:val="en-GB"/>
        </w:rPr>
        <w:t xml:space="preserve">implies </w:t>
      </w:r>
      <w:r>
        <w:rPr>
          <w:rFonts w:eastAsiaTheme="minorEastAsia"/>
          <w:lang w:val="en-GB"/>
        </w:rPr>
        <w:t xml:space="preserve">SRS resources corresponding to different </w:t>
      </w:r>
      <w:r w:rsidR="00D2138B">
        <w:rPr>
          <w:rFonts w:eastAsiaTheme="minorEastAsia"/>
          <w:lang w:val="en-GB"/>
        </w:rPr>
        <w:t xml:space="preserve">UE </w:t>
      </w:r>
      <w:r>
        <w:rPr>
          <w:rFonts w:eastAsiaTheme="minorEastAsia"/>
          <w:lang w:val="en-GB"/>
        </w:rPr>
        <w:t xml:space="preserve">panels cannot be configured in the same </w:t>
      </w:r>
      <w:r w:rsidR="00D2138B">
        <w:rPr>
          <w:rFonts w:eastAsiaTheme="minorEastAsia"/>
          <w:lang w:val="en-GB"/>
        </w:rPr>
        <w:t xml:space="preserve">SRS </w:t>
      </w:r>
      <w:r>
        <w:rPr>
          <w:rFonts w:eastAsiaTheme="minorEastAsia"/>
          <w:lang w:val="en-GB"/>
        </w:rPr>
        <w:t xml:space="preserve">resource set if the </w:t>
      </w:r>
      <w:r w:rsidR="00D2138B">
        <w:rPr>
          <w:rFonts w:eastAsiaTheme="minorEastAsia"/>
          <w:lang w:val="en-GB"/>
        </w:rPr>
        <w:t xml:space="preserve">UE </w:t>
      </w:r>
      <w:r>
        <w:rPr>
          <w:rFonts w:eastAsiaTheme="minorEastAsia"/>
          <w:lang w:val="en-GB"/>
        </w:rPr>
        <w:t xml:space="preserve">panels have different number of ports. </w:t>
      </w:r>
      <w:r w:rsidR="00D2138B">
        <w:rPr>
          <w:rFonts w:eastAsiaTheme="minorEastAsia"/>
          <w:lang w:val="en-GB"/>
        </w:rPr>
        <w:t xml:space="preserve">In our view, </w:t>
      </w:r>
      <w:r>
        <w:rPr>
          <w:rFonts w:eastAsiaTheme="minorEastAsia"/>
          <w:lang w:val="en-GB"/>
        </w:rPr>
        <w:t xml:space="preserve">it </w:t>
      </w:r>
      <w:r w:rsidR="00D2138B">
        <w:rPr>
          <w:rFonts w:eastAsiaTheme="minorEastAsia"/>
          <w:lang w:val="en-GB"/>
        </w:rPr>
        <w:t xml:space="preserve">would be </w:t>
      </w:r>
      <w:r>
        <w:rPr>
          <w:rFonts w:eastAsiaTheme="minorEastAsia"/>
          <w:lang w:val="en-GB"/>
        </w:rPr>
        <w:t xml:space="preserve">beneficial to allow </w:t>
      </w:r>
      <w:r w:rsidR="00D2138B">
        <w:rPr>
          <w:rFonts w:eastAsiaTheme="minorEastAsia"/>
          <w:lang w:val="en-GB"/>
        </w:rPr>
        <w:t xml:space="preserve">for </w:t>
      </w:r>
      <w:r>
        <w:rPr>
          <w:rFonts w:eastAsiaTheme="minorEastAsia"/>
          <w:lang w:val="en-GB"/>
        </w:rPr>
        <w:t xml:space="preserve">configuring different number of ports for SRS </w:t>
      </w:r>
      <w:r w:rsidR="00D2138B">
        <w:rPr>
          <w:rFonts w:eastAsiaTheme="minorEastAsia"/>
          <w:lang w:val="en-GB"/>
        </w:rPr>
        <w:t xml:space="preserve">resource in one SRS </w:t>
      </w:r>
      <w:r>
        <w:rPr>
          <w:rFonts w:eastAsiaTheme="minorEastAsia"/>
          <w:lang w:val="en-GB"/>
        </w:rPr>
        <w:t>resource set</w:t>
      </w:r>
      <w:r w:rsidR="00D2138B">
        <w:rPr>
          <w:rFonts w:eastAsiaTheme="minorEastAsia"/>
          <w:lang w:val="en-GB"/>
        </w:rPr>
        <w:t xml:space="preserve"> for codebook-based UL transmission</w:t>
      </w:r>
      <w:r>
        <w:rPr>
          <w:rFonts w:eastAsiaTheme="minorEastAsia"/>
          <w:lang w:val="en-GB"/>
        </w:rPr>
        <w:t xml:space="preserve">. </w:t>
      </w:r>
    </w:p>
    <w:p w14:paraId="56514E82" w14:textId="3F3D5827" w:rsidR="008511F4" w:rsidRDefault="008511F4" w:rsidP="008511F4">
      <w:pPr>
        <w:spacing w:beforeLines="50" w:before="156"/>
        <w:rPr>
          <w:rFonts w:eastAsiaTheme="minorEastAsia"/>
          <w:b/>
          <w:i/>
          <w:lang w:val="en-GB"/>
        </w:rPr>
      </w:pPr>
      <w:r w:rsidRPr="00DC3E58">
        <w:rPr>
          <w:rFonts w:eastAsiaTheme="minorEastAsia"/>
          <w:b/>
          <w:i/>
          <w:lang w:val="en-GB"/>
        </w:rPr>
        <w:t>Proposal</w:t>
      </w:r>
      <w:r>
        <w:rPr>
          <w:rFonts w:eastAsiaTheme="minorEastAsia"/>
          <w:b/>
          <w:i/>
          <w:lang w:val="en-GB"/>
        </w:rPr>
        <w:t xml:space="preserve"> 5-3</w:t>
      </w:r>
      <w:r w:rsidRPr="00DC3E58">
        <w:rPr>
          <w:rFonts w:eastAsiaTheme="minorEastAsia" w:hint="eastAsia"/>
          <w:b/>
          <w:i/>
          <w:lang w:val="en-GB"/>
        </w:rPr>
        <w:t>:</w:t>
      </w:r>
      <w:r w:rsidRPr="00DC3E58">
        <w:rPr>
          <w:rFonts w:eastAsiaTheme="minorEastAsia"/>
          <w:b/>
          <w:i/>
          <w:lang w:val="en-GB"/>
        </w:rPr>
        <w:t xml:space="preserve"> Support configur</w:t>
      </w:r>
      <w:r>
        <w:rPr>
          <w:rFonts w:eastAsiaTheme="minorEastAsia"/>
          <w:b/>
          <w:i/>
          <w:lang w:val="en-GB"/>
        </w:rPr>
        <w:t>ing</w:t>
      </w:r>
      <w:r w:rsidRPr="00DC3E58">
        <w:rPr>
          <w:rFonts w:eastAsiaTheme="minorEastAsia"/>
          <w:b/>
          <w:i/>
          <w:lang w:val="en-GB"/>
        </w:rPr>
        <w:t xml:space="preserve"> different number of ports for</w:t>
      </w:r>
      <w:r w:rsidR="00D2138B">
        <w:rPr>
          <w:rFonts w:eastAsiaTheme="minorEastAsia"/>
          <w:b/>
          <w:i/>
          <w:lang w:val="en-GB"/>
        </w:rPr>
        <w:t xml:space="preserve"> SRS resources in one SRS resource set for</w:t>
      </w:r>
      <w:r w:rsidRPr="00DC3E58">
        <w:rPr>
          <w:rFonts w:eastAsiaTheme="minorEastAsia"/>
          <w:b/>
          <w:i/>
          <w:lang w:val="en-GB"/>
        </w:rPr>
        <w:t xml:space="preserve"> </w:t>
      </w:r>
      <w:r w:rsidR="00D2138B" w:rsidRPr="00DC3E58">
        <w:rPr>
          <w:rFonts w:eastAsiaTheme="minorEastAsia"/>
          <w:b/>
          <w:i/>
          <w:lang w:val="en-GB"/>
        </w:rPr>
        <w:t>codebook</w:t>
      </w:r>
      <w:r w:rsidR="00D2138B">
        <w:rPr>
          <w:rFonts w:eastAsiaTheme="minorEastAsia"/>
          <w:b/>
          <w:i/>
          <w:lang w:val="en-GB"/>
        </w:rPr>
        <w:t>-</w:t>
      </w:r>
      <w:r w:rsidRPr="00DC3E58">
        <w:rPr>
          <w:rFonts w:eastAsiaTheme="minorEastAsia"/>
          <w:b/>
          <w:i/>
          <w:lang w:val="en-GB"/>
        </w:rPr>
        <w:t xml:space="preserve">based </w:t>
      </w:r>
      <w:r w:rsidR="00694BB0">
        <w:rPr>
          <w:rFonts w:eastAsiaTheme="minorEastAsia"/>
          <w:b/>
          <w:i/>
          <w:lang w:val="en-GB"/>
        </w:rPr>
        <w:t>UL transmission.</w:t>
      </w:r>
      <w:bookmarkStart w:id="0" w:name="_GoBack"/>
      <w:bookmarkEnd w:id="0"/>
    </w:p>
    <w:p w14:paraId="5E92F101" w14:textId="22689188" w:rsidR="00974FED" w:rsidRPr="008511F4" w:rsidRDefault="00974FED" w:rsidP="00974FED">
      <w:pPr>
        <w:rPr>
          <w:b/>
          <w:lang w:val="en-GB"/>
        </w:rPr>
      </w:pPr>
    </w:p>
    <w:p w14:paraId="23C8B269" w14:textId="77777777" w:rsidR="0040376C" w:rsidRDefault="00CF100E" w:rsidP="00F94A95">
      <w:pPr>
        <w:pStyle w:val="1"/>
        <w:rPr>
          <w:szCs w:val="20"/>
        </w:rPr>
      </w:pPr>
      <w:r w:rsidRPr="0067142E">
        <w:rPr>
          <w:szCs w:val="20"/>
        </w:rPr>
        <w:t>MPE mitigation</w:t>
      </w:r>
    </w:p>
    <w:p w14:paraId="657119FE" w14:textId="66029DEC" w:rsidR="008A4668" w:rsidRDefault="008A4668" w:rsidP="008A4668">
      <w:pPr>
        <w:rPr>
          <w:lang w:eastAsia="en-US"/>
        </w:rPr>
      </w:pPr>
      <w:r w:rsidRPr="00674ABB">
        <w:rPr>
          <w:rFonts w:cs="Times New Roman" w:hint="eastAsia"/>
          <w:szCs w:val="22"/>
        </w:rPr>
        <w:t>R</w:t>
      </w:r>
      <w:r w:rsidRPr="00674ABB">
        <w:rPr>
          <w:rFonts w:cs="Times New Roman"/>
          <w:szCs w:val="22"/>
        </w:rPr>
        <w:t>egarding MPE mitigation, the following was agreed in RAN1#10</w:t>
      </w:r>
      <w:r>
        <w:rPr>
          <w:rFonts w:cs="Times New Roman"/>
          <w:szCs w:val="22"/>
        </w:rPr>
        <w:t>4</w:t>
      </w:r>
      <w:r w:rsidR="00AE1BFF">
        <w:rPr>
          <w:rFonts w:cs="Times New Roman"/>
          <w:szCs w:val="22"/>
        </w:rPr>
        <w:t>bis</w:t>
      </w:r>
      <w:r w:rsidRPr="00674ABB">
        <w:rPr>
          <w:rFonts w:cs="Times New Roman"/>
          <w:szCs w:val="22"/>
        </w:rPr>
        <w:t>-e:</w:t>
      </w:r>
    </w:p>
    <w:tbl>
      <w:tblPr>
        <w:tblStyle w:val="a6"/>
        <w:tblW w:w="0" w:type="auto"/>
        <w:tblLook w:val="04A0" w:firstRow="1" w:lastRow="0" w:firstColumn="1" w:lastColumn="0" w:noHBand="0" w:noVBand="1"/>
      </w:tblPr>
      <w:tblGrid>
        <w:gridCol w:w="8296"/>
      </w:tblGrid>
      <w:tr w:rsidR="008A4668" w:rsidRPr="004D665B" w14:paraId="1B9F4C83" w14:textId="77777777" w:rsidTr="008A4668">
        <w:tc>
          <w:tcPr>
            <w:tcW w:w="8296" w:type="dxa"/>
          </w:tcPr>
          <w:p w14:paraId="50A9AC54" w14:textId="77777777" w:rsidR="00AE1BFF" w:rsidRPr="00AE1BFF" w:rsidRDefault="00AE1BFF" w:rsidP="007C3235">
            <w:pPr>
              <w:snapToGrid w:val="0"/>
              <w:rPr>
                <w:rFonts w:cs="Times"/>
                <w:b/>
                <w:bCs/>
                <w:sz w:val="20"/>
                <w:szCs w:val="20"/>
                <w:lang w:eastAsia="ko-KR"/>
              </w:rPr>
            </w:pPr>
            <w:r w:rsidRPr="00AE1BFF">
              <w:rPr>
                <w:rFonts w:cs="Times"/>
                <w:b/>
                <w:bCs/>
                <w:sz w:val="20"/>
                <w:szCs w:val="20"/>
                <w:highlight w:val="green"/>
              </w:rPr>
              <w:t>Agreement</w:t>
            </w:r>
          </w:p>
          <w:p w14:paraId="1844E577" w14:textId="77777777" w:rsidR="00AE1BFF" w:rsidRPr="00AE1BFF" w:rsidRDefault="00AE1BFF" w:rsidP="00A9232A">
            <w:pPr>
              <w:snapToGrid w:val="0"/>
              <w:rPr>
                <w:rFonts w:cs="Times"/>
                <w:sz w:val="20"/>
                <w:szCs w:val="20"/>
              </w:rPr>
            </w:pPr>
            <w:r w:rsidRPr="00AE1BFF">
              <w:rPr>
                <w:rFonts w:cs="Times"/>
                <w:sz w:val="20"/>
                <w:szCs w:val="20"/>
              </w:rPr>
              <w:t>On Rel.17 enhancements to facilitate MPE mitigation, in RAN1#105-e, further discuss to down-select at least one or combine from the following options:</w:t>
            </w:r>
          </w:p>
          <w:p w14:paraId="2623BCA1" w14:textId="77777777" w:rsidR="00AE1BFF" w:rsidRPr="00AE1BFF" w:rsidRDefault="00AE1BFF">
            <w:pPr>
              <w:pStyle w:val="a3"/>
              <w:numPr>
                <w:ilvl w:val="0"/>
                <w:numId w:val="16"/>
              </w:numPr>
              <w:snapToGrid w:val="0"/>
              <w:ind w:firstLineChars="0"/>
              <w:rPr>
                <w:rFonts w:cs="Times"/>
                <w:sz w:val="20"/>
                <w:szCs w:val="20"/>
              </w:rPr>
            </w:pPr>
            <w:r w:rsidRPr="00AE1BFF">
              <w:rPr>
                <w:rFonts w:cs="Times"/>
                <w:sz w:val="20"/>
                <w:szCs w:val="20"/>
              </w:rPr>
              <w:t xml:space="preserve">Opt 1A. {Rel.16 P-MPR based (beam/panel-level)} + Virtual PHR or a modified version </w:t>
            </w:r>
          </w:p>
          <w:p w14:paraId="44084162" w14:textId="77777777" w:rsidR="00AE1BFF" w:rsidRPr="00AE1BFF" w:rsidRDefault="00AE1BFF">
            <w:pPr>
              <w:pStyle w:val="a3"/>
              <w:numPr>
                <w:ilvl w:val="1"/>
                <w:numId w:val="16"/>
              </w:numPr>
              <w:snapToGrid w:val="0"/>
              <w:ind w:firstLineChars="0"/>
              <w:rPr>
                <w:rFonts w:cs="Times"/>
                <w:sz w:val="20"/>
                <w:szCs w:val="20"/>
              </w:rPr>
            </w:pPr>
            <w:r w:rsidRPr="00AE1BFF">
              <w:rPr>
                <w:rFonts w:cs="Times"/>
                <w:sz w:val="20"/>
                <w:szCs w:val="20"/>
              </w:rPr>
              <w:t>The modified version may be associated with each activated UL TCI or, if applicable, joint TCI, or associated with each of the reported SSBRI(s)/CRI(s) and/or panel indication (if configured) from candidate pool, if reported.</w:t>
            </w:r>
          </w:p>
          <w:p w14:paraId="0BC11EBA" w14:textId="77777777" w:rsidR="00AE1BFF" w:rsidRPr="00AE1BFF" w:rsidRDefault="00AE1BFF">
            <w:pPr>
              <w:pStyle w:val="a3"/>
              <w:numPr>
                <w:ilvl w:val="1"/>
                <w:numId w:val="16"/>
              </w:numPr>
              <w:snapToGrid w:val="0"/>
              <w:ind w:firstLineChars="0"/>
              <w:rPr>
                <w:rFonts w:cs="Times"/>
                <w:sz w:val="20"/>
                <w:szCs w:val="20"/>
              </w:rPr>
            </w:pPr>
            <w:r w:rsidRPr="00AE1BFF">
              <w:rPr>
                <w:rFonts w:cs="Times"/>
                <w:sz w:val="20"/>
                <w:szCs w:val="20"/>
              </w:rPr>
              <w:t>The reporting reuses the event-driven mechanisms from the Rel-16 P-MPR reporting</w:t>
            </w:r>
          </w:p>
          <w:p w14:paraId="0AC47C0C" w14:textId="77777777" w:rsidR="00AE1BFF" w:rsidRPr="00AE1BFF" w:rsidRDefault="00AE1BFF">
            <w:pPr>
              <w:pStyle w:val="a3"/>
              <w:numPr>
                <w:ilvl w:val="1"/>
                <w:numId w:val="16"/>
              </w:numPr>
              <w:snapToGrid w:val="0"/>
              <w:ind w:firstLineChars="0"/>
              <w:rPr>
                <w:rFonts w:cs="Times"/>
                <w:sz w:val="20"/>
                <w:szCs w:val="20"/>
              </w:rPr>
            </w:pPr>
            <w:r w:rsidRPr="00AE1BFF">
              <w:rPr>
                <w:rFonts w:cs="Times"/>
                <w:sz w:val="20"/>
                <w:szCs w:val="20"/>
              </w:rPr>
              <w:t>FFS: how to determine the virtual PHR or the modified version.</w:t>
            </w:r>
          </w:p>
          <w:p w14:paraId="2ED78DDC" w14:textId="77777777" w:rsidR="00AE1BFF" w:rsidRPr="00AE1BFF" w:rsidRDefault="00AE1BFF">
            <w:pPr>
              <w:pStyle w:val="a3"/>
              <w:numPr>
                <w:ilvl w:val="0"/>
                <w:numId w:val="16"/>
              </w:numPr>
              <w:snapToGrid w:val="0"/>
              <w:ind w:firstLineChars="0"/>
              <w:rPr>
                <w:rFonts w:cs="Times"/>
                <w:sz w:val="20"/>
                <w:szCs w:val="20"/>
              </w:rPr>
            </w:pPr>
            <w:r w:rsidRPr="00AE1BFF">
              <w:rPr>
                <w:rFonts w:cs="Times"/>
                <w:sz w:val="20"/>
                <w:szCs w:val="20"/>
              </w:rPr>
              <w:lastRenderedPageBreak/>
              <w:t>Opt 1D. {Rel.16 P-MPR based (beam/panel-level)}</w:t>
            </w:r>
          </w:p>
          <w:p w14:paraId="1E69FEED" w14:textId="77777777" w:rsidR="00AE1BFF" w:rsidRPr="00AE1BFF" w:rsidRDefault="00AE1BFF">
            <w:pPr>
              <w:pStyle w:val="a3"/>
              <w:numPr>
                <w:ilvl w:val="1"/>
                <w:numId w:val="16"/>
              </w:numPr>
              <w:snapToGrid w:val="0"/>
              <w:ind w:firstLineChars="0"/>
              <w:rPr>
                <w:rFonts w:cs="Times"/>
                <w:sz w:val="20"/>
                <w:szCs w:val="20"/>
              </w:rPr>
            </w:pPr>
            <w:r w:rsidRPr="00AE1BFF">
              <w:rPr>
                <w:rFonts w:cs="Times"/>
                <w:sz w:val="20"/>
                <w:szCs w:val="20"/>
              </w:rPr>
              <w:t>The reporting reuses the event-driven mechanisms from the Rel-16 P-MPR reporting</w:t>
            </w:r>
          </w:p>
          <w:p w14:paraId="636580F1" w14:textId="77777777" w:rsidR="00AE1BFF" w:rsidRPr="00AE1BFF" w:rsidRDefault="00AE1BFF">
            <w:pPr>
              <w:pStyle w:val="a3"/>
              <w:numPr>
                <w:ilvl w:val="0"/>
                <w:numId w:val="16"/>
              </w:numPr>
              <w:snapToGrid w:val="0"/>
              <w:ind w:firstLineChars="0"/>
              <w:rPr>
                <w:rFonts w:cs="Times"/>
                <w:sz w:val="20"/>
                <w:szCs w:val="20"/>
              </w:rPr>
            </w:pPr>
            <w:r w:rsidRPr="00AE1BFF">
              <w:rPr>
                <w:rFonts w:cs="Times"/>
                <w:sz w:val="20"/>
                <w:szCs w:val="20"/>
              </w:rPr>
              <w:t>Opt 2A. {SSBRI(s)/CRI(s) and/or panel indication} + L1-RSRP [L1-SINR] or a modified version that accounts for MPE effect associated with each of the reported SSBRI(s)/CRI(s) and/or panel indication (if configured)</w:t>
            </w:r>
          </w:p>
          <w:p w14:paraId="48109C41" w14:textId="77777777" w:rsidR="00AE1BFF" w:rsidRPr="00AE1BFF" w:rsidRDefault="00AE1BFF">
            <w:pPr>
              <w:pStyle w:val="a3"/>
              <w:numPr>
                <w:ilvl w:val="1"/>
                <w:numId w:val="17"/>
              </w:numPr>
              <w:snapToGrid w:val="0"/>
              <w:ind w:firstLineChars="0"/>
              <w:jc w:val="left"/>
              <w:rPr>
                <w:rFonts w:cs="Times"/>
                <w:sz w:val="20"/>
                <w:szCs w:val="20"/>
              </w:rPr>
            </w:pPr>
            <w:r w:rsidRPr="00AE1BFF">
              <w:rPr>
                <w:rFonts w:cs="Times"/>
                <w:sz w:val="20"/>
                <w:szCs w:val="20"/>
              </w:rPr>
              <w:t>FFS: How panel-level L1-RSRP [L1-SINR] is reported if L1-RSRP [L1-SINR] is associated with panel</w:t>
            </w:r>
          </w:p>
          <w:p w14:paraId="4047495F" w14:textId="77777777" w:rsidR="00AE1BFF" w:rsidRPr="00AE1BFF" w:rsidRDefault="00AE1BFF">
            <w:pPr>
              <w:pStyle w:val="a3"/>
              <w:numPr>
                <w:ilvl w:val="1"/>
                <w:numId w:val="17"/>
              </w:numPr>
              <w:snapToGrid w:val="0"/>
              <w:ind w:firstLineChars="0"/>
              <w:jc w:val="left"/>
              <w:rPr>
                <w:rFonts w:cs="Times"/>
                <w:sz w:val="20"/>
                <w:szCs w:val="20"/>
              </w:rPr>
            </w:pPr>
            <w:r w:rsidRPr="00AE1BFF">
              <w:rPr>
                <w:rFonts w:cs="Times"/>
                <w:sz w:val="20"/>
                <w:szCs w:val="20"/>
              </w:rPr>
              <w:t>FFS: Whether/how to account for MPE effect in L1-RSRP [L1-SINR] report, e.g. by using scaled L1-RSRP [L1-SINR]</w:t>
            </w:r>
          </w:p>
          <w:p w14:paraId="09D6A099" w14:textId="77777777" w:rsidR="00AE1BFF" w:rsidRPr="00AE1BFF" w:rsidRDefault="00AE1BFF">
            <w:pPr>
              <w:pStyle w:val="a3"/>
              <w:numPr>
                <w:ilvl w:val="1"/>
                <w:numId w:val="16"/>
              </w:numPr>
              <w:snapToGrid w:val="0"/>
              <w:ind w:firstLineChars="0"/>
              <w:rPr>
                <w:rFonts w:cs="Times"/>
                <w:sz w:val="20"/>
                <w:szCs w:val="20"/>
              </w:rPr>
            </w:pPr>
            <w:r w:rsidRPr="00AE1BFF">
              <w:rPr>
                <w:rFonts w:cs="Times"/>
                <w:sz w:val="20"/>
                <w:szCs w:val="20"/>
              </w:rPr>
              <w:t>FFS: Whether/how to enhance existing beam reporting format to support Option 2A</w:t>
            </w:r>
          </w:p>
          <w:p w14:paraId="09DBD451" w14:textId="77777777" w:rsidR="00AE1BFF" w:rsidRPr="00AE1BFF" w:rsidRDefault="00AE1BFF">
            <w:pPr>
              <w:pStyle w:val="a3"/>
              <w:numPr>
                <w:ilvl w:val="1"/>
                <w:numId w:val="16"/>
              </w:numPr>
              <w:snapToGrid w:val="0"/>
              <w:ind w:firstLineChars="0"/>
              <w:rPr>
                <w:rFonts w:cs="Times"/>
                <w:sz w:val="20"/>
                <w:szCs w:val="20"/>
              </w:rPr>
            </w:pPr>
            <w:r w:rsidRPr="00AE1BFF">
              <w:rPr>
                <w:rFonts w:cs="Times"/>
                <w:sz w:val="20"/>
                <w:szCs w:val="20"/>
              </w:rPr>
              <w:t>FFS: When multiple SSBRIs/CRIs and their corresponding metrics are reported in the same reporting instance, whether to allow mixture between the SSBRI(s)/CRI(s</w:t>
            </w:r>
            <w:r w:rsidRPr="00AE1BFF">
              <w:rPr>
                <w:rFonts w:cs="Times"/>
                <w:sz w:val="20"/>
                <w:szCs w:val="20"/>
                <w:lang w:eastAsia="zh-TW"/>
              </w:rPr>
              <w:t>)</w:t>
            </w:r>
            <w:r w:rsidRPr="00AE1BFF">
              <w:rPr>
                <w:rFonts w:cs="Times"/>
                <w:sz w:val="20"/>
                <w:szCs w:val="20"/>
              </w:rPr>
              <w:t xml:space="preserve">) intended for MPE mitigation and for DL beam reporting </w:t>
            </w:r>
          </w:p>
          <w:p w14:paraId="516CECE2" w14:textId="77777777" w:rsidR="00AE1BFF" w:rsidRPr="00AE1BFF" w:rsidRDefault="00AE1BFF">
            <w:pPr>
              <w:pStyle w:val="a3"/>
              <w:numPr>
                <w:ilvl w:val="1"/>
                <w:numId w:val="16"/>
              </w:numPr>
              <w:snapToGrid w:val="0"/>
              <w:ind w:firstLineChars="0"/>
              <w:rPr>
                <w:rFonts w:cs="Times"/>
                <w:sz w:val="20"/>
                <w:szCs w:val="20"/>
              </w:rPr>
            </w:pPr>
            <w:r w:rsidRPr="00AE1BFF">
              <w:rPr>
                <w:rFonts w:cs="Times"/>
                <w:sz w:val="20"/>
                <w:szCs w:val="20"/>
              </w:rPr>
              <w:t>FFS: Whether the reporting is UE-initiated (event-driven) and/or NW-initiated</w:t>
            </w:r>
          </w:p>
          <w:p w14:paraId="5AC8828D" w14:textId="77777777" w:rsidR="00AE1BFF" w:rsidRPr="00AE1BFF" w:rsidRDefault="00AE1BFF">
            <w:pPr>
              <w:pStyle w:val="a3"/>
              <w:numPr>
                <w:ilvl w:val="1"/>
                <w:numId w:val="16"/>
              </w:numPr>
              <w:snapToGrid w:val="0"/>
              <w:ind w:firstLineChars="0"/>
              <w:rPr>
                <w:rFonts w:cs="Times"/>
                <w:sz w:val="20"/>
                <w:szCs w:val="20"/>
              </w:rPr>
            </w:pPr>
            <w:r w:rsidRPr="00AE1BFF">
              <w:rPr>
                <w:rFonts w:cs="Times"/>
                <w:sz w:val="20"/>
                <w:szCs w:val="20"/>
              </w:rPr>
              <w:t>FFS: If Opt2A is selected and there is no consensus on a modified L1-RSRP definition, at least the Rel-15 L1-RSRP definition is reused and virtual PHR may be added</w:t>
            </w:r>
          </w:p>
          <w:p w14:paraId="59453D01" w14:textId="77777777" w:rsidR="00AE1BFF" w:rsidRPr="00AE1BFF" w:rsidRDefault="00AE1BFF">
            <w:pPr>
              <w:snapToGrid w:val="0"/>
              <w:rPr>
                <w:rFonts w:cs="Times"/>
                <w:sz w:val="20"/>
                <w:szCs w:val="20"/>
                <w:lang w:eastAsia="ko-KR"/>
              </w:rPr>
            </w:pPr>
            <w:r w:rsidRPr="00AE1BFF">
              <w:rPr>
                <w:rFonts w:cs="Times"/>
                <w:sz w:val="20"/>
                <w:szCs w:val="20"/>
              </w:rPr>
              <w:t xml:space="preserve">FFS: If gNB acknowledges MPE report from UE for UE-initiated (event-driven) reporting </w:t>
            </w:r>
          </w:p>
          <w:p w14:paraId="22B52D80" w14:textId="50422AC6" w:rsidR="008A4668" w:rsidRPr="00AE1BFF" w:rsidRDefault="00AE1BFF">
            <w:pPr>
              <w:widowControl w:val="0"/>
              <w:numPr>
                <w:ilvl w:val="1"/>
                <w:numId w:val="4"/>
              </w:numPr>
              <w:snapToGrid w:val="0"/>
              <w:jc w:val="left"/>
              <w:rPr>
                <w:rFonts w:eastAsia="Batang" w:cs="Times New Roman"/>
                <w:kern w:val="2"/>
                <w:sz w:val="20"/>
                <w:szCs w:val="20"/>
                <w:lang w:val="en-GB" w:eastAsia="x-none"/>
              </w:rPr>
            </w:pPr>
            <w:r w:rsidRPr="00AE1BFF">
              <w:rPr>
                <w:rFonts w:cs="Times"/>
                <w:sz w:val="20"/>
                <w:szCs w:val="20"/>
              </w:rPr>
              <w:t>FFS: If differential report is supported when multiple UL beams are reported in the same report</w:t>
            </w:r>
          </w:p>
        </w:tc>
      </w:tr>
    </w:tbl>
    <w:p w14:paraId="4B45EA44" w14:textId="5252FD76" w:rsidR="003D18D1" w:rsidRDefault="00D2138B" w:rsidP="003D18D1">
      <w:pPr>
        <w:spacing w:beforeLines="50" w:before="156"/>
      </w:pPr>
      <w:r>
        <w:lastRenderedPageBreak/>
        <w:t>It</w:t>
      </w:r>
      <w:r w:rsidR="003D18D1">
        <w:t xml:space="preserve"> was agreed to </w:t>
      </w:r>
      <w:r w:rsidR="005A5F3D">
        <w:t>down-select</w:t>
      </w:r>
      <w:r w:rsidR="003D18D1">
        <w:t xml:space="preserve"> at least one </w:t>
      </w:r>
      <w:r w:rsidR="005A5F3D">
        <w:t>or combine</w:t>
      </w:r>
      <w:r w:rsidR="003D18D1">
        <w:t xml:space="preserve"> solutions on MPE mitigation. One is to extend the P-PMR reporting based on R16 framework (e.g., per panel or per beam) with/without virtual PHR (</w:t>
      </w:r>
      <w:r w:rsidR="005A5F3D">
        <w:t>Opt</w:t>
      </w:r>
      <w:r w:rsidR="0067679D">
        <w:t>ion</w:t>
      </w:r>
      <w:r w:rsidR="005A5F3D">
        <w:t xml:space="preserve"> 1A or </w:t>
      </w:r>
      <w:r w:rsidR="003D18D1">
        <w:t xml:space="preserve">1D), and the other is to implicitly/explicitly report alternative </w:t>
      </w:r>
      <w:r w:rsidR="005A5F3D">
        <w:t>UE panel</w:t>
      </w:r>
      <w:r>
        <w:t xml:space="preserve">/beam </w:t>
      </w:r>
      <w:r w:rsidR="003D18D1">
        <w:t xml:space="preserve">for UL transmission via </w:t>
      </w:r>
      <w:r>
        <w:t>S</w:t>
      </w:r>
      <w:r w:rsidR="003D18D1">
        <w:t>SBRI/CRI</w:t>
      </w:r>
      <w:r w:rsidR="00C16514">
        <w:t xml:space="preserve"> and </w:t>
      </w:r>
      <w:r w:rsidR="001B6ABA">
        <w:t xml:space="preserve">(modified) </w:t>
      </w:r>
      <w:r w:rsidR="00C16514">
        <w:t>L1-RSRP/L1-SINR (Opt. 2A)</w:t>
      </w:r>
      <w:r w:rsidR="003D18D1">
        <w:t xml:space="preserve">. </w:t>
      </w:r>
    </w:p>
    <w:p w14:paraId="7C3B48DF" w14:textId="77777777" w:rsidR="00D2138B" w:rsidRDefault="00846413" w:rsidP="003D18D1">
      <w:pPr>
        <w:spacing w:beforeLines="50" w:before="156"/>
      </w:pPr>
      <w:r>
        <w:t xml:space="preserve">In our view, </w:t>
      </w:r>
      <w:r w:rsidR="0067679D">
        <w:t xml:space="preserve">Option </w:t>
      </w:r>
      <w:r w:rsidR="005A5F3D">
        <w:t>1D</w:t>
      </w:r>
      <w:r w:rsidR="003D18D1">
        <w:t xml:space="preserve"> is a natural extension </w:t>
      </w:r>
      <w:r>
        <w:t xml:space="preserve">of </w:t>
      </w:r>
      <w:r w:rsidR="003D18D1">
        <w:t xml:space="preserve">R16 framework, which maximizes utilization of previous design and specification support, and hence is relatively more preferable to us. </w:t>
      </w:r>
      <w:r w:rsidR="00C07A0C">
        <w:t>In our understanding,</w:t>
      </w:r>
      <w:r>
        <w:t xml:space="preserve"> </w:t>
      </w:r>
      <w:r w:rsidR="00C07A0C">
        <w:t>with regular periodic DL beam/panel reporting, plus U</w:t>
      </w:r>
      <w:r>
        <w:t>E</w:t>
      </w:r>
      <w:r w:rsidR="00C07A0C">
        <w:t xml:space="preserve">-initiated per-panel/beam P-MPR reporting, gNB would have been provided with enough information for </w:t>
      </w:r>
      <w:r>
        <w:t xml:space="preserve">fast </w:t>
      </w:r>
      <w:r w:rsidR="00C07A0C">
        <w:t>MPE mitigation. As the P-MPR reporting is UE-initiated, there seems no strong motivation to merge them into one reporting configuration</w:t>
      </w:r>
      <w:r>
        <w:t xml:space="preserve"> (i.e., unnecessary DL reporting overhead when there is no MPE event)</w:t>
      </w:r>
      <w:r w:rsidR="00C07A0C">
        <w:t>.</w:t>
      </w:r>
    </w:p>
    <w:p w14:paraId="390911DF" w14:textId="49FC0139" w:rsidR="005A5F3D" w:rsidRDefault="00D2138B" w:rsidP="003D18D1">
      <w:pPr>
        <w:spacing w:beforeLines="50" w:before="156"/>
      </w:pPr>
      <w:r>
        <w:t xml:space="preserve">In addition, </w:t>
      </w:r>
      <w:r w:rsidR="00145D48" w:rsidRPr="00145D48">
        <w:t>RAN4 has better expertise on how to account for MPE effects, i.e. R16 P-MPR-based reporting was introduced by RAN4</w:t>
      </w:r>
      <w:r w:rsidR="00145D48">
        <w:t>.</w:t>
      </w:r>
      <w:r w:rsidR="00145D48" w:rsidRPr="00145D48">
        <w:t xml:space="preserve"> </w:t>
      </w:r>
      <w:r>
        <w:t xml:space="preserve">Regarding </w:t>
      </w:r>
      <w:r w:rsidR="00C07A0C">
        <w:t>whether to include virtual PHR or modified L1-RSRP/SINR</w:t>
      </w:r>
      <w:r w:rsidR="00846413">
        <w:t xml:space="preserve"> for MPE mitigation purpose</w:t>
      </w:r>
      <w:r w:rsidR="00C07A0C">
        <w:t xml:space="preserve">, we believe it is better to </w:t>
      </w:r>
      <w:r w:rsidR="00846413">
        <w:t xml:space="preserve">first </w:t>
      </w:r>
      <w:r w:rsidR="00C07A0C">
        <w:t xml:space="preserve">discuss </w:t>
      </w:r>
      <w:r w:rsidR="00D37326">
        <w:t xml:space="preserve">the feasibility </w:t>
      </w:r>
      <w:r w:rsidR="00C07A0C">
        <w:t xml:space="preserve">in RAN4, as </w:t>
      </w:r>
      <w:r w:rsidR="00846413">
        <w:t xml:space="preserve">RAN1 may not </w:t>
      </w:r>
      <w:r w:rsidR="00C07A0C">
        <w:t xml:space="preserve">have </w:t>
      </w:r>
      <w:r w:rsidR="00846413">
        <w:t xml:space="preserve">the required </w:t>
      </w:r>
      <w:r w:rsidR="00C07A0C">
        <w:t>expertise</w:t>
      </w:r>
      <w:r>
        <w:t xml:space="preserve"> </w:t>
      </w:r>
      <w:r w:rsidR="00D37326">
        <w:t xml:space="preserve">on how to modify L1-RSRP/SINR for MPE purpose. </w:t>
      </w:r>
    </w:p>
    <w:p w14:paraId="4104B676" w14:textId="0799396B" w:rsidR="00055032" w:rsidRDefault="004439B2" w:rsidP="003D18D1">
      <w:pPr>
        <w:spacing w:beforeLines="50" w:before="156"/>
      </w:pPr>
      <w:r>
        <w:rPr>
          <w:b/>
          <w:i/>
        </w:rPr>
        <w:t>Proposal 6-</w:t>
      </w:r>
      <w:r w:rsidR="00287FF3">
        <w:rPr>
          <w:b/>
          <w:i/>
        </w:rPr>
        <w:t>1</w:t>
      </w:r>
      <w:r w:rsidR="00055032">
        <w:rPr>
          <w:b/>
          <w:i/>
        </w:rPr>
        <w:t xml:space="preserve">: Support </w:t>
      </w:r>
      <w:r w:rsidR="0067679D" w:rsidRPr="0067679D">
        <w:rPr>
          <w:b/>
          <w:i/>
        </w:rPr>
        <w:t xml:space="preserve">Option </w:t>
      </w:r>
      <w:r w:rsidR="00055032">
        <w:rPr>
          <w:b/>
          <w:i/>
        </w:rPr>
        <w:t>1D</w:t>
      </w:r>
      <w:r w:rsidR="00B71FD4">
        <w:rPr>
          <w:b/>
          <w:i/>
        </w:rPr>
        <w:t>, i.e., per-panel P-MPR reporting for MPE mitigation</w:t>
      </w:r>
      <w:r w:rsidR="001E0CD6" w:rsidRPr="001E0CD6">
        <w:rPr>
          <w:b/>
          <w:i/>
          <w:iCs/>
        </w:rPr>
        <w:t>, or send three alternatives to RAN4 for down-selection</w:t>
      </w:r>
      <w:r w:rsidR="00443D78">
        <w:rPr>
          <w:b/>
          <w:i/>
        </w:rPr>
        <w:t>.</w:t>
      </w:r>
    </w:p>
    <w:p w14:paraId="7E0300F7" w14:textId="017E47DB" w:rsidR="0063727D" w:rsidRPr="00287FF3" w:rsidRDefault="0067679D" w:rsidP="00287FF3">
      <w:pPr>
        <w:spacing w:beforeLines="50" w:before="156"/>
        <w:rPr>
          <w:rFonts w:eastAsiaTheme="minorEastAsia"/>
          <w:b/>
          <w:i/>
        </w:rPr>
      </w:pPr>
      <w:r w:rsidRPr="0067679D">
        <w:t xml:space="preserve">Option </w:t>
      </w:r>
      <w:r>
        <w:t>1D</w:t>
      </w:r>
      <w:r w:rsidR="003D18D1">
        <w:t xml:space="preserve"> may </w:t>
      </w:r>
      <w:r>
        <w:t xml:space="preserve">still </w:t>
      </w:r>
      <w:r w:rsidR="003D18D1">
        <w:t xml:space="preserve">not work well in standalone FR2 deployment where MPE event may lead to reporting failure. </w:t>
      </w:r>
      <w:r>
        <w:t>In this case</w:t>
      </w:r>
      <w:r w:rsidR="003D18D1">
        <w:t xml:space="preserve">, it would be more interesting to investigate the possibility of linking SRS transmissions with UE panels, from which the gNB would be able to detect the dropping of received signal strength (implicitly reflecting MPE event at UE) and indicate UE to switch panel in a faster manner. </w:t>
      </w:r>
      <w:r w:rsidR="003D18D1">
        <w:br/>
      </w:r>
      <w:r w:rsidR="004439B2">
        <w:rPr>
          <w:b/>
          <w:i/>
        </w:rPr>
        <w:t>Proposal 6-</w:t>
      </w:r>
      <w:r w:rsidR="00287FF3">
        <w:rPr>
          <w:b/>
          <w:i/>
        </w:rPr>
        <w:t>2</w:t>
      </w:r>
      <w:r w:rsidR="003D18D1">
        <w:rPr>
          <w:b/>
          <w:i/>
        </w:rPr>
        <w:t xml:space="preserve">: Support mapping SRS </w:t>
      </w:r>
      <w:r w:rsidR="005913A0">
        <w:rPr>
          <w:b/>
          <w:i/>
        </w:rPr>
        <w:t xml:space="preserve">resources </w:t>
      </w:r>
      <w:r w:rsidR="003D18D1">
        <w:rPr>
          <w:b/>
          <w:i/>
        </w:rPr>
        <w:t>with UE panels to enable gNB-controlled fast UL panel selection for MPE mitigation.</w:t>
      </w:r>
    </w:p>
    <w:p w14:paraId="33EA106F" w14:textId="77777777" w:rsidR="00FA219D" w:rsidRPr="00AF735D" w:rsidRDefault="00FA219D" w:rsidP="00F94A95">
      <w:pPr>
        <w:rPr>
          <w:rFonts w:eastAsiaTheme="minorEastAsia" w:cs="Times New Roman"/>
        </w:rPr>
      </w:pPr>
    </w:p>
    <w:p w14:paraId="654D24D0" w14:textId="77777777" w:rsidR="00CF100E" w:rsidRDefault="00CF100E" w:rsidP="00CF100E">
      <w:pPr>
        <w:pStyle w:val="1"/>
        <w:rPr>
          <w:szCs w:val="20"/>
        </w:rPr>
      </w:pPr>
      <w:r w:rsidRPr="0067142E">
        <w:rPr>
          <w:szCs w:val="20"/>
        </w:rPr>
        <w:lastRenderedPageBreak/>
        <w:t xml:space="preserve">Advanced beam refinement/tracking </w:t>
      </w:r>
    </w:p>
    <w:p w14:paraId="5C5951F3" w14:textId="6615AB07" w:rsidR="00674ABB" w:rsidRPr="00674ABB" w:rsidRDefault="00674ABB" w:rsidP="00674ABB">
      <w:pPr>
        <w:autoSpaceDE w:val="0"/>
        <w:autoSpaceDN w:val="0"/>
        <w:adjustRightInd w:val="0"/>
        <w:snapToGrid w:val="0"/>
        <w:spacing w:after="120"/>
        <w:rPr>
          <w:rFonts w:cs="Times New Roman"/>
          <w:szCs w:val="22"/>
        </w:rPr>
      </w:pPr>
      <w:r w:rsidRPr="00674ABB">
        <w:rPr>
          <w:rFonts w:cs="Times New Roman" w:hint="eastAsia"/>
          <w:szCs w:val="22"/>
        </w:rPr>
        <w:t>R</w:t>
      </w:r>
      <w:r w:rsidRPr="00674ABB">
        <w:rPr>
          <w:rFonts w:cs="Times New Roman"/>
          <w:szCs w:val="22"/>
        </w:rPr>
        <w:t xml:space="preserve">egarding </w:t>
      </w:r>
      <w:r w:rsidR="008A4668">
        <w:rPr>
          <w:rFonts w:cs="Times New Roman"/>
          <w:szCs w:val="22"/>
        </w:rPr>
        <w:t>a</w:t>
      </w:r>
      <w:r w:rsidR="008A4668" w:rsidRPr="008A4668">
        <w:rPr>
          <w:rFonts w:cs="Times New Roman"/>
          <w:szCs w:val="22"/>
        </w:rPr>
        <w:t>dvanced beam refinement/tracking</w:t>
      </w:r>
      <w:r w:rsidRPr="00674ABB">
        <w:rPr>
          <w:rFonts w:cs="Times New Roman"/>
          <w:szCs w:val="22"/>
        </w:rPr>
        <w:t>, the following was agreed in RAN1#10</w:t>
      </w:r>
      <w:r w:rsidR="00057EAF">
        <w:rPr>
          <w:rFonts w:cs="Times New Roman"/>
          <w:szCs w:val="22"/>
        </w:rPr>
        <w:t>5</w:t>
      </w:r>
      <w:r w:rsidRPr="00674ABB">
        <w:rPr>
          <w:rFonts w:cs="Times New Roman"/>
          <w:szCs w:val="22"/>
        </w:rPr>
        <w:t>-e:</w:t>
      </w:r>
    </w:p>
    <w:tbl>
      <w:tblPr>
        <w:tblStyle w:val="a6"/>
        <w:tblW w:w="0" w:type="auto"/>
        <w:tblLook w:val="04A0" w:firstRow="1" w:lastRow="0" w:firstColumn="1" w:lastColumn="0" w:noHBand="0" w:noVBand="1"/>
      </w:tblPr>
      <w:tblGrid>
        <w:gridCol w:w="8296"/>
      </w:tblGrid>
      <w:tr w:rsidR="00674ABB" w:rsidRPr="004D665B" w14:paraId="5D11BCF1" w14:textId="77777777" w:rsidTr="00674ABB">
        <w:tc>
          <w:tcPr>
            <w:tcW w:w="8296" w:type="dxa"/>
          </w:tcPr>
          <w:p w14:paraId="6B257FDF" w14:textId="77777777" w:rsidR="00057EAF" w:rsidRPr="006A032A" w:rsidRDefault="00057EAF" w:rsidP="00A9232A">
            <w:pPr>
              <w:snapToGrid w:val="0"/>
              <w:rPr>
                <w:rFonts w:cs="Times"/>
                <w:bCs/>
                <w:szCs w:val="20"/>
                <w:highlight w:val="green"/>
              </w:rPr>
            </w:pPr>
            <w:r w:rsidRPr="006A032A">
              <w:rPr>
                <w:rFonts w:cs="Times"/>
                <w:bCs/>
                <w:szCs w:val="20"/>
                <w:highlight w:val="green"/>
              </w:rPr>
              <w:t>Agreement</w:t>
            </w:r>
          </w:p>
          <w:p w14:paraId="18A7902A" w14:textId="77777777" w:rsidR="00057EAF" w:rsidRPr="00C47ECA" w:rsidRDefault="00057EAF">
            <w:pPr>
              <w:snapToGrid w:val="0"/>
              <w:rPr>
                <w:rFonts w:cs="Times"/>
                <w:szCs w:val="20"/>
              </w:rPr>
            </w:pPr>
            <w:r w:rsidRPr="00C47ECA">
              <w:rPr>
                <w:rFonts w:cs="Times"/>
                <w:szCs w:val="20"/>
              </w:rPr>
              <w:t>On Rel.17 enhancements to facilitate advanced beam refinement/tracking, focus study (including down-selection) and, if needed, specification effort on the following options:</w:t>
            </w:r>
          </w:p>
          <w:p w14:paraId="6F52625D" w14:textId="77777777" w:rsidR="00057EAF" w:rsidRPr="00C47ECA" w:rsidRDefault="00057EAF">
            <w:pPr>
              <w:pStyle w:val="a3"/>
              <w:numPr>
                <w:ilvl w:val="0"/>
                <w:numId w:val="21"/>
              </w:numPr>
              <w:snapToGrid w:val="0"/>
              <w:ind w:firstLineChars="0"/>
              <w:rPr>
                <w:rFonts w:eastAsia="Malgun Gothic" w:cs="Times"/>
              </w:rPr>
            </w:pPr>
            <w:r w:rsidRPr="00C47ECA">
              <w:rPr>
                <w:rFonts w:cs="Times"/>
              </w:rPr>
              <w:t xml:space="preserve">Group 1: </w:t>
            </w:r>
            <w:r w:rsidRPr="00C47ECA">
              <w:rPr>
                <w:rFonts w:cs="Times"/>
                <w:szCs w:val="18"/>
              </w:rPr>
              <w:t>Aim for at most one solution for Group 1 in Rel-17 to address issue 6</w:t>
            </w:r>
          </w:p>
          <w:p w14:paraId="46947216" w14:textId="77777777" w:rsidR="00057EAF" w:rsidRPr="00C47ECA" w:rsidRDefault="00057EAF">
            <w:pPr>
              <w:pStyle w:val="a3"/>
              <w:numPr>
                <w:ilvl w:val="1"/>
                <w:numId w:val="21"/>
              </w:numPr>
              <w:snapToGrid w:val="0"/>
              <w:ind w:firstLineChars="0"/>
              <w:rPr>
                <w:rFonts w:eastAsia="Malgun Gothic" w:cs="Times"/>
              </w:rPr>
            </w:pPr>
            <w:r w:rsidRPr="00C47ECA">
              <w:rPr>
                <w:rFonts w:cs="Times"/>
              </w:rPr>
              <w:t>Opt 1-A. UE-initiated beam selection/activation based on beam measurement and/or reporting (without beam indication or activation from NW)</w:t>
            </w:r>
          </w:p>
          <w:p w14:paraId="47E989D6" w14:textId="77777777" w:rsidR="00057EAF" w:rsidRPr="00C47ECA" w:rsidRDefault="00057EAF">
            <w:pPr>
              <w:pStyle w:val="a3"/>
              <w:numPr>
                <w:ilvl w:val="1"/>
                <w:numId w:val="21"/>
              </w:numPr>
              <w:snapToGrid w:val="0"/>
              <w:ind w:firstLineChars="0"/>
              <w:rPr>
                <w:rFonts w:eastAsia="Malgun Gothic" w:cs="Times"/>
              </w:rPr>
            </w:pPr>
            <w:r w:rsidRPr="00C47ECA">
              <w:rPr>
                <w:rFonts w:cs="Times"/>
              </w:rPr>
              <w:t>Opt 1-B. Beam measurement/reporting/refinement/selection triggered by beam indication (without CSI request)</w:t>
            </w:r>
          </w:p>
          <w:p w14:paraId="6559BA65" w14:textId="77777777" w:rsidR="00057EAF" w:rsidRPr="00C47ECA" w:rsidRDefault="00057EAF">
            <w:pPr>
              <w:pStyle w:val="a3"/>
              <w:numPr>
                <w:ilvl w:val="1"/>
                <w:numId w:val="21"/>
              </w:numPr>
              <w:snapToGrid w:val="0"/>
              <w:ind w:firstLineChars="0"/>
              <w:rPr>
                <w:rFonts w:eastAsia="Malgun Gothic" w:cs="Times"/>
              </w:rPr>
            </w:pPr>
            <w:r w:rsidRPr="00C47ECA">
              <w:rPr>
                <w:rFonts w:cs="Times"/>
              </w:rPr>
              <w:t>Opt 1-C. Aperiodic beam measurement/reporting based on multiple resource sets for reducing beam measurement latency</w:t>
            </w:r>
          </w:p>
          <w:p w14:paraId="3E50A4DC" w14:textId="77777777" w:rsidR="00057EAF" w:rsidRPr="00C47ECA" w:rsidRDefault="00057EAF">
            <w:pPr>
              <w:pStyle w:val="a3"/>
              <w:numPr>
                <w:ilvl w:val="0"/>
                <w:numId w:val="21"/>
              </w:numPr>
              <w:snapToGrid w:val="0"/>
              <w:ind w:firstLineChars="0"/>
              <w:rPr>
                <w:rFonts w:cs="Times"/>
              </w:rPr>
            </w:pPr>
            <w:r w:rsidRPr="00C47ECA">
              <w:rPr>
                <w:rFonts w:cs="Times"/>
              </w:rPr>
              <w:t xml:space="preserve">Group 2: </w:t>
            </w:r>
            <w:r w:rsidRPr="00C47ECA">
              <w:rPr>
                <w:rFonts w:cs="Times"/>
                <w:szCs w:val="18"/>
              </w:rPr>
              <w:t>Aim for at most one solution for Group 2 in Rel-17 to address issue 6</w:t>
            </w:r>
          </w:p>
          <w:p w14:paraId="36D1628A" w14:textId="77777777" w:rsidR="00057EAF" w:rsidRPr="00C47ECA" w:rsidRDefault="00057EAF">
            <w:pPr>
              <w:pStyle w:val="a3"/>
              <w:numPr>
                <w:ilvl w:val="1"/>
                <w:numId w:val="21"/>
              </w:numPr>
              <w:snapToGrid w:val="0"/>
              <w:ind w:firstLineChars="0"/>
              <w:rPr>
                <w:rFonts w:cs="Times"/>
              </w:rPr>
            </w:pPr>
            <w:r w:rsidRPr="00C47ECA">
              <w:rPr>
                <w:rFonts w:cs="Times"/>
              </w:rPr>
              <w:t>Opt 2-A: Latency reduction for MAC CE based TCI state activation, or frequency/time/beam tracking</w:t>
            </w:r>
          </w:p>
          <w:p w14:paraId="19BE2113" w14:textId="77777777" w:rsidR="00057EAF" w:rsidRPr="00C47ECA" w:rsidRDefault="00057EAF">
            <w:pPr>
              <w:pStyle w:val="a3"/>
              <w:numPr>
                <w:ilvl w:val="1"/>
                <w:numId w:val="21"/>
              </w:numPr>
              <w:snapToGrid w:val="0"/>
              <w:ind w:firstLineChars="0"/>
              <w:rPr>
                <w:rFonts w:cs="Times"/>
              </w:rPr>
            </w:pPr>
            <w:r w:rsidRPr="00C47ECA">
              <w:rPr>
                <w:rFonts w:cs="Times"/>
              </w:rPr>
              <w:t>Opt 2-B: Latency reduction for MAC CE based PL-RS activation</w:t>
            </w:r>
          </w:p>
          <w:p w14:paraId="5EC23FAD" w14:textId="6497405F" w:rsidR="00674ABB" w:rsidRPr="007C3235" w:rsidRDefault="00057EAF" w:rsidP="007C3235">
            <w:pPr>
              <w:pStyle w:val="a3"/>
              <w:numPr>
                <w:ilvl w:val="1"/>
                <w:numId w:val="21"/>
              </w:numPr>
              <w:snapToGrid w:val="0"/>
              <w:ind w:firstLineChars="0"/>
              <w:rPr>
                <w:rFonts w:cs="Times New Roman"/>
                <w:sz w:val="20"/>
                <w:szCs w:val="20"/>
                <w:lang w:eastAsia="en-US"/>
              </w:rPr>
            </w:pPr>
            <w:r w:rsidRPr="00C47ECA">
              <w:rPr>
                <w:rFonts w:cs="Times"/>
              </w:rPr>
              <w:t>Opt 2-C: One-shot timing update for TCI state update</w:t>
            </w:r>
          </w:p>
        </w:tc>
      </w:tr>
    </w:tbl>
    <w:p w14:paraId="43DF593D" w14:textId="77777777" w:rsidR="00964050" w:rsidRDefault="00964050" w:rsidP="00AC2719">
      <w:pPr>
        <w:rPr>
          <w:rFonts w:eastAsiaTheme="minorEastAsia"/>
        </w:rPr>
      </w:pPr>
    </w:p>
    <w:p w14:paraId="55633902" w14:textId="5719133E" w:rsidR="00C3201F" w:rsidRDefault="004064F4" w:rsidP="007C3235">
      <w:pPr>
        <w:spacing w:after="120"/>
        <w:rPr>
          <w:rFonts w:eastAsiaTheme="minorEastAsia"/>
        </w:rPr>
      </w:pPr>
      <w:r>
        <w:rPr>
          <w:rFonts w:eastAsiaTheme="minorEastAsia" w:hint="eastAsia"/>
        </w:rPr>
        <w:t>T</w:t>
      </w:r>
      <w:r>
        <w:rPr>
          <w:rFonts w:eastAsiaTheme="minorEastAsia"/>
        </w:rPr>
        <w:t xml:space="preserve">here are three options </w:t>
      </w:r>
      <w:r w:rsidR="006C69F8">
        <w:rPr>
          <w:rFonts w:eastAsiaTheme="minorEastAsia"/>
        </w:rPr>
        <w:t xml:space="preserve">in Group </w:t>
      </w:r>
      <w:r>
        <w:rPr>
          <w:rFonts w:eastAsiaTheme="minorEastAsia"/>
        </w:rPr>
        <w:t xml:space="preserve">1 </w:t>
      </w:r>
      <w:r w:rsidR="00716485">
        <w:rPr>
          <w:rFonts w:eastAsiaTheme="minorEastAsia"/>
        </w:rPr>
        <w:t>to be down selected</w:t>
      </w:r>
      <w:r>
        <w:rPr>
          <w:rFonts w:eastAsiaTheme="minorEastAsia"/>
        </w:rPr>
        <w:t xml:space="preserve">. For </w:t>
      </w:r>
      <w:r w:rsidR="006C69F8">
        <w:rPr>
          <w:rFonts w:eastAsiaTheme="minorEastAsia"/>
        </w:rPr>
        <w:t xml:space="preserve">Option </w:t>
      </w:r>
      <w:r>
        <w:rPr>
          <w:rFonts w:eastAsiaTheme="minorEastAsia"/>
        </w:rPr>
        <w:t xml:space="preserve">1-A, it is intended to reduce the delay for </w:t>
      </w:r>
      <w:r w:rsidR="00C3201F">
        <w:rPr>
          <w:rFonts w:eastAsiaTheme="minorEastAsia"/>
        </w:rPr>
        <w:t>beam selection</w:t>
      </w:r>
      <w:r>
        <w:rPr>
          <w:rFonts w:eastAsiaTheme="minorEastAsia"/>
        </w:rPr>
        <w:t xml:space="preserve">, as the UE does not need to wait beam indication from NW after reporting. For </w:t>
      </w:r>
      <w:r w:rsidR="006C69F8">
        <w:rPr>
          <w:rFonts w:eastAsiaTheme="minorEastAsia"/>
        </w:rPr>
        <w:t>O</w:t>
      </w:r>
      <w:r>
        <w:rPr>
          <w:rFonts w:eastAsiaTheme="minorEastAsia"/>
        </w:rPr>
        <w:t xml:space="preserve">ption 1-B, it is intended to reduce the latency on </w:t>
      </w:r>
      <w:r w:rsidR="006C69F8">
        <w:rPr>
          <w:rFonts w:eastAsiaTheme="minorEastAsia"/>
        </w:rPr>
        <w:t>beam/</w:t>
      </w:r>
      <w:r>
        <w:rPr>
          <w:rFonts w:eastAsiaTheme="minorEastAsia"/>
        </w:rPr>
        <w:t>CSI acquisition</w:t>
      </w:r>
      <w:r w:rsidR="00C3201F">
        <w:rPr>
          <w:rFonts w:eastAsiaTheme="minorEastAsia"/>
        </w:rPr>
        <w:t>, with which t</w:t>
      </w:r>
      <w:r>
        <w:rPr>
          <w:rFonts w:eastAsiaTheme="minorEastAsia"/>
        </w:rPr>
        <w:t>he NW does not need to wait for</w:t>
      </w:r>
      <w:r w:rsidR="00540357">
        <w:rPr>
          <w:rFonts w:eastAsiaTheme="minorEastAsia"/>
        </w:rPr>
        <w:t xml:space="preserve"> the</w:t>
      </w:r>
      <w:r>
        <w:rPr>
          <w:rFonts w:eastAsiaTheme="minorEastAsia"/>
        </w:rPr>
        <w:t xml:space="preserve"> new</w:t>
      </w:r>
      <w:r w:rsidR="008722F4">
        <w:rPr>
          <w:rFonts w:eastAsiaTheme="minorEastAsia"/>
        </w:rPr>
        <w:t>ly</w:t>
      </w:r>
      <w:r>
        <w:rPr>
          <w:rFonts w:eastAsiaTheme="minorEastAsia"/>
        </w:rPr>
        <w:t xml:space="preserve"> indicated </w:t>
      </w:r>
      <w:r w:rsidR="00540357">
        <w:rPr>
          <w:rFonts w:eastAsiaTheme="minorEastAsia"/>
        </w:rPr>
        <w:t xml:space="preserve">TCI to </w:t>
      </w:r>
      <w:r w:rsidR="008722F4">
        <w:rPr>
          <w:rFonts w:eastAsiaTheme="minorEastAsia"/>
        </w:rPr>
        <w:t xml:space="preserve">become </w:t>
      </w:r>
      <w:r>
        <w:rPr>
          <w:rFonts w:eastAsiaTheme="minorEastAsia"/>
        </w:rPr>
        <w:t xml:space="preserve">valid and then sending </w:t>
      </w:r>
      <w:r w:rsidR="00C3201F">
        <w:rPr>
          <w:rFonts w:eastAsiaTheme="minorEastAsia"/>
        </w:rPr>
        <w:t>in beam/</w:t>
      </w:r>
      <w:r>
        <w:rPr>
          <w:rFonts w:eastAsiaTheme="minorEastAsia"/>
        </w:rPr>
        <w:t xml:space="preserve">CSI request. </w:t>
      </w:r>
      <w:r w:rsidR="00716485">
        <w:rPr>
          <w:rFonts w:eastAsiaTheme="minorEastAsia"/>
        </w:rPr>
        <w:t xml:space="preserve">For </w:t>
      </w:r>
      <w:r w:rsidR="006C69F8">
        <w:rPr>
          <w:rFonts w:eastAsiaTheme="minorEastAsia"/>
        </w:rPr>
        <w:t xml:space="preserve">Option </w:t>
      </w:r>
      <w:r w:rsidR="00716485">
        <w:rPr>
          <w:rFonts w:eastAsiaTheme="minorEastAsia"/>
        </w:rPr>
        <w:t>1-C, more than one resource set</w:t>
      </w:r>
      <w:r w:rsidR="00C3201F">
        <w:rPr>
          <w:rFonts w:eastAsiaTheme="minorEastAsia"/>
        </w:rPr>
        <w:t>s</w:t>
      </w:r>
      <w:r w:rsidR="00716485">
        <w:rPr>
          <w:rFonts w:eastAsiaTheme="minorEastAsia"/>
        </w:rPr>
        <w:t xml:space="preserve"> can be triggered </w:t>
      </w:r>
      <w:r w:rsidR="00C3201F">
        <w:rPr>
          <w:rFonts w:eastAsiaTheme="minorEastAsia"/>
        </w:rPr>
        <w:t xml:space="preserve">aperiodically </w:t>
      </w:r>
      <w:r w:rsidR="00716485">
        <w:rPr>
          <w:rFonts w:eastAsiaTheme="minorEastAsia"/>
        </w:rPr>
        <w:t xml:space="preserve">which may reduce the latency and brings more flexibility. </w:t>
      </w:r>
      <w:r w:rsidR="00C3201F">
        <w:rPr>
          <w:rFonts w:eastAsiaTheme="minorEastAsia"/>
        </w:rPr>
        <w:t>It appears the</w:t>
      </w:r>
      <w:r w:rsidR="00716485">
        <w:rPr>
          <w:rFonts w:eastAsiaTheme="minorEastAsia"/>
        </w:rPr>
        <w:t xml:space="preserve"> three options </w:t>
      </w:r>
      <w:r w:rsidR="00C3201F">
        <w:rPr>
          <w:rFonts w:eastAsiaTheme="minorEastAsia"/>
        </w:rPr>
        <w:t xml:space="preserve">in Group 1 are </w:t>
      </w:r>
      <w:r w:rsidR="00716485">
        <w:rPr>
          <w:rFonts w:eastAsiaTheme="minorEastAsia"/>
        </w:rPr>
        <w:t>target</w:t>
      </w:r>
      <w:r w:rsidR="00C3201F">
        <w:rPr>
          <w:rFonts w:eastAsiaTheme="minorEastAsia"/>
        </w:rPr>
        <w:t>ing</w:t>
      </w:r>
      <w:r w:rsidR="00716485">
        <w:rPr>
          <w:rFonts w:eastAsiaTheme="minorEastAsia"/>
        </w:rPr>
        <w:t xml:space="preserve"> </w:t>
      </w:r>
      <w:r w:rsidR="00C3201F">
        <w:rPr>
          <w:rFonts w:eastAsiaTheme="minorEastAsia"/>
        </w:rPr>
        <w:t>at</w:t>
      </w:r>
      <w:r w:rsidR="00716485">
        <w:rPr>
          <w:rFonts w:eastAsiaTheme="minorEastAsia"/>
        </w:rPr>
        <w:t xml:space="preserve"> </w:t>
      </w:r>
      <w:r w:rsidR="00C3201F">
        <w:rPr>
          <w:rFonts w:eastAsiaTheme="minorEastAsia"/>
        </w:rPr>
        <w:t xml:space="preserve">reducing </w:t>
      </w:r>
      <w:r w:rsidR="00716485">
        <w:rPr>
          <w:rFonts w:eastAsiaTheme="minorEastAsia"/>
        </w:rPr>
        <w:t xml:space="preserve">different </w:t>
      </w:r>
      <w:r w:rsidR="00C3201F">
        <w:rPr>
          <w:rFonts w:eastAsiaTheme="minorEastAsia"/>
        </w:rPr>
        <w:t xml:space="preserve">types of </w:t>
      </w:r>
      <w:r w:rsidR="00716485">
        <w:rPr>
          <w:rFonts w:eastAsiaTheme="minorEastAsia"/>
        </w:rPr>
        <w:t>latency</w:t>
      </w:r>
      <w:r w:rsidR="00C3201F">
        <w:rPr>
          <w:rFonts w:eastAsiaTheme="minorEastAsia"/>
        </w:rPr>
        <w:t>, and it is difficult to estimate which one is more important at this stage</w:t>
      </w:r>
      <w:r w:rsidR="00716485">
        <w:rPr>
          <w:rFonts w:eastAsiaTheme="minorEastAsia"/>
        </w:rPr>
        <w:t>.</w:t>
      </w:r>
      <w:r w:rsidR="00964050">
        <w:rPr>
          <w:rFonts w:eastAsiaTheme="minorEastAsia"/>
        </w:rPr>
        <w:t xml:space="preserve"> </w:t>
      </w:r>
      <w:r w:rsidR="00343FFB">
        <w:rPr>
          <w:rFonts w:eastAsiaTheme="minorEastAsia"/>
        </w:rPr>
        <w:t xml:space="preserve">The situation is similar for </w:t>
      </w:r>
      <w:r w:rsidR="006C69F8">
        <w:rPr>
          <w:rFonts w:eastAsiaTheme="minorEastAsia"/>
        </w:rPr>
        <w:t xml:space="preserve">Group </w:t>
      </w:r>
      <w:r w:rsidR="00343FFB">
        <w:rPr>
          <w:rFonts w:eastAsiaTheme="minorEastAsia"/>
        </w:rPr>
        <w:t xml:space="preserve">2. </w:t>
      </w:r>
    </w:p>
    <w:p w14:paraId="740F37C5" w14:textId="5C635F00" w:rsidR="00C3201F" w:rsidRDefault="00D80DF9" w:rsidP="007C3235">
      <w:pPr>
        <w:spacing w:after="120"/>
        <w:rPr>
          <w:rFonts w:eastAsiaTheme="minorEastAsia"/>
        </w:rPr>
      </w:pPr>
      <w:r>
        <w:rPr>
          <w:rFonts w:eastAsiaTheme="minorEastAsia"/>
        </w:rPr>
        <w:t xml:space="preserve">With </w:t>
      </w:r>
      <w:r w:rsidR="00964050">
        <w:rPr>
          <w:rFonts w:eastAsiaTheme="minorEastAsia"/>
        </w:rPr>
        <w:t xml:space="preserve">the </w:t>
      </w:r>
      <w:r>
        <w:rPr>
          <w:rFonts w:eastAsiaTheme="minorEastAsia"/>
        </w:rPr>
        <w:t xml:space="preserve">remaining </w:t>
      </w:r>
      <w:r w:rsidR="00B6705B">
        <w:rPr>
          <w:rFonts w:eastAsiaTheme="minorEastAsia"/>
        </w:rPr>
        <w:t xml:space="preserve">time </w:t>
      </w:r>
      <w:r>
        <w:rPr>
          <w:rFonts w:eastAsiaTheme="minorEastAsia"/>
        </w:rPr>
        <w:t xml:space="preserve">in </w:t>
      </w:r>
      <w:r w:rsidR="00B6705B">
        <w:rPr>
          <w:rFonts w:eastAsiaTheme="minorEastAsia"/>
        </w:rPr>
        <w:t>Rel-17,</w:t>
      </w:r>
      <w:r w:rsidR="00964050">
        <w:rPr>
          <w:rFonts w:eastAsiaTheme="minorEastAsia"/>
        </w:rPr>
        <w:t xml:space="preserve"> it is very challeng</w:t>
      </w:r>
      <w:r w:rsidR="006C69F8">
        <w:rPr>
          <w:rFonts w:eastAsiaTheme="minorEastAsia"/>
        </w:rPr>
        <w:t>ing</w:t>
      </w:r>
      <w:r w:rsidR="00964050">
        <w:rPr>
          <w:rFonts w:eastAsiaTheme="minorEastAsia"/>
        </w:rPr>
        <w:t xml:space="preserve"> to finish the specification </w:t>
      </w:r>
      <w:r w:rsidR="00B6705B">
        <w:rPr>
          <w:rFonts w:eastAsiaTheme="minorEastAsia"/>
        </w:rPr>
        <w:t xml:space="preserve">work </w:t>
      </w:r>
      <w:r w:rsidR="00964050">
        <w:rPr>
          <w:rFonts w:eastAsiaTheme="minorEastAsia"/>
        </w:rPr>
        <w:t>on any option above, as there</w:t>
      </w:r>
      <w:r w:rsidR="006C69F8">
        <w:rPr>
          <w:rFonts w:eastAsiaTheme="minorEastAsia"/>
        </w:rPr>
        <w:t xml:space="preserve"> are</w:t>
      </w:r>
      <w:r w:rsidR="00964050">
        <w:rPr>
          <w:rFonts w:eastAsiaTheme="minorEastAsia"/>
        </w:rPr>
        <w:t xml:space="preserve"> </w:t>
      </w:r>
      <w:r w:rsidR="006C69F8">
        <w:rPr>
          <w:rFonts w:eastAsiaTheme="minorEastAsia"/>
        </w:rPr>
        <w:t xml:space="preserve">many </w:t>
      </w:r>
      <w:r w:rsidR="00964050" w:rsidRPr="00964050">
        <w:rPr>
          <w:rFonts w:eastAsiaTheme="minorEastAsia"/>
        </w:rPr>
        <w:t xml:space="preserve">details to be </w:t>
      </w:r>
      <w:r w:rsidR="006C69F8">
        <w:rPr>
          <w:rFonts w:eastAsiaTheme="minorEastAsia"/>
        </w:rPr>
        <w:t>considered</w:t>
      </w:r>
      <w:r w:rsidR="00964050">
        <w:rPr>
          <w:rFonts w:eastAsiaTheme="minorEastAsia"/>
        </w:rPr>
        <w:t xml:space="preserve">. </w:t>
      </w:r>
      <w:r w:rsidR="00B6705B">
        <w:rPr>
          <w:rFonts w:eastAsiaTheme="minorEastAsia"/>
        </w:rPr>
        <w:t xml:space="preserve">Take </w:t>
      </w:r>
      <w:r w:rsidR="00C3201F">
        <w:rPr>
          <w:rFonts w:eastAsiaTheme="minorEastAsia"/>
        </w:rPr>
        <w:t>O</w:t>
      </w:r>
      <w:r w:rsidR="00B6705B">
        <w:rPr>
          <w:rFonts w:eastAsiaTheme="minorEastAsia"/>
        </w:rPr>
        <w:t xml:space="preserve">ption 1-A as an example, </w:t>
      </w:r>
      <w:r w:rsidR="00C3201F">
        <w:rPr>
          <w:rFonts w:eastAsiaTheme="minorEastAsia"/>
        </w:rPr>
        <w:t>there are quite some</w:t>
      </w:r>
      <w:r w:rsidR="00B6705B">
        <w:rPr>
          <w:rFonts w:eastAsiaTheme="minorEastAsia"/>
        </w:rPr>
        <w:t xml:space="preserve"> questions to be clarified/addressed, such as</w:t>
      </w:r>
      <w:r w:rsidR="00691977">
        <w:rPr>
          <w:rFonts w:eastAsiaTheme="minorEastAsia"/>
        </w:rPr>
        <w:t>:</w:t>
      </w:r>
      <w:r w:rsidR="00B6705B">
        <w:rPr>
          <w:rFonts w:eastAsiaTheme="minorEastAsia"/>
        </w:rPr>
        <w:t xml:space="preserve"> How </w:t>
      </w:r>
      <w:r w:rsidR="00C3201F">
        <w:rPr>
          <w:rFonts w:eastAsiaTheme="minorEastAsia"/>
        </w:rPr>
        <w:t xml:space="preserve">to ensure </w:t>
      </w:r>
      <w:r>
        <w:rPr>
          <w:rFonts w:eastAsiaTheme="minorEastAsia"/>
        </w:rPr>
        <w:t xml:space="preserve">the </w:t>
      </w:r>
      <w:r w:rsidR="00B6705B">
        <w:rPr>
          <w:rFonts w:eastAsiaTheme="minorEastAsia"/>
        </w:rPr>
        <w:t xml:space="preserve">reliability </w:t>
      </w:r>
      <w:r w:rsidR="00C3201F">
        <w:rPr>
          <w:rFonts w:eastAsiaTheme="minorEastAsia"/>
        </w:rPr>
        <w:t xml:space="preserve">of beam switching </w:t>
      </w:r>
      <w:r w:rsidR="00B6705B">
        <w:rPr>
          <w:rFonts w:eastAsiaTheme="minorEastAsia"/>
        </w:rPr>
        <w:t>without indication</w:t>
      </w:r>
      <w:r w:rsidR="00C3201F">
        <w:rPr>
          <w:rFonts w:eastAsiaTheme="minorEastAsia"/>
        </w:rPr>
        <w:t>/activation</w:t>
      </w:r>
      <w:r w:rsidR="00B6705B">
        <w:rPr>
          <w:rFonts w:eastAsiaTheme="minorEastAsia"/>
        </w:rPr>
        <w:t xml:space="preserve"> from NW? How does such </w:t>
      </w:r>
      <w:r w:rsidR="00B6705B" w:rsidRPr="00B6705B">
        <w:rPr>
          <w:rFonts w:eastAsiaTheme="minorEastAsia"/>
        </w:rPr>
        <w:t>UE-initiated beam selection/activation</w:t>
      </w:r>
      <w:r w:rsidR="00B6705B">
        <w:rPr>
          <w:rFonts w:eastAsiaTheme="minorEastAsia"/>
        </w:rPr>
        <w:t xml:space="preserve"> </w:t>
      </w:r>
      <w:r w:rsidR="00C3201F">
        <w:rPr>
          <w:rFonts w:eastAsiaTheme="minorEastAsia"/>
        </w:rPr>
        <w:t>coexist</w:t>
      </w:r>
      <w:r w:rsidR="00B6705B">
        <w:rPr>
          <w:rFonts w:eastAsiaTheme="minorEastAsia"/>
        </w:rPr>
        <w:t xml:space="preserve"> </w:t>
      </w:r>
      <w:r w:rsidR="00C3201F">
        <w:rPr>
          <w:rFonts w:eastAsiaTheme="minorEastAsia"/>
        </w:rPr>
        <w:t xml:space="preserve">with </w:t>
      </w:r>
      <w:r w:rsidR="00B6705B">
        <w:rPr>
          <w:rFonts w:eastAsiaTheme="minorEastAsia"/>
        </w:rPr>
        <w:t xml:space="preserve">existing beam indication mechanism? </w:t>
      </w:r>
      <w:r w:rsidR="00C3201F">
        <w:rPr>
          <w:rFonts w:eastAsiaTheme="minorEastAsia"/>
        </w:rPr>
        <w:t>What is the relation with beam failure recovery, which is also one kind of UE-initiated beam switching?</w:t>
      </w:r>
    </w:p>
    <w:p w14:paraId="5A0C546F" w14:textId="0E2A90EE" w:rsidR="004064F4" w:rsidRDefault="00C3201F" w:rsidP="007C3235">
      <w:pPr>
        <w:spacing w:after="120"/>
        <w:rPr>
          <w:rFonts w:eastAsiaTheme="minorEastAsia"/>
        </w:rPr>
      </w:pPr>
      <w:r>
        <w:rPr>
          <w:rFonts w:eastAsiaTheme="minorEastAsia"/>
        </w:rPr>
        <w:t xml:space="preserve">With all these </w:t>
      </w:r>
      <w:r w:rsidR="00D80DF9">
        <w:rPr>
          <w:rFonts w:eastAsiaTheme="minorEastAsia"/>
        </w:rPr>
        <w:t>uncertainty</w:t>
      </w:r>
      <w:r>
        <w:rPr>
          <w:rFonts w:eastAsiaTheme="minorEastAsia"/>
        </w:rPr>
        <w:t>, we slightly prefer to p</w:t>
      </w:r>
      <w:r w:rsidRPr="00C3201F">
        <w:rPr>
          <w:rFonts w:eastAsiaTheme="minorEastAsia"/>
        </w:rPr>
        <w:t>ostpone the study and specification work on advanced beam refinement/tracking (i.e. Issue 6) to a future release.</w:t>
      </w:r>
    </w:p>
    <w:p w14:paraId="1489C188" w14:textId="638E9CEC" w:rsidR="00097B44" w:rsidRDefault="00097B44" w:rsidP="00097B44">
      <w:pPr>
        <w:spacing w:beforeLines="50" w:before="156"/>
        <w:rPr>
          <w:b/>
          <w:i/>
          <w:lang w:val="en-GB"/>
        </w:rPr>
      </w:pPr>
      <w:r w:rsidRPr="002F55A3">
        <w:rPr>
          <w:b/>
          <w:i/>
          <w:lang w:val="en-GB"/>
        </w:rPr>
        <w:t xml:space="preserve">Proposal </w:t>
      </w:r>
      <w:r>
        <w:rPr>
          <w:b/>
          <w:i/>
          <w:lang w:val="en-GB"/>
        </w:rPr>
        <w:t>7-1</w:t>
      </w:r>
      <w:r w:rsidRPr="002F55A3">
        <w:rPr>
          <w:b/>
          <w:i/>
          <w:lang w:val="en-GB"/>
        </w:rPr>
        <w:t>:</w:t>
      </w:r>
      <w:r>
        <w:rPr>
          <w:b/>
          <w:i/>
          <w:lang w:val="en-GB"/>
        </w:rPr>
        <w:t xml:space="preserve"> </w:t>
      </w:r>
      <w:r w:rsidR="005913A0">
        <w:rPr>
          <w:b/>
          <w:i/>
          <w:lang w:val="en-GB"/>
        </w:rPr>
        <w:t>T</w:t>
      </w:r>
      <w:r w:rsidR="00B11FFB" w:rsidRPr="00B11FFB">
        <w:rPr>
          <w:b/>
          <w:i/>
          <w:iCs/>
        </w:rPr>
        <w:t xml:space="preserve">he study and specification work </w:t>
      </w:r>
      <w:r w:rsidR="00343FFB" w:rsidRPr="00343FFB">
        <w:rPr>
          <w:b/>
          <w:i/>
          <w:iCs/>
        </w:rPr>
        <w:t>on advanced beam refinement/tracking (i.e. Issue 6)</w:t>
      </w:r>
      <w:r w:rsidR="00B11FFB" w:rsidRPr="00B11FFB">
        <w:rPr>
          <w:b/>
          <w:i/>
          <w:iCs/>
        </w:rPr>
        <w:t xml:space="preserve"> </w:t>
      </w:r>
      <w:r w:rsidR="005913A0">
        <w:rPr>
          <w:b/>
          <w:i/>
          <w:iCs/>
        </w:rPr>
        <w:t xml:space="preserve">can be </w:t>
      </w:r>
      <w:r w:rsidR="007C3235">
        <w:rPr>
          <w:b/>
          <w:i/>
          <w:iCs/>
        </w:rPr>
        <w:t>postponed to a</w:t>
      </w:r>
      <w:r w:rsidR="00B11FFB" w:rsidRPr="00B11FFB">
        <w:rPr>
          <w:b/>
          <w:i/>
          <w:iCs/>
        </w:rPr>
        <w:t xml:space="preserve"> future release</w:t>
      </w:r>
      <w:r w:rsidR="00A9209B">
        <w:rPr>
          <w:b/>
          <w:i/>
          <w:iCs/>
        </w:rPr>
        <w:t>.</w:t>
      </w:r>
    </w:p>
    <w:p w14:paraId="0A2411B6" w14:textId="77777777" w:rsidR="00A57F37" w:rsidRPr="00393D01" w:rsidRDefault="00A57F37" w:rsidP="00F94A95">
      <w:pPr>
        <w:rPr>
          <w:rFonts w:eastAsiaTheme="minorEastAsia" w:cs="Times New Roman"/>
          <w:lang w:val="en-GB"/>
        </w:rPr>
      </w:pPr>
    </w:p>
    <w:p w14:paraId="721F069F" w14:textId="69D1E48C" w:rsidR="00A57F37" w:rsidRDefault="00A57F37" w:rsidP="00A57F37">
      <w:pPr>
        <w:pStyle w:val="1"/>
        <w:rPr>
          <w:rFonts w:eastAsiaTheme="minorEastAsia"/>
          <w:lang w:val="en-GB" w:eastAsia="zh-CN"/>
        </w:rPr>
      </w:pPr>
      <w:r>
        <w:rPr>
          <w:rFonts w:eastAsiaTheme="minorEastAsia"/>
          <w:lang w:val="en-GB" w:eastAsia="zh-CN"/>
        </w:rPr>
        <w:t>Summary and conclusion</w:t>
      </w:r>
    </w:p>
    <w:p w14:paraId="3439B73C" w14:textId="7CAC6464"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Pr="008C6457">
        <w:rPr>
          <w:lang w:val="en-GB"/>
        </w:rPr>
        <w:t>propose</w:t>
      </w:r>
      <w:r w:rsidR="003E1C52">
        <w:rPr>
          <w:rFonts w:eastAsiaTheme="minorEastAsia"/>
          <w:lang w:val="en-GB"/>
        </w:rPr>
        <w:t xml:space="preserve"> </w:t>
      </w:r>
      <w:r w:rsidR="00F16457">
        <w:rPr>
          <w:rFonts w:eastAsiaTheme="minorEastAsia"/>
          <w:lang w:val="en-GB"/>
        </w:rPr>
        <w:t xml:space="preserve">the </w:t>
      </w:r>
      <w:r w:rsidR="003E1C52">
        <w:rPr>
          <w:rFonts w:eastAsiaTheme="minorEastAsia"/>
          <w:lang w:val="en-GB"/>
        </w:rPr>
        <w:t>following</w:t>
      </w:r>
      <w:r>
        <w:rPr>
          <w:rFonts w:eastAsiaTheme="minorEastAsia"/>
          <w:lang w:val="en-GB"/>
        </w:rPr>
        <w:t>:</w:t>
      </w:r>
    </w:p>
    <w:p w14:paraId="7EEEA59A" w14:textId="77777777" w:rsidR="00403DAF" w:rsidRDefault="00403DAF" w:rsidP="00ED6A55">
      <w:pPr>
        <w:rPr>
          <w:b/>
          <w:i/>
          <w:lang w:val="en-GB"/>
        </w:rPr>
      </w:pPr>
    </w:p>
    <w:p w14:paraId="5A0E17DE" w14:textId="77777777" w:rsidR="007C3235" w:rsidRDefault="007C3235" w:rsidP="007C3235">
      <w:pPr>
        <w:rPr>
          <w:b/>
          <w:i/>
          <w:lang w:val="en-GB"/>
        </w:rPr>
      </w:pPr>
      <w:r w:rsidRPr="00C44333">
        <w:rPr>
          <w:b/>
          <w:i/>
          <w:lang w:val="en-GB"/>
        </w:rPr>
        <w:t xml:space="preserve">Proposal </w:t>
      </w:r>
      <w:r>
        <w:rPr>
          <w:b/>
          <w:i/>
          <w:lang w:val="en-GB"/>
        </w:rPr>
        <w:t>2-1</w:t>
      </w:r>
      <w:r w:rsidRPr="00C44333">
        <w:rPr>
          <w:b/>
          <w:i/>
          <w:lang w:val="en-GB"/>
        </w:rPr>
        <w:t xml:space="preserve">: </w:t>
      </w:r>
      <w:r w:rsidRPr="001E0CD6">
        <w:rPr>
          <w:b/>
          <w:i/>
          <w:lang w:val="en-GB"/>
        </w:rPr>
        <w:t>The UL TCI indicated for UE-specific PUxCH transmission should not be applied to SRS for BM</w:t>
      </w:r>
      <w:r>
        <w:rPr>
          <w:b/>
          <w:i/>
          <w:lang w:val="en-GB"/>
        </w:rPr>
        <w:t>.</w:t>
      </w:r>
    </w:p>
    <w:p w14:paraId="1AFD43F4" w14:textId="77777777" w:rsidR="007C3235" w:rsidRPr="005D54DB" w:rsidRDefault="007C3235" w:rsidP="007C3235">
      <w:pPr>
        <w:rPr>
          <w:rFonts w:eastAsiaTheme="minorEastAsia"/>
          <w:b/>
          <w:i/>
          <w:lang w:val="en-GB"/>
        </w:rPr>
      </w:pPr>
      <w:r w:rsidRPr="00C44333">
        <w:rPr>
          <w:b/>
          <w:i/>
          <w:lang w:val="en-GB"/>
        </w:rPr>
        <w:lastRenderedPageBreak/>
        <w:t xml:space="preserve">Proposal </w:t>
      </w:r>
      <w:r>
        <w:rPr>
          <w:b/>
          <w:i/>
          <w:lang w:val="en-GB"/>
        </w:rPr>
        <w:t>2-2</w:t>
      </w:r>
      <w:r w:rsidRPr="00C44333">
        <w:rPr>
          <w:b/>
          <w:i/>
          <w:lang w:val="en-GB"/>
        </w:rPr>
        <w:t xml:space="preserve">: </w:t>
      </w:r>
      <w:r>
        <w:rPr>
          <w:b/>
          <w:i/>
          <w:lang w:val="en-GB"/>
        </w:rPr>
        <w:t xml:space="preserve">For the DL RS that does not share the </w:t>
      </w:r>
      <w:r w:rsidRPr="00D97BA5">
        <w:rPr>
          <w:b/>
          <w:i/>
          <w:lang w:val="en-GB"/>
        </w:rPr>
        <w:t>same indicated</w:t>
      </w:r>
      <w:r>
        <w:rPr>
          <w:b/>
          <w:i/>
          <w:lang w:val="en-GB"/>
        </w:rPr>
        <w:t xml:space="preserve"> unified TCI state(s) as PDCCH/</w:t>
      </w:r>
      <w:r w:rsidRPr="00D97BA5">
        <w:rPr>
          <w:b/>
          <w:i/>
          <w:lang w:val="en-GB"/>
        </w:rPr>
        <w:t>PDSCH</w:t>
      </w:r>
      <w:r>
        <w:rPr>
          <w:b/>
          <w:i/>
          <w:lang w:val="en-GB"/>
        </w:rPr>
        <w:t xml:space="preserve">, </w:t>
      </w:r>
      <w:r w:rsidRPr="00D97BA5">
        <w:rPr>
          <w:b/>
          <w:i/>
          <w:lang w:val="en-GB"/>
        </w:rPr>
        <w:t xml:space="preserve">Rel-15/16 TCI state update signaling/configuration mechanism(s) </w:t>
      </w:r>
      <w:r>
        <w:rPr>
          <w:b/>
          <w:i/>
          <w:lang w:val="en-GB"/>
        </w:rPr>
        <w:t>can be reused.</w:t>
      </w:r>
    </w:p>
    <w:p w14:paraId="74234249" w14:textId="77777777" w:rsidR="007C3235" w:rsidRPr="00B00342" w:rsidRDefault="007C3235" w:rsidP="007C3235">
      <w:pPr>
        <w:rPr>
          <w:b/>
          <w:i/>
          <w:lang w:val="en-GB"/>
        </w:rPr>
      </w:pPr>
      <w:r w:rsidRPr="00C44333">
        <w:rPr>
          <w:b/>
          <w:i/>
          <w:lang w:val="en-GB"/>
        </w:rPr>
        <w:t xml:space="preserve">Proposal </w:t>
      </w:r>
      <w:r>
        <w:rPr>
          <w:b/>
          <w:i/>
          <w:lang w:val="en-GB"/>
        </w:rPr>
        <w:t>2-3</w:t>
      </w:r>
      <w:r w:rsidRPr="00C44333">
        <w:rPr>
          <w:b/>
          <w:i/>
          <w:lang w:val="en-GB"/>
        </w:rPr>
        <w:t xml:space="preserve">: </w:t>
      </w:r>
      <w:r>
        <w:rPr>
          <w:b/>
          <w:i/>
          <w:lang w:val="en-GB"/>
        </w:rPr>
        <w:t>For separate DL/UL T</w:t>
      </w:r>
      <w:r w:rsidRPr="00B00342">
        <w:rPr>
          <w:b/>
          <w:i/>
          <w:lang w:val="en-GB"/>
        </w:rPr>
        <w:t>CI</w:t>
      </w:r>
      <w:r>
        <w:rPr>
          <w:b/>
          <w:i/>
          <w:lang w:val="en-GB"/>
        </w:rPr>
        <w:t xml:space="preserve"> indication</w:t>
      </w:r>
      <w:r w:rsidRPr="00B00342">
        <w:rPr>
          <w:b/>
          <w:i/>
          <w:lang w:val="en-GB"/>
        </w:rPr>
        <w:t xml:space="preserve">, DL TCI </w:t>
      </w:r>
      <w:r>
        <w:rPr>
          <w:b/>
          <w:i/>
          <w:lang w:val="en-GB"/>
        </w:rPr>
        <w:t xml:space="preserve">state is </w:t>
      </w:r>
      <w:r w:rsidRPr="00B00342">
        <w:rPr>
          <w:b/>
          <w:i/>
          <w:lang w:val="en-GB"/>
        </w:rPr>
        <w:t>take</w:t>
      </w:r>
      <w:r>
        <w:rPr>
          <w:b/>
          <w:i/>
          <w:lang w:val="en-GB"/>
        </w:rPr>
        <w:t>n</w:t>
      </w:r>
      <w:r w:rsidRPr="00B00342">
        <w:rPr>
          <w:b/>
          <w:i/>
          <w:lang w:val="en-GB"/>
        </w:rPr>
        <w:t xml:space="preserve"> from </w:t>
      </w:r>
      <w:r>
        <w:rPr>
          <w:b/>
          <w:i/>
          <w:lang w:val="en-GB"/>
        </w:rPr>
        <w:t xml:space="preserve">DL </w:t>
      </w:r>
      <w:r w:rsidRPr="00B00342">
        <w:rPr>
          <w:b/>
          <w:i/>
          <w:lang w:val="en-GB"/>
        </w:rPr>
        <w:t>TCI state pool</w:t>
      </w:r>
      <w:r>
        <w:rPr>
          <w:b/>
          <w:i/>
          <w:lang w:val="en-GB"/>
        </w:rPr>
        <w:t>, while UL</w:t>
      </w:r>
      <w:r w:rsidRPr="00B00342">
        <w:rPr>
          <w:b/>
          <w:i/>
          <w:lang w:val="en-GB"/>
        </w:rPr>
        <w:t xml:space="preserve"> TCI </w:t>
      </w:r>
      <w:r>
        <w:rPr>
          <w:b/>
          <w:i/>
          <w:lang w:val="en-GB"/>
        </w:rPr>
        <w:t xml:space="preserve">state is </w:t>
      </w:r>
      <w:r w:rsidRPr="00B00342">
        <w:rPr>
          <w:b/>
          <w:i/>
          <w:lang w:val="en-GB"/>
        </w:rPr>
        <w:t>take</w:t>
      </w:r>
      <w:r>
        <w:rPr>
          <w:b/>
          <w:i/>
          <w:lang w:val="en-GB"/>
        </w:rPr>
        <w:t>n</w:t>
      </w:r>
      <w:r w:rsidRPr="00B00342">
        <w:rPr>
          <w:b/>
          <w:i/>
          <w:lang w:val="en-GB"/>
        </w:rPr>
        <w:t xml:space="preserve"> from </w:t>
      </w:r>
      <w:r>
        <w:rPr>
          <w:b/>
          <w:i/>
          <w:lang w:val="en-GB"/>
        </w:rPr>
        <w:t xml:space="preserve">UL </w:t>
      </w:r>
      <w:r w:rsidRPr="00B00342">
        <w:rPr>
          <w:b/>
          <w:i/>
          <w:lang w:val="en-GB"/>
        </w:rPr>
        <w:t>TCI state pool</w:t>
      </w:r>
      <w:r>
        <w:rPr>
          <w:b/>
          <w:i/>
          <w:lang w:val="en-GB"/>
        </w:rPr>
        <w:t xml:space="preserve"> that is separate from DL TCI state pool</w:t>
      </w:r>
      <w:r w:rsidRPr="00B00342">
        <w:rPr>
          <w:b/>
          <w:i/>
          <w:lang w:val="en-GB"/>
        </w:rPr>
        <w:t>.</w:t>
      </w:r>
    </w:p>
    <w:p w14:paraId="240C58A8" w14:textId="77777777" w:rsidR="00403DAF" w:rsidRDefault="00403DAF">
      <w:pPr>
        <w:rPr>
          <w:rFonts w:eastAsiaTheme="minorEastAsia"/>
          <w:highlight w:val="yellow"/>
          <w:lang w:val="en-GB"/>
        </w:rPr>
      </w:pPr>
    </w:p>
    <w:p w14:paraId="718B2A77" w14:textId="77777777" w:rsidR="007C3235" w:rsidRDefault="007C3235" w:rsidP="007C3235">
      <w:pPr>
        <w:pStyle w:val="a7"/>
        <w:rPr>
          <w:b/>
          <w:i/>
          <w:szCs w:val="22"/>
          <w:lang w:val="en-GB"/>
        </w:rPr>
      </w:pPr>
      <w:r w:rsidRPr="00233380">
        <w:rPr>
          <w:b/>
          <w:i/>
          <w:szCs w:val="22"/>
          <w:lang w:val="en-GB"/>
        </w:rPr>
        <w:t xml:space="preserve">Proposal 3-1: The </w:t>
      </w:r>
      <w:r>
        <w:rPr>
          <w:b/>
          <w:i/>
          <w:szCs w:val="22"/>
          <w:lang w:val="en-GB"/>
        </w:rPr>
        <w:t>maximum number of beam qualities associated with non-serving cell(s) that can be reported in a single CSI reporting instance is 16 (subject to UE capability).</w:t>
      </w:r>
    </w:p>
    <w:p w14:paraId="7CB12CA3" w14:textId="77777777" w:rsidR="007C3235" w:rsidRDefault="007C3235">
      <w:pPr>
        <w:rPr>
          <w:b/>
          <w:i/>
        </w:rPr>
      </w:pPr>
      <w:r w:rsidRPr="007C3235">
        <w:rPr>
          <w:b/>
          <w:i/>
        </w:rPr>
        <w:t>Proposal 3-2: Support MAC-CE-only beam indication for inter-cell beam management.</w:t>
      </w:r>
    </w:p>
    <w:p w14:paraId="2725ED2A" w14:textId="77777777" w:rsidR="007C3235" w:rsidRDefault="007C3235" w:rsidP="00EE10A8">
      <w:pPr>
        <w:pStyle w:val="a7"/>
        <w:jc w:val="both"/>
        <w:rPr>
          <w:b/>
          <w:i/>
        </w:rPr>
      </w:pPr>
      <w:r w:rsidRPr="007C3235">
        <w:rPr>
          <w:b/>
          <w:i/>
        </w:rPr>
        <w:t>Proposal 3-3: Support using SSB with a PCI that is different from the serving cell as indirect QCL reference for PDCCH in the serving cell.</w:t>
      </w:r>
    </w:p>
    <w:p w14:paraId="51A953EA" w14:textId="7C050A8A" w:rsidR="001E39EB" w:rsidRDefault="007C3235" w:rsidP="007C3235">
      <w:pPr>
        <w:pStyle w:val="a7"/>
        <w:rPr>
          <w:rFonts w:eastAsiaTheme="minorEastAsia"/>
          <w:b/>
          <w:i/>
          <w:lang w:val="en-GB"/>
        </w:rPr>
      </w:pPr>
      <w:r w:rsidRPr="007C3235">
        <w:rPr>
          <w:rFonts w:eastAsiaTheme="minorEastAsia"/>
          <w:b/>
          <w:i/>
          <w:lang w:val="en-GB"/>
        </w:rPr>
        <w:t>Proposal 3-4: UE is not expected to receive broadcast system information from the cell containing the SSB that is used for QCL indication for CSI-RS of serving cell but with PCI different from the serving cell.</w:t>
      </w:r>
    </w:p>
    <w:p w14:paraId="68725594" w14:textId="77777777" w:rsidR="007C3235" w:rsidRDefault="007C3235" w:rsidP="007C3235">
      <w:pPr>
        <w:pStyle w:val="a7"/>
        <w:rPr>
          <w:rFonts w:eastAsiaTheme="minorEastAsia"/>
          <w:b/>
          <w:i/>
          <w:lang w:val="en-GB"/>
        </w:rPr>
      </w:pPr>
    </w:p>
    <w:p w14:paraId="6DED1312" w14:textId="77777777" w:rsidR="007C3235" w:rsidRDefault="007C3235" w:rsidP="007C3235">
      <w:pPr>
        <w:rPr>
          <w:b/>
          <w:i/>
          <w:lang w:val="en-GB"/>
        </w:rPr>
      </w:pPr>
      <w:r w:rsidRPr="007C3235">
        <w:rPr>
          <w:b/>
          <w:i/>
          <w:lang w:val="en-GB"/>
        </w:rPr>
        <w:t>Proposal 4-1: For cross-carrier beam indication and common TCI state ID update across CCs with different SCSs, the symbol duration of beam application time of Y symbols is determined based on smallest SCS among involved CC and active BWPs.</w:t>
      </w:r>
    </w:p>
    <w:p w14:paraId="27A6EB31" w14:textId="7AC352D0" w:rsidR="001E39EB" w:rsidRDefault="007C3235" w:rsidP="007C3235">
      <w:pPr>
        <w:pStyle w:val="a7"/>
        <w:rPr>
          <w:b/>
          <w:i/>
          <w:lang w:val="en-GB"/>
        </w:rPr>
      </w:pPr>
      <w:r w:rsidRPr="007C3235">
        <w:rPr>
          <w:b/>
          <w:i/>
          <w:lang w:val="en-GB"/>
        </w:rPr>
        <w:t>Proposal 4-2: When more than one TCI codepoints are activated by MAC CE, the activated TCI state(s) for the lowest codepoint is/are applied.</w:t>
      </w:r>
    </w:p>
    <w:p w14:paraId="324CE4AF" w14:textId="77777777" w:rsidR="007C3235" w:rsidRDefault="007C3235" w:rsidP="007C3235">
      <w:pPr>
        <w:pStyle w:val="a7"/>
        <w:rPr>
          <w:rFonts w:eastAsiaTheme="minorEastAsia"/>
          <w:b/>
          <w:i/>
          <w:lang w:val="en-GB"/>
        </w:rPr>
      </w:pPr>
    </w:p>
    <w:p w14:paraId="4DFDAB4D" w14:textId="77777777" w:rsidR="007C3235" w:rsidRDefault="007C3235">
      <w:pPr>
        <w:rPr>
          <w:b/>
          <w:i/>
          <w:lang w:val="en-GB"/>
        </w:rPr>
      </w:pPr>
      <w:r w:rsidRPr="007C3235">
        <w:rPr>
          <w:b/>
          <w:i/>
          <w:lang w:val="en-GB"/>
        </w:rPr>
        <w:t>Proposal 5-1: A UE panel entity corresponds to a reported CSI-RS/SSB resource index (if gNB has indicated which UE panel is to be used for measurement) or a new virtual UE panel ID in beam report (if it is left to UE to select panel for measurement).</w:t>
      </w:r>
    </w:p>
    <w:p w14:paraId="70C3258A" w14:textId="77777777" w:rsidR="007C3235" w:rsidRDefault="007C3235">
      <w:pPr>
        <w:rPr>
          <w:b/>
          <w:i/>
          <w:lang w:val="en-GB"/>
        </w:rPr>
      </w:pPr>
      <w:r w:rsidRPr="007C3235">
        <w:rPr>
          <w:b/>
          <w:i/>
          <w:lang w:val="en-GB"/>
        </w:rPr>
        <w:t>Proposal 5-2: Introduce a handshake mechanism including gNB request and UE response (acceptance/rejection) for gNB-initiated UE panel activation.</w:t>
      </w:r>
    </w:p>
    <w:p w14:paraId="20B62A5C" w14:textId="78238A7B" w:rsidR="00D37326" w:rsidRDefault="007C3235">
      <w:pPr>
        <w:rPr>
          <w:rFonts w:eastAsiaTheme="minorEastAsia"/>
          <w:b/>
          <w:i/>
          <w:lang w:val="en-GB"/>
        </w:rPr>
      </w:pPr>
      <w:r w:rsidRPr="007C3235">
        <w:rPr>
          <w:rFonts w:eastAsiaTheme="minorEastAsia"/>
          <w:b/>
          <w:i/>
          <w:lang w:val="en-GB"/>
        </w:rPr>
        <w:t>Proposal 5-3: Support configuring different number of ports for SRS resources in one SRS resource set for codebook-based UL transmission.</w:t>
      </w:r>
    </w:p>
    <w:p w14:paraId="06847BD6" w14:textId="77777777" w:rsidR="007C3235" w:rsidRDefault="007C3235"/>
    <w:p w14:paraId="2B2AF618" w14:textId="77777777" w:rsidR="007C3235" w:rsidRDefault="007C3235">
      <w:pPr>
        <w:rPr>
          <w:b/>
          <w:i/>
          <w:lang w:val="en-GB"/>
        </w:rPr>
      </w:pPr>
      <w:r w:rsidRPr="007C3235">
        <w:rPr>
          <w:b/>
          <w:i/>
          <w:lang w:val="en-GB"/>
        </w:rPr>
        <w:t>Proposal 6-1: Support Option 1D, i.e., per-panel P-MPR reporting for MPE mitigation, or send three alternativ</w:t>
      </w:r>
      <w:r>
        <w:rPr>
          <w:b/>
          <w:i/>
          <w:lang w:val="en-GB"/>
        </w:rPr>
        <w:t>es to RAN4 for down-selection.</w:t>
      </w:r>
    </w:p>
    <w:p w14:paraId="532DD5CB" w14:textId="6579B6FA" w:rsidR="006C69F8" w:rsidRDefault="007C3235">
      <w:pPr>
        <w:rPr>
          <w:b/>
          <w:i/>
        </w:rPr>
      </w:pPr>
      <w:r w:rsidRPr="007C3235">
        <w:rPr>
          <w:b/>
          <w:i/>
        </w:rPr>
        <w:t>Proposal 6-2: Support mapping SRS resources with UE panels to enable gNB-controlled fast UL panel selection for MPE mitigation.</w:t>
      </w:r>
    </w:p>
    <w:p w14:paraId="096D87B0" w14:textId="77777777" w:rsidR="007C3235" w:rsidRDefault="007C3235">
      <w:pPr>
        <w:rPr>
          <w:b/>
          <w:i/>
        </w:rPr>
      </w:pPr>
    </w:p>
    <w:p w14:paraId="206FA28B" w14:textId="25F495BC" w:rsidR="006C69F8" w:rsidRPr="006C69F8" w:rsidRDefault="007C3235">
      <w:pPr>
        <w:rPr>
          <w:rFonts w:eastAsiaTheme="minorEastAsia"/>
          <w:lang w:val="en-GB"/>
        </w:rPr>
      </w:pPr>
      <w:r w:rsidRPr="007C3235">
        <w:rPr>
          <w:b/>
          <w:i/>
          <w:lang w:val="en-GB"/>
        </w:rPr>
        <w:t>Proposal 7-1: The study and specification work on advanced beam refinement/tracking (i.e. Issue 6) can be postponed to a future release.</w:t>
      </w:r>
    </w:p>
    <w:sectPr w:rsidR="006C69F8" w:rsidRPr="006C69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803E6" w14:textId="77777777" w:rsidR="001817D6" w:rsidRDefault="001817D6" w:rsidP="00556F5B">
      <w:r>
        <w:separator/>
      </w:r>
    </w:p>
  </w:endnote>
  <w:endnote w:type="continuationSeparator" w:id="0">
    <w:p w14:paraId="45A26856" w14:textId="77777777" w:rsidR="001817D6" w:rsidRDefault="001817D6"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550AF" w14:textId="77777777" w:rsidR="001817D6" w:rsidRDefault="001817D6" w:rsidP="00556F5B">
      <w:r>
        <w:separator/>
      </w:r>
    </w:p>
  </w:footnote>
  <w:footnote w:type="continuationSeparator" w:id="0">
    <w:p w14:paraId="3D578F64" w14:textId="77777777" w:rsidR="001817D6" w:rsidRDefault="001817D6"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C23B4C"/>
    <w:multiLevelType w:val="hybridMultilevel"/>
    <w:tmpl w:val="C42A335C"/>
    <w:lvl w:ilvl="0" w:tplc="90883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841F1E"/>
    <w:multiLevelType w:val="hybridMultilevel"/>
    <w:tmpl w:val="D850F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DA5858"/>
    <w:multiLevelType w:val="hybridMultilevel"/>
    <w:tmpl w:val="7D0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76A2B"/>
    <w:multiLevelType w:val="hybridMultilevel"/>
    <w:tmpl w:val="7E54EADC"/>
    <w:lvl w:ilvl="0" w:tplc="2BEE9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5"/>
  </w:num>
  <w:num w:numId="4">
    <w:abstractNumId w:val="32"/>
  </w:num>
  <w:num w:numId="5">
    <w:abstractNumId w:val="35"/>
  </w:num>
  <w:num w:numId="6">
    <w:abstractNumId w:val="0"/>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4"/>
  </w:num>
  <w:num w:numId="10">
    <w:abstractNumId w:val="24"/>
  </w:num>
  <w:num w:numId="11">
    <w:abstractNumId w:val="29"/>
  </w:num>
  <w:num w:numId="12">
    <w:abstractNumId w:val="3"/>
  </w:num>
  <w:num w:numId="13">
    <w:abstractNumId w:val="16"/>
  </w:num>
  <w:num w:numId="14">
    <w:abstractNumId w:val="13"/>
  </w:num>
  <w:num w:numId="15">
    <w:abstractNumId w:val="12"/>
  </w:num>
  <w:num w:numId="16">
    <w:abstractNumId w:val="23"/>
  </w:num>
  <w:num w:numId="17">
    <w:abstractNumId w:val="25"/>
  </w:num>
  <w:num w:numId="18">
    <w:abstractNumId w:val="33"/>
  </w:num>
  <w:num w:numId="19">
    <w:abstractNumId w:val="20"/>
  </w:num>
  <w:num w:numId="20">
    <w:abstractNumId w:val="30"/>
  </w:num>
  <w:num w:numId="21">
    <w:abstractNumId w:val="22"/>
  </w:num>
  <w:num w:numId="22">
    <w:abstractNumId w:val="34"/>
  </w:num>
  <w:num w:numId="23">
    <w:abstractNumId w:val="2"/>
  </w:num>
  <w:num w:numId="24">
    <w:abstractNumId w:val="8"/>
  </w:num>
  <w:num w:numId="25">
    <w:abstractNumId w:val="31"/>
  </w:num>
  <w:num w:numId="26">
    <w:abstractNumId w:val="10"/>
  </w:num>
  <w:num w:numId="27">
    <w:abstractNumId w:val="7"/>
  </w:num>
  <w:num w:numId="28">
    <w:abstractNumId w:val="9"/>
  </w:num>
  <w:num w:numId="29">
    <w:abstractNumId w:val="4"/>
  </w:num>
  <w:num w:numId="30">
    <w:abstractNumId w:val="26"/>
  </w:num>
  <w:num w:numId="31">
    <w:abstractNumId w:val="17"/>
  </w:num>
  <w:num w:numId="32">
    <w:abstractNumId w:val="6"/>
  </w:num>
  <w:num w:numId="33">
    <w:abstractNumId w:val="11"/>
  </w:num>
  <w:num w:numId="34">
    <w:abstractNumId w:val="21"/>
  </w:num>
  <w:num w:numId="35">
    <w:abstractNumId w:val="19"/>
  </w:num>
  <w:num w:numId="36">
    <w:abstractNumId w:val="15"/>
  </w:num>
  <w:num w:numId="37">
    <w:abstractNumId w:val="28"/>
  </w:num>
  <w:num w:numId="3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20124"/>
    <w:rsid w:val="0003000D"/>
    <w:rsid w:val="00037B41"/>
    <w:rsid w:val="00043377"/>
    <w:rsid w:val="00043D0F"/>
    <w:rsid w:val="000448FE"/>
    <w:rsid w:val="0004513C"/>
    <w:rsid w:val="00054397"/>
    <w:rsid w:val="00055032"/>
    <w:rsid w:val="00055A85"/>
    <w:rsid w:val="00057EAF"/>
    <w:rsid w:val="00062299"/>
    <w:rsid w:val="00065D4D"/>
    <w:rsid w:val="0006665D"/>
    <w:rsid w:val="00074050"/>
    <w:rsid w:val="00086AE4"/>
    <w:rsid w:val="00086D13"/>
    <w:rsid w:val="00086D4E"/>
    <w:rsid w:val="00090C05"/>
    <w:rsid w:val="00090D72"/>
    <w:rsid w:val="00092731"/>
    <w:rsid w:val="00097B44"/>
    <w:rsid w:val="000B2170"/>
    <w:rsid w:val="000B2D68"/>
    <w:rsid w:val="000B34D9"/>
    <w:rsid w:val="000B3EEE"/>
    <w:rsid w:val="000B513E"/>
    <w:rsid w:val="000C3747"/>
    <w:rsid w:val="000D5DB4"/>
    <w:rsid w:val="000E14F4"/>
    <w:rsid w:val="000E76C8"/>
    <w:rsid w:val="0010514C"/>
    <w:rsid w:val="00107493"/>
    <w:rsid w:val="00107A05"/>
    <w:rsid w:val="00113DFD"/>
    <w:rsid w:val="001220CE"/>
    <w:rsid w:val="0012321A"/>
    <w:rsid w:val="0012343F"/>
    <w:rsid w:val="00123F1C"/>
    <w:rsid w:val="0012432B"/>
    <w:rsid w:val="0012720C"/>
    <w:rsid w:val="00140CE7"/>
    <w:rsid w:val="00143E54"/>
    <w:rsid w:val="00145D48"/>
    <w:rsid w:val="0014776E"/>
    <w:rsid w:val="00150DDD"/>
    <w:rsid w:val="00160AA2"/>
    <w:rsid w:val="00165E2C"/>
    <w:rsid w:val="001711F6"/>
    <w:rsid w:val="00175FCD"/>
    <w:rsid w:val="0018146A"/>
    <w:rsid w:val="001817D6"/>
    <w:rsid w:val="00183ABD"/>
    <w:rsid w:val="0019056C"/>
    <w:rsid w:val="001910E9"/>
    <w:rsid w:val="00192286"/>
    <w:rsid w:val="001952B3"/>
    <w:rsid w:val="00197840"/>
    <w:rsid w:val="001B244D"/>
    <w:rsid w:val="001B32D2"/>
    <w:rsid w:val="001B6ABA"/>
    <w:rsid w:val="001B6FB6"/>
    <w:rsid w:val="001C13B2"/>
    <w:rsid w:val="001D1BF3"/>
    <w:rsid w:val="001D24A3"/>
    <w:rsid w:val="001D6BA9"/>
    <w:rsid w:val="001E04E7"/>
    <w:rsid w:val="001E0CD6"/>
    <w:rsid w:val="001E39EB"/>
    <w:rsid w:val="001E5288"/>
    <w:rsid w:val="001F5BCC"/>
    <w:rsid w:val="001F7C2C"/>
    <w:rsid w:val="00201298"/>
    <w:rsid w:val="00203E84"/>
    <w:rsid w:val="00204A9D"/>
    <w:rsid w:val="002103B7"/>
    <w:rsid w:val="002111F2"/>
    <w:rsid w:val="0022446A"/>
    <w:rsid w:val="00231979"/>
    <w:rsid w:val="0023241E"/>
    <w:rsid w:val="00233380"/>
    <w:rsid w:val="00234DCA"/>
    <w:rsid w:val="00236334"/>
    <w:rsid w:val="0023657E"/>
    <w:rsid w:val="00246F8B"/>
    <w:rsid w:val="002474E3"/>
    <w:rsid w:val="002478E6"/>
    <w:rsid w:val="00253194"/>
    <w:rsid w:val="00261D91"/>
    <w:rsid w:val="00266D98"/>
    <w:rsid w:val="00267778"/>
    <w:rsid w:val="00270C6A"/>
    <w:rsid w:val="0027122F"/>
    <w:rsid w:val="00273FB2"/>
    <w:rsid w:val="00285ABE"/>
    <w:rsid w:val="00287FF3"/>
    <w:rsid w:val="002904CE"/>
    <w:rsid w:val="002916A5"/>
    <w:rsid w:val="00291DF8"/>
    <w:rsid w:val="00292AF1"/>
    <w:rsid w:val="00297F57"/>
    <w:rsid w:val="002A0824"/>
    <w:rsid w:val="002A4502"/>
    <w:rsid w:val="002A52B7"/>
    <w:rsid w:val="002A5D5E"/>
    <w:rsid w:val="002A7AED"/>
    <w:rsid w:val="002B556A"/>
    <w:rsid w:val="002B7639"/>
    <w:rsid w:val="002C69CF"/>
    <w:rsid w:val="002D390F"/>
    <w:rsid w:val="002D5861"/>
    <w:rsid w:val="002D7336"/>
    <w:rsid w:val="002E0D92"/>
    <w:rsid w:val="002E1219"/>
    <w:rsid w:val="002E6435"/>
    <w:rsid w:val="003027B2"/>
    <w:rsid w:val="00304B76"/>
    <w:rsid w:val="00312FB5"/>
    <w:rsid w:val="00314BD6"/>
    <w:rsid w:val="0031753A"/>
    <w:rsid w:val="0032007C"/>
    <w:rsid w:val="00321BFC"/>
    <w:rsid w:val="00322BDB"/>
    <w:rsid w:val="0032653F"/>
    <w:rsid w:val="00327A12"/>
    <w:rsid w:val="0033037F"/>
    <w:rsid w:val="00331477"/>
    <w:rsid w:val="0033455E"/>
    <w:rsid w:val="00334A79"/>
    <w:rsid w:val="003410F8"/>
    <w:rsid w:val="003427D7"/>
    <w:rsid w:val="00343FFB"/>
    <w:rsid w:val="00356589"/>
    <w:rsid w:val="003567AC"/>
    <w:rsid w:val="00361991"/>
    <w:rsid w:val="00361D78"/>
    <w:rsid w:val="00362465"/>
    <w:rsid w:val="00362837"/>
    <w:rsid w:val="00367FDF"/>
    <w:rsid w:val="003716A5"/>
    <w:rsid w:val="0037358F"/>
    <w:rsid w:val="0039016F"/>
    <w:rsid w:val="00391A2A"/>
    <w:rsid w:val="00393D01"/>
    <w:rsid w:val="00394227"/>
    <w:rsid w:val="00396920"/>
    <w:rsid w:val="00396C2D"/>
    <w:rsid w:val="00397700"/>
    <w:rsid w:val="003977C5"/>
    <w:rsid w:val="003A0B68"/>
    <w:rsid w:val="003A6C8A"/>
    <w:rsid w:val="003B41BD"/>
    <w:rsid w:val="003D18D1"/>
    <w:rsid w:val="003D42F6"/>
    <w:rsid w:val="003D625C"/>
    <w:rsid w:val="003D6641"/>
    <w:rsid w:val="003D69F6"/>
    <w:rsid w:val="003E1C52"/>
    <w:rsid w:val="003F1C9B"/>
    <w:rsid w:val="003F3F55"/>
    <w:rsid w:val="003F73D8"/>
    <w:rsid w:val="004006A9"/>
    <w:rsid w:val="0040376C"/>
    <w:rsid w:val="00403AC6"/>
    <w:rsid w:val="00403DAF"/>
    <w:rsid w:val="004051D3"/>
    <w:rsid w:val="004055DA"/>
    <w:rsid w:val="004064F4"/>
    <w:rsid w:val="00406C1D"/>
    <w:rsid w:val="0041093A"/>
    <w:rsid w:val="00412301"/>
    <w:rsid w:val="00412956"/>
    <w:rsid w:val="00413D95"/>
    <w:rsid w:val="0041476E"/>
    <w:rsid w:val="00416DF0"/>
    <w:rsid w:val="0042203D"/>
    <w:rsid w:val="00424A0A"/>
    <w:rsid w:val="00431325"/>
    <w:rsid w:val="00431902"/>
    <w:rsid w:val="00442B07"/>
    <w:rsid w:val="00442F31"/>
    <w:rsid w:val="00442FD9"/>
    <w:rsid w:val="004439B2"/>
    <w:rsid w:val="00443D78"/>
    <w:rsid w:val="0045351B"/>
    <w:rsid w:val="00454722"/>
    <w:rsid w:val="004567E6"/>
    <w:rsid w:val="004569B3"/>
    <w:rsid w:val="00457389"/>
    <w:rsid w:val="00461B65"/>
    <w:rsid w:val="004648A1"/>
    <w:rsid w:val="00466076"/>
    <w:rsid w:val="00473FA1"/>
    <w:rsid w:val="00474CE4"/>
    <w:rsid w:val="0048744D"/>
    <w:rsid w:val="004941C4"/>
    <w:rsid w:val="004A1433"/>
    <w:rsid w:val="004A1D17"/>
    <w:rsid w:val="004A2465"/>
    <w:rsid w:val="004A60EE"/>
    <w:rsid w:val="004B23D2"/>
    <w:rsid w:val="004B6689"/>
    <w:rsid w:val="004D665B"/>
    <w:rsid w:val="004D6D70"/>
    <w:rsid w:val="004E6332"/>
    <w:rsid w:val="004E6D43"/>
    <w:rsid w:val="004F74D9"/>
    <w:rsid w:val="005015E3"/>
    <w:rsid w:val="00506D8F"/>
    <w:rsid w:val="00517F8F"/>
    <w:rsid w:val="00526322"/>
    <w:rsid w:val="0052648A"/>
    <w:rsid w:val="005278CD"/>
    <w:rsid w:val="005350F0"/>
    <w:rsid w:val="00540357"/>
    <w:rsid w:val="00540C3A"/>
    <w:rsid w:val="00556F5B"/>
    <w:rsid w:val="00557E0D"/>
    <w:rsid w:val="00560AEB"/>
    <w:rsid w:val="00565BC1"/>
    <w:rsid w:val="0058077D"/>
    <w:rsid w:val="00581F71"/>
    <w:rsid w:val="005913A0"/>
    <w:rsid w:val="00593D9D"/>
    <w:rsid w:val="0059763F"/>
    <w:rsid w:val="005A42C6"/>
    <w:rsid w:val="005A5F3D"/>
    <w:rsid w:val="005B0680"/>
    <w:rsid w:val="005B3C27"/>
    <w:rsid w:val="005C60CE"/>
    <w:rsid w:val="005C6D39"/>
    <w:rsid w:val="005C7CC4"/>
    <w:rsid w:val="005D54DB"/>
    <w:rsid w:val="005D595F"/>
    <w:rsid w:val="005D72A7"/>
    <w:rsid w:val="005E0611"/>
    <w:rsid w:val="005E555C"/>
    <w:rsid w:val="005F2D24"/>
    <w:rsid w:val="005F3093"/>
    <w:rsid w:val="005F30D7"/>
    <w:rsid w:val="005F7295"/>
    <w:rsid w:val="006051DF"/>
    <w:rsid w:val="00606CB7"/>
    <w:rsid w:val="00611186"/>
    <w:rsid w:val="006164C6"/>
    <w:rsid w:val="006219AD"/>
    <w:rsid w:val="00626C89"/>
    <w:rsid w:val="00626E32"/>
    <w:rsid w:val="0062729A"/>
    <w:rsid w:val="006317D2"/>
    <w:rsid w:val="0063727D"/>
    <w:rsid w:val="00637B3B"/>
    <w:rsid w:val="0064478E"/>
    <w:rsid w:val="00646761"/>
    <w:rsid w:val="0064691D"/>
    <w:rsid w:val="006510C7"/>
    <w:rsid w:val="00653EE6"/>
    <w:rsid w:val="0065706F"/>
    <w:rsid w:val="00663652"/>
    <w:rsid w:val="0067142E"/>
    <w:rsid w:val="0067267C"/>
    <w:rsid w:val="00672CBF"/>
    <w:rsid w:val="00673386"/>
    <w:rsid w:val="00674ABB"/>
    <w:rsid w:val="00676030"/>
    <w:rsid w:val="0067679D"/>
    <w:rsid w:val="00677517"/>
    <w:rsid w:val="0068003E"/>
    <w:rsid w:val="00683336"/>
    <w:rsid w:val="006905FA"/>
    <w:rsid w:val="006906BD"/>
    <w:rsid w:val="00691977"/>
    <w:rsid w:val="006929D3"/>
    <w:rsid w:val="00694BB0"/>
    <w:rsid w:val="006A216B"/>
    <w:rsid w:val="006A348C"/>
    <w:rsid w:val="006B09A2"/>
    <w:rsid w:val="006B1A91"/>
    <w:rsid w:val="006B1C04"/>
    <w:rsid w:val="006C1DB7"/>
    <w:rsid w:val="006C2902"/>
    <w:rsid w:val="006C35D1"/>
    <w:rsid w:val="006C69F8"/>
    <w:rsid w:val="006D5EF5"/>
    <w:rsid w:val="006F0D64"/>
    <w:rsid w:val="006F3879"/>
    <w:rsid w:val="006F5FE3"/>
    <w:rsid w:val="006F686E"/>
    <w:rsid w:val="00700D2B"/>
    <w:rsid w:val="00701535"/>
    <w:rsid w:val="00716485"/>
    <w:rsid w:val="007227C6"/>
    <w:rsid w:val="0072791D"/>
    <w:rsid w:val="0073318C"/>
    <w:rsid w:val="00733CF4"/>
    <w:rsid w:val="007344F2"/>
    <w:rsid w:val="00741BF2"/>
    <w:rsid w:val="00743284"/>
    <w:rsid w:val="00743986"/>
    <w:rsid w:val="007455F1"/>
    <w:rsid w:val="00750EE2"/>
    <w:rsid w:val="00752975"/>
    <w:rsid w:val="0075541C"/>
    <w:rsid w:val="00765DD4"/>
    <w:rsid w:val="00767AD2"/>
    <w:rsid w:val="007717E4"/>
    <w:rsid w:val="00773AB1"/>
    <w:rsid w:val="007746C0"/>
    <w:rsid w:val="00777C15"/>
    <w:rsid w:val="00780226"/>
    <w:rsid w:val="007954EA"/>
    <w:rsid w:val="00796D88"/>
    <w:rsid w:val="007A1B0A"/>
    <w:rsid w:val="007A3A88"/>
    <w:rsid w:val="007B62DB"/>
    <w:rsid w:val="007B6A0B"/>
    <w:rsid w:val="007C3235"/>
    <w:rsid w:val="007C6415"/>
    <w:rsid w:val="007C7C15"/>
    <w:rsid w:val="007D090B"/>
    <w:rsid w:val="007D5A3A"/>
    <w:rsid w:val="007F54E9"/>
    <w:rsid w:val="00800E34"/>
    <w:rsid w:val="00803517"/>
    <w:rsid w:val="0080571D"/>
    <w:rsid w:val="008059A9"/>
    <w:rsid w:val="0080673D"/>
    <w:rsid w:val="00807147"/>
    <w:rsid w:val="008141B1"/>
    <w:rsid w:val="00814DDC"/>
    <w:rsid w:val="00826D20"/>
    <w:rsid w:val="008313A3"/>
    <w:rsid w:val="00846413"/>
    <w:rsid w:val="008511F4"/>
    <w:rsid w:val="00855241"/>
    <w:rsid w:val="00857703"/>
    <w:rsid w:val="0086540D"/>
    <w:rsid w:val="008722F4"/>
    <w:rsid w:val="00873823"/>
    <w:rsid w:val="00873C97"/>
    <w:rsid w:val="008745F7"/>
    <w:rsid w:val="00880D3F"/>
    <w:rsid w:val="00882275"/>
    <w:rsid w:val="00887119"/>
    <w:rsid w:val="008915C0"/>
    <w:rsid w:val="00893D18"/>
    <w:rsid w:val="00895141"/>
    <w:rsid w:val="008A26C4"/>
    <w:rsid w:val="008A26E5"/>
    <w:rsid w:val="008A4668"/>
    <w:rsid w:val="008A79FE"/>
    <w:rsid w:val="008B2EEB"/>
    <w:rsid w:val="008B59B2"/>
    <w:rsid w:val="008C19D2"/>
    <w:rsid w:val="008C2CEB"/>
    <w:rsid w:val="008C54D9"/>
    <w:rsid w:val="008C6457"/>
    <w:rsid w:val="008D2B38"/>
    <w:rsid w:val="008D3779"/>
    <w:rsid w:val="008D448A"/>
    <w:rsid w:val="008D4A50"/>
    <w:rsid w:val="008D607E"/>
    <w:rsid w:val="008F23BF"/>
    <w:rsid w:val="008F2D18"/>
    <w:rsid w:val="008F63B4"/>
    <w:rsid w:val="009057D9"/>
    <w:rsid w:val="00906A9B"/>
    <w:rsid w:val="00907292"/>
    <w:rsid w:val="00907394"/>
    <w:rsid w:val="00910463"/>
    <w:rsid w:val="00916A91"/>
    <w:rsid w:val="00932C53"/>
    <w:rsid w:val="009433F6"/>
    <w:rsid w:val="0094471E"/>
    <w:rsid w:val="00946350"/>
    <w:rsid w:val="00962006"/>
    <w:rsid w:val="00964050"/>
    <w:rsid w:val="00965120"/>
    <w:rsid w:val="009660C6"/>
    <w:rsid w:val="009701AD"/>
    <w:rsid w:val="009730B8"/>
    <w:rsid w:val="00974FED"/>
    <w:rsid w:val="00981FA4"/>
    <w:rsid w:val="0098238E"/>
    <w:rsid w:val="00983373"/>
    <w:rsid w:val="00985A5F"/>
    <w:rsid w:val="0098639E"/>
    <w:rsid w:val="009A1E64"/>
    <w:rsid w:val="009A4049"/>
    <w:rsid w:val="009A4BEB"/>
    <w:rsid w:val="009A4E82"/>
    <w:rsid w:val="009B013E"/>
    <w:rsid w:val="009B33ED"/>
    <w:rsid w:val="009C0058"/>
    <w:rsid w:val="009C29E4"/>
    <w:rsid w:val="009C73E5"/>
    <w:rsid w:val="009C7A84"/>
    <w:rsid w:val="009D19FE"/>
    <w:rsid w:val="009D54B5"/>
    <w:rsid w:val="009E0993"/>
    <w:rsid w:val="009F42F9"/>
    <w:rsid w:val="00A024B4"/>
    <w:rsid w:val="00A06740"/>
    <w:rsid w:val="00A142C8"/>
    <w:rsid w:val="00A23322"/>
    <w:rsid w:val="00A23BEE"/>
    <w:rsid w:val="00A338BC"/>
    <w:rsid w:val="00A34631"/>
    <w:rsid w:val="00A35FF6"/>
    <w:rsid w:val="00A36A5C"/>
    <w:rsid w:val="00A36A94"/>
    <w:rsid w:val="00A40A29"/>
    <w:rsid w:val="00A42680"/>
    <w:rsid w:val="00A431B1"/>
    <w:rsid w:val="00A4358C"/>
    <w:rsid w:val="00A4737D"/>
    <w:rsid w:val="00A50DFD"/>
    <w:rsid w:val="00A51D56"/>
    <w:rsid w:val="00A52D68"/>
    <w:rsid w:val="00A53BF1"/>
    <w:rsid w:val="00A57F37"/>
    <w:rsid w:val="00A9209B"/>
    <w:rsid w:val="00A9232A"/>
    <w:rsid w:val="00AA64EE"/>
    <w:rsid w:val="00AB373D"/>
    <w:rsid w:val="00AB56B5"/>
    <w:rsid w:val="00AB56BD"/>
    <w:rsid w:val="00AB7163"/>
    <w:rsid w:val="00AC0E56"/>
    <w:rsid w:val="00AC2719"/>
    <w:rsid w:val="00AC5EB1"/>
    <w:rsid w:val="00AC7BDE"/>
    <w:rsid w:val="00AD0979"/>
    <w:rsid w:val="00AD7B4F"/>
    <w:rsid w:val="00AE08B0"/>
    <w:rsid w:val="00AE1BFF"/>
    <w:rsid w:val="00AE1E7E"/>
    <w:rsid w:val="00AE296A"/>
    <w:rsid w:val="00AF12F5"/>
    <w:rsid w:val="00AF2703"/>
    <w:rsid w:val="00AF735D"/>
    <w:rsid w:val="00B01804"/>
    <w:rsid w:val="00B10C4C"/>
    <w:rsid w:val="00B11FFB"/>
    <w:rsid w:val="00B23B69"/>
    <w:rsid w:val="00B23B9D"/>
    <w:rsid w:val="00B253AD"/>
    <w:rsid w:val="00B31D41"/>
    <w:rsid w:val="00B3672C"/>
    <w:rsid w:val="00B36DB8"/>
    <w:rsid w:val="00B42A1F"/>
    <w:rsid w:val="00B44D20"/>
    <w:rsid w:val="00B50DE7"/>
    <w:rsid w:val="00B512A0"/>
    <w:rsid w:val="00B52BA0"/>
    <w:rsid w:val="00B540D2"/>
    <w:rsid w:val="00B55D0E"/>
    <w:rsid w:val="00B62EA6"/>
    <w:rsid w:val="00B6705B"/>
    <w:rsid w:val="00B67C5F"/>
    <w:rsid w:val="00B67DEE"/>
    <w:rsid w:val="00B71FD4"/>
    <w:rsid w:val="00B729A4"/>
    <w:rsid w:val="00B74528"/>
    <w:rsid w:val="00B74D2E"/>
    <w:rsid w:val="00B87057"/>
    <w:rsid w:val="00B96A2F"/>
    <w:rsid w:val="00BA1591"/>
    <w:rsid w:val="00BA28F6"/>
    <w:rsid w:val="00BB0270"/>
    <w:rsid w:val="00BB0B0A"/>
    <w:rsid w:val="00BB1646"/>
    <w:rsid w:val="00BB7521"/>
    <w:rsid w:val="00BC1621"/>
    <w:rsid w:val="00BC3FF9"/>
    <w:rsid w:val="00BD0581"/>
    <w:rsid w:val="00BD28BD"/>
    <w:rsid w:val="00BE27BC"/>
    <w:rsid w:val="00BE4F0D"/>
    <w:rsid w:val="00BF1F5C"/>
    <w:rsid w:val="00BF3823"/>
    <w:rsid w:val="00BF522D"/>
    <w:rsid w:val="00C07A0C"/>
    <w:rsid w:val="00C1078F"/>
    <w:rsid w:val="00C128D8"/>
    <w:rsid w:val="00C137B6"/>
    <w:rsid w:val="00C16514"/>
    <w:rsid w:val="00C24DD5"/>
    <w:rsid w:val="00C3201F"/>
    <w:rsid w:val="00C351BC"/>
    <w:rsid w:val="00C4223F"/>
    <w:rsid w:val="00C43CBE"/>
    <w:rsid w:val="00C46285"/>
    <w:rsid w:val="00C53384"/>
    <w:rsid w:val="00C62B93"/>
    <w:rsid w:val="00C71A29"/>
    <w:rsid w:val="00C82A45"/>
    <w:rsid w:val="00C86F9E"/>
    <w:rsid w:val="00C92E44"/>
    <w:rsid w:val="00C9508B"/>
    <w:rsid w:val="00CA68E1"/>
    <w:rsid w:val="00CA719D"/>
    <w:rsid w:val="00CB2805"/>
    <w:rsid w:val="00CC517B"/>
    <w:rsid w:val="00CC6EE0"/>
    <w:rsid w:val="00CD68A9"/>
    <w:rsid w:val="00CF100E"/>
    <w:rsid w:val="00CF149C"/>
    <w:rsid w:val="00CF5598"/>
    <w:rsid w:val="00CF7D8E"/>
    <w:rsid w:val="00D00670"/>
    <w:rsid w:val="00D02B9C"/>
    <w:rsid w:val="00D0413D"/>
    <w:rsid w:val="00D047F4"/>
    <w:rsid w:val="00D163F1"/>
    <w:rsid w:val="00D17453"/>
    <w:rsid w:val="00D2138B"/>
    <w:rsid w:val="00D32B3D"/>
    <w:rsid w:val="00D37326"/>
    <w:rsid w:val="00D37936"/>
    <w:rsid w:val="00D42FCA"/>
    <w:rsid w:val="00D433BA"/>
    <w:rsid w:val="00D533DB"/>
    <w:rsid w:val="00D54092"/>
    <w:rsid w:val="00D558DA"/>
    <w:rsid w:val="00D60B31"/>
    <w:rsid w:val="00D63012"/>
    <w:rsid w:val="00D6492D"/>
    <w:rsid w:val="00D655C9"/>
    <w:rsid w:val="00D718DF"/>
    <w:rsid w:val="00D7468F"/>
    <w:rsid w:val="00D75797"/>
    <w:rsid w:val="00D778D4"/>
    <w:rsid w:val="00D8077F"/>
    <w:rsid w:val="00D80DF9"/>
    <w:rsid w:val="00D81D4E"/>
    <w:rsid w:val="00D851D7"/>
    <w:rsid w:val="00D965A3"/>
    <w:rsid w:val="00D971E6"/>
    <w:rsid w:val="00D97BA5"/>
    <w:rsid w:val="00DA5064"/>
    <w:rsid w:val="00DA5269"/>
    <w:rsid w:val="00DA7DAE"/>
    <w:rsid w:val="00DB2FDC"/>
    <w:rsid w:val="00DB6A3F"/>
    <w:rsid w:val="00DB7A86"/>
    <w:rsid w:val="00DB7AB7"/>
    <w:rsid w:val="00DC0D28"/>
    <w:rsid w:val="00DC21D7"/>
    <w:rsid w:val="00DC2E7D"/>
    <w:rsid w:val="00DC47E4"/>
    <w:rsid w:val="00DC6464"/>
    <w:rsid w:val="00DD5B0E"/>
    <w:rsid w:val="00DD6660"/>
    <w:rsid w:val="00DE00DF"/>
    <w:rsid w:val="00DE3803"/>
    <w:rsid w:val="00DF5073"/>
    <w:rsid w:val="00E00E70"/>
    <w:rsid w:val="00E03E1D"/>
    <w:rsid w:val="00E1404A"/>
    <w:rsid w:val="00E1613E"/>
    <w:rsid w:val="00E17BF9"/>
    <w:rsid w:val="00E21740"/>
    <w:rsid w:val="00E3670D"/>
    <w:rsid w:val="00E36DF7"/>
    <w:rsid w:val="00E476E6"/>
    <w:rsid w:val="00E5371E"/>
    <w:rsid w:val="00E6591E"/>
    <w:rsid w:val="00E65A5C"/>
    <w:rsid w:val="00E7320D"/>
    <w:rsid w:val="00E74054"/>
    <w:rsid w:val="00E740FD"/>
    <w:rsid w:val="00E9074A"/>
    <w:rsid w:val="00EA0D36"/>
    <w:rsid w:val="00EA2C86"/>
    <w:rsid w:val="00EA445A"/>
    <w:rsid w:val="00EA6455"/>
    <w:rsid w:val="00EB1CD5"/>
    <w:rsid w:val="00EC03FD"/>
    <w:rsid w:val="00EC6C6D"/>
    <w:rsid w:val="00ED023C"/>
    <w:rsid w:val="00ED410C"/>
    <w:rsid w:val="00ED6A55"/>
    <w:rsid w:val="00ED7069"/>
    <w:rsid w:val="00ED7542"/>
    <w:rsid w:val="00EE10A8"/>
    <w:rsid w:val="00EE63FF"/>
    <w:rsid w:val="00EE677B"/>
    <w:rsid w:val="00EE7A3B"/>
    <w:rsid w:val="00EF0AC7"/>
    <w:rsid w:val="00EF30F9"/>
    <w:rsid w:val="00EF4DD7"/>
    <w:rsid w:val="00F061CB"/>
    <w:rsid w:val="00F1412C"/>
    <w:rsid w:val="00F16457"/>
    <w:rsid w:val="00F16471"/>
    <w:rsid w:val="00F16EC5"/>
    <w:rsid w:val="00F17993"/>
    <w:rsid w:val="00F230D5"/>
    <w:rsid w:val="00F2402E"/>
    <w:rsid w:val="00F4079C"/>
    <w:rsid w:val="00F40CDC"/>
    <w:rsid w:val="00F46E7A"/>
    <w:rsid w:val="00F61F2A"/>
    <w:rsid w:val="00F636F9"/>
    <w:rsid w:val="00F63B0D"/>
    <w:rsid w:val="00F65382"/>
    <w:rsid w:val="00F72BFE"/>
    <w:rsid w:val="00F77397"/>
    <w:rsid w:val="00F778E7"/>
    <w:rsid w:val="00F800A7"/>
    <w:rsid w:val="00F85951"/>
    <w:rsid w:val="00F94A95"/>
    <w:rsid w:val="00F97384"/>
    <w:rsid w:val="00F97E51"/>
    <w:rsid w:val="00FA219D"/>
    <w:rsid w:val="00FC0795"/>
    <w:rsid w:val="00FC2701"/>
    <w:rsid w:val="00FC59C9"/>
    <w:rsid w:val="00FD132D"/>
    <w:rsid w:val="00FD6B6E"/>
    <w:rsid w:val="00FE73E8"/>
    <w:rsid w:val="00FE7A0B"/>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235"/>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E03E1D"/>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E03E1D"/>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E03E1D"/>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
    <w:uiPriority w:val="34"/>
    <w:qFormat/>
    <w:rsid w:val="00CF100E"/>
    <w:pPr>
      <w:ind w:firstLineChars="200" w:firstLine="420"/>
    </w:pPr>
  </w:style>
  <w:style w:type="paragraph" w:styleId="a4">
    <w:name w:val="header"/>
    <w:basedOn w:val="a"/>
    <w:link w:val="Char0"/>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56F5B"/>
    <w:rPr>
      <w:rFonts w:ascii="Calibri" w:eastAsia="宋体" w:hAnsi="Calibri" w:cs="Calibri"/>
      <w:kern w:val="0"/>
      <w:sz w:val="18"/>
      <w:szCs w:val="18"/>
    </w:rPr>
  </w:style>
  <w:style w:type="paragraph" w:styleId="a5">
    <w:name w:val="footer"/>
    <w:basedOn w:val="a"/>
    <w:link w:val="Char1"/>
    <w:uiPriority w:val="99"/>
    <w:unhideWhenUsed/>
    <w:rsid w:val="00556F5B"/>
    <w:pPr>
      <w:tabs>
        <w:tab w:val="center" w:pos="4153"/>
        <w:tab w:val="right" w:pos="8306"/>
      </w:tabs>
      <w:snapToGrid w:val="0"/>
      <w:jc w:val="left"/>
    </w:pPr>
    <w:rPr>
      <w:sz w:val="18"/>
      <w:szCs w:val="18"/>
    </w:rPr>
  </w:style>
  <w:style w:type="character" w:customStyle="1" w:styleId="Char1">
    <w:name w:val="页脚 Char"/>
    <w:basedOn w:val="a0"/>
    <w:link w:val="a5"/>
    <w:uiPriority w:val="99"/>
    <w:rsid w:val="00556F5B"/>
    <w:rPr>
      <w:rFonts w:ascii="Calibri" w:eastAsia="宋体" w:hAnsi="Calibri" w:cs="Calibri"/>
      <w:kern w:val="0"/>
      <w:sz w:val="18"/>
      <w:szCs w:val="18"/>
    </w:rPr>
  </w:style>
  <w:style w:type="table" w:styleId="a6">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2"/>
    <w:uiPriority w:val="99"/>
    <w:unhideWhenUsed/>
    <w:qFormat/>
    <w:rsid w:val="008A4668"/>
    <w:pPr>
      <w:jc w:val="left"/>
    </w:pPr>
  </w:style>
  <w:style w:type="character" w:customStyle="1" w:styleId="Char2">
    <w:name w:val="批注文字 Char"/>
    <w:basedOn w:val="a0"/>
    <w:link w:val="a7"/>
    <w:uiPriority w:val="99"/>
    <w:qFormat/>
    <w:rsid w:val="008A4668"/>
    <w:rPr>
      <w:rFonts w:ascii="Calibri" w:eastAsia="宋体" w:hAnsi="Calibri" w:cs="Calibri"/>
      <w:kern w:val="0"/>
      <w:szCs w:val="21"/>
    </w:rPr>
  </w:style>
  <w:style w:type="character" w:styleId="a8">
    <w:name w:val="annotation reference"/>
    <w:qFormat/>
    <w:rsid w:val="008A4668"/>
    <w:rPr>
      <w:sz w:val="16"/>
      <w:szCs w:val="16"/>
    </w:rPr>
  </w:style>
  <w:style w:type="paragraph" w:styleId="a9">
    <w:name w:val="Balloon Text"/>
    <w:basedOn w:val="a"/>
    <w:link w:val="Char3"/>
    <w:uiPriority w:val="99"/>
    <w:semiHidden/>
    <w:unhideWhenUsed/>
    <w:rsid w:val="008A4668"/>
    <w:rPr>
      <w:sz w:val="18"/>
      <w:szCs w:val="18"/>
    </w:rPr>
  </w:style>
  <w:style w:type="character" w:customStyle="1" w:styleId="Char3">
    <w:name w:val="批注框文本 Char"/>
    <w:basedOn w:val="a0"/>
    <w:link w:val="a9"/>
    <w:uiPriority w:val="99"/>
    <w:semiHidden/>
    <w:rsid w:val="008A4668"/>
    <w:rPr>
      <w:rFonts w:ascii="Calibri" w:eastAsia="宋体" w:hAnsi="Calibri" w:cs="Calibri"/>
      <w:kern w:val="0"/>
      <w:sz w:val="18"/>
      <w:szCs w:val="18"/>
    </w:rPr>
  </w:style>
  <w:style w:type="paragraph" w:styleId="aa">
    <w:name w:val="annotation subject"/>
    <w:basedOn w:val="a7"/>
    <w:next w:val="a7"/>
    <w:link w:val="Char4"/>
    <w:uiPriority w:val="99"/>
    <w:semiHidden/>
    <w:unhideWhenUsed/>
    <w:rsid w:val="00A42680"/>
    <w:rPr>
      <w:b/>
      <w:bCs/>
    </w:rPr>
  </w:style>
  <w:style w:type="character" w:customStyle="1" w:styleId="Char4">
    <w:name w:val="批注主题 Char"/>
    <w:basedOn w:val="Char2"/>
    <w:link w:val="aa"/>
    <w:uiPriority w:val="99"/>
    <w:semiHidden/>
    <w:rsid w:val="00A42680"/>
    <w:rPr>
      <w:rFonts w:ascii="Calibri" w:eastAsia="宋体" w:hAnsi="Calibri" w:cs="Calibri"/>
      <w:b/>
      <w:bCs/>
      <w:kern w:val="0"/>
      <w:szCs w:val="21"/>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b"/>
    <w:uiPriority w:val="35"/>
    <w:rsid w:val="00974FED"/>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3"/>
    <w:uiPriority w:val="34"/>
    <w:qFormat/>
    <w:rsid w:val="00431325"/>
    <w:rPr>
      <w:rFonts w:ascii="Times New Roman" w:eastAsia="Times New Roman" w:hAnsi="Times New Roman" w:cs="Calibri"/>
      <w:kern w:val="0"/>
      <w:sz w:val="22"/>
      <w:szCs w:val="21"/>
    </w:rPr>
  </w:style>
  <w:style w:type="character" w:styleId="ac">
    <w:name w:val="Strong"/>
    <w:uiPriority w:val="22"/>
    <w:qFormat/>
    <w:rsid w:val="00431325"/>
    <w:rPr>
      <w:b/>
      <w:bCs/>
    </w:rPr>
  </w:style>
  <w:style w:type="character" w:customStyle="1" w:styleId="apple-converted-space">
    <w:name w:val="apple-converted-space"/>
    <w:qFormat/>
    <w:rsid w:val="00431325"/>
  </w:style>
  <w:style w:type="paragraph" w:styleId="ad">
    <w:name w:val="Normal (Web)"/>
    <w:basedOn w:val="a"/>
    <w:uiPriority w:val="99"/>
    <w:qFormat/>
    <w:rsid w:val="00057EAF"/>
    <w:pPr>
      <w:spacing w:before="100" w:beforeAutospacing="1" w:after="100" w:afterAutospacing="1"/>
      <w:ind w:left="720" w:hanging="720"/>
      <w:jc w:val="left"/>
    </w:pPr>
    <w:rPr>
      <w:rFonts w:ascii="Arial" w:eastAsia="宋体" w:hAnsi="Arial" w:cs="Arial"/>
      <w:color w:val="493118"/>
      <w:sz w:val="18"/>
      <w:szCs w:val="18"/>
    </w:rPr>
  </w:style>
  <w:style w:type="paragraph" w:customStyle="1" w:styleId="xmsonormal">
    <w:name w:val="xmsonormal"/>
    <w:basedOn w:val="a"/>
    <w:uiPriority w:val="99"/>
    <w:rsid w:val="00057EAF"/>
    <w:pPr>
      <w:spacing w:before="100" w:beforeAutospacing="1" w:after="100" w:afterAutospacing="1"/>
      <w:jc w:val="left"/>
    </w:pPr>
    <w:rPr>
      <w:rFonts w:eastAsia="宋体" w:cs="Times New Roman"/>
      <w:sz w:val="24"/>
      <w:szCs w:val="24"/>
    </w:rPr>
  </w:style>
  <w:style w:type="character" w:customStyle="1" w:styleId="msoins0">
    <w:name w:val="msoins"/>
    <w:rsid w:val="00057EAF"/>
  </w:style>
  <w:style w:type="paragraph" w:customStyle="1" w:styleId="Agreement">
    <w:name w:val="Agreement"/>
    <w:basedOn w:val="a"/>
    <w:next w:val="a"/>
    <w:uiPriority w:val="99"/>
    <w:qFormat/>
    <w:rsid w:val="00A4737D"/>
    <w:pPr>
      <w:numPr>
        <w:numId w:val="37"/>
      </w:numPr>
      <w:tabs>
        <w:tab w:val="clear" w:pos="4046"/>
        <w:tab w:val="num" w:pos="1069"/>
      </w:tabs>
      <w:spacing w:before="60"/>
      <w:ind w:left="1069"/>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5638</Words>
  <Characters>30674</Characters>
  <Application>Microsoft Office Word</Application>
  <DocSecurity>0</DocSecurity>
  <Lines>557</Lines>
  <Paragraphs>302</Paragraphs>
  <ScaleCrop>false</ScaleCrop>
  <Company/>
  <LinksUpToDate>false</LinksUpToDate>
  <CharactersWithSpaces>36010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2021-08-06T14:04:00Z</dcterms:created>
  <dcterms:modified xsi:type="dcterms:W3CDTF">2021-08-07T03:46:00Z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1628258386</vt:lpwstr>
  </property>
  <property fmtid="{D5CDD505-2E9C-101B-9397-08002B2CF9AE}" pid="6" name="_2015_ms_pID_725343">
    <vt:lpwstr>(2)sNYF4ackHezldZIMkZRzbdShLm0+2UTpCsn5V0oBmnQKOmBYUkpURK0B+sSdqeaSBtM0nqdO
6A8l3POHAkBXjzAZ1SLshb14hhBU3I5vHMzoXwEIwPZsVVBnXFNbLuZbArLyFYcYqpUjHNWy
/HOewAXF5N6+CdmbrnWAi5Svb+ZlvTEBdMcYlLlDai6BCCUTadLsuFJ6mY7cgXh9FgT2W2NI
ocyFgMsPQNxsGtpzua</vt:lpwstr>
  </property>
  <property fmtid="{D5CDD505-2E9C-101B-9397-08002B2CF9AE}" pid="7" name="_2015_ms_pID_7253431">
    <vt:lpwstr>u91AWDEUVCCM0m6jQ7oD9e+gr7A+v87M6DnuM5NsrPNHs/35gEaKW+
wNyuDNPiaR2ZGp0lUfCpcyiCgBp+7+u+C8dGQ23e3+v+OC2zjYXcyY9yTw3LxtnrwMTFsO2A
B3J5v8/QLBmQQeR2RToyfZnz6Xd+WmJYqUuLEH4K1KUUMAIxxu9DFaqzgELX/4P2QVMwQCkl
9wLrIbJ7DrSARUok</vt:lpwstr>
  </property>
</Properties>
</file>