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7E223"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or PUSCH enahancements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r>
        <w:rPr>
          <w:i/>
          <w:iCs/>
        </w:rPr>
        <w:t>Speci</w:t>
      </w:r>
      <w:r>
        <w:rPr>
          <w:i/>
          <w:iCs/>
          <w:lang w:val="en-US" w:eastAsia="zh-CN"/>
        </w:rPr>
        <w:t>fy the following mechanisms for en</w:t>
      </w:r>
      <w:r>
        <w:rPr>
          <w:i/>
          <w:iCs/>
        </w:rPr>
        <w:t>hancements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[105-e-NR-R17-CovEnh-01] Email discussion regarding enhancements for PUSCH repetition type A – Toshi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aff6"/>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aff6"/>
        <w:numPr>
          <w:ilvl w:val="0"/>
          <w:numId w:val="5"/>
        </w:numPr>
        <w:ind w:firstLineChars="0"/>
        <w:jc w:val="both"/>
        <w:rPr>
          <w:rFonts w:eastAsia="Yu Mincho"/>
          <w:iCs/>
          <w:lang w:eastAsia="ja-JP"/>
        </w:rPr>
      </w:pPr>
      <w:r>
        <w:rPr>
          <w:rFonts w:eastAsia="Yu Mincho"/>
          <w:iCs/>
          <w:lang w:eastAsia="ja-JP"/>
        </w:rPr>
        <w:t>Case 2: TDD with contiguous-slot-based counting</w:t>
      </w:r>
    </w:p>
    <w:p w14:paraId="6DB23817" w14:textId="77777777" w:rsidR="000D1829" w:rsidRDefault="00D91C09">
      <w:pPr>
        <w:pStyle w:val="aff6"/>
        <w:numPr>
          <w:ilvl w:val="0"/>
          <w:numId w:val="5"/>
        </w:numPr>
        <w:ind w:firstLineChars="0"/>
        <w:jc w:val="both"/>
        <w:rPr>
          <w:rFonts w:eastAsia="Yu Mincho"/>
          <w:iCs/>
          <w:lang w:eastAsia="ja-JP"/>
        </w:rPr>
      </w:pPr>
      <w:r>
        <w:rPr>
          <w:rFonts w:eastAsia="Yu Mincho"/>
          <w:iCs/>
          <w:lang w:eastAsia="ja-JP"/>
        </w:rPr>
        <w:lastRenderedPageBreak/>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aff6"/>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aff6"/>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14:paraId="59FAF8CD" w14:textId="77777777" w:rsidR="000D1829" w:rsidRDefault="00D91C09">
      <w:pPr>
        <w:pStyle w:val="aff6"/>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Ericsson (for FDD with 15kHz SCS) [20]</w:t>
      </w:r>
    </w:p>
    <w:p w14:paraId="6910ECFB" w14:textId="77777777" w:rsidR="000D1829" w:rsidRDefault="00D91C09">
      <w:pPr>
        <w:pStyle w:val="aff6"/>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Samsung (if a need is identified) [15]</w:t>
      </w:r>
    </w:p>
    <w:p w14:paraId="0F97250C" w14:textId="77777777" w:rsidR="000D1829" w:rsidRDefault="00D91C09">
      <w:pPr>
        <w:pStyle w:val="aff6"/>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aff6"/>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(iBLER) in all scenarios.</w:t>
      </w:r>
      <w:r>
        <w:rPr>
          <w:rFonts w:eastAsia="Yu Mincho"/>
          <w:iCs/>
          <w:lang w:eastAsia="ja-JP"/>
        </w:rPr>
        <w:t xml:space="preserve"> </w:t>
      </w:r>
    </w:p>
    <w:p w14:paraId="4DBF540B"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Counting on the basis of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lastRenderedPageBreak/>
        <w:t>Reasons to propose 20 for the maximum repetition number</w:t>
      </w:r>
    </w:p>
    <w:p w14:paraId="7716598D" w14:textId="77777777" w:rsidR="000D1829" w:rsidRDefault="00D91C09">
      <w:pPr>
        <w:pStyle w:val="aff6"/>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aff6"/>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r>
        <w:rPr>
          <w:rFonts w:eastAsiaTheme="minorEastAsia"/>
          <w:bCs/>
          <w:i/>
          <w:iCs/>
          <w:szCs w:val="24"/>
        </w:rPr>
        <w:t>numberOfRepetitions</w:t>
      </w:r>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Yu Mincho"/>
          <w:iCs/>
          <w:lang w:eastAsia="ja-JP"/>
        </w:rPr>
        <w:t>.</w:t>
      </w:r>
    </w:p>
    <w:p w14:paraId="78DB7CDB" w14:textId="77777777" w:rsidR="000D1829" w:rsidRDefault="00D91C09">
      <w:pPr>
        <w:pStyle w:val="aff6"/>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increase of the maximum number of repetitions.</w:t>
      </w:r>
    </w:p>
    <w:p w14:paraId="1751E841" w14:textId="77777777" w:rsidR="000D1829" w:rsidRDefault="00D91C09">
      <w:pPr>
        <w:pStyle w:val="aff6"/>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aff6"/>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aff6"/>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lastRenderedPageBreak/>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aff6"/>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aff6"/>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aff6"/>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aff6"/>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afd"/>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Select one of the following alternatives, considering the aspect whether or not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ABA8BA9"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lastRenderedPageBreak/>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afd"/>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EF8F3C"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aff6"/>
        <w:numPr>
          <w:ilvl w:val="0"/>
          <w:numId w:val="13"/>
        </w:numPr>
        <w:ind w:firstLineChars="0"/>
        <w:jc w:val="both"/>
        <w:rPr>
          <w:iCs/>
          <w:lang w:eastAsia="zh-CN"/>
        </w:rPr>
      </w:pPr>
      <w:r>
        <w:rPr>
          <w:iCs/>
          <w:lang w:eastAsia="zh-CN"/>
        </w:rPr>
        <w:t>Alt 1: Whether or not a slot is determined as available for UL transmissions depends on RRC configurations and does not depend on dynamic signaling.</w:t>
      </w:r>
    </w:p>
    <w:p w14:paraId="0A259974" w14:textId="77777777" w:rsidR="000D1829" w:rsidRDefault="00D91C09">
      <w:pPr>
        <w:pStyle w:val="aff6"/>
        <w:numPr>
          <w:ilvl w:val="0"/>
          <w:numId w:val="13"/>
        </w:numPr>
        <w:ind w:firstLineChars="0"/>
        <w:jc w:val="both"/>
        <w:rPr>
          <w:iCs/>
          <w:lang w:eastAsia="zh-CN"/>
        </w:rPr>
      </w:pPr>
      <w:r>
        <w:rPr>
          <w:iCs/>
          <w:lang w:eastAsia="zh-CN"/>
        </w:rPr>
        <w:t>Alt 2: Whether or not a slot is determined as available for UL transmissions depends on RRC configurations and also depends on dynamic signaling.</w:t>
      </w:r>
    </w:p>
    <w:p w14:paraId="5F7CB9D3" w14:textId="77777777" w:rsidR="000D1829" w:rsidRDefault="00D91C09">
      <w:pPr>
        <w:jc w:val="both"/>
        <w:rPr>
          <w:rFonts w:eastAsia="Yu Mincho"/>
          <w:iCs/>
          <w:lang w:val="sv-SE" w:eastAsia="ja-JP"/>
        </w:rPr>
      </w:pPr>
      <w:r>
        <w:rPr>
          <w:rFonts w:eastAsia="Yu Mincho"/>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takes into account issue#2-3’s aspect as well. More specifically, Alt 3 determines available slots by referring to dynamic signaling in the DCI which </w:t>
      </w:r>
      <w:r>
        <w:rPr>
          <w:rFonts w:eastAsia="Yu Mincho"/>
          <w:iCs/>
          <w:lang w:eastAsia="ja-JP"/>
        </w:rPr>
        <w:lastRenderedPageBreak/>
        <w:t>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signaling lead to different understanding of available slots between UE and gNB.</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3EA599D9" w14:textId="77777777"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1: The determination of available slots does not depend on any dynamic signaling.</w:t>
      </w:r>
    </w:p>
    <w:p w14:paraId="720BF398"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ote: Further omission of PUSCH repetition in the available slot is subject to dynamic signaling.</w:t>
      </w:r>
    </w:p>
    <w:p w14:paraId="4F8CFF49"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InterDigital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2: The determination of available slots depends on dynamic signaling including e.g., dynamic SFI.</w:t>
      </w:r>
    </w:p>
    <w:p w14:paraId="4A41EDA1"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 xml:space="preserve">Supported by :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14:paraId="5E4604A4" w14:textId="77777777" w:rsidR="000D1829" w:rsidRDefault="00D91C09">
      <w:pPr>
        <w:pStyle w:val="aff6"/>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lt 3: The determination of available slots depends on dynamic signaling in the scheduling DCI only.</w:t>
      </w:r>
    </w:p>
    <w:p w14:paraId="3F2CE889"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With Alt 2, reception failures of dynamic signaling at the UE side lead to different understanding of available slots between the UE and gNB.</w:t>
      </w:r>
    </w:p>
    <w:p w14:paraId="0F200D2E"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 1 makes UE implementation easier, as it does not require re-counting when receiving dynamic signaling.</w:t>
      </w:r>
    </w:p>
    <w:p w14:paraId="5BA64A5E"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aff6"/>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14:paraId="7FAE5890"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aff6"/>
        <w:numPr>
          <w:ilvl w:val="1"/>
          <w:numId w:val="14"/>
        </w:numPr>
        <w:ind w:firstLineChars="0"/>
        <w:jc w:val="both"/>
        <w:rPr>
          <w:rFonts w:eastAsia="Yu Mincho"/>
          <w:iCs/>
          <w:lang w:eastAsia="ja-JP"/>
        </w:rPr>
      </w:pPr>
      <w:r>
        <w:rPr>
          <w:rFonts w:eastAsia="Yu Mincho" w:hint="eastAsia"/>
          <w:iCs/>
          <w:lang w:eastAsia="ja-JP"/>
        </w:rPr>
        <w:t>I</w:t>
      </w:r>
      <w:r>
        <w:rPr>
          <w:rFonts w:eastAsia="Yu Mincho"/>
          <w:iCs/>
          <w:lang w:eastAsia="ja-JP"/>
        </w:rPr>
        <w:t>nterDigital [10]</w:t>
      </w:r>
    </w:p>
    <w:p w14:paraId="38A8A882"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lastRenderedPageBreak/>
        <w:t>Overlapping with SR with larger priority should not have any impact on the determination of available slots.</w:t>
      </w:r>
    </w:p>
    <w:p w14:paraId="3955653C"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aff6"/>
        <w:numPr>
          <w:ilvl w:val="0"/>
          <w:numId w:val="15"/>
        </w:numPr>
        <w:spacing w:line="280" w:lineRule="atLeast"/>
        <w:ind w:firstLineChars="0"/>
        <w:jc w:val="both"/>
      </w:pPr>
      <w:r>
        <w:t>The determination of available slots does not depend on any dynamic signaling.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afd"/>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afd"/>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r>
                    <w:rPr>
                      <w:rFonts w:eastAsia="Batang"/>
                      <w:i/>
                      <w:color w:val="000000"/>
                      <w:lang w:val="en-GB"/>
                    </w:rPr>
                    <w:t>rv</w:t>
                  </w:r>
                  <w:r>
                    <w:rPr>
                      <w:rFonts w:eastAsia="Batang"/>
                      <w:i/>
                      <w:color w:val="000000"/>
                      <w:vertAlign w:val="subscript"/>
                      <w:lang w:val="en-GB"/>
                    </w:rPr>
                    <w:t xml:space="preserve">id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r>
                    <w:rPr>
                      <w:rFonts w:eastAsia="Batang"/>
                      <w:i/>
                      <w:color w:val="000000"/>
                      <w:lang w:val="en-GB"/>
                    </w:rPr>
                    <w:t>rv</w:t>
                  </w:r>
                  <w:r>
                    <w:rPr>
                      <w:rFonts w:eastAsia="Batang"/>
                      <w:i/>
                      <w:color w:val="000000"/>
                      <w:vertAlign w:val="subscript"/>
                      <w:lang w:val="en-GB"/>
                    </w:rPr>
                    <w:t>id</w:t>
                  </w:r>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occasion </w:t>
                  </w:r>
                  <w:r w:rsidRPr="007F6254">
                    <w:rPr>
                      <w:rFonts w:eastAsia="Batang"/>
                      <w:color w:val="000000"/>
                      <w:lang w:val="en-US"/>
                    </w:rPr>
                    <w:t xml:space="preserve"> (repetition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aff6"/>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aff6"/>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aff6"/>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aff6"/>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r>
        <w:rPr>
          <w:rFonts w:eastAsia="Yu Mincho"/>
          <w:iCs/>
          <w:lang w:eastAsia="ja-JP"/>
        </w:rPr>
        <w:t>Both of them are suggesting that RV cycling should be affected only by RRC configurations. Otherwise, reception failures of dynamic signaling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aff6"/>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14:paraId="42A00AE0" w14:textId="77777777" w:rsidR="000D1829" w:rsidRDefault="00D91C09">
      <w:pPr>
        <w:jc w:val="center"/>
        <w:rPr>
          <w:rFonts w:eastAsia="Yu Mincho"/>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aff6"/>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aff6"/>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65D8A14" w14:textId="77777777" w:rsidR="000D1829" w:rsidRDefault="00D91C09">
      <w:pPr>
        <w:pStyle w:val="aff6"/>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0B75542E"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lastRenderedPageBreak/>
        <w:t xml:space="preserve">Supported by: vivo [4], Qualcomm [7], OPPO [8], China Telecom [9], InterDigital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14:paraId="2F2B2FD2"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aff6"/>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aff6"/>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r>
        <w:rPr>
          <w:i/>
          <w:lang w:val="en-US"/>
        </w:rPr>
        <w:t>ssb-PositionsInBurst</w:t>
      </w:r>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aff6"/>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w:t>
      </w:r>
    </w:p>
    <w:p w14:paraId="2969F81F" w14:textId="77777777"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aff6"/>
        <w:numPr>
          <w:ilvl w:val="1"/>
          <w:numId w:val="20"/>
        </w:numPr>
        <w:ind w:firstLineChars="0"/>
        <w:jc w:val="both"/>
        <w:rPr>
          <w:rFonts w:eastAsia="Yu Mincho"/>
          <w:iCs/>
          <w:lang w:eastAsia="ja-JP"/>
        </w:rPr>
      </w:pPr>
      <w:r>
        <w:rPr>
          <w:rFonts w:eastAsia="Yu Mincho"/>
          <w:iCs/>
          <w:lang w:eastAsia="ja-JP"/>
        </w:rPr>
        <w:t>Vivo [4]</w:t>
      </w:r>
    </w:p>
    <w:p w14:paraId="121DE6DC"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aff6"/>
        <w:numPr>
          <w:ilvl w:val="1"/>
          <w:numId w:val="20"/>
        </w:numPr>
        <w:ind w:firstLineChars="0"/>
        <w:jc w:val="both"/>
        <w:rPr>
          <w:rFonts w:eastAsia="Yu Mincho"/>
          <w:iCs/>
          <w:lang w:eastAsia="ja-JP"/>
        </w:rPr>
      </w:pPr>
      <w:r>
        <w:rPr>
          <w:rFonts w:hint="eastAsia"/>
          <w:lang w:eastAsia="ja-JP"/>
        </w:rPr>
        <w:lastRenderedPageBreak/>
        <w:t>I</w:t>
      </w:r>
      <w:r>
        <w:rPr>
          <w:lang w:eastAsia="ja-JP"/>
        </w:rPr>
        <w:t>ntel [11]</w:t>
      </w:r>
      <w:r>
        <w:rPr>
          <w:rFonts w:eastAsia="Yu Mincho"/>
          <w:iCs/>
          <w:lang w:eastAsia="ja-JP"/>
        </w:rPr>
        <w:t>, Samsung [15], WILUS [23]</w:t>
      </w:r>
    </w:p>
    <w:p w14:paraId="34178AA1" w14:textId="77777777" w:rsidR="000D1829" w:rsidRDefault="00D91C09">
      <w:pPr>
        <w:pStyle w:val="aff6"/>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aff6"/>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aff6"/>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aff6"/>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aff6"/>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aff6"/>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afd"/>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aff6"/>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aff6"/>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aff6"/>
        <w:numPr>
          <w:ilvl w:val="0"/>
          <w:numId w:val="23"/>
        </w:numPr>
        <w:ind w:firstLineChars="0"/>
        <w:rPr>
          <w:sz w:val="21"/>
          <w:szCs w:val="21"/>
          <w:lang w:eastAsia="ja-JP"/>
        </w:rPr>
      </w:pPr>
      <w:r>
        <w:rPr>
          <w:sz w:val="21"/>
          <w:szCs w:val="21"/>
          <w:lang w:eastAsia="ja-JP"/>
        </w:rPr>
        <w:lastRenderedPageBreak/>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aff6"/>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aff6"/>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aff6"/>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aff6"/>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aff6"/>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aff6"/>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aff6"/>
        <w:numPr>
          <w:ilvl w:val="0"/>
          <w:numId w:val="24"/>
        </w:numPr>
        <w:ind w:firstLineChars="0"/>
        <w:jc w:val="both"/>
        <w:rPr>
          <w:rFonts w:eastAsia="Yu Mincho"/>
          <w:iCs/>
          <w:lang w:eastAsia="ja-JP"/>
        </w:rPr>
      </w:pPr>
      <w:r>
        <w:rPr>
          <w:rFonts w:eastAsia="Yu Mincho"/>
          <w:iCs/>
          <w:lang w:eastAsia="ja-JP"/>
        </w:rPr>
        <w:t>Ericsson is also discussing the issue of overlapping of PUSCH and other UL channels (e.g. SPS HARQ-ACK discussed in Rel-17 IIoT/URLLC WI) and signal (A-SRS discussed in Rel-17 FeMIMO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aff6"/>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aff6"/>
        <w:numPr>
          <w:ilvl w:val="1"/>
          <w:numId w:val="23"/>
        </w:numPr>
        <w:ind w:firstLineChars="0"/>
        <w:jc w:val="both"/>
        <w:rPr>
          <w:rFonts w:eastAsia="Yu Mincho"/>
          <w:iCs/>
          <w:lang w:eastAsia="ja-JP"/>
        </w:rPr>
      </w:pPr>
      <w:r>
        <w:rPr>
          <w:rFonts w:eastAsia="Yu Mincho"/>
          <w:iCs/>
          <w:lang w:eastAsia="ja-JP"/>
        </w:rPr>
        <w:lastRenderedPageBreak/>
        <w:t>Necessity of collision handling between PUSCH repetition Type A and the other UL transmissions, e.g. SPS HARQ-ACK, SRS</w:t>
      </w:r>
    </w:p>
    <w:p w14:paraId="2F4DDE7D" w14:textId="77777777" w:rsidR="000D1829" w:rsidRDefault="00D91C09">
      <w:pPr>
        <w:pStyle w:val="aff6"/>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Yu Mincho"/>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exactly the same issue.</w:t>
      </w:r>
    </w:p>
    <w:p w14:paraId="3847045B" w14:textId="77777777"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aff6"/>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aff6"/>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aff6"/>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aff6"/>
        <w:numPr>
          <w:ilvl w:val="0"/>
          <w:numId w:val="17"/>
        </w:numPr>
        <w:ind w:firstLineChars="0"/>
        <w:jc w:val="both"/>
        <w:rPr>
          <w:rFonts w:eastAsia="Yu Mincho"/>
          <w:iCs/>
          <w:lang w:eastAsia="ja-JP"/>
        </w:rPr>
      </w:pPr>
      <w:r>
        <w:rPr>
          <w:rFonts w:eastAsia="Yu Mincho" w:hint="eastAsia"/>
          <w:iCs/>
          <w:lang w:eastAsia="ja-JP"/>
        </w:rPr>
        <w:lastRenderedPageBreak/>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aff6"/>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aff6"/>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aff6"/>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aff6"/>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aff6"/>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aff6"/>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08387437"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lastRenderedPageBreak/>
        <w:t>Option 2: A set of the enhancements (a) and (b) is RRC-configurable (i.e., configured together).</w:t>
      </w:r>
    </w:p>
    <w:p w14:paraId="3CBEAC6F" w14:textId="77777777" w:rsidR="000D1829" w:rsidRDefault="00D91C09">
      <w:pPr>
        <w:pStyle w:val="aff6"/>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aff6"/>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aff6"/>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This issue raised by Samsung [15] is not strongly related to the CovEnh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afd"/>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aff6"/>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0F5405">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DMRS. REs occupied by PTRS are also excluded. </w:t>
            </w:r>
          </w:p>
          <w:p w14:paraId="0AE0DA7F" w14:textId="77777777" w:rsidR="000D1829" w:rsidRDefault="00D91C09">
            <w:pPr>
              <w:pStyle w:val="aff6"/>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aff6"/>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0F5405">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0F5405">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0F5405">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afd"/>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宋体"/>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05pt;height:19.4pt;mso-width-percent:0;mso-height-percent:0;mso-width-percent:0;mso-height-percent:0" o:ole="">
                  <v:imagedata r:id="rId12" o:title=""/>
                </v:shape>
                <o:OLEObject Type="Embed" ProgID="Equation.3" ShapeID="_x0000_i1025" DrawAspect="Content" ObjectID="_1683041814" r:id="rId13"/>
              </w:object>
            </w:r>
            <w:r>
              <w:rPr>
                <w:rFonts w:hint="eastAsia"/>
                <w:lang w:eastAsia="zh-CN"/>
              </w:rPr>
              <w:t>, is determined as follows:</w:t>
            </w:r>
          </w:p>
          <w:p w14:paraId="63B42711" w14:textId="77777777" w:rsidR="000D1829" w:rsidRDefault="00D91C09">
            <w:pPr>
              <w:pStyle w:val="aff6"/>
              <w:ind w:firstLine="400"/>
              <w:jc w:val="both"/>
            </w:pPr>
            <w:r>
              <w:tab/>
            </w:r>
            <w:r w:rsidR="0035041E">
              <w:rPr>
                <w:noProof/>
                <w:position w:val="-66"/>
              </w:rPr>
              <w:object w:dxaOrig="6934" w:dyaOrig="1565" w14:anchorId="1DDEDBD6">
                <v:shape id="_x0000_i1026" type="#_x0000_t75" alt="" style="width:346.7pt;height:78.1pt;mso-width-percent:0;mso-height-percent:0;mso-width-percent:0;mso-height-percent:0" o:ole="">
                  <v:imagedata r:id="rId14" o:title=""/>
                </v:shape>
                <o:OLEObject Type="Embed" ProgID="Equation.3" ShapeID="_x0000_i1026" DrawAspect="Content" ObjectID="_1683041815"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0F5405">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宋体"/>
                <w:noProof/>
                <w:position w:val="-14"/>
              </w:rPr>
              <w:object w:dxaOrig="832" w:dyaOrig="391" w14:anchorId="0441EBDA">
                <v:shape id="_x0000_i1027" type="#_x0000_t75" alt="" style="width:41pt;height:19.4pt;mso-width-percent:0;mso-height-percent:0;mso-width-percent:0;mso-height-percent:0" o:ole="">
                  <v:imagedata r:id="rId16" o:title=""/>
                </v:shape>
                <o:OLEObject Type="Embed" ProgID="Equation.3" ShapeID="_x0000_i1027" DrawAspect="Content" ObjectID="_1683041816"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0F5405">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1"/>
        <w:jc w:val="both"/>
      </w:pPr>
      <w:r>
        <w:t>First</w:t>
      </w:r>
      <w:r>
        <w:rPr>
          <w:rFonts w:hint="eastAsia"/>
        </w:rPr>
        <w:t xml:space="preserve"> round </w:t>
      </w:r>
      <w:r>
        <w:t>discussion</w:t>
      </w:r>
    </w:p>
    <w:p w14:paraId="7AC65364" w14:textId="77777777" w:rsidR="000D1829" w:rsidRDefault="00D91C09">
      <w:pPr>
        <w:pStyle w:val="2"/>
        <w:jc w:val="both"/>
      </w:pPr>
      <w:r>
        <w:t>Issues for the 1st round discussion</w:t>
      </w:r>
    </w:p>
    <w:p w14:paraId="257A0AE2" w14:textId="77777777" w:rsidR="000D1829" w:rsidRDefault="00D91C09">
      <w:pPr>
        <w:pStyle w:val="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afd"/>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aff6"/>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lastRenderedPageBreak/>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aff6"/>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afd"/>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lastRenderedPageBreak/>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lastRenderedPageBreak/>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43730C">
        <w:tc>
          <w:tcPr>
            <w:tcW w:w="1236" w:type="dxa"/>
          </w:tcPr>
          <w:p w14:paraId="75D437C9" w14:textId="20CDFD00" w:rsidR="00375D16" w:rsidRPr="00634EB4" w:rsidRDefault="00375D16" w:rsidP="00375D16">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r>
              <w:rPr>
                <w:rFonts w:eastAsiaTheme="minorEastAsia"/>
                <w:bCs/>
                <w:iCs/>
                <w:szCs w:val="24"/>
                <w:lang w:eastAsia="zh-CN"/>
              </w:rPr>
              <w:t xml:space="preserve">nly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43730C">
        <w:tc>
          <w:tcPr>
            <w:tcW w:w="1236" w:type="dxa"/>
          </w:tcPr>
          <w:p w14:paraId="45674E7F" w14:textId="7E378EFA" w:rsidR="005A6C0B" w:rsidRDefault="005A6C0B" w:rsidP="005A6C0B">
            <w:pPr>
              <w:spacing w:after="120"/>
              <w:jc w:val="both"/>
              <w:rPr>
                <w:rFonts w:eastAsiaTheme="minorEastAsia" w:hint="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or in ConfiguredGrantConfig depends on RAN2.</w:t>
            </w:r>
          </w:p>
        </w:tc>
      </w:tr>
    </w:tbl>
    <w:p w14:paraId="777EE28B" w14:textId="77777777" w:rsidR="000D1829" w:rsidRDefault="000D1829">
      <w:pPr>
        <w:jc w:val="both"/>
        <w:rPr>
          <w:lang w:val="en-US" w:eastAsia="zh-CN"/>
        </w:rPr>
      </w:pPr>
    </w:p>
    <w:p w14:paraId="59C5F764" w14:textId="77777777" w:rsidR="000D1829" w:rsidRDefault="00D91C09">
      <w:pPr>
        <w:pStyle w:val="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afd"/>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aff6"/>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aff6"/>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aff6"/>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aff6"/>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afd"/>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aff6"/>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w:t>
            </w:r>
            <w:r>
              <w:rPr>
                <w:lang w:val="en-US" w:eastAsia="ja-JP"/>
              </w:rPr>
              <w:lastRenderedPageBreak/>
              <w:t xml:space="preserve">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the proposal.</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aff6"/>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afd"/>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aff6"/>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lastRenderedPageBreak/>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43730C">
        <w:tc>
          <w:tcPr>
            <w:tcW w:w="1236" w:type="dxa"/>
          </w:tcPr>
          <w:p w14:paraId="65277D96" w14:textId="0BC89E11" w:rsidR="000F2D04" w:rsidRPr="00634EB4" w:rsidRDefault="000F2D04" w:rsidP="000F2D04">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r>
              <w:rPr>
                <w:rFonts w:eastAsia="Batang"/>
                <w:i/>
                <w:color w:val="000000"/>
              </w:rPr>
              <w:t>rv</w:t>
            </w:r>
            <w:r>
              <w:rPr>
                <w:rFonts w:eastAsia="Batang"/>
                <w:i/>
                <w:color w:val="000000"/>
                <w:vertAlign w:val="subscript"/>
              </w:rPr>
              <w:t xml:space="preserve">id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43730C">
        <w:tc>
          <w:tcPr>
            <w:tcW w:w="1236" w:type="dxa"/>
          </w:tcPr>
          <w:p w14:paraId="2B6B6228" w14:textId="3331F7E1" w:rsidR="005A6C0B" w:rsidRDefault="005A6C0B" w:rsidP="005A6C0B">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hint="eastAsia"/>
                <w:lang w:val="en-US" w:eastAsia="zh-CN"/>
              </w:rPr>
            </w:pPr>
            <w:r>
              <w:rPr>
                <w:rFonts w:eastAsiaTheme="minorEastAsia"/>
                <w:lang w:val="en-US" w:eastAsia="zh-CN"/>
              </w:rPr>
              <w:t>Agree with Qualcomm and intel</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aff6"/>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afd"/>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lang w:val="en-US" w:eastAsia="ko-KR"/>
              </w:rPr>
            </w:pPr>
            <w:r>
              <w:rPr>
                <w:rFonts w:eastAsiaTheme="minorEastAsia"/>
                <w:lang w:val="en-US" w:eastAsia="zh-CN"/>
              </w:rPr>
              <w:lastRenderedPageBreak/>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aff6"/>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aff6"/>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aff6"/>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aff6"/>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afd"/>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lastRenderedPageBreak/>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hint="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aff6"/>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aff6"/>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aff6"/>
        <w:numPr>
          <w:ilvl w:val="1"/>
          <w:numId w:val="19"/>
        </w:numPr>
        <w:ind w:firstLineChars="0"/>
        <w:jc w:val="both"/>
        <w:rPr>
          <w:rFonts w:eastAsia="Yu Mincho"/>
          <w:iCs/>
          <w:lang w:eastAsia="ja-JP"/>
        </w:rPr>
      </w:pPr>
      <w:r>
        <w:rPr>
          <w:rFonts w:eastAsia="Yu Mincho"/>
          <w:iCs/>
          <w:lang w:eastAsia="ja-JP"/>
        </w:rPr>
        <w:t>Semi-static PUCCH with repetition</w:t>
      </w:r>
    </w:p>
    <w:tbl>
      <w:tblPr>
        <w:tblStyle w:val="afd"/>
        <w:tblW w:w="0" w:type="auto"/>
        <w:tblLook w:val="04A0" w:firstRow="1" w:lastRow="0" w:firstColumn="1" w:lastColumn="0" w:noHBand="0" w:noVBand="1"/>
      </w:tblPr>
      <w:tblGrid>
        <w:gridCol w:w="1086"/>
        <w:gridCol w:w="854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afd"/>
              <w:tblW w:w="0" w:type="auto"/>
              <w:tblLook w:val="04A0" w:firstRow="1" w:lastRow="0" w:firstColumn="1" w:lastColumn="0" w:noHBand="0" w:noVBand="1"/>
            </w:tblPr>
            <w:tblGrid>
              <w:gridCol w:w="831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lastRenderedPageBreak/>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afd"/>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等线"/>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等线"/>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等线"/>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lastRenderedPageBreak/>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r>
              <w:rPr>
                <w:i/>
                <w:lang w:val="en-US"/>
              </w:rPr>
              <w:t>ssb-PositionsInBurst</w:t>
            </w:r>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8810A2">
        <w:tc>
          <w:tcPr>
            <w:tcW w:w="1086" w:type="dxa"/>
          </w:tcPr>
          <w:p w14:paraId="15187B7C" w14:textId="3CC59FDD" w:rsidR="005A6C0B" w:rsidRDefault="005A6C0B" w:rsidP="005A6C0B">
            <w:pPr>
              <w:spacing w:after="120"/>
              <w:jc w:val="both"/>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hint="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aff6"/>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afd"/>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aff6"/>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aff6"/>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lastRenderedPageBreak/>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hint="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aff6"/>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aff6"/>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aff6"/>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aff6"/>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afd"/>
        <w:tblW w:w="18026" w:type="dxa"/>
        <w:tblLook w:val="04A0" w:firstRow="1" w:lastRow="0" w:firstColumn="1" w:lastColumn="0" w:noHBand="0" w:noVBand="1"/>
      </w:tblPr>
      <w:tblGrid>
        <w:gridCol w:w="1236"/>
        <w:gridCol w:w="8395"/>
        <w:gridCol w:w="8395"/>
      </w:tblGrid>
      <w:tr w:rsidR="000D1829" w14:paraId="0CA463FC" w14:textId="77777777" w:rsidTr="005A6C0B">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5A6C0B">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5A6C0B">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5A6C0B">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5A6C0B">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5A6C0B">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rsidTr="005A6C0B">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5A6C0B">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5A6C0B">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5A6C0B">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rsidTr="005A6C0B">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5A6C0B">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5A6C0B">
        <w:trPr>
          <w:gridAfter w:val="1"/>
          <w:wAfter w:w="8395" w:type="dxa"/>
        </w:trPr>
        <w:tc>
          <w:tcPr>
            <w:tcW w:w="1236" w:type="dxa"/>
          </w:tcPr>
          <w:p w14:paraId="4C82C2A8" w14:textId="3F98A555" w:rsidR="00D5798C" w:rsidRPr="00634EB4" w:rsidRDefault="00D5798C" w:rsidP="00D5798C">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5A6C0B">
        <w:tc>
          <w:tcPr>
            <w:tcW w:w="1236" w:type="dxa"/>
          </w:tcPr>
          <w:p w14:paraId="3D58C6DB" w14:textId="43841AD8" w:rsidR="005A6C0B" w:rsidRDefault="005A6C0B" w:rsidP="005A6C0B">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hint="eastAsia"/>
                <w:lang w:val="en-US" w:eastAsia="zh-CN"/>
              </w:rPr>
            </w:pPr>
            <w:r>
              <w:rPr>
                <w:rFonts w:eastAsiaTheme="minorEastAsia"/>
                <w:lang w:val="en-US" w:eastAsia="zh-CN"/>
              </w:rPr>
              <w:t xml:space="preserve">Share the same view with </w:t>
            </w:r>
            <w:r>
              <w:rPr>
                <w:rFonts w:eastAsiaTheme="minorEastAsia"/>
                <w:lang w:val="en-US" w:eastAsia="zh-CN"/>
              </w:rPr>
              <w:t>intel and Qualcomm.</w:t>
            </w:r>
          </w:p>
        </w:tc>
        <w:tc>
          <w:tcPr>
            <w:tcW w:w="8395" w:type="dxa"/>
          </w:tcPr>
          <w:p w14:paraId="667B89E6" w14:textId="6495656E" w:rsidR="005A6C0B" w:rsidRDefault="005A6C0B" w:rsidP="005A6C0B">
            <w:pPr>
              <w:spacing w:after="0"/>
            </w:pPr>
            <w:r>
              <w:rPr>
                <w:rFonts w:eastAsiaTheme="minorEastAsia"/>
                <w:lang w:val="en-US" w:eastAsia="zh-CN"/>
              </w:rPr>
              <w:t>Share the same view with  intel and Qualcomm.</w:t>
            </w:r>
          </w:p>
        </w:tc>
      </w:tr>
    </w:tbl>
    <w:p w14:paraId="58498407" w14:textId="77777777" w:rsidR="000D1829" w:rsidRDefault="00D91C09">
      <w:pPr>
        <w:jc w:val="both"/>
        <w:rPr>
          <w:lang w:val="en-US" w:eastAsia="zh-CN"/>
        </w:rPr>
      </w:pPr>
      <w:r>
        <w:rPr>
          <w:rFonts w:hint="eastAsia"/>
          <w:lang w:val="en-US" w:eastAsia="zh-CN"/>
        </w:rPr>
        <w:t xml:space="preserve"> </w:t>
      </w:r>
    </w:p>
    <w:p w14:paraId="175AF56F" w14:textId="77777777" w:rsidR="000D1829" w:rsidRDefault="00D91C09">
      <w:pPr>
        <w:pStyle w:val="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aff6"/>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aff6"/>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afd"/>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lastRenderedPageBreak/>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lastRenderedPageBreak/>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aff6"/>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aff6"/>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aff6"/>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aff6"/>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aff6"/>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afd"/>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lastRenderedPageBreak/>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lastRenderedPageBreak/>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and </w:t>
            </w:r>
            <w:r>
              <w:rPr>
                <w:rFonts w:eastAsiaTheme="minorEastAsia"/>
                <w:lang w:val="en-US" w:eastAsia="zh-CN"/>
              </w:rPr>
              <w:t>Option1.</w:t>
            </w:r>
          </w:p>
        </w:tc>
      </w:tr>
    </w:tbl>
    <w:p w14:paraId="5451439B" w14:textId="77777777" w:rsidR="000D1829" w:rsidRDefault="000D1829">
      <w:pPr>
        <w:jc w:val="both"/>
        <w:rPr>
          <w:lang w:eastAsia="zh-CN"/>
        </w:rPr>
      </w:pPr>
    </w:p>
    <w:p w14:paraId="4C9B6454" w14:textId="77777777" w:rsidR="000D1829" w:rsidRDefault="00D91C09">
      <w:pPr>
        <w:pStyle w:val="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aff6"/>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afd"/>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lastRenderedPageBreak/>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Malgun Gothic"/>
                <w:lang w:val="en-US" w:eastAsia="ko-KR"/>
              </w:rPr>
            </w:pPr>
            <w:r>
              <w:rPr>
                <w:rFonts w:eastAsiaTheme="minorEastAsia"/>
                <w:lang w:val="en-US" w:eastAsia="zh-CN"/>
              </w:rPr>
              <w:lastRenderedPageBreak/>
              <w:t>Xiaomi</w:t>
            </w:r>
          </w:p>
        </w:tc>
        <w:tc>
          <w:tcPr>
            <w:tcW w:w="8395" w:type="dxa"/>
          </w:tcPr>
          <w:p w14:paraId="5AA4BC36" w14:textId="6080ED88" w:rsidR="005A6C0B" w:rsidRDefault="005A6C0B" w:rsidP="005A6C0B">
            <w:pPr>
              <w:spacing w:after="120"/>
              <w:jc w:val="both"/>
              <w:rPr>
                <w:rFonts w:eastAsia="Malgun Gothic"/>
                <w:lang w:val="en-US" w:eastAsia="ko-KR"/>
              </w:rPr>
            </w:pPr>
            <w:r>
              <w:rPr>
                <w:rFonts w:eastAsiaTheme="minorEastAsia"/>
                <w:lang w:val="en-US" w:eastAsia="zh-CN"/>
              </w:rPr>
              <w:t>No need to discuss.</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3"/>
        <w:jc w:val="both"/>
        <w:rPr>
          <w:sz w:val="24"/>
          <w:szCs w:val="16"/>
        </w:rPr>
      </w:pPr>
      <w:r>
        <w:rPr>
          <w:color w:val="FF0000"/>
          <w:sz w:val="24"/>
          <w:szCs w:val="16"/>
        </w:rPr>
        <w:t>[Open]</w:t>
      </w:r>
      <w:r>
        <w:rPr>
          <w:sz w:val="24"/>
          <w:szCs w:val="16"/>
        </w:rPr>
        <w:t xml:space="preserve"> Issue#2-12: Other issues</w:t>
      </w:r>
      <w:bookmarkStart w:id="19" w:name="_GoBack"/>
      <w:bookmarkEnd w:id="19"/>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afd"/>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1"/>
        <w:jc w:val="both"/>
      </w:pPr>
      <w:r>
        <w:t>Second</w:t>
      </w:r>
      <w:r>
        <w:rPr>
          <w:rFonts w:hint="eastAsia"/>
        </w:rPr>
        <w:t xml:space="preserve"> round </w:t>
      </w:r>
      <w:r>
        <w:t>discussion</w:t>
      </w:r>
    </w:p>
    <w:p w14:paraId="6FDC5790" w14:textId="77777777" w:rsidR="000D1829" w:rsidRDefault="00D91C09">
      <w:pPr>
        <w:pStyle w:val="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lastRenderedPageBreak/>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1"/>
        <w:jc w:val="both"/>
        <w:rPr>
          <w:lang w:val="en-US" w:eastAsia="ja-JP"/>
        </w:rPr>
      </w:pPr>
      <w:r>
        <w:rPr>
          <w:lang w:val="en-US" w:eastAsia="ja-JP"/>
        </w:rPr>
        <w:t>List of agreements</w:t>
      </w:r>
    </w:p>
    <w:p w14:paraId="5DFF07D5" w14:textId="77777777" w:rsidR="000D1829" w:rsidRDefault="00D91C09">
      <w:pPr>
        <w:pStyle w:val="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aff6"/>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lastRenderedPageBreak/>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aff6"/>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aff6"/>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5A20" w14:textId="77777777" w:rsidR="000F5405" w:rsidRDefault="000F5405" w:rsidP="00FB08D6">
      <w:pPr>
        <w:spacing w:after="0"/>
      </w:pPr>
      <w:r>
        <w:separator/>
      </w:r>
    </w:p>
  </w:endnote>
  <w:endnote w:type="continuationSeparator" w:id="0">
    <w:p w14:paraId="7843F96C" w14:textId="77777777" w:rsidR="000F5405" w:rsidRDefault="000F5405"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E6D5" w14:textId="77777777" w:rsidR="000F5405" w:rsidRDefault="000F5405" w:rsidP="00FB08D6">
      <w:pPr>
        <w:spacing w:after="0"/>
      </w:pPr>
      <w:r>
        <w:separator/>
      </w:r>
    </w:p>
  </w:footnote>
  <w:footnote w:type="continuationSeparator" w:id="0">
    <w:p w14:paraId="0DCB9F67" w14:textId="77777777" w:rsidR="000F5405" w:rsidRDefault="000F5405"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6697"/>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F2145"/>
    <w:rsid w:val="005F39D3"/>
    <w:rsid w:val="005F492E"/>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A35"/>
    <w:rsid w:val="00741235"/>
    <w:rsid w:val="007439B5"/>
    <w:rsid w:val="00750C20"/>
    <w:rsid w:val="007520B4"/>
    <w:rsid w:val="0076242F"/>
    <w:rsid w:val="007655D5"/>
    <w:rsid w:val="007720B4"/>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2C81"/>
    <w:rsid w:val="00C24C05"/>
    <w:rsid w:val="00C24D2F"/>
    <w:rsid w:val="00C24DE3"/>
    <w:rsid w:val="00C26222"/>
    <w:rsid w:val="00C30E0F"/>
    <w:rsid w:val="00C31283"/>
    <w:rsid w:val="00C33C48"/>
    <w:rsid w:val="00C340E5"/>
    <w:rsid w:val="00C35AA7"/>
    <w:rsid w:val="00C36910"/>
    <w:rsid w:val="00C43BA1"/>
    <w:rsid w:val="00C43DAB"/>
    <w:rsid w:val="00C47F08"/>
    <w:rsid w:val="00C514A6"/>
    <w:rsid w:val="00C53C16"/>
    <w:rsid w:val="00C56572"/>
    <w:rsid w:val="00C5739F"/>
    <w:rsid w:val="00C57CF0"/>
    <w:rsid w:val="00C60F3E"/>
    <w:rsid w:val="00C63557"/>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Bullet list,목록단락,列"/>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6"/>
    <w:uiPriority w:val="34"/>
    <w:qFormat/>
    <w:locked/>
    <w:rPr>
      <w:rFonts w:eastAsia="MS Mincho"/>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06234-7B30-4F2B-A21F-AD845A5B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33</Pages>
  <Words>13351</Words>
  <Characters>76103</Characters>
  <Application>Microsoft Office Word</Application>
  <DocSecurity>0</DocSecurity>
  <Lines>634</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p:lastModifiedBy>
  <cp:revision>15</cp:revision>
  <cp:lastPrinted>2019-04-25T01:09:00Z</cp:lastPrinted>
  <dcterms:created xsi:type="dcterms:W3CDTF">2021-05-20T08:43:00Z</dcterms:created>
  <dcterms:modified xsi:type="dcterms:W3CDTF">2021-05-20T10:50:00Z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