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560C6FB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ListParagraph"/>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56101095"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[12]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058B994C" w:rsidR="00246C13" w:rsidRPr="00107018" w:rsidRDefault="004D24F0" w:rsidP="00246C13">
      <w:pPr>
        <w:jc w:val="both"/>
        <w:rPr>
          <w:b/>
        </w:rPr>
      </w:pPr>
      <w:r>
        <w:rPr>
          <w:b/>
          <w:highlight w:val="yellow"/>
        </w:rPr>
        <w:t xml:space="preserve">FL1 </w:t>
      </w:r>
      <w:r w:rsidR="00246C13" w:rsidRPr="0067633E">
        <w:rPr>
          <w:b/>
          <w:highlight w:val="yellow"/>
        </w:rPr>
        <w:t>High Priority 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24105E">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24105E">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DC11F5">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DC11F5">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DC11F5">
            <w:pPr>
              <w:rPr>
                <w:lang w:val="en-US"/>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 xml:space="preserve">At least for RedCap UE identification, explicit definition of RedCap UE type(s) is needed. Pending conclusions on </w:t>
            </w:r>
            <w:r w:rsidRPr="00B141CD">
              <w:rPr>
                <w:rFonts w:eastAsia="DengXian"/>
              </w:rPr>
              <w:lastRenderedPageBreak/>
              <w:t>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0E5231"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990695">
            <w:pPr>
              <w:rPr>
                <w:lang w:val="en-US" w:eastAsia="ko-KR"/>
              </w:rPr>
            </w:pPr>
            <w:r w:rsidRPr="0AFDD737">
              <w:rPr>
                <w:lang w:val="en-US" w:eastAsia="ko-KR"/>
              </w:rPr>
              <w:t>Nokia, NSB</w:t>
            </w:r>
          </w:p>
        </w:tc>
        <w:tc>
          <w:tcPr>
            <w:tcW w:w="1372" w:type="dxa"/>
          </w:tcPr>
          <w:p w14:paraId="4EF984AD" w14:textId="77777777" w:rsidR="005351B3" w:rsidRDefault="005351B3" w:rsidP="00990695">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990695">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 xml:space="preserve">0MHz for FR1 and 100MHz for FR2) and the minimum number </w:t>
            </w:r>
            <w:r>
              <w:rPr>
                <w:rFonts w:eastAsia="Yu Mincho"/>
              </w:rPr>
              <w:lastRenderedPageBreak/>
              <w:t>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lastRenderedPageBreak/>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990695">
            <w:pPr>
              <w:rPr>
                <w:lang w:val="en-US" w:eastAsia="ko-KR"/>
              </w:rPr>
            </w:pPr>
            <w:r w:rsidRPr="0AFDD737">
              <w:rPr>
                <w:lang w:val="en-US" w:eastAsia="ko-KR"/>
              </w:rPr>
              <w:t>Nokia, NSB</w:t>
            </w:r>
          </w:p>
        </w:tc>
        <w:tc>
          <w:tcPr>
            <w:tcW w:w="4105" w:type="pct"/>
          </w:tcPr>
          <w:p w14:paraId="1E6E78D8" w14:textId="06F65E48" w:rsidR="005351B3" w:rsidRDefault="005351B3" w:rsidP="00990695">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990695">
            <w:pPr>
              <w:spacing w:after="0"/>
              <w:rPr>
                <w:lang w:val="en-US"/>
              </w:rPr>
            </w:pPr>
            <w:r w:rsidRPr="0AFDD737">
              <w:rPr>
                <w:lang w:val="en-US"/>
              </w:rPr>
              <w:t>64 QAM support (256 support can be indicated in the UE Capability report)</w:t>
            </w:r>
          </w:p>
          <w:p w14:paraId="26593B5D" w14:textId="77777777" w:rsidR="005351B3" w:rsidRDefault="005351B3" w:rsidP="00990695">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990695">
            <w:pPr>
              <w:rPr>
                <w:lang w:val="en-US"/>
              </w:rPr>
            </w:pP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289CFAC3" w:rsidR="00246C13" w:rsidRPr="00107018" w:rsidRDefault="006D01E7" w:rsidP="00246C13">
      <w:pPr>
        <w:jc w:val="both"/>
        <w:rPr>
          <w:b/>
        </w:rPr>
      </w:pPr>
      <w:r>
        <w:rPr>
          <w:b/>
          <w:highlight w:val="yellow"/>
        </w:rPr>
        <w:t xml:space="preserve">FL1 </w:t>
      </w:r>
      <w:r w:rsidR="00246C13" w:rsidRPr="0067633E">
        <w:rPr>
          <w:b/>
          <w:highlight w:val="yellow"/>
        </w:rPr>
        <w:t>High Priority Question 2-</w:t>
      </w:r>
      <w:r w:rsidR="00D73F5E">
        <w:rPr>
          <w:b/>
          <w:highlight w:val="yellow"/>
        </w:rPr>
        <w:t>4</w:t>
      </w:r>
      <w:r w:rsidR="00246C13" w:rsidRPr="0067633E">
        <w:rPr>
          <w:b/>
          <w:highlight w:val="yellow"/>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37F1C">
            <w:pPr>
              <w:rPr>
                <w:b/>
                <w:bCs/>
              </w:rPr>
            </w:pPr>
            <w:r>
              <w:rPr>
                <w:b/>
                <w:bCs/>
              </w:rPr>
              <w:t>Comments</w:t>
            </w:r>
          </w:p>
        </w:tc>
      </w:tr>
      <w:tr w:rsidR="00D73F5E" w14:paraId="3652DCF8" w14:textId="77777777" w:rsidTr="00837F1C">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37F1C">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37F1C">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37F1C">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37F1C">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24105E">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24105E">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990695">
            <w:pPr>
              <w:rPr>
                <w:lang w:val="en-US" w:eastAsia="ko-KR"/>
              </w:rPr>
            </w:pPr>
            <w:r w:rsidRPr="0AFDD737">
              <w:rPr>
                <w:lang w:val="en-US" w:eastAsia="ko-KR"/>
              </w:rPr>
              <w:t>Nokia, NSB</w:t>
            </w:r>
          </w:p>
        </w:tc>
        <w:tc>
          <w:tcPr>
            <w:tcW w:w="1372" w:type="dxa"/>
          </w:tcPr>
          <w:p w14:paraId="238C54B6" w14:textId="77777777" w:rsidR="005351B3" w:rsidRDefault="005351B3" w:rsidP="00990695">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990695">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DC11F5">
            <w:pPr>
              <w:rPr>
                <w:lang w:val="en-US" w:eastAsia="ko-KR"/>
              </w:rPr>
            </w:pPr>
            <w:r>
              <w:rPr>
                <w:lang w:val="en-US" w:eastAsia="ko-KR"/>
              </w:rPr>
              <w:lastRenderedPageBreak/>
              <w:t>Ericsson</w:t>
            </w:r>
          </w:p>
        </w:tc>
        <w:tc>
          <w:tcPr>
            <w:tcW w:w="1372" w:type="dxa"/>
          </w:tcPr>
          <w:p w14:paraId="2391BA81" w14:textId="77777777" w:rsidR="00C50919" w:rsidRDefault="00C50919" w:rsidP="00DC11F5">
            <w:pPr>
              <w:tabs>
                <w:tab w:val="left" w:pos="551"/>
              </w:tabs>
              <w:rPr>
                <w:lang w:val="en-US" w:eastAsia="ko-KR"/>
              </w:rPr>
            </w:pPr>
            <w:r>
              <w:rPr>
                <w:lang w:val="en-US" w:eastAsia="ko-KR"/>
              </w:rPr>
              <w:t>N</w:t>
            </w:r>
          </w:p>
        </w:tc>
        <w:tc>
          <w:tcPr>
            <w:tcW w:w="6780" w:type="dxa"/>
          </w:tcPr>
          <w:p w14:paraId="28ACB218" w14:textId="77777777" w:rsidR="00C50919" w:rsidRDefault="00C50919" w:rsidP="00DC11F5">
            <w:pPr>
              <w:rPr>
                <w:lang w:val="en-US"/>
              </w:rPr>
            </w:pPr>
            <w:r>
              <w:rPr>
                <w:lang w:val="en-US"/>
              </w:rPr>
              <w:t>We think it could be beneficial for RAN1 to give guidance to RAN2 on what RedCap UE L1 capabilities are not allowed for RedCap UEs, and vice-versa.</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590A33F0" w:rsidR="00234216" w:rsidRPr="00107018" w:rsidRDefault="006D01E7" w:rsidP="00234216">
      <w:pPr>
        <w:jc w:val="both"/>
        <w:rPr>
          <w:b/>
        </w:rPr>
      </w:pPr>
      <w:r>
        <w:rPr>
          <w:b/>
          <w:highlight w:val="yellow"/>
        </w:rPr>
        <w:t xml:space="preserve">FL1 </w:t>
      </w:r>
      <w:r w:rsidR="00234216" w:rsidRPr="0067633E">
        <w:rPr>
          <w:b/>
          <w:highlight w:val="yellow"/>
        </w:rPr>
        <w:t>High Priority Question 2-</w:t>
      </w:r>
      <w:r w:rsidR="00D73F5E">
        <w:rPr>
          <w:b/>
          <w:highlight w:val="yellow"/>
        </w:rPr>
        <w:t>5</w:t>
      </w:r>
      <w:r w:rsidR="00234216" w:rsidRPr="0067633E">
        <w:rPr>
          <w:b/>
          <w:highlight w:val="yellow"/>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37F1C">
            <w:pPr>
              <w:rPr>
                <w:b/>
                <w:bCs/>
              </w:rPr>
            </w:pPr>
            <w:r>
              <w:rPr>
                <w:b/>
                <w:bCs/>
              </w:rPr>
              <w:t>Comments</w:t>
            </w:r>
          </w:p>
        </w:tc>
      </w:tr>
      <w:tr w:rsidR="00D73F5E" w14:paraId="0F8B9555" w14:textId="77777777" w:rsidTr="00837F1C">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37F1C">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37F1C">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37F1C">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37F1C">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37F1C">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24105E">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990695">
            <w:pPr>
              <w:rPr>
                <w:lang w:val="en-US" w:eastAsia="ko-KR"/>
              </w:rPr>
            </w:pPr>
            <w:r w:rsidRPr="0AFDD737">
              <w:rPr>
                <w:lang w:val="en-US" w:eastAsia="ko-KR"/>
              </w:rPr>
              <w:t>Nokia, NSB</w:t>
            </w:r>
          </w:p>
        </w:tc>
        <w:tc>
          <w:tcPr>
            <w:tcW w:w="1372" w:type="dxa"/>
          </w:tcPr>
          <w:p w14:paraId="403157D7" w14:textId="77777777" w:rsidR="005351B3" w:rsidRDefault="005351B3" w:rsidP="00990695">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990695">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990695">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DC11F5">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DC11F5">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DC11F5">
            <w:pPr>
              <w:rPr>
                <w:lang w:val="en-US"/>
              </w:rPr>
            </w:pPr>
            <w:r>
              <w:rPr>
                <w:lang w:val="en-US"/>
              </w:rPr>
              <w:t xml:space="preserve">For other aspects of this WI objective than to define the physical layer aspects of the RedCap UE type, RAN1 can assume that RAN2 will lead the work. </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Heading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UEs from non-</w:t>
      </w:r>
      <w:r w:rsidR="00184C0D">
        <w:rPr>
          <w:rFonts w:cs="Arial"/>
          <w:szCs w:val="18"/>
          <w:lang w:eastAsia="ja-JP"/>
        </w:rPr>
        <w:lastRenderedPageBreak/>
        <w:t xml:space="preserve">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37F1C">
            <w:pPr>
              <w:rPr>
                <w:b/>
                <w:bCs/>
              </w:rPr>
            </w:pPr>
            <w:r>
              <w:rPr>
                <w:b/>
                <w:bCs/>
              </w:rPr>
              <w:t>Comments</w:t>
            </w:r>
          </w:p>
        </w:tc>
      </w:tr>
      <w:tr w:rsidR="005C29D4" w14:paraId="35D9A911" w14:textId="77777777" w:rsidTr="00837F1C">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37F1C">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37F1C">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37F1C">
            <w:pPr>
              <w:rPr>
                <w:lang w:val="en-US"/>
              </w:rPr>
            </w:pPr>
          </w:p>
        </w:tc>
      </w:tr>
      <w:tr w:rsidR="000E5231" w14:paraId="1D5D4EEC" w14:textId="77777777" w:rsidTr="00837F1C">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37F1C">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24105E">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24105E">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366F33">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 xml:space="preserve">If separate initial UL BWP is configured for RedCap UEs, then it is MSG1. If separate initial UL BWP is not configured, then MSG3 can be considered, if there </w:t>
            </w:r>
            <w:r>
              <w:rPr>
                <w:rFonts w:eastAsia="DengXian"/>
                <w:lang w:val="en-US" w:eastAsia="zh-CN"/>
              </w:rPr>
              <w:lastRenderedPageBreak/>
              <w:t>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990695">
            <w:pPr>
              <w:rPr>
                <w:lang w:val="en-US" w:eastAsia="ko-KR"/>
              </w:rPr>
            </w:pPr>
            <w:r w:rsidRPr="0AFDD737">
              <w:rPr>
                <w:lang w:val="en-US" w:eastAsia="ko-KR"/>
              </w:rPr>
              <w:lastRenderedPageBreak/>
              <w:t>Nokia, NSB</w:t>
            </w:r>
          </w:p>
        </w:tc>
        <w:tc>
          <w:tcPr>
            <w:tcW w:w="1372" w:type="dxa"/>
          </w:tcPr>
          <w:p w14:paraId="2694FCEC" w14:textId="77777777" w:rsidR="005351B3" w:rsidRDefault="005351B3" w:rsidP="00990695">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990695">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DC11F5">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DC11F5">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DC11F5">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DC11F5">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DC11F5">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DC11F5">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DC11F5">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DC11F5">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DC11F5">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DC11F5">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DC11F5">
            <w:pPr>
              <w:jc w:val="both"/>
              <w:rPr>
                <w:b/>
                <w:szCs w:val="22"/>
              </w:rPr>
            </w:pP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37F1C">
            <w:pPr>
              <w:rPr>
                <w:b/>
                <w:bCs/>
              </w:rPr>
            </w:pPr>
            <w:r>
              <w:rPr>
                <w:b/>
                <w:bCs/>
              </w:rPr>
              <w:t>Comments</w:t>
            </w:r>
          </w:p>
        </w:tc>
      </w:tr>
      <w:tr w:rsidR="00F417B7" w14:paraId="6CFE5708" w14:textId="77777777" w:rsidTr="00837F1C">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37F1C">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9B23E1" w14:paraId="56DBB072" w14:textId="77777777" w:rsidTr="00837F1C">
        <w:tc>
          <w:tcPr>
            <w:tcW w:w="1479" w:type="dxa"/>
            <w:tcBorders>
              <w:top w:val="single" w:sz="4" w:space="0" w:color="auto"/>
              <w:left w:val="single" w:sz="4" w:space="0" w:color="auto"/>
              <w:bottom w:val="single" w:sz="4" w:space="0" w:color="auto"/>
              <w:right w:val="single" w:sz="4" w:space="0" w:color="auto"/>
            </w:tcBorders>
          </w:tcPr>
          <w:p w14:paraId="48667400" w14:textId="77777777" w:rsidR="009B23E1" w:rsidRDefault="009B23E1"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9B23E1" w:rsidRDefault="009B23E1"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77777777" w:rsidR="009B23E1" w:rsidRDefault="009B23E1" w:rsidP="00837F1C">
            <w:pPr>
              <w:rPr>
                <w:lang w:val="en-US"/>
              </w:rPr>
            </w:pP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37F1C">
            <w:pPr>
              <w:rPr>
                <w:b/>
                <w:bCs/>
              </w:rPr>
            </w:pPr>
            <w:r>
              <w:rPr>
                <w:b/>
                <w:bCs/>
              </w:rPr>
              <w:t>Comments</w:t>
            </w:r>
          </w:p>
        </w:tc>
      </w:tr>
      <w:tr w:rsidR="00D77163" w14:paraId="5316BCCB" w14:textId="77777777" w:rsidTr="00837F1C">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WIs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37F1C">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We are fine to take CovEnh UE into account for the early indication of RedCap UEs. In our view, RedCap WI can discuss the early indication of RedCap UEs taking into account the aspect of CovEnh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3C2F28" w14:paraId="2F8CDFC3" w14:textId="77777777" w:rsidTr="00837F1C">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7" w:name="_Hlk67648184"/>
            <w:r w:rsidRPr="00770328">
              <w:rPr>
                <w:rFonts w:eastAsia="SimSun"/>
                <w:bCs/>
                <w:lang w:val="en-US" w:eastAsia="ja-JP"/>
              </w:rPr>
              <w:t xml:space="preserve">Specify a system information indication to indicate whether a RedCap UE can camp on the cell/frequency or not; </w:t>
            </w:r>
            <w:bookmarkStart w:id="8" w:name="_Hlk67650013"/>
            <w:r w:rsidRPr="00770328">
              <w:rPr>
                <w:rFonts w:eastAsia="SimSun"/>
                <w:bCs/>
                <w:lang w:val="en-US" w:eastAsia="ja-JP"/>
              </w:rPr>
              <w:t>it shall be possible for the indication to be specific to the number of Rx branches of the UE</w:t>
            </w:r>
            <w:bookmarkEnd w:id="7"/>
            <w:bookmarkEnd w:id="8"/>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37F1C">
            <w:pPr>
              <w:rPr>
                <w:b/>
                <w:bCs/>
              </w:rPr>
            </w:pPr>
            <w:r>
              <w:rPr>
                <w:b/>
                <w:bCs/>
              </w:rPr>
              <w:t>Comments</w:t>
            </w:r>
          </w:p>
        </w:tc>
      </w:tr>
      <w:tr w:rsidR="00495A14" w14:paraId="647F76C0" w14:textId="77777777" w:rsidTr="00837F1C">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37F1C">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37F1C">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37F1C">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37F1C">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37F1C">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9A6108D" w14:textId="77777777" w:rsidR="00AD5B99" w:rsidRPr="00D82EE9"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24105E">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6EE8D046"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e.g. after </w:t>
            </w:r>
            <w:r>
              <w:rPr>
                <w:lang w:val="en-US" w:eastAsia="ko-KR"/>
              </w:rPr>
              <w:lastRenderedPageBreak/>
              <w:t>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lastRenderedPageBreak/>
              <w:t>CATT</w:t>
            </w:r>
          </w:p>
        </w:tc>
        <w:tc>
          <w:tcPr>
            <w:tcW w:w="1372" w:type="dxa"/>
          </w:tcPr>
          <w:p w14:paraId="105CCA58" w14:textId="77777777" w:rsidR="009B294D" w:rsidRDefault="009B294D" w:rsidP="00F417B7">
            <w:pPr>
              <w:tabs>
                <w:tab w:val="left" w:pos="551"/>
              </w:tabs>
              <w:rPr>
                <w:lang w:val="en-US" w:eastAsia="ko-KR"/>
              </w:rPr>
            </w:pPr>
          </w:p>
        </w:tc>
        <w:tc>
          <w:tcPr>
            <w:tcW w:w="6780" w:type="dxa"/>
          </w:tcPr>
          <w:p w14:paraId="20FC1176" w14:textId="36CF2BF9" w:rsidR="009B294D" w:rsidRDefault="009B294D" w:rsidP="00366F33">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990695">
            <w:pPr>
              <w:rPr>
                <w:lang w:val="en-US" w:eastAsia="ko-KR"/>
              </w:rPr>
            </w:pPr>
            <w:r w:rsidRPr="0AFDD737">
              <w:rPr>
                <w:lang w:val="en-US" w:eastAsia="ko-KR"/>
              </w:rPr>
              <w:t>Nokia, NSB</w:t>
            </w:r>
          </w:p>
        </w:tc>
        <w:tc>
          <w:tcPr>
            <w:tcW w:w="1372" w:type="dxa"/>
          </w:tcPr>
          <w:p w14:paraId="632C9B79" w14:textId="77777777" w:rsidR="003C2F28" w:rsidRDefault="003C2F28" w:rsidP="00990695">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990695">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DC11F5">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DC11F5">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DC11F5">
            <w:pPr>
              <w:rPr>
                <w:lang w:val="en-US"/>
              </w:rPr>
            </w:pPr>
          </w:p>
        </w:tc>
      </w:tr>
    </w:tbl>
    <w:p w14:paraId="3DD1B8BF" w14:textId="77777777" w:rsidR="00BF626D" w:rsidRPr="00BF626D"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lastRenderedPageBreak/>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9"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9"/>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0" w:type="pct"/>
        <w:tblLook w:val="04A0" w:firstRow="1" w:lastRow="0" w:firstColumn="1" w:lastColumn="0" w:noHBand="0" w:noVBand="1"/>
      </w:tblPr>
      <w:tblGrid>
        <w:gridCol w:w="1764"/>
        <w:gridCol w:w="8092"/>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37F1C">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7EE53DF1" w:rsidR="003C2F28" w:rsidRDefault="003C2F28" w:rsidP="003C2F28">
            <w:pPr>
              <w:rPr>
                <w:lang w:val="en-US"/>
              </w:rPr>
            </w:pPr>
            <w:r w:rsidRPr="0AFDD737">
              <w:rPr>
                <w:lang w:val="en-US"/>
              </w:rPr>
              <w:t>To be consistent with our response to 2-2 (Option 4), we prefer Alt-1.</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0" w:name="_Toc42034927"/>
      <w:bookmarkStart w:id="11" w:name="_Toc42211937"/>
      <w:bookmarkStart w:id="12" w:name="_Hlk41391803"/>
      <w:r w:rsidRPr="00107018">
        <w:lastRenderedPageBreak/>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2"/>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6A1A91" w:rsidP="003603CF">
            <w:pPr>
              <w:rPr>
                <w:color w:val="0000FF"/>
                <w:u w:val="single"/>
              </w:rPr>
            </w:pPr>
            <w:hyperlink r:id="rId12"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6A1A91" w:rsidP="003603CF">
            <w:pPr>
              <w:rPr>
                <w:color w:val="0000FF"/>
                <w:u w:val="single"/>
              </w:rPr>
            </w:pPr>
            <w:hyperlink r:id="rId13"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6A1A91" w:rsidP="003603CF">
            <w:pPr>
              <w:rPr>
                <w:color w:val="0000FF"/>
                <w:u w:val="single"/>
              </w:rPr>
            </w:pPr>
            <w:hyperlink r:id="rId14"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6A1A91" w:rsidP="003603CF">
            <w:pPr>
              <w:rPr>
                <w:color w:val="0000FF"/>
                <w:u w:val="single"/>
              </w:rPr>
            </w:pPr>
            <w:hyperlink r:id="rId15"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6A1A91" w:rsidP="003603CF">
            <w:pPr>
              <w:rPr>
                <w:color w:val="0000FF"/>
                <w:u w:val="single"/>
              </w:rPr>
            </w:pPr>
            <w:hyperlink r:id="rId16"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6A1A91" w:rsidP="003603CF">
            <w:pPr>
              <w:rPr>
                <w:color w:val="0000FF"/>
                <w:u w:val="single"/>
              </w:rPr>
            </w:pPr>
            <w:hyperlink r:id="rId17"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6A1A91" w:rsidP="003603CF">
            <w:pPr>
              <w:rPr>
                <w:color w:val="0000FF"/>
                <w:u w:val="single"/>
              </w:rPr>
            </w:pPr>
            <w:hyperlink r:id="rId18"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6A1A91" w:rsidP="003603CF">
            <w:pPr>
              <w:rPr>
                <w:color w:val="0000FF"/>
                <w:u w:val="single"/>
              </w:rPr>
            </w:pPr>
            <w:hyperlink r:id="rId19"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6A1A91" w:rsidP="003603CF">
            <w:pPr>
              <w:rPr>
                <w:color w:val="0000FF"/>
                <w:u w:val="single"/>
              </w:rPr>
            </w:pPr>
            <w:hyperlink r:id="rId20"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6A1A91" w:rsidP="003603CF">
            <w:pPr>
              <w:rPr>
                <w:color w:val="0000FF"/>
                <w:u w:val="single"/>
              </w:rPr>
            </w:pPr>
            <w:hyperlink r:id="rId21"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6A1A91" w:rsidP="003603CF">
            <w:pPr>
              <w:rPr>
                <w:color w:val="0000FF"/>
                <w:u w:val="single"/>
              </w:rPr>
            </w:pPr>
            <w:hyperlink r:id="rId22"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6A1A91" w:rsidP="003603CF">
            <w:pPr>
              <w:rPr>
                <w:color w:val="0000FF"/>
                <w:u w:val="single"/>
              </w:rPr>
            </w:pPr>
            <w:hyperlink r:id="rId23"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6A1A91" w:rsidP="003603CF">
            <w:pPr>
              <w:rPr>
                <w:color w:val="0000FF"/>
                <w:u w:val="single"/>
              </w:rPr>
            </w:pPr>
            <w:hyperlink r:id="rId24"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6A1A91" w:rsidP="003603CF">
            <w:hyperlink r:id="rId25"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6A1A91" w:rsidP="003603CF">
            <w:pPr>
              <w:rPr>
                <w:color w:val="0000FF"/>
                <w:u w:val="single"/>
              </w:rPr>
            </w:pPr>
            <w:hyperlink r:id="rId26"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6A1A91" w:rsidP="003603CF">
            <w:pPr>
              <w:rPr>
                <w:color w:val="0000FF"/>
                <w:u w:val="single"/>
              </w:rPr>
            </w:pPr>
            <w:hyperlink r:id="rId27"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6A1A91" w:rsidP="003603CF">
            <w:pPr>
              <w:rPr>
                <w:color w:val="0000FF"/>
                <w:u w:val="single"/>
              </w:rPr>
            </w:pPr>
            <w:hyperlink r:id="rId28"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6A1A91" w:rsidP="003603CF">
            <w:pPr>
              <w:rPr>
                <w:color w:val="0000FF"/>
                <w:u w:val="single"/>
              </w:rPr>
            </w:pPr>
            <w:hyperlink r:id="rId29"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6A1A91" w:rsidP="003603CF">
            <w:pPr>
              <w:rPr>
                <w:color w:val="0000FF"/>
                <w:u w:val="single"/>
              </w:rPr>
            </w:pPr>
            <w:hyperlink r:id="rId30"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6A1A91" w:rsidP="003603CF">
            <w:pPr>
              <w:rPr>
                <w:color w:val="0000FF"/>
                <w:u w:val="single"/>
              </w:rPr>
            </w:pPr>
            <w:hyperlink r:id="rId31"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6A1A91" w:rsidP="003603CF">
            <w:pPr>
              <w:rPr>
                <w:color w:val="0000FF"/>
                <w:u w:val="single"/>
              </w:rPr>
            </w:pPr>
            <w:hyperlink r:id="rId32"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6A1A91" w:rsidP="003603CF">
            <w:pPr>
              <w:rPr>
                <w:color w:val="0000FF"/>
                <w:u w:val="single"/>
              </w:rPr>
            </w:pPr>
            <w:hyperlink r:id="rId33"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6A1A91" w:rsidP="003603CF">
            <w:pPr>
              <w:rPr>
                <w:color w:val="0000FF"/>
                <w:u w:val="single"/>
              </w:rPr>
            </w:pPr>
            <w:hyperlink r:id="rId34"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6A1A91" w:rsidP="003603CF">
            <w:pPr>
              <w:rPr>
                <w:color w:val="0000FF"/>
                <w:u w:val="single"/>
              </w:rPr>
            </w:pPr>
            <w:hyperlink r:id="rId35"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6A1A91" w:rsidP="003603CF">
            <w:pPr>
              <w:rPr>
                <w:color w:val="0000FF"/>
                <w:u w:val="single"/>
              </w:rPr>
            </w:pPr>
            <w:hyperlink r:id="rId36"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6A1A91" w:rsidP="003603CF">
            <w:pPr>
              <w:rPr>
                <w:color w:val="0000FF"/>
                <w:u w:val="single"/>
              </w:rPr>
            </w:pPr>
            <w:hyperlink r:id="rId37"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6A1A91" w:rsidP="003603CF">
            <w:pPr>
              <w:rPr>
                <w:color w:val="0000FF"/>
                <w:u w:val="single"/>
              </w:rPr>
            </w:pPr>
            <w:hyperlink r:id="rId38"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6A1A91" w:rsidP="003603CF">
            <w:pPr>
              <w:rPr>
                <w:color w:val="0000FF"/>
                <w:u w:val="single"/>
              </w:rPr>
            </w:pPr>
            <w:hyperlink r:id="rId39"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lastRenderedPageBreak/>
              <w:t>[29]</w:t>
            </w:r>
          </w:p>
        </w:tc>
        <w:tc>
          <w:tcPr>
            <w:tcW w:w="1456" w:type="dxa"/>
            <w:tcMar>
              <w:top w:w="0" w:type="dxa"/>
              <w:left w:w="70" w:type="dxa"/>
              <w:bottom w:w="0" w:type="dxa"/>
              <w:right w:w="70" w:type="dxa"/>
            </w:tcMar>
          </w:tcPr>
          <w:p w14:paraId="4743EEA0" w14:textId="05B33035" w:rsidR="003603CF" w:rsidRPr="00706212" w:rsidRDefault="006A1A91" w:rsidP="003603CF">
            <w:hyperlink r:id="rId40"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6A1A91" w:rsidP="003603CF">
            <w:pPr>
              <w:rPr>
                <w:rStyle w:val="Hyperlink"/>
                <w:color w:val="0000FF"/>
              </w:rPr>
            </w:pPr>
            <w:hyperlink r:id="rId41"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6A1A91" w:rsidP="008262F9">
            <w:hyperlink r:id="rId42"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323DA" w14:textId="77777777" w:rsidR="009306F5" w:rsidRDefault="009306F5" w:rsidP="00581A60">
      <w:pPr>
        <w:spacing w:after="0"/>
      </w:pPr>
      <w:r>
        <w:separator/>
      </w:r>
    </w:p>
  </w:endnote>
  <w:endnote w:type="continuationSeparator" w:id="0">
    <w:p w14:paraId="02F48D31" w14:textId="77777777" w:rsidR="009306F5" w:rsidRDefault="009306F5" w:rsidP="00581A60">
      <w:pPr>
        <w:spacing w:after="0"/>
      </w:pPr>
      <w:r>
        <w:continuationSeparator/>
      </w:r>
    </w:p>
  </w:endnote>
  <w:endnote w:type="continuationNotice" w:id="1">
    <w:p w14:paraId="79098CE6" w14:textId="77777777" w:rsidR="009306F5" w:rsidRDefault="009306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54312" w14:textId="77777777" w:rsidR="009306F5" w:rsidRDefault="009306F5" w:rsidP="00581A60">
      <w:pPr>
        <w:spacing w:after="0"/>
      </w:pPr>
      <w:r>
        <w:separator/>
      </w:r>
    </w:p>
  </w:footnote>
  <w:footnote w:type="continuationSeparator" w:id="0">
    <w:p w14:paraId="00D6AF9A" w14:textId="77777777" w:rsidR="009306F5" w:rsidRDefault="009306F5" w:rsidP="00581A60">
      <w:pPr>
        <w:spacing w:after="0"/>
      </w:pPr>
      <w:r>
        <w:continuationSeparator/>
      </w:r>
    </w:p>
  </w:footnote>
  <w:footnote w:type="continuationNotice" w:id="1">
    <w:p w14:paraId="00BBE3A7" w14:textId="77777777" w:rsidR="009306F5" w:rsidRDefault="009306F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3E"/>
    <w:rsid w:val="00576B0C"/>
    <w:rsid w:val="00577272"/>
    <w:rsid w:val="005777E7"/>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163"/>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D13EA5AB-0600-4206-93C7-1639BFAB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F2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F96AD3-2BE9-4067-B7BE-EDED21654906}">
  <ds:schemaRefs>
    <ds:schemaRef ds:uri="http://schemas.openxmlformats.org/officeDocument/2006/bibliography"/>
  </ds:schemaRefs>
</ds:datastoreItem>
</file>

<file path=customXml/itemProps4.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5229</Words>
  <Characters>27716</Characters>
  <Application>Microsoft Office Word</Application>
  <DocSecurity>0</DocSecurity>
  <Lines>230</Lines>
  <Paragraphs>65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32880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Sandeep Narayanan Kadan Veedu</cp:lastModifiedBy>
  <cp:revision>18</cp:revision>
  <dcterms:created xsi:type="dcterms:W3CDTF">2021-05-19T13:09:00Z</dcterms:created>
  <dcterms:modified xsi:type="dcterms:W3CDTF">2021-05-19T19:00:00Z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