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073C" w14:textId="77777777"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77777777"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 xml:space="preserve">FL summary #1 on other aspects of UE complexity reduction for </w:t>
      </w:r>
      <w:proofErr w:type="spellStart"/>
      <w:r>
        <w:rPr>
          <w:rFonts w:ascii="Arial" w:hAnsi="Arial" w:cs="Arial"/>
          <w:b/>
        </w:rPr>
        <w:t>RedCap</w:t>
      </w:r>
      <w:proofErr w:type="spellEnd"/>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 xml:space="preserve">This document presents a summary of submitted contributions to AI 8.6.1.4 (Other aspects of </w:t>
      </w:r>
      <w:proofErr w:type="spellStart"/>
      <w:r>
        <w:rPr>
          <w:rFonts w:eastAsia="Malgun Gothic"/>
          <w:lang w:eastAsia="ko-KR"/>
        </w:rPr>
        <w:t>RedCap</w:t>
      </w:r>
      <w:proofErr w:type="spellEnd"/>
      <w:r>
        <w:rPr>
          <w:rFonts w:eastAsia="Malgun Gothic"/>
          <w:lang w:eastAsia="ko-KR"/>
        </w:rPr>
        <w:t xml:space="preserve"> complexity reduction), including considerations on maximum number of DL MIMO layers and relaxed maximum modulation order for </w:t>
      </w:r>
      <w:proofErr w:type="spellStart"/>
      <w:r>
        <w:rPr>
          <w:rFonts w:eastAsia="Malgun Gothic"/>
          <w:lang w:eastAsia="ko-KR"/>
        </w:rPr>
        <w:t>RedCap</w:t>
      </w:r>
      <w:proofErr w:type="spellEnd"/>
      <w:r>
        <w:rPr>
          <w:rFonts w:eastAsia="Malgun Gothic"/>
          <w:lang w:eastAsia="ko-KR"/>
        </w:rPr>
        <w:t xml:space="preserve">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 xml:space="preserve">Max number of DL MIMO layers for </w:t>
      </w:r>
      <w:proofErr w:type="spellStart"/>
      <w:r>
        <w:rPr>
          <w:rFonts w:eastAsia="Malgun Gothic"/>
          <w:lang w:eastAsia="ko-KR"/>
        </w:rPr>
        <w:t>RedCap</w:t>
      </w:r>
      <w:proofErr w:type="spellEnd"/>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 xml:space="preserve">MCS and CQI tables for </w:t>
      </w:r>
      <w:proofErr w:type="spellStart"/>
      <w:r>
        <w:rPr>
          <w:rFonts w:eastAsia="Malgun Gothic"/>
          <w:lang w:eastAsia="ko-KR"/>
        </w:rPr>
        <w:t>RedCap</w:t>
      </w:r>
      <w:proofErr w:type="spellEnd"/>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77777777" w:rsidR="007E0842" w:rsidRDefault="00FD7810">
      <w:pPr>
        <w:rPr>
          <w:rFonts w:eastAsia="Malgun Gothic"/>
          <w:b/>
          <w:bCs/>
          <w:lang w:eastAsia="ko-KR"/>
        </w:rPr>
      </w:pPr>
      <w:r>
        <w:rPr>
          <w:rFonts w:eastAsia="Malgun Gothic"/>
          <w:b/>
          <w:bCs/>
          <w:u w:val="single"/>
          <w:lang w:eastAsia="ko-KR"/>
        </w:rPr>
        <w:t xml:space="preserve">Please provide your feedback to the FL Proposals by </w:t>
      </w:r>
      <w:r>
        <w:rPr>
          <w:rFonts w:eastAsia="Malgun Gothic"/>
          <w:b/>
          <w:bCs/>
          <w:highlight w:val="yellow"/>
          <w:u w:val="single"/>
          <w:lang w:eastAsia="ko-KR"/>
        </w:rPr>
        <w:t>May 20</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Max number of DL MIMO layers for </w:t>
      </w:r>
      <w:proofErr w:type="spellStart"/>
      <w:r>
        <w:rPr>
          <w:rFonts w:ascii="Arial" w:hAnsi="Arial"/>
          <w:b w:val="0"/>
          <w:bCs w:val="0"/>
          <w:sz w:val="36"/>
          <w:szCs w:val="20"/>
        </w:rPr>
        <w:t>RedCap</w:t>
      </w:r>
      <w:proofErr w:type="spellEnd"/>
    </w:p>
    <w:p w14:paraId="00D60750"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 xml:space="preserve">can be reused for </w:t>
      </w:r>
      <w:proofErr w:type="spellStart"/>
      <w:r>
        <w:t>RedCap</w:t>
      </w:r>
      <w:proofErr w:type="spellEnd"/>
      <w:r>
        <w:t xml:space="preserve">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xml:space="preserve">. However, such details can be left up to RAN2 once the parameter and associated value range are provided from RAN1 as part of UE features for Rel-17 </w:t>
      </w:r>
      <w:proofErr w:type="spellStart"/>
      <w:r>
        <w:t>RedCap</w:t>
      </w:r>
      <w:proofErr w:type="spellEnd"/>
      <w:r>
        <w:t>.</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 xml:space="preserve">While this may be best confirmed as part of discussions for AI 8.6.1.2, the following FL Proposal aims to decide on the indication of max number of DL MIMO layers for a </w:t>
      </w:r>
      <w:proofErr w:type="spellStart"/>
      <w:r>
        <w:t>RedCap</w:t>
      </w:r>
      <w:proofErr w:type="spellEnd"/>
      <w:r>
        <w:t xml:space="preserve">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w:t>
      </w:r>
      <w:proofErr w:type="spellStart"/>
      <w:r>
        <w:rPr>
          <w:i/>
          <w:iCs/>
        </w:rPr>
        <w:t>RedCap</w:t>
      </w:r>
      <w:proofErr w:type="spellEnd"/>
      <w:r>
        <w:rPr>
          <w:i/>
          <w:iCs/>
        </w:rPr>
        <w:t xml:space="preserve">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w:t>
            </w:r>
            <w:proofErr w:type="spellStart"/>
            <w:r>
              <w:rPr>
                <w:rFonts w:eastAsia="Malgun Gothic"/>
                <w:sz w:val="20"/>
                <w:szCs w:val="20"/>
                <w:lang w:eastAsia="ko-KR"/>
              </w:rPr>
              <w:t>RedCap</w:t>
            </w:r>
            <w:proofErr w:type="spellEnd"/>
            <w:r>
              <w:rPr>
                <w:rFonts w:eastAsia="Malgun Gothic"/>
                <w:sz w:val="20"/>
                <w:szCs w:val="20"/>
                <w:lang w:eastAsia="ko-KR"/>
              </w:rPr>
              <w:t xml:space="preserve">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tc>
          <w:tcPr>
            <w:tcW w:w="1388" w:type="dxa"/>
            <w:shd w:val="clear" w:color="auto" w:fill="auto"/>
          </w:tcPr>
          <w:p w14:paraId="00D60772" w14:textId="77777777" w:rsidR="007E0842" w:rsidRDefault="007E0842">
            <w:pPr>
              <w:rPr>
                <w:rFonts w:eastAsia="Malgun Gothic"/>
                <w:sz w:val="20"/>
                <w:szCs w:val="20"/>
                <w:lang w:eastAsia="ko-KR"/>
              </w:rPr>
            </w:pPr>
          </w:p>
        </w:tc>
        <w:tc>
          <w:tcPr>
            <w:tcW w:w="1272" w:type="dxa"/>
            <w:shd w:val="clear" w:color="auto" w:fill="auto"/>
          </w:tcPr>
          <w:p w14:paraId="00D60773" w14:textId="77777777" w:rsidR="007E0842" w:rsidRDefault="007E0842">
            <w:pPr>
              <w:rPr>
                <w:rFonts w:eastAsia="Malgun Gothic"/>
                <w:sz w:val="20"/>
                <w:szCs w:val="20"/>
                <w:lang w:eastAsia="ko-KR"/>
              </w:rPr>
            </w:pPr>
          </w:p>
        </w:tc>
        <w:tc>
          <w:tcPr>
            <w:tcW w:w="6971" w:type="dxa"/>
            <w:shd w:val="clear" w:color="auto" w:fill="auto"/>
          </w:tcPr>
          <w:p w14:paraId="00D60774" w14:textId="77777777" w:rsidR="007E0842" w:rsidRDefault="007E0842">
            <w:pPr>
              <w:rPr>
                <w:rFonts w:eastAsiaTheme="minorEastAsia"/>
                <w:sz w:val="20"/>
                <w:szCs w:val="20"/>
              </w:rPr>
            </w:pPr>
          </w:p>
        </w:tc>
      </w:tr>
      <w:tr w:rsidR="007E0842" w14:paraId="00D60779" w14:textId="77777777">
        <w:tc>
          <w:tcPr>
            <w:tcW w:w="1388" w:type="dxa"/>
            <w:shd w:val="clear" w:color="auto" w:fill="auto"/>
          </w:tcPr>
          <w:p w14:paraId="00D60776" w14:textId="77777777" w:rsidR="007E0842" w:rsidRDefault="007E0842">
            <w:pPr>
              <w:rPr>
                <w:rFonts w:eastAsiaTheme="minorEastAsia"/>
                <w:sz w:val="20"/>
                <w:szCs w:val="20"/>
              </w:rPr>
            </w:pPr>
          </w:p>
        </w:tc>
        <w:tc>
          <w:tcPr>
            <w:tcW w:w="1272" w:type="dxa"/>
            <w:shd w:val="clear" w:color="auto" w:fill="auto"/>
          </w:tcPr>
          <w:p w14:paraId="00D60777" w14:textId="77777777" w:rsidR="007E0842" w:rsidRDefault="007E0842">
            <w:pPr>
              <w:rPr>
                <w:rFonts w:eastAsiaTheme="minorEastAsia"/>
                <w:sz w:val="20"/>
                <w:szCs w:val="20"/>
              </w:rPr>
            </w:pPr>
          </w:p>
        </w:tc>
        <w:tc>
          <w:tcPr>
            <w:tcW w:w="6971" w:type="dxa"/>
            <w:shd w:val="clear" w:color="auto" w:fill="auto"/>
          </w:tcPr>
          <w:p w14:paraId="00D60778" w14:textId="77777777" w:rsidR="007E0842" w:rsidRDefault="007E0842">
            <w:pPr>
              <w:rPr>
                <w:sz w:val="20"/>
                <w:szCs w:val="20"/>
              </w:rPr>
            </w:pPr>
          </w:p>
        </w:tc>
      </w:tr>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 xml:space="preserve">Further, [5] proposes that DCI formats 1_1/0_1 and 1_2/0_2 are all optional for </w:t>
      </w:r>
      <w:proofErr w:type="spellStart"/>
      <w:r>
        <w:t>RedCap</w:t>
      </w:r>
      <w:proofErr w:type="spellEnd"/>
      <w:r>
        <w:t xml:space="preserve"> UEs. While it may be reasonable to expect DCI formats 1_2/0_2 to be optional (also expected to be discussed in context of AI 8.6.1.2), making DCI format 1_1/0_1 (mandatory for non-</w:t>
      </w:r>
      <w:proofErr w:type="spellStart"/>
      <w:r>
        <w:t>RedCap</w:t>
      </w:r>
      <w:proofErr w:type="spellEnd"/>
      <w:r>
        <w:t xml:space="preserve"> UEs) run the risk of coupling dependency on UE-optional features as well as UE-optional L1 signaling mechanisms, and may unnecessarily complicate the specifications on UE capability requirements for </w:t>
      </w:r>
      <w:proofErr w:type="spellStart"/>
      <w:r>
        <w:t>RedCap</w:t>
      </w:r>
      <w:proofErr w:type="spellEnd"/>
      <w:r>
        <w:t xml:space="preserve">.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w:t>
      </w:r>
      <w:proofErr w:type="spellStart"/>
      <w:r>
        <w:t>RedCap</w:t>
      </w:r>
      <w:proofErr w:type="spellEnd"/>
      <w:r>
        <w:t>,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 xml:space="preserve">FFS: any modifications to any of the above pairs of scheduling DCI formats specific to </w:t>
      </w:r>
      <w:proofErr w:type="spellStart"/>
      <w:r>
        <w:rPr>
          <w:i/>
          <w:iCs/>
        </w:rPr>
        <w:t>RedCap</w:t>
      </w:r>
      <w:proofErr w:type="spellEnd"/>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DC11F5">
            <w:pPr>
              <w:rPr>
                <w:rFonts w:eastAsiaTheme="minorEastAsia"/>
              </w:rPr>
            </w:pPr>
            <w:r>
              <w:rPr>
                <w:rFonts w:eastAsiaTheme="minorEastAsia"/>
              </w:rPr>
              <w:t>Ericsson</w:t>
            </w:r>
          </w:p>
        </w:tc>
        <w:tc>
          <w:tcPr>
            <w:tcW w:w="1272" w:type="dxa"/>
          </w:tcPr>
          <w:p w14:paraId="2B3578CE" w14:textId="77777777" w:rsidR="00A05583" w:rsidRDefault="00A05583" w:rsidP="00DC11F5">
            <w:pPr>
              <w:rPr>
                <w:rFonts w:eastAsiaTheme="minorEastAsia"/>
              </w:rPr>
            </w:pPr>
            <w:r>
              <w:rPr>
                <w:rFonts w:eastAsiaTheme="minorEastAsia"/>
              </w:rPr>
              <w:t>Y</w:t>
            </w:r>
          </w:p>
        </w:tc>
        <w:tc>
          <w:tcPr>
            <w:tcW w:w="6971" w:type="dxa"/>
          </w:tcPr>
          <w:p w14:paraId="3D68370D" w14:textId="77777777" w:rsidR="00A05583" w:rsidRPr="001D46EE" w:rsidRDefault="00A05583" w:rsidP="00DC11F5">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 xml:space="preserve">For a </w:t>
      </w:r>
      <w:proofErr w:type="spellStart"/>
      <w:r>
        <w:rPr>
          <w:i/>
          <w:iCs/>
        </w:rPr>
        <w:t>RedCap</w:t>
      </w:r>
      <w:proofErr w:type="spellEnd"/>
      <w:r>
        <w:rPr>
          <w:i/>
          <w:iCs/>
        </w:rPr>
        <w:t xml:space="preserve">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DC11F5">
            <w:pPr>
              <w:rPr>
                <w:rFonts w:eastAsiaTheme="minorEastAsia"/>
              </w:rPr>
            </w:pPr>
            <w:r>
              <w:rPr>
                <w:rFonts w:eastAsiaTheme="minorEastAsia"/>
              </w:rPr>
              <w:t>Ericsson</w:t>
            </w:r>
          </w:p>
        </w:tc>
        <w:tc>
          <w:tcPr>
            <w:tcW w:w="1272" w:type="dxa"/>
          </w:tcPr>
          <w:p w14:paraId="79664928" w14:textId="77777777" w:rsidR="00A05583" w:rsidRDefault="00A05583" w:rsidP="00DC11F5">
            <w:pPr>
              <w:rPr>
                <w:rFonts w:eastAsiaTheme="minorEastAsia"/>
              </w:rPr>
            </w:pPr>
            <w:r>
              <w:rPr>
                <w:rFonts w:eastAsiaTheme="minorEastAsia"/>
              </w:rPr>
              <w:t>Y</w:t>
            </w:r>
          </w:p>
        </w:tc>
        <w:tc>
          <w:tcPr>
            <w:tcW w:w="6971" w:type="dxa"/>
          </w:tcPr>
          <w:p w14:paraId="6411853B" w14:textId="77777777" w:rsidR="00A05583" w:rsidRPr="001D46EE" w:rsidRDefault="00A05583" w:rsidP="00DC11F5">
            <w:pPr>
              <w:rPr>
                <w:rFonts w:eastAsia="Malgun Gothic"/>
                <w:b/>
                <w:bCs/>
                <w:lang w:eastAsia="ko-KR"/>
              </w:rPr>
            </w:pPr>
          </w:p>
        </w:tc>
      </w:tr>
    </w:tbl>
    <w:p w14:paraId="00D607BF" w14:textId="77777777" w:rsidR="007E0842" w:rsidRDefault="007E0842">
      <w:pPr>
        <w:autoSpaceDE/>
        <w:autoSpaceDN/>
        <w:adjustRightInd/>
        <w:snapToGrid/>
        <w:spacing w:after="0"/>
        <w:rPr>
          <w:rFonts w:eastAsia="Times New Roman"/>
          <w:sz w:val="24"/>
          <w:szCs w:val="24"/>
        </w:rPr>
      </w:pP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MCS and CQI Tables for </w:t>
      </w:r>
      <w:proofErr w:type="spellStart"/>
      <w:r>
        <w:rPr>
          <w:rFonts w:ascii="Arial" w:hAnsi="Arial"/>
          <w:b w:val="0"/>
          <w:bCs w:val="0"/>
          <w:sz w:val="36"/>
          <w:szCs w:val="20"/>
        </w:rPr>
        <w:t>RedCap</w:t>
      </w:r>
      <w:proofErr w:type="spellEnd"/>
    </w:p>
    <w:p w14:paraId="00D607C1"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 xml:space="preserve">Support of 256QAM in DL is optional (instead of mandatory) for an FR1 </w:t>
      </w:r>
      <w:proofErr w:type="spellStart"/>
      <w:r>
        <w:rPr>
          <w:bCs/>
          <w:i/>
          <w:iCs/>
        </w:rPr>
        <w:t>RedCap</w:t>
      </w:r>
      <w:proofErr w:type="spellEnd"/>
      <w:r>
        <w:rPr>
          <w:bCs/>
          <w:i/>
          <w:iCs/>
        </w:rPr>
        <w:t xml:space="preserve"> UE.</w:t>
      </w:r>
    </w:p>
    <w:p w14:paraId="00D607C4" w14:textId="77777777" w:rsidR="007E0842" w:rsidRDefault="00FD7810">
      <w:pPr>
        <w:pStyle w:val="BodyText"/>
        <w:numPr>
          <w:ilvl w:val="1"/>
          <w:numId w:val="5"/>
        </w:numPr>
        <w:overflowPunct w:val="0"/>
        <w:autoSpaceDE/>
        <w:adjustRightInd/>
        <w:snapToGrid/>
        <w:rPr>
          <w:bCs/>
          <w:i/>
          <w:iCs/>
        </w:rPr>
      </w:pPr>
      <w:r>
        <w:rPr>
          <w:bCs/>
          <w:i/>
          <w:iCs/>
        </w:rPr>
        <w:t xml:space="preserve">No other relaxations of maximum modulation order are specified for a </w:t>
      </w:r>
      <w:proofErr w:type="spellStart"/>
      <w:r>
        <w:rPr>
          <w:bCs/>
          <w:i/>
          <w:iCs/>
        </w:rPr>
        <w:t>RedCap</w:t>
      </w:r>
      <w:proofErr w:type="spellEnd"/>
      <w:r>
        <w:rPr>
          <w:bCs/>
          <w:i/>
          <w:iCs/>
        </w:rPr>
        <w:t xml:space="preserve"> UE.</w:t>
      </w:r>
    </w:p>
    <w:p w14:paraId="00D607C5" w14:textId="77777777" w:rsidR="007E0842" w:rsidRDefault="00FD7810">
      <w:r>
        <w:lastRenderedPageBreak/>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 xml:space="preserve">The MCS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FFS which MCS table is the default one for </w:t>
            </w:r>
            <w:proofErr w:type="spellStart"/>
            <w:r>
              <w:rPr>
                <w:rFonts w:eastAsia="Batang"/>
                <w:i/>
                <w:iCs/>
                <w:sz w:val="20"/>
                <w:szCs w:val="20"/>
                <w:lang w:val="en-GB"/>
              </w:rPr>
              <w:t>RedCap</w:t>
            </w:r>
            <w:proofErr w:type="spellEnd"/>
            <w:r>
              <w:rPr>
                <w:rFonts w:eastAsia="Batang"/>
                <w:i/>
                <w:iCs/>
                <w:sz w:val="20"/>
                <w:szCs w:val="20"/>
                <w:lang w:val="en-GB"/>
              </w:rPr>
              <w:t xml:space="preserve"> (i.e., the default one for non-</w:t>
            </w:r>
            <w:proofErr w:type="spellStart"/>
            <w:r>
              <w:rPr>
                <w:rFonts w:eastAsia="Batang"/>
                <w:i/>
                <w:iCs/>
                <w:sz w:val="20"/>
                <w:szCs w:val="20"/>
                <w:lang w:val="en-GB"/>
              </w:rPr>
              <w:t>RedCap</w:t>
            </w:r>
            <w:proofErr w:type="spellEnd"/>
            <w:r>
              <w:rPr>
                <w:rFonts w:eastAsia="Batang"/>
                <w:i/>
                <w:iCs/>
                <w:sz w:val="20"/>
                <w:szCs w:val="20"/>
                <w:lang w:val="en-GB"/>
              </w:rPr>
              <w:t xml:space="preserve">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Note: there is no new MCS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 xml:space="preserve">The CQI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 xml:space="preserve">There is no new CQI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w:t>
      </w:r>
      <w:proofErr w:type="spellStart"/>
      <w:r>
        <w:t>RedCap</w:t>
      </w:r>
      <w:proofErr w:type="spellEnd"/>
      <w:r>
        <w:t xml:space="preserve">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 xml:space="preserve">64QAM SE tables are used for common control, including at least random </w:t>
      </w:r>
      <w:proofErr w:type="gramStart"/>
      <w:r>
        <w:t>access-related</w:t>
      </w:r>
      <w:proofErr w:type="gramEnd"/>
      <w:r>
        <w:t xml:space="preserve">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t>FL Proposal 4</w:t>
      </w:r>
    </w:p>
    <w:p w14:paraId="00D607DF" w14:textId="77777777" w:rsidR="007E0842" w:rsidRDefault="00FD7810">
      <w:pPr>
        <w:pStyle w:val="ListParagraph"/>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lastRenderedPageBreak/>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 xml:space="preserve">We think there is benefit in aligning the support of 256QAM tables for </w:t>
            </w:r>
            <w:proofErr w:type="spellStart"/>
            <w:r>
              <w:rPr>
                <w:rFonts w:eastAsiaTheme="minorEastAsia"/>
              </w:rPr>
              <w:t>RedCap</w:t>
            </w:r>
            <w:proofErr w:type="spellEnd"/>
            <w:r>
              <w:rPr>
                <w:rFonts w:eastAsiaTheme="minorEastAsia"/>
              </w:rPr>
              <w:t xml:space="preserve">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 xml:space="preserve">For a </w:t>
            </w:r>
            <w:proofErr w:type="spellStart"/>
            <w:r w:rsidRPr="00FE41AC">
              <w:rPr>
                <w:i/>
                <w:iCs/>
              </w:rPr>
              <w:t>RedCap</w:t>
            </w:r>
            <w:proofErr w:type="spellEnd"/>
            <w:r w:rsidRPr="00FE41AC">
              <w:rPr>
                <w:i/>
                <w:iCs/>
              </w:rPr>
              <w:t xml:space="preserve">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 xml:space="preserve">The following may be optionally supported by </w:t>
            </w:r>
            <w:proofErr w:type="spellStart"/>
            <w:r w:rsidRPr="00FE41AC">
              <w:rPr>
                <w:i/>
                <w:iCs/>
              </w:rPr>
              <w:t>RedCap</w:t>
            </w:r>
            <w:proofErr w:type="spellEnd"/>
            <w:r w:rsidRPr="00FE41AC">
              <w:rPr>
                <w:i/>
                <w:iCs/>
              </w:rPr>
              <w:t xml:space="preserve">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77777777" w:rsidR="005305F3" w:rsidRDefault="005305F3" w:rsidP="005305F3">
            <w:pPr>
              <w:rPr>
                <w:rFonts w:eastAsiaTheme="minorEastAsia"/>
                <w:sz w:val="20"/>
                <w:szCs w:val="20"/>
              </w:rPr>
            </w:pPr>
          </w:p>
        </w:tc>
        <w:tc>
          <w:tcPr>
            <w:tcW w:w="1272" w:type="dxa"/>
            <w:shd w:val="clear" w:color="auto" w:fill="auto"/>
          </w:tcPr>
          <w:p w14:paraId="00D60800" w14:textId="77777777"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77777777" w:rsidR="007E0842" w:rsidRDefault="007E0842"/>
    <w:p w14:paraId="00D60804" w14:textId="77777777" w:rsidR="007E0842" w:rsidRDefault="00FD7810">
      <w:r>
        <w:t xml:space="preserve">Similarly, the following shows the distribution of company preferences on mandatory requirements for CQI tables for </w:t>
      </w:r>
      <w:proofErr w:type="spellStart"/>
      <w:r>
        <w:t>RedCap</w:t>
      </w:r>
      <w:proofErr w:type="spellEnd"/>
      <w:r>
        <w:t xml:space="preserve">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w:t>
      </w:r>
      <w:proofErr w:type="spellStart"/>
      <w:r>
        <w:t>RedCap</w:t>
      </w:r>
      <w:proofErr w:type="spellEnd"/>
      <w:r>
        <w:t xml:space="preserve">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w:t>
            </w:r>
            <w:r>
              <w:lastRenderedPageBreak/>
              <w:t>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 xml:space="preserve">We also think the CQI table 3 should be optional for </w:t>
            </w:r>
            <w:proofErr w:type="spellStart"/>
            <w:r>
              <w:rPr>
                <w:rFonts w:eastAsia="Malgun Gothic" w:hint="eastAsia"/>
                <w:sz w:val="20"/>
                <w:szCs w:val="20"/>
                <w:lang w:eastAsia="ko-KR"/>
              </w:rPr>
              <w:t>RedCap</w:t>
            </w:r>
            <w:proofErr w:type="spellEnd"/>
            <w:r>
              <w:rPr>
                <w:rFonts w:eastAsia="Malgun Gothic" w:hint="eastAsia"/>
                <w:sz w:val="20"/>
                <w:szCs w:val="20"/>
                <w:lang w:eastAsia="ko-KR"/>
              </w:rPr>
              <w:t>,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w:t>
            </w:r>
            <w:proofErr w:type="spellStart"/>
            <w:r>
              <w:rPr>
                <w:i/>
                <w:iCs/>
              </w:rPr>
              <w:t>RedCap</w:t>
            </w:r>
            <w:proofErr w:type="spellEnd"/>
            <w:r>
              <w:rPr>
                <w:i/>
                <w:iCs/>
              </w:rPr>
              <w:t xml:space="preserve">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proofErr w:type="spellStart"/>
            <w:r w:rsidRPr="00B677F9">
              <w:rPr>
                <w:i/>
                <w:iCs/>
              </w:rPr>
              <w:t>RedCap</w:t>
            </w:r>
            <w:proofErr w:type="spellEnd"/>
            <w:r w:rsidRPr="00B677F9">
              <w:rPr>
                <w:i/>
                <w:iCs/>
              </w:rPr>
              <w:t xml:space="preserve">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00D60832" w14:textId="77777777" w:rsidR="007E0842" w:rsidRDefault="007E0842"/>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w:t>
      </w:r>
      <w:proofErr w:type="spellStart"/>
      <w:r>
        <w:t>RedCap</w:t>
      </w:r>
      <w:proofErr w:type="spellEnd"/>
      <w:r>
        <w:t xml:space="preserve"> UEs and details of frequency selective scheduling outside of active DL BWP of a </w:t>
      </w:r>
      <w:proofErr w:type="spellStart"/>
      <w:r>
        <w:t>RedCap</w:t>
      </w:r>
      <w:proofErr w:type="spellEnd"/>
      <w:r>
        <w:t xml:space="preserve"> UE are studied further in view of the complexities involved with accurate CSI measurements and feedback outside of the active DL BWP. </w:t>
      </w:r>
    </w:p>
    <w:p w14:paraId="00D60835" w14:textId="77777777" w:rsidR="007E0842" w:rsidRDefault="00FD7810">
      <w:r>
        <w:t xml:space="preserve">Considering that some of these considerations have some correlation to the discussions in AI 8.6.1.1 on reduced BW support for </w:t>
      </w:r>
      <w:proofErr w:type="spellStart"/>
      <w:r>
        <w:t>RedCap</w:t>
      </w:r>
      <w:proofErr w:type="spellEnd"/>
      <w:r>
        <w:t xml:space="preserve"> UEs, it is suggested to consider these proposals once better clarity on reduced BW and BWP configurations to be supported for </w:t>
      </w:r>
      <w:proofErr w:type="spellStart"/>
      <w:r>
        <w:t>RedCap</w:t>
      </w:r>
      <w:proofErr w:type="spellEnd"/>
      <w:r>
        <w:t xml:space="preserve"> UEs. </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2" w:name="_Ref68620792"/>
      <w:r>
        <w:t>RP-210918, Revised WID on support of reduced capability NR devices, RAN #91-e.</w:t>
      </w:r>
      <w:bookmarkEnd w:id="2"/>
    </w:p>
    <w:bookmarkStart w:id="3"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xml:space="preserve">, MIMO and modulation support for </w:t>
      </w:r>
      <w:proofErr w:type="spellStart"/>
      <w:r>
        <w:rPr>
          <w:lang w:eastAsia="zh-CN"/>
        </w:rPr>
        <w:t>RedCap</w:t>
      </w:r>
      <w:proofErr w:type="spellEnd"/>
      <w:r>
        <w:rPr>
          <w:lang w:eastAsia="zh-CN"/>
        </w:rPr>
        <w:tab/>
        <w:t>Ericsson</w:t>
      </w:r>
      <w:bookmarkEnd w:id="3"/>
    </w:p>
    <w:p w14:paraId="00D60839" w14:textId="77777777" w:rsidR="007E0842" w:rsidRDefault="00466812">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466812">
      <w:pPr>
        <w:pStyle w:val="ListParagraph"/>
        <w:numPr>
          <w:ilvl w:val="0"/>
          <w:numId w:val="9"/>
        </w:numPr>
        <w:rPr>
          <w:lang w:eastAsia="zh-CN"/>
        </w:rPr>
      </w:pPr>
      <w:hyperlink r:id="rId13" w:history="1">
        <w:r w:rsidR="00FD7810">
          <w:rPr>
            <w:lang w:eastAsia="zh-CN"/>
          </w:rPr>
          <w:t>R1-2104286</w:t>
        </w:r>
      </w:hyperlink>
      <w:r w:rsidR="00FD7810">
        <w:rPr>
          <w:lang w:eastAsia="zh-CN"/>
        </w:rPr>
        <w:t xml:space="preserve">, Reduced maximum MIMO layers and reduced maximum modulation order for </w:t>
      </w:r>
      <w:proofErr w:type="spellStart"/>
      <w:r w:rsidR="00FD7810">
        <w:rPr>
          <w:lang w:eastAsia="zh-CN"/>
        </w:rPr>
        <w:t>RedCap</w:t>
      </w:r>
      <w:proofErr w:type="spellEnd"/>
      <w:r w:rsidR="00FD7810">
        <w:rPr>
          <w:lang w:eastAsia="zh-CN"/>
        </w:rPr>
        <w:tab/>
        <w:t xml:space="preserve">Huawei, </w:t>
      </w:r>
      <w:proofErr w:type="spellStart"/>
      <w:r w:rsidR="00FD7810">
        <w:rPr>
          <w:lang w:eastAsia="zh-CN"/>
        </w:rPr>
        <w:t>HiSilicon</w:t>
      </w:r>
      <w:proofErr w:type="spellEnd"/>
    </w:p>
    <w:p w14:paraId="00D6083B" w14:textId="77777777" w:rsidR="007E0842" w:rsidRDefault="00466812">
      <w:pPr>
        <w:widowControl w:val="0"/>
        <w:numPr>
          <w:ilvl w:val="0"/>
          <w:numId w:val="9"/>
        </w:numPr>
        <w:overflowPunct w:val="0"/>
        <w:snapToGrid/>
      </w:pPr>
      <w:hyperlink r:id="rId14" w:history="1">
        <w:r w:rsidR="00FD7810">
          <w:t>R1-2104368</w:t>
        </w:r>
      </w:hyperlink>
      <w:r w:rsidR="00FD7810">
        <w:t xml:space="preserve">, Other feature reductions for </w:t>
      </w:r>
      <w:proofErr w:type="spellStart"/>
      <w:r w:rsidR="00FD7810">
        <w:t>RedCap</w:t>
      </w:r>
      <w:proofErr w:type="spellEnd"/>
      <w:r w:rsidR="00FD7810">
        <w:t xml:space="preserve"> NR devices</w:t>
      </w:r>
      <w:r w:rsidR="00FD7810">
        <w:tab/>
        <w:t>vivo, Guangdong Genius</w:t>
      </w:r>
    </w:p>
    <w:p w14:paraId="00D6083C" w14:textId="77777777" w:rsidR="007E0842" w:rsidRDefault="00466812">
      <w:pPr>
        <w:widowControl w:val="0"/>
        <w:numPr>
          <w:ilvl w:val="0"/>
          <w:numId w:val="9"/>
        </w:numPr>
        <w:overflowPunct w:val="0"/>
        <w:snapToGrid/>
      </w:pPr>
      <w:hyperlink r:id="rId15" w:history="1">
        <w:r w:rsidR="00FD7810">
          <w:t>R1-2104430</w:t>
        </w:r>
      </w:hyperlink>
      <w:r w:rsidR="00FD7810">
        <w:t xml:space="preserve">, Discussion on relaxed maximum modulation order for </w:t>
      </w:r>
      <w:proofErr w:type="spellStart"/>
      <w:r w:rsidR="00FD7810">
        <w:t>RedCap</w:t>
      </w:r>
      <w:proofErr w:type="spellEnd"/>
      <w:r w:rsidR="00FD7810">
        <w:tab/>
      </w:r>
      <w:proofErr w:type="spellStart"/>
      <w:r w:rsidR="00FD7810">
        <w:t>Spreadtrum</w:t>
      </w:r>
      <w:proofErr w:type="spellEnd"/>
      <w:r w:rsidR="00FD7810">
        <w:t xml:space="preserve"> Communications</w:t>
      </w:r>
    </w:p>
    <w:p w14:paraId="00D6083D" w14:textId="77777777" w:rsidR="007E0842" w:rsidRDefault="00466812">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466812">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466812">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466812">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466812">
      <w:pPr>
        <w:widowControl w:val="0"/>
        <w:numPr>
          <w:ilvl w:val="0"/>
          <w:numId w:val="9"/>
        </w:numPr>
        <w:overflowPunct w:val="0"/>
        <w:snapToGrid/>
      </w:pPr>
      <w:hyperlink r:id="rId20" w:history="1">
        <w:r w:rsidR="00FD7810">
          <w:t>R1-2104713</w:t>
        </w:r>
      </w:hyperlink>
      <w:r w:rsidR="00FD7810">
        <w:t xml:space="preserve">, Discussion on modulation order and MIMO layers for </w:t>
      </w:r>
      <w:proofErr w:type="spellStart"/>
      <w:r w:rsidR="00FD7810">
        <w:t>RedCap</w:t>
      </w:r>
      <w:proofErr w:type="spellEnd"/>
      <w:r w:rsidR="00FD7810">
        <w:tab/>
        <w:t xml:space="preserve">ZTE, </w:t>
      </w:r>
      <w:proofErr w:type="spellStart"/>
      <w:r w:rsidR="00FD7810">
        <w:t>Sanechips</w:t>
      </w:r>
      <w:proofErr w:type="spellEnd"/>
    </w:p>
    <w:p w14:paraId="00D60842" w14:textId="77777777" w:rsidR="007E0842" w:rsidRDefault="00466812">
      <w:pPr>
        <w:widowControl w:val="0"/>
        <w:numPr>
          <w:ilvl w:val="0"/>
          <w:numId w:val="9"/>
        </w:numPr>
        <w:overflowPunct w:val="0"/>
        <w:snapToGrid/>
      </w:pPr>
      <w:hyperlink r:id="rId21" w:history="1">
        <w:r w:rsidR="00FD7810">
          <w:t>R1-2104914</w:t>
        </w:r>
      </w:hyperlink>
      <w:r w:rsidR="00FD7810">
        <w:t xml:space="preserve">, On other complexity reduction features for </w:t>
      </w:r>
      <w:proofErr w:type="spellStart"/>
      <w:r w:rsidR="00FD7810">
        <w:t>RedCap</w:t>
      </w:r>
      <w:proofErr w:type="spellEnd"/>
      <w:r w:rsidR="00FD7810">
        <w:tab/>
        <w:t>Intel Corporation</w:t>
      </w:r>
    </w:p>
    <w:p w14:paraId="00D60843" w14:textId="77777777" w:rsidR="007E0842" w:rsidRDefault="00466812">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466812">
      <w:pPr>
        <w:widowControl w:val="0"/>
        <w:numPr>
          <w:ilvl w:val="0"/>
          <w:numId w:val="9"/>
        </w:numPr>
        <w:overflowPunct w:val="0"/>
        <w:snapToGrid/>
      </w:pPr>
      <w:hyperlink r:id="rId23" w:history="1">
        <w:r w:rsidR="00FD7810">
          <w:t>R1-2105319</w:t>
        </w:r>
      </w:hyperlink>
      <w:r w:rsidR="00FD7810">
        <w:t xml:space="preserve">, Other aspects for complexity reduction for </w:t>
      </w:r>
      <w:proofErr w:type="spellStart"/>
      <w:r w:rsidR="00FD7810">
        <w:t>RedCap</w:t>
      </w:r>
      <w:proofErr w:type="spellEnd"/>
      <w:r w:rsidR="00FD7810">
        <w:t xml:space="preserve"> UEs</w:t>
      </w:r>
      <w:r w:rsidR="00FD7810">
        <w:tab/>
        <w:t>Samsung</w:t>
      </w:r>
    </w:p>
    <w:p w14:paraId="00D60845" w14:textId="77777777" w:rsidR="007E0842" w:rsidRDefault="00466812">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466812">
      <w:pPr>
        <w:widowControl w:val="0"/>
        <w:numPr>
          <w:ilvl w:val="0"/>
          <w:numId w:val="9"/>
        </w:numPr>
        <w:overflowPunct w:val="0"/>
        <w:snapToGrid/>
      </w:pPr>
      <w:hyperlink r:id="rId25" w:history="1">
        <w:r w:rsidR="00FD7810">
          <w:t>R1-2105595</w:t>
        </w:r>
      </w:hyperlink>
      <w:r w:rsidR="00FD7810">
        <w:t xml:space="preserve">, MIMO aspects for </w:t>
      </w:r>
      <w:proofErr w:type="spellStart"/>
      <w:r w:rsidR="00FD7810">
        <w:t>RedCap</w:t>
      </w:r>
      <w:proofErr w:type="spellEnd"/>
      <w:r w:rsidR="00FD7810">
        <w:tab/>
        <w:t>NEC</w:t>
      </w:r>
    </w:p>
    <w:p w14:paraId="00D60847" w14:textId="77777777" w:rsidR="007E0842" w:rsidRDefault="00466812">
      <w:pPr>
        <w:widowControl w:val="0"/>
        <w:numPr>
          <w:ilvl w:val="0"/>
          <w:numId w:val="9"/>
        </w:numPr>
        <w:overflowPunct w:val="0"/>
        <w:snapToGrid/>
      </w:pPr>
      <w:hyperlink r:id="rId26" w:history="1">
        <w:r w:rsidR="00FD7810">
          <w:t>R1-2105706</w:t>
        </w:r>
      </w:hyperlink>
      <w:r w:rsidR="00FD7810">
        <w:t xml:space="preserve">, Discussion on other aspects of UE complexity reduction for </w:t>
      </w:r>
      <w:proofErr w:type="spellStart"/>
      <w:r w:rsidR="00FD7810">
        <w:t>RedCap</w:t>
      </w:r>
      <w:proofErr w:type="spellEnd"/>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 w:name="_Ref48645182"/>
      <w:r>
        <w:rPr>
          <w:rFonts w:ascii="Arial" w:hAnsi="Arial"/>
          <w:b w:val="0"/>
          <w:bCs w:val="0"/>
          <w:sz w:val="36"/>
          <w:szCs w:val="20"/>
        </w:rPr>
        <w:t>Appendix A</w:t>
      </w:r>
      <w:bookmarkEnd w:id="4"/>
    </w:p>
    <w:p w14:paraId="00D60849" w14:textId="77777777" w:rsidR="007E0842" w:rsidRDefault="00FD7810">
      <w:pPr>
        <w:rPr>
          <w:b/>
          <w:bCs/>
          <w:u w:val="single"/>
        </w:rPr>
      </w:pPr>
      <w:r>
        <w:rPr>
          <w:b/>
          <w:bCs/>
          <w:u w:val="single"/>
        </w:rPr>
        <w:t xml:space="preserve">List of observations/proposals on other aspects for complexity reduction for </w:t>
      </w:r>
      <w:proofErr w:type="spellStart"/>
      <w:r>
        <w:rPr>
          <w:b/>
          <w:bCs/>
          <w:u w:val="single"/>
        </w:rPr>
        <w:t>RedCap</w:t>
      </w:r>
      <w:proofErr w:type="spellEnd"/>
      <w:r>
        <w:rPr>
          <w:b/>
          <w:bCs/>
          <w:u w:val="single"/>
        </w:rPr>
        <w:t xml:space="preserve"> UEs submitted to RAN1 #105-E meeting:</w:t>
      </w:r>
    </w:p>
    <w:p w14:paraId="00D6084A" w14:textId="77777777" w:rsidR="007E0842" w:rsidRDefault="00466812">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 xml:space="preserve">MIMO and modulation support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466812">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466812">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 xml:space="preserve">From RAN1 perspective, existing per-band capability </w:t>
              </w:r>
              <w:proofErr w:type="spellStart"/>
              <w:r w:rsidR="00FD7810">
                <w:rPr>
                  <w:rFonts w:ascii="Times" w:eastAsia="Batang" w:hAnsi="Times"/>
                  <w:sz w:val="20"/>
                  <w:szCs w:val="24"/>
                  <w:lang w:val="en-GB"/>
                </w:rPr>
                <w:t>maxNumberMIMO-LayersPDSCH</w:t>
              </w:r>
              <w:proofErr w:type="spellEnd"/>
              <w:r w:rsidR="00FD7810">
                <w:rPr>
                  <w:rFonts w:ascii="Times" w:eastAsia="Batang" w:hAnsi="Times"/>
                  <w:sz w:val="20"/>
                  <w:szCs w:val="24"/>
                  <w:lang w:val="en-GB"/>
                </w:rPr>
                <w:t xml:space="preserve"> can be used for indicating both the number of Rx branches and supported number of DL MIMO layers in a band. The detailed </w:t>
              </w:r>
              <w:proofErr w:type="spellStart"/>
              <w:r w:rsidR="00FD7810">
                <w:rPr>
                  <w:rFonts w:ascii="Times" w:eastAsia="Batang" w:hAnsi="Times"/>
                  <w:sz w:val="20"/>
                  <w:szCs w:val="24"/>
                  <w:lang w:val="en-GB"/>
                </w:rPr>
                <w:t>signaling</w:t>
              </w:r>
              <w:proofErr w:type="spellEnd"/>
              <w:r w:rsidR="00FD7810">
                <w:rPr>
                  <w:rFonts w:ascii="Times" w:eastAsia="Batang" w:hAnsi="Times"/>
                  <w:sz w:val="20"/>
                  <w:szCs w:val="24"/>
                  <w:lang w:val="en-GB"/>
                </w:rPr>
                <w:t xml:space="preserve"> solution is up to RAN2.</w:t>
              </w:r>
            </w:hyperlink>
          </w:p>
          <w:p w14:paraId="00D6084D" w14:textId="77777777" w:rsidR="007E0842" w:rsidRDefault="00466812">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 xml:space="preserve">The discussion on possible changes to DCI due to reduced maximum number of DL MIMO layers is deferred to a later stage and considered jointly with all </w:t>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 complexity reduction features.</w:t>
              </w:r>
            </w:hyperlink>
          </w:p>
          <w:p w14:paraId="00D6084E" w14:textId="77777777" w:rsidR="007E0842" w:rsidRDefault="00466812">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 xml:space="preserve">For simplicity and consistency reasons, in our view, 64QAM (Table 5.1.3.1-1 and Table 6.1.4.1-1), 256QAM (Table 5.1.3.1-2) MCS tables and CQI Table 1 and Table 2 should also be mandatory for all </w:t>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UEs.</w:t>
              </w:r>
            </w:hyperlink>
          </w:p>
          <w:p w14:paraId="00D6084F" w14:textId="77777777" w:rsidR="007E0842" w:rsidRDefault="00466812">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466812">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 xml:space="preserve">Like legacy UEs, </w:t>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466812">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1: The low SE table is tailored to the SNR region where a reduced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low SE table should be the default MCS table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 xml:space="preserve">Proposal 2: The low SE MCS table for PDSCH is considered as a mandatory feature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466812">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w:t>
      </w:r>
      <w:proofErr w:type="gramStart"/>
      <w:r w:rsidR="00FD7810">
        <w:rPr>
          <w:rFonts w:ascii="Times" w:eastAsia="Batang" w:hAnsi="Times"/>
          <w:sz w:val="20"/>
          <w:szCs w:val="24"/>
          <w:lang w:val="en-GB" w:eastAsia="zh-CN"/>
        </w:rPr>
        <w:t>maximum  MIMO</w:t>
      </w:r>
      <w:proofErr w:type="gramEnd"/>
      <w:r w:rsidR="00FD7810">
        <w:rPr>
          <w:rFonts w:ascii="Times" w:eastAsia="Batang" w:hAnsi="Times"/>
          <w:sz w:val="20"/>
          <w:szCs w:val="24"/>
          <w:lang w:val="en-GB" w:eastAsia="zh-CN"/>
        </w:rPr>
        <w:t xml:space="preserve"> layers and reduced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 xml:space="preserve">s) field in DCI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Conclude that Table 5.1.3.1-1 and Table 6.1.4.1-1 are reused as the default MCS table, Table 5.2.2.1-2 are reused as the default CQI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Conclude that the following tables remain to be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5.1.3.1-3 (MCS table 3 for both PUSCH and PDSCH) defined in TS </w:t>
            </w:r>
            <w:proofErr w:type="gramStart"/>
            <w:r>
              <w:rPr>
                <w:rFonts w:ascii="Times" w:eastAsia="Batang" w:hAnsi="Times"/>
                <w:sz w:val="20"/>
                <w:szCs w:val="24"/>
                <w:lang w:val="en-GB"/>
              </w:rPr>
              <w:t>38.214;</w:t>
            </w:r>
            <w:proofErr w:type="gramEnd"/>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6.1.4.1-2 (MCS table 3 for PUSCH with transform precoding and 64QAM) defined in TS </w:t>
            </w:r>
            <w:proofErr w:type="gramStart"/>
            <w:r>
              <w:rPr>
                <w:rFonts w:ascii="Times" w:eastAsia="Batang" w:hAnsi="Times"/>
                <w:sz w:val="20"/>
                <w:szCs w:val="24"/>
                <w:lang w:val="en-GB"/>
              </w:rPr>
              <w:t>38.214;</w:t>
            </w:r>
            <w:proofErr w:type="gramEnd"/>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466812">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 xml:space="preserve">Other feature reductions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 xml:space="preserve">DCI format 0_0/1_0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 xml:space="preserve">1/1_1 and DCI format 0_2/1_2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3: For non-fallback UL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4: For non-fallback DL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5: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default MCS table is the same as the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466812">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 xml:space="preserve">Discussion on relaxed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r>
      <w:proofErr w:type="spellStart"/>
      <w:r w:rsidR="00FD7810">
        <w:rPr>
          <w:rFonts w:ascii="Times" w:eastAsia="Batang" w:hAnsi="Times"/>
          <w:sz w:val="20"/>
          <w:szCs w:val="24"/>
          <w:lang w:val="en-GB" w:eastAsia="zh-CN"/>
        </w:rPr>
        <w:t>Spreadtrum</w:t>
      </w:r>
      <w:proofErr w:type="spellEnd"/>
      <w:r w:rsidR="00FD7810">
        <w:rPr>
          <w:rFonts w:ascii="Times" w:eastAsia="Batang" w:hAnsi="Times"/>
          <w:sz w:val="20"/>
          <w:szCs w:val="24"/>
          <w:lang w:val="en-GB" w:eastAsia="zh-CN"/>
        </w:rPr>
        <w:t xml:space="preserve">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should know the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4: Send an LS to RAN2 including RAN1 agreements on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466812">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Observation 1: The maximum number of DL MIMO layers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3: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MCS table and low SE MCS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Proposal 5: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CQI table and low SE CQI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466812">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There is no need to modify DCI fields/formats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There is no need to modify CSI measurement/reporting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Tables 5.1.3.1-1 and 6.1.4.1-1 are the default tables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4: Low SE MCS Tables 5.1.3.1-3 and 6.1.4.1-2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5: CQI Table 5.2.2.1-2 is the default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6: Low SE CQI Table 5.2.2.1-4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466812">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466812">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used as a baseline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contents and quantities of CSI report can be reduced </w:t>
            </w:r>
            <w:proofErr w:type="gramStart"/>
            <w:r>
              <w:rPr>
                <w:rFonts w:ascii="Times" w:eastAsia="Batang" w:hAnsi="Times"/>
                <w:sz w:val="20"/>
                <w:szCs w:val="24"/>
                <w:lang w:val="en-GB"/>
              </w:rPr>
              <w:t>as a result of</w:t>
            </w:r>
            <w:proofErr w:type="gramEnd"/>
            <w:r>
              <w:rPr>
                <w:rFonts w:ascii="Times" w:eastAsia="Batang" w:hAnsi="Times"/>
                <w:sz w:val="20"/>
                <w:szCs w:val="24"/>
                <w:lang w:val="en-GB"/>
              </w:rPr>
              <w:t xml:space="preserve">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xml:space="preserve">: FFS frequency selective scheduling outside active DL BWP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xml:space="preserve">: SRS transmission on non-active UL BWP is not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466812">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 xml:space="preserve">Discussion on modulation order and MIMO layers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466812">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 xml:space="preserve">On other complexity reduction features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466812">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466812">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 xml:space="preserve">Other aspects for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use the same MCS table as default table with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 xml:space="preserve">Proposal 3: MCS Table 3 and corresponding CQI table 3 can be optionally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466812">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default MCS/CQI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466812">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 xml:space="preserve">MIMO aspects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w:t>
                  </w:r>
                  <w:proofErr w:type="spellStart"/>
                  <w:r>
                    <w:rPr>
                      <w:rFonts w:ascii="Arial" w:hAnsi="Arial"/>
                      <w:color w:val="FF0000"/>
                      <w:lang w:eastAsia="en-GB"/>
                    </w:rPr>
                    <w:t>RedCap</w:t>
                  </w:r>
                  <w:proofErr w:type="spellEnd"/>
                  <w:r>
                    <w:rPr>
                      <w:rFonts w:ascii="Arial" w:hAnsi="Arial"/>
                      <w:color w:val="FF0000"/>
                      <w:lang w:eastAsia="en-GB"/>
                    </w:rPr>
                    <w:t xml:space="preserve">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w:t>
                  </w:r>
                  <w:proofErr w:type="spellStart"/>
                  <w:r>
                    <w:rPr>
                      <w:rFonts w:ascii="Arial" w:hAnsi="Arial"/>
                      <w:color w:val="FF0000"/>
                      <w:lang w:eastAsia="en-GB"/>
                    </w:rPr>
                    <w:t>RedCap</w:t>
                  </w:r>
                  <w:proofErr w:type="spellEnd"/>
                  <w:r>
                    <w:rPr>
                      <w:rFonts w:ascii="Arial" w:hAnsi="Arial"/>
                      <w:color w:val="FF0000"/>
                      <w:lang w:eastAsia="en-GB"/>
                    </w:rPr>
                    <w:t xml:space="preserve"> type with 2Rx, it is mandatory with capability signaling to support 2 MIMO layers. For </w:t>
                  </w:r>
                  <w:proofErr w:type="spellStart"/>
                  <w:r>
                    <w:rPr>
                      <w:rFonts w:ascii="Arial" w:hAnsi="Arial"/>
                      <w:color w:val="FF0000"/>
                      <w:lang w:eastAsia="en-GB"/>
                    </w:rPr>
                    <w:t>RedCap</w:t>
                  </w:r>
                  <w:proofErr w:type="spellEnd"/>
                  <w:r>
                    <w:rPr>
                      <w:rFonts w:ascii="Arial" w:hAnsi="Arial"/>
                      <w:color w:val="FF0000"/>
                      <w:lang w:eastAsia="en-GB"/>
                    </w:rPr>
                    <w:t xml:space="preserve">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w:t>
                  </w:r>
                  <w:proofErr w:type="spellStart"/>
                  <w:r>
                    <w:rPr>
                      <w:rFonts w:ascii="Arial" w:hAnsi="Arial"/>
                      <w:color w:val="FF0000"/>
                      <w:lang w:eastAsia="en-GB"/>
                    </w:rPr>
                    <w:t>RedCap</w:t>
                  </w:r>
                  <w:proofErr w:type="spellEnd"/>
                  <w:r>
                    <w:rPr>
                      <w:rFonts w:ascii="Arial" w:hAnsi="Arial"/>
                      <w:color w:val="FF0000"/>
                      <w:lang w:eastAsia="en-GB"/>
                    </w:rPr>
                    <w:t xml:space="preserve"> type, or the UE only supports single layer for </w:t>
                  </w:r>
                  <w:proofErr w:type="spellStart"/>
                  <w:r>
                    <w:rPr>
                      <w:rFonts w:ascii="Arial" w:hAnsi="Arial"/>
                      <w:color w:val="FF0000"/>
                      <w:lang w:eastAsia="en-GB"/>
                    </w:rPr>
                    <w:t>RedCap</w:t>
                  </w:r>
                  <w:proofErr w:type="spellEnd"/>
                  <w:r>
                    <w:rPr>
                      <w:rFonts w:ascii="Arial" w:hAnsi="Arial"/>
                      <w:color w:val="FF0000"/>
                      <w:lang w:eastAsia="en-GB"/>
                    </w:rPr>
                    <w:t xml:space="preserve">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indicated implicitly by the parameter </w:t>
            </w:r>
            <w:proofErr w:type="spellStart"/>
            <w:r>
              <w:rPr>
                <w:rFonts w:ascii="Times" w:eastAsia="Batang" w:hAnsi="Times"/>
                <w:sz w:val="20"/>
                <w:szCs w:val="24"/>
                <w:lang w:val="en-GB"/>
              </w:rPr>
              <w:t>maxNumberMIMO-LayersPDSCH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and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scheduling flexibility of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w:t>
            </w:r>
          </w:p>
          <w:p w14:paraId="00D608D6" w14:textId="77777777" w:rsidR="007E0842" w:rsidRDefault="00FD7810">
            <w:pPr>
              <w:pStyle w:val="ListParagraph"/>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466812">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 xml:space="preserve">Discussion on other aspects of UE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as default one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608E8" w14:textId="77777777" w:rsidR="00214F2F" w:rsidRDefault="00214F2F">
      <w:pPr>
        <w:spacing w:after="0"/>
      </w:pPr>
      <w:r>
        <w:separator/>
      </w:r>
    </w:p>
  </w:endnote>
  <w:endnote w:type="continuationSeparator" w:id="0">
    <w:p w14:paraId="00D608E9" w14:textId="77777777" w:rsidR="00214F2F" w:rsidRDefault="00214F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AutoText"/>
      </w:docPartObj>
    </w:sdtPr>
    <w:sdtEndPr/>
    <w:sdtContent>
      <w:sdt>
        <w:sdtPr>
          <w:id w:val="1728636285"/>
          <w:docPartObj>
            <w:docPartGallery w:val="AutoText"/>
          </w:docPartObj>
        </w:sdtPr>
        <w:sdtEndPr/>
        <w:sdtContent>
          <w:p w14:paraId="00D608EA" w14:textId="77777777" w:rsidR="007E0842" w:rsidRDefault="00FD78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71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1F1">
              <w:rPr>
                <w:b/>
                <w:bCs/>
                <w:noProof/>
              </w:rPr>
              <w:t>10</w:t>
            </w:r>
            <w:r>
              <w:rPr>
                <w:b/>
                <w:bCs/>
                <w:sz w:val="24"/>
                <w:szCs w:val="24"/>
              </w:rPr>
              <w:fldChar w:fldCharType="end"/>
            </w:r>
          </w:p>
        </w:sdtContent>
      </w:sdt>
    </w:sdtContent>
  </w:sdt>
  <w:p w14:paraId="00D608EB" w14:textId="77777777" w:rsidR="007E0842" w:rsidRDefault="007E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608E6" w14:textId="77777777" w:rsidR="00214F2F" w:rsidRDefault="00214F2F">
      <w:pPr>
        <w:spacing w:after="0"/>
      </w:pPr>
      <w:r>
        <w:separator/>
      </w:r>
    </w:p>
  </w:footnote>
  <w:footnote w:type="continuationSeparator" w:id="0">
    <w:p w14:paraId="00D608E7" w14:textId="77777777" w:rsidR="00214F2F" w:rsidRDefault="00214F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12"/>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5CE3"/>
    <w:rsid w:val="00665D26"/>
    <w:rsid w:val="00665F7A"/>
    <w:rsid w:val="00666723"/>
    <w:rsid w:val="00666AFD"/>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1A5F"/>
    <w:rsid w:val="008E1BDB"/>
    <w:rsid w:val="008E287E"/>
    <w:rsid w:val="008E31D8"/>
    <w:rsid w:val="008E4A0A"/>
    <w:rsid w:val="008E508E"/>
    <w:rsid w:val="008E55F8"/>
    <w:rsid w:val="008E5C1C"/>
    <w:rsid w:val="008F18B5"/>
    <w:rsid w:val="008F2456"/>
    <w:rsid w:val="008F2898"/>
    <w:rsid w:val="008F2A6C"/>
    <w:rsid w:val="008F2AF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2FE2A2CC-1675-49BB-8E2B-04CA7A13C4B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5026</Words>
  <Characters>26638</Characters>
  <Application>Microsoft Office Word</Application>
  <DocSecurity>0</DocSecurity>
  <Lines>221</Lines>
  <Paragraphs>63</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Sandeep Narayanan Kadan Veedu</cp:lastModifiedBy>
  <cp:revision>10</cp:revision>
  <dcterms:created xsi:type="dcterms:W3CDTF">2021-05-19T11:44:00Z</dcterms:created>
  <dcterms:modified xsi:type="dcterms:W3CDTF">2021-05-19T18:37:00Z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