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E50B48"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E50B48"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E50B48"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9"/>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w:t>
            </w:r>
            <w:proofErr w:type="gramStart"/>
            <w:r>
              <w:rPr>
                <w:rFonts w:eastAsia="宋体"/>
                <w:lang w:eastAsia="zh-CN"/>
              </w:rPr>
              <w:t>Issue</w:t>
            </w:r>
            <w:proofErr w:type="gramEnd"/>
            <w:r>
              <w:rPr>
                <w:rFonts w:eastAsia="宋体"/>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gNB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Our view is that if multiple NZP CSI-RS resources can be transmitted in multiple BWPs for a single measurement</w:t>
            </w:r>
            <w:proofErr w:type="gramStart"/>
            <w:r>
              <w:rPr>
                <w:rFonts w:eastAsia="宋体"/>
                <w:bCs/>
                <w:lang w:eastAsia="zh-CN"/>
              </w:rPr>
              <w: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procedure(e.g.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宋体"/>
                <w:lang w:eastAsia="zh-CN"/>
              </w:rPr>
              <w:t>,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w:t>
            </w:r>
            <w:r>
              <w:rPr>
                <w:rFonts w:eastAsia="宋体"/>
                <w:lang w:eastAsia="zh-CN"/>
              </w:rPr>
              <w:lastRenderedPageBreak/>
              <w:t xml:space="preserve">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lastRenderedPageBreak/>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宋体"/>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宋体"/>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proofErr w:type="spellStart"/>
            <w:r>
              <w:rPr>
                <w:rFonts w:eastAsia="Malgun Gothic"/>
                <w:lang w:eastAsia="ko-KR"/>
              </w:rPr>
              <w:t>InterDigital</w:t>
            </w:r>
            <w:proofErr w:type="spellEnd"/>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宋体" w:hint="eastAsia"/>
                <w:lang w:eastAsia="zh-CN"/>
              </w:rPr>
            </w:pPr>
            <w:proofErr w:type="spellStart"/>
            <w:r>
              <w:rPr>
                <w:rFonts w:eastAsia="宋体" w:hint="eastAsia"/>
                <w:lang w:eastAsia="zh-CN"/>
              </w:rPr>
              <w:t>Spreadtrum</w:t>
            </w:r>
            <w:proofErr w:type="spellEnd"/>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bookmarkStart w:id="7" w:name="_GoBack"/>
            <w:bookmarkEnd w:id="7"/>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 xml:space="preserve">Rel-15 NR UE uses initial BWP#0 for initial cell access including </w:t>
      </w:r>
      <w:r w:rsidRPr="00181A36">
        <w:rPr>
          <w:bCs/>
          <w:lang w:val="en-US"/>
        </w:rPr>
        <w:lastRenderedPageBreak/>
        <w:t>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lastRenderedPageBreak/>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E50B48"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lastRenderedPageBreak/>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r>
              <w:rPr>
                <w:rFonts w:eastAsia="宋体"/>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0571FC79" w14:textId="79873D62" w:rsidR="000571DF" w:rsidRDefault="000571DF" w:rsidP="009035DE">
            <w:pPr>
              <w:rPr>
                <w:rFonts w:eastAsia="宋体"/>
                <w:bCs/>
                <w:lang w:eastAsia="zh-CN"/>
              </w:rPr>
            </w:pPr>
            <w:r>
              <w:rPr>
                <w:rFonts w:eastAsia="宋体"/>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宋体"/>
                <w:lang w:eastAsia="zh-CN"/>
              </w:rPr>
            </w:pPr>
            <w:proofErr w:type="spellStart"/>
            <w:r>
              <w:rPr>
                <w:rFonts w:eastAsia="宋体"/>
                <w:lang w:eastAsia="zh-CN"/>
              </w:rPr>
              <w:t>Spreadtrum</w:t>
            </w:r>
            <w:proofErr w:type="spellEnd"/>
          </w:p>
        </w:tc>
        <w:tc>
          <w:tcPr>
            <w:tcW w:w="7651" w:type="dxa"/>
          </w:tcPr>
          <w:p w14:paraId="5A3BE3C0" w14:textId="61C236B8" w:rsidR="009A1040" w:rsidRDefault="009A1040" w:rsidP="009035DE">
            <w:pPr>
              <w:rPr>
                <w:rFonts w:eastAsia="宋体"/>
                <w:bCs/>
                <w:lang w:eastAsia="zh-CN"/>
              </w:rPr>
            </w:pPr>
            <w:r>
              <w:rPr>
                <w:rFonts w:eastAsia="宋体"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lastRenderedPageBreak/>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w:t>
      </w:r>
      <w:r w:rsidRPr="00181A36">
        <w:rPr>
          <w:lang w:eastAsia="zh-CN"/>
        </w:rPr>
        <w:lastRenderedPageBreak/>
        <w:t xml:space="preserve">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宋体"/>
                <w:highlight w:val="yellow"/>
                <w:lang w:eastAsia="zh-CN"/>
              </w:rPr>
              <w:lastRenderedPageBreak/>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lastRenderedPageBreak/>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w:t>
            </w:r>
            <w:proofErr w:type="spellStart"/>
            <w:r>
              <w:rPr>
                <w:rFonts w:eastAsia="宋体"/>
                <w:lang w:eastAsia="zh-CN"/>
              </w:rPr>
              <w:t>summaried</w:t>
            </w:r>
            <w:proofErr w:type="spellEnd"/>
            <w:r>
              <w:rPr>
                <w:rFonts w:eastAsia="宋体"/>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t>W</w:t>
            </w:r>
            <w:r>
              <w:rPr>
                <w:rFonts w:eastAsia="宋体"/>
                <w:lang w:eastAsia="zh-CN"/>
              </w:rPr>
              <w:t xml:space="preserve">e also support to define mechanism for power saving and </w:t>
            </w:r>
            <w:proofErr w:type="spellStart"/>
            <w:r>
              <w:rPr>
                <w:rFonts w:eastAsia="宋体"/>
                <w:lang w:eastAsia="zh-CN"/>
              </w:rPr>
              <w:t>signaling</w:t>
            </w:r>
            <w:proofErr w:type="spellEnd"/>
            <w:r>
              <w:rPr>
                <w:rFonts w:eastAsia="宋体"/>
                <w:lang w:eastAsia="zh-CN"/>
              </w:rPr>
              <w:t xml:space="preserve">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lastRenderedPageBreak/>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lastRenderedPageBreak/>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462E518D" w14:textId="67BA2898" w:rsidR="000571DF" w:rsidRDefault="000571DF" w:rsidP="009035DE">
            <w:pPr>
              <w:rPr>
                <w:rFonts w:eastAsia="宋体"/>
                <w:lang w:eastAsia="zh-CN"/>
              </w:rPr>
            </w:pPr>
            <w:r>
              <w:rPr>
                <w:rFonts w:eastAsia="宋体"/>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宋体"/>
                <w:lang w:eastAsia="zh-CN"/>
              </w:rPr>
            </w:pPr>
            <w:proofErr w:type="spellStart"/>
            <w:r>
              <w:rPr>
                <w:rFonts w:eastAsia="宋体" w:hint="eastAsia"/>
                <w:lang w:eastAsia="zh-CN"/>
              </w:rPr>
              <w:t>Sp</w:t>
            </w:r>
            <w:r>
              <w:rPr>
                <w:rFonts w:eastAsia="宋体"/>
                <w:lang w:eastAsia="zh-CN"/>
              </w:rPr>
              <w:t>readtrum</w:t>
            </w:r>
            <w:proofErr w:type="spellEnd"/>
          </w:p>
        </w:tc>
        <w:tc>
          <w:tcPr>
            <w:tcW w:w="7651" w:type="dxa"/>
          </w:tcPr>
          <w:p w14:paraId="0C44256E" w14:textId="5B85BC66" w:rsidR="009A1040" w:rsidRDefault="009A1040" w:rsidP="009A1040">
            <w:pPr>
              <w:rPr>
                <w:rFonts w:eastAsia="宋体"/>
                <w:lang w:eastAsia="zh-CN"/>
              </w:rPr>
            </w:pPr>
            <w:r w:rsidRPr="009A1040">
              <w:rPr>
                <w:rFonts w:eastAsia="宋体"/>
                <w:lang w:eastAsia="zh-CN"/>
              </w:rPr>
              <w:t xml:space="preserve">Whether SSB-based beam measurement of a serving cell </w:t>
            </w:r>
            <w:r w:rsidRPr="009A1040">
              <w:rPr>
                <w:rFonts w:eastAsia="宋体"/>
                <w:lang w:eastAsia="zh-CN"/>
              </w:rPr>
              <w:t>is needed</w:t>
            </w:r>
            <w:r w:rsidRPr="009A1040">
              <w:rPr>
                <w:rFonts w:eastAsia="宋体"/>
                <w:lang w:eastAsia="zh-CN"/>
              </w:rPr>
              <w:t xml:space="preserve"> </w:t>
            </w:r>
            <w:r>
              <w:rPr>
                <w:rFonts w:eastAsia="宋体"/>
                <w:lang w:eastAsia="zh-CN"/>
              </w:rPr>
              <w:t xml:space="preserve">needs </w:t>
            </w:r>
            <w:r w:rsidRPr="009A1040">
              <w:rPr>
                <w:rFonts w:eastAsia="宋体"/>
                <w:lang w:eastAsia="zh-CN"/>
              </w:rPr>
              <w:t xml:space="preserve">further </w:t>
            </w:r>
            <w:r>
              <w:rPr>
                <w:rFonts w:eastAsia="宋体"/>
                <w:lang w:eastAsia="zh-CN"/>
              </w:rPr>
              <w:t>study.</w:t>
            </w: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 xml:space="preserve">gree with moderator’s view. Agree that there are association between BWP and beam, and we prefer that the relationship between </w:t>
            </w:r>
            <w:proofErr w:type="spellStart"/>
            <w:r>
              <w:rPr>
                <w:rFonts w:eastAsia="宋体"/>
                <w:lang w:eastAsia="zh-CN"/>
              </w:rPr>
              <w:t>bwp</w:t>
            </w:r>
            <w:proofErr w:type="spellEnd"/>
            <w:r>
              <w:rPr>
                <w:rFonts w:eastAsia="宋体"/>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lastRenderedPageBreak/>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740BBB9F" w14:textId="6EF8E220" w:rsidR="000571DF" w:rsidRDefault="000571DF" w:rsidP="009035DE">
            <w:pPr>
              <w:rPr>
                <w:rFonts w:eastAsia="宋体"/>
                <w:lang w:eastAsia="zh-CN"/>
              </w:rPr>
            </w:pPr>
            <w:r>
              <w:rPr>
                <w:rFonts w:eastAsia="宋体"/>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宋体"/>
                <w:lang w:eastAsia="zh-CN"/>
              </w:rPr>
            </w:pPr>
            <w:proofErr w:type="spellStart"/>
            <w:r>
              <w:rPr>
                <w:rFonts w:eastAsia="宋体" w:hint="eastAsia"/>
                <w:lang w:eastAsia="zh-CN"/>
              </w:rPr>
              <w:t>Sp</w:t>
            </w:r>
            <w:r>
              <w:rPr>
                <w:rFonts w:eastAsia="宋体"/>
                <w:lang w:eastAsia="zh-CN"/>
              </w:rPr>
              <w:t>readtrum</w:t>
            </w:r>
            <w:proofErr w:type="spellEnd"/>
          </w:p>
        </w:tc>
        <w:tc>
          <w:tcPr>
            <w:tcW w:w="7651" w:type="dxa"/>
          </w:tcPr>
          <w:p w14:paraId="2DF9EE26" w14:textId="3F7B61A9" w:rsidR="00B9136C" w:rsidRDefault="00B9136C" w:rsidP="009035DE">
            <w:pPr>
              <w:rPr>
                <w:rFonts w:eastAsia="宋体"/>
                <w:lang w:eastAsia="zh-CN"/>
              </w:rPr>
            </w:pPr>
            <w:r>
              <w:rPr>
                <w:rFonts w:eastAsia="宋体"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FC42D5" w:rsidP="00C61AA1">
      <w:pPr>
        <w:jc w:val="both"/>
      </w:pPr>
      <w:r w:rsidRPr="00181A36">
        <w:rPr>
          <w:noProof/>
        </w:rPr>
        <w:object w:dxaOrig="7440" w:dyaOrig="3132" w14:anchorId="4B5E3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pt;height:143.45pt;mso-width-percent:0;mso-height-percent:0;mso-width-percent:0;mso-height-percent:0" o:ole="">
            <v:imagedata r:id="rId21" o:title=""/>
          </v:shape>
          <o:OLEObject Type="Embed" ProgID="Visio.Drawing.15" ShapeID="_x0000_i1025" DrawAspect="Content" ObjectID="_1683109174"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宋体" w:hint="eastAsia"/>
                <w:lang w:eastAsia="zh-CN"/>
              </w:rPr>
              <w:t>v</w:t>
            </w:r>
            <w:r>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宋体"/>
                <w:lang w:eastAsia="zh-CN"/>
              </w:rPr>
            </w:pPr>
            <w:proofErr w:type="spellStart"/>
            <w:r>
              <w:rPr>
                <w:rFonts w:eastAsia="宋体"/>
                <w:lang w:eastAsia="zh-CN"/>
              </w:rPr>
              <w:t>InterDigital</w:t>
            </w:r>
            <w:proofErr w:type="spellEnd"/>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51" w:type="dxa"/>
          </w:tcPr>
          <w:p w14:paraId="32B51AEC" w14:textId="088593B3" w:rsidR="00B9136C" w:rsidRPr="00B9136C" w:rsidRDefault="00B9136C" w:rsidP="005131B1">
            <w:pPr>
              <w:rPr>
                <w:rFonts w:eastAsia="宋体" w:hint="eastAsia"/>
                <w:lang w:eastAsia="zh-CN"/>
              </w:rPr>
            </w:pPr>
            <w:r>
              <w:rPr>
                <w:rFonts w:eastAsia="宋体"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lastRenderedPageBreak/>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lastRenderedPageBreak/>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lastRenderedPageBreak/>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E50B48"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E50B48"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E50B48"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lastRenderedPageBreak/>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lastRenderedPageBreak/>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Proposal 7: Beam management, e.g., spatial relation</w:t>
            </w:r>
            <w:proofErr w:type="gramStart"/>
            <w:r w:rsidRPr="00521BC9">
              <w:rPr>
                <w:b/>
                <w:bCs/>
              </w:rPr>
              <w:t>,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lastRenderedPageBreak/>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9"/>
      </w:pPr>
      <w:r>
        <w:t xml:space="preserve">No reporting: CATT, Apple, LG, HW, </w:t>
      </w:r>
      <w:proofErr w:type="spellStart"/>
      <w:r>
        <w:t>spreadtrum</w:t>
      </w:r>
      <w:proofErr w:type="spellEnd"/>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lastRenderedPageBreak/>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 xml:space="preserve">egarding DP 5-2, we think no restriction on same polarization type between DL and UL depending on different UE </w:t>
            </w:r>
            <w:proofErr w:type="spellStart"/>
            <w:r>
              <w:rPr>
                <w:rFonts w:eastAsia="宋体"/>
                <w:lang w:eastAsia="zh-CN"/>
              </w:rPr>
              <w:t>implemenatation</w:t>
            </w:r>
            <w:proofErr w:type="spellEnd"/>
            <w:r>
              <w:rPr>
                <w:rFonts w:eastAsia="宋体"/>
                <w:lang w:eastAsia="zh-CN"/>
              </w:rPr>
              <w:t>.</w:t>
            </w:r>
          </w:p>
          <w:p w14:paraId="2F54EA65" w14:textId="58F90E90" w:rsidR="00012247" w:rsidRPr="00FC6F81" w:rsidRDefault="00012247" w:rsidP="00012247">
            <w:pPr>
              <w:rPr>
                <w:rFonts w:eastAsia="MS Mincho"/>
              </w:rPr>
            </w:pPr>
            <w:r>
              <w:rPr>
                <w:rFonts w:eastAsia="宋体" w:hint="eastAsia"/>
                <w:lang w:eastAsia="zh-CN"/>
              </w:rPr>
              <w:t>R</w:t>
            </w:r>
            <w:r>
              <w:rPr>
                <w:rFonts w:eastAsia="宋体"/>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lastRenderedPageBreak/>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宋体" w:hint="eastAsia"/>
                <w:lang w:eastAsia="zh-CN"/>
              </w:rPr>
              <w:t>v</w:t>
            </w:r>
            <w:r>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宋体"/>
                <w:bCs/>
                <w:color w:val="000000" w:themeColor="text1"/>
                <w:lang w:eastAsia="zh-CN"/>
              </w:rPr>
              <w:t>resue</w:t>
            </w:r>
            <w:proofErr w:type="spellEnd"/>
            <w:r w:rsidRPr="00BF0A38">
              <w:rPr>
                <w:rFonts w:eastAsia="宋体"/>
                <w:bCs/>
                <w:color w:val="000000" w:themeColor="text1"/>
                <w:lang w:eastAsia="zh-CN"/>
              </w:rPr>
              <w:t xml:space="preserv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宋体"/>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 xml:space="preserve">2, we tend to share the view that limitation is </w:t>
            </w:r>
            <w:proofErr w:type="spellStart"/>
            <w:r>
              <w:rPr>
                <w:rFonts w:eastAsia="宋体"/>
                <w:bCs/>
                <w:lang w:eastAsia="zh-CN"/>
              </w:rPr>
              <w:t>unneccesary</w:t>
            </w:r>
            <w:proofErr w:type="spellEnd"/>
            <w:r>
              <w:rPr>
                <w:rFonts w:eastAsia="宋体"/>
                <w:bCs/>
                <w:lang w:eastAsia="zh-CN"/>
              </w:rPr>
              <w:t>;</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宋体" w:hint="eastAsia"/>
                <w:lang w:eastAsia="zh-CN"/>
              </w:rPr>
            </w:pPr>
            <w:proofErr w:type="spellStart"/>
            <w:r>
              <w:rPr>
                <w:rFonts w:eastAsia="宋体" w:hint="eastAsia"/>
                <w:lang w:eastAsia="zh-CN"/>
              </w:rPr>
              <w:t>S</w:t>
            </w:r>
            <w:r>
              <w:rPr>
                <w:rFonts w:eastAsia="宋体"/>
                <w:lang w:eastAsia="zh-CN"/>
              </w:rPr>
              <w:t>preadtrum</w:t>
            </w:r>
            <w:proofErr w:type="spellEnd"/>
          </w:p>
        </w:tc>
        <w:tc>
          <w:tcPr>
            <w:tcW w:w="7651" w:type="dxa"/>
          </w:tcPr>
          <w:p w14:paraId="2E266845" w14:textId="54766F53" w:rsidR="00B9136C" w:rsidRPr="00B9136C" w:rsidRDefault="00B9136C" w:rsidP="00B9136C">
            <w:pPr>
              <w:rPr>
                <w:rFonts w:eastAsia="宋体"/>
                <w:bCs/>
                <w:lang w:eastAsia="zh-CN"/>
              </w:rPr>
            </w:pPr>
            <w:r w:rsidRPr="00B9136C">
              <w:rPr>
                <w:rFonts w:eastAsia="宋体"/>
                <w:bCs/>
                <w:lang w:eastAsia="zh-CN"/>
              </w:rPr>
              <w:t xml:space="preserve">FL initial proposal-DP5-1: </w:t>
            </w:r>
            <w:r>
              <w:rPr>
                <w:rFonts w:eastAsia="宋体"/>
                <w:bCs/>
                <w:lang w:eastAsia="zh-CN"/>
              </w:rPr>
              <w:t>Agree</w:t>
            </w:r>
            <w:r w:rsidRPr="00B9136C">
              <w:rPr>
                <w:rFonts w:eastAsia="宋体"/>
                <w:bCs/>
                <w:lang w:eastAsia="zh-CN"/>
              </w:rPr>
              <w:t xml:space="preserve"> with the proposal. </w:t>
            </w:r>
          </w:p>
          <w:p w14:paraId="127AFBAE" w14:textId="02711587" w:rsidR="00B9136C" w:rsidRPr="00B9136C" w:rsidRDefault="00B9136C" w:rsidP="00B9136C">
            <w:pPr>
              <w:rPr>
                <w:rFonts w:eastAsia="宋体"/>
                <w:bCs/>
                <w:lang w:eastAsia="zh-CN"/>
              </w:rPr>
            </w:pPr>
            <w:r w:rsidRPr="00B9136C">
              <w:rPr>
                <w:rFonts w:eastAsia="宋体"/>
                <w:bCs/>
                <w:lang w:eastAsia="zh-CN"/>
              </w:rPr>
              <w:t xml:space="preserve">FL initial proposal-DP5-2: Agree </w:t>
            </w:r>
          </w:p>
          <w:p w14:paraId="6CD0CABB" w14:textId="5397808C" w:rsidR="00B9136C" w:rsidRPr="009645CD" w:rsidRDefault="00B9136C" w:rsidP="00B9136C">
            <w:pPr>
              <w:rPr>
                <w:rFonts w:eastAsia="宋体"/>
                <w:bCs/>
                <w:lang w:eastAsia="zh-CN"/>
              </w:rPr>
            </w:pPr>
            <w:r w:rsidRPr="00B9136C">
              <w:rPr>
                <w:rFonts w:eastAsia="宋体"/>
                <w:bCs/>
                <w:lang w:eastAsia="zh-CN"/>
              </w:rPr>
              <w:t xml:space="preserve">FL suggestion: Fine to discuss this further. </w:t>
            </w:r>
            <w:r>
              <w:rPr>
                <w:rFonts w:eastAsia="宋体"/>
                <w:bCs/>
                <w:lang w:eastAsia="zh-CN"/>
              </w:rPr>
              <w:t>W</w:t>
            </w:r>
            <w:r w:rsidRPr="00B9136C">
              <w:rPr>
                <w:rFonts w:eastAsia="宋体"/>
                <w:bCs/>
                <w:lang w:eastAsia="zh-CN"/>
              </w:rPr>
              <w:t xml:space="preserve">e </w:t>
            </w:r>
            <w:r>
              <w:rPr>
                <w:rFonts w:eastAsia="宋体"/>
                <w:bCs/>
                <w:lang w:eastAsia="zh-CN"/>
              </w:rPr>
              <w:t xml:space="preserve">prefer that </w:t>
            </w:r>
            <w:r w:rsidRPr="00B9136C">
              <w:rPr>
                <w:rFonts w:eastAsia="宋体"/>
                <w:bCs/>
                <w:lang w:eastAsia="zh-CN"/>
              </w:rPr>
              <w:t>UE reporting polarization capability is not needed.</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w:t>
      </w:r>
      <w:proofErr w:type="gramStart"/>
      <w:r w:rsidRPr="00181A36">
        <w:rPr>
          <w:lang w:eastAsia="ko-KR"/>
        </w:rPr>
        <w:t>,Galileo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62609" w:rsidRDefault="00E62609"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62609" w:rsidRDefault="00E62609"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62609" w:rsidRDefault="00E62609"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62609" w:rsidRDefault="00E62609"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lastRenderedPageBreak/>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lastRenderedPageBreak/>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9"/>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 xml:space="preserve">Summary </w:t>
      </w:r>
      <w:proofErr w:type="gramStart"/>
      <w:r w:rsidRPr="00181A36">
        <w:rPr>
          <w:rFonts w:ascii="Times New Roman" w:hAnsi="Times New Roman"/>
          <w:lang w:eastAsia="ko-KR"/>
        </w:rPr>
        <w:t>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E50B48" w:rsidP="00873379">
      <w:pPr>
        <w:rPr>
          <w:lang w:eastAsia="x-none"/>
        </w:rPr>
      </w:pPr>
      <w:hyperlink r:id="rId26"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E50B48" w:rsidP="00873379">
      <w:pPr>
        <w:rPr>
          <w:lang w:eastAsia="x-none"/>
        </w:rPr>
      </w:pPr>
      <w:hyperlink r:id="rId27"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E50B48" w:rsidP="00873379">
      <w:pPr>
        <w:rPr>
          <w:lang w:eastAsia="x-none"/>
        </w:rPr>
      </w:pPr>
      <w:hyperlink r:id="rId28" w:history="1">
        <w:r w:rsidR="00873379">
          <w:rPr>
            <w:rStyle w:val="af6"/>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E50B48" w:rsidP="00873379">
      <w:pPr>
        <w:rPr>
          <w:lang w:eastAsia="x-none"/>
        </w:rPr>
      </w:pPr>
      <w:hyperlink r:id="rId29"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E50B48" w:rsidP="00873379">
      <w:pPr>
        <w:rPr>
          <w:lang w:eastAsia="x-none"/>
        </w:rPr>
      </w:pPr>
      <w:hyperlink r:id="rId30"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E50B48" w:rsidP="00873379">
      <w:pPr>
        <w:rPr>
          <w:lang w:eastAsia="x-none"/>
        </w:rPr>
      </w:pPr>
      <w:hyperlink r:id="rId31"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E50B48" w:rsidP="00873379">
      <w:pPr>
        <w:rPr>
          <w:lang w:eastAsia="x-none"/>
        </w:rPr>
      </w:pPr>
      <w:hyperlink r:id="rId32" w:history="1">
        <w:r w:rsidR="00873379">
          <w:rPr>
            <w:rStyle w:val="af6"/>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E50B48" w:rsidP="00873379">
      <w:pPr>
        <w:rPr>
          <w:lang w:eastAsia="x-none"/>
        </w:rPr>
      </w:pPr>
      <w:hyperlink r:id="rId33"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E50B48" w:rsidP="00873379">
      <w:pPr>
        <w:rPr>
          <w:lang w:eastAsia="x-none"/>
        </w:rPr>
      </w:pPr>
      <w:hyperlink r:id="rId34"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E50B48" w:rsidP="00873379">
      <w:pPr>
        <w:rPr>
          <w:lang w:eastAsia="x-none"/>
        </w:rPr>
      </w:pPr>
      <w:hyperlink r:id="rId35"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E50B48" w:rsidP="00873379">
      <w:pPr>
        <w:rPr>
          <w:lang w:eastAsia="x-none"/>
        </w:rPr>
      </w:pPr>
      <w:hyperlink r:id="rId36" w:history="1">
        <w:r w:rsidR="00873379">
          <w:rPr>
            <w:rStyle w:val="af6"/>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E50B48" w:rsidP="00873379">
      <w:pPr>
        <w:rPr>
          <w:lang w:eastAsia="x-none"/>
        </w:rPr>
      </w:pPr>
      <w:hyperlink r:id="rId37"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E50B48" w:rsidP="00873379">
      <w:pPr>
        <w:rPr>
          <w:lang w:eastAsia="x-none"/>
        </w:rPr>
      </w:pPr>
      <w:hyperlink r:id="rId38"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E50B48" w:rsidP="00873379">
      <w:pPr>
        <w:rPr>
          <w:lang w:eastAsia="x-none"/>
        </w:rPr>
      </w:pPr>
      <w:hyperlink r:id="rId39"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E50B48" w:rsidP="00873379">
      <w:pPr>
        <w:rPr>
          <w:lang w:eastAsia="x-none"/>
        </w:rPr>
      </w:pPr>
      <w:hyperlink r:id="rId40"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E50B48" w:rsidP="00873379">
      <w:pPr>
        <w:rPr>
          <w:lang w:eastAsia="x-none"/>
        </w:rPr>
      </w:pPr>
      <w:hyperlink r:id="rId41"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E50B48" w:rsidP="00873379">
      <w:pPr>
        <w:rPr>
          <w:lang w:eastAsia="x-none"/>
        </w:rPr>
      </w:pPr>
      <w:hyperlink r:id="rId42" w:history="1">
        <w:r w:rsidR="00873379">
          <w:rPr>
            <w:rStyle w:val="af6"/>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E50B48" w:rsidP="00873379">
      <w:pPr>
        <w:rPr>
          <w:lang w:eastAsia="x-none"/>
        </w:rPr>
      </w:pPr>
      <w:hyperlink r:id="rId43"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E50B48" w:rsidP="00873379">
      <w:pPr>
        <w:rPr>
          <w:lang w:eastAsia="x-none"/>
        </w:rPr>
      </w:pPr>
      <w:hyperlink r:id="rId44" w:history="1">
        <w:r w:rsidR="00873379">
          <w:rPr>
            <w:rStyle w:val="af6"/>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E50B48" w:rsidP="00873379">
      <w:pPr>
        <w:rPr>
          <w:lang w:eastAsia="x-none"/>
        </w:rPr>
      </w:pPr>
      <w:hyperlink r:id="rId45"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E50B48" w:rsidP="00873379">
      <w:pPr>
        <w:rPr>
          <w:lang w:eastAsia="x-none"/>
        </w:rPr>
      </w:pPr>
      <w:hyperlink r:id="rId46" w:history="1">
        <w:r w:rsidR="00873379">
          <w:rPr>
            <w:rStyle w:val="af6"/>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9E66E" w14:textId="77777777" w:rsidR="00E50B48" w:rsidRDefault="00E50B48" w:rsidP="00A07EC5">
      <w:pPr>
        <w:spacing w:after="0"/>
      </w:pPr>
      <w:r>
        <w:separator/>
      </w:r>
    </w:p>
  </w:endnote>
  <w:endnote w:type="continuationSeparator" w:id="0">
    <w:p w14:paraId="7EBD64C4" w14:textId="77777777" w:rsidR="00E50B48" w:rsidRDefault="00E50B48" w:rsidP="00A07EC5">
      <w:pPr>
        <w:spacing w:after="0"/>
      </w:pPr>
      <w:r>
        <w:continuationSeparator/>
      </w:r>
    </w:p>
  </w:endnote>
  <w:endnote w:type="continuationNotice" w:id="1">
    <w:p w14:paraId="32793AE4" w14:textId="77777777" w:rsidR="00E50B48" w:rsidRDefault="00E50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E62609" w:rsidRDefault="00E62609">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62609" w:rsidRPr="00F927BE" w:rsidRDefault="00E62609"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170CA" w14:textId="77777777" w:rsidR="00E50B48" w:rsidRDefault="00E50B48" w:rsidP="00A07EC5">
      <w:pPr>
        <w:spacing w:after="0"/>
      </w:pPr>
      <w:r>
        <w:separator/>
      </w:r>
    </w:p>
  </w:footnote>
  <w:footnote w:type="continuationSeparator" w:id="0">
    <w:p w14:paraId="16825585" w14:textId="77777777" w:rsidR="00E50B48" w:rsidRDefault="00E50B48" w:rsidP="00A07EC5">
      <w:pPr>
        <w:spacing w:after="0"/>
      </w:pPr>
      <w:r>
        <w:continuationSeparator/>
      </w:r>
    </w:p>
  </w:footnote>
  <w:footnote w:type="continuationNotice" w:id="1">
    <w:p w14:paraId="1E467451" w14:textId="77777777" w:rsidR="00E50B48" w:rsidRDefault="00E50B4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5\Docs\R1-2104519.zip" TargetMode="External"/><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07ECA-AEE0-47E9-87DB-DA7D5684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34</Pages>
  <Words>13250</Words>
  <Characters>75527</Characters>
  <Application>Microsoft Office Word</Application>
  <DocSecurity>0</DocSecurity>
  <Lines>629</Lines>
  <Paragraphs>177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Lei, Reven (雷珍珠)</cp:lastModifiedBy>
  <cp:revision>6</cp:revision>
  <cp:lastPrinted>2017-11-03T15:53:00Z</cp:lastPrinted>
  <dcterms:created xsi:type="dcterms:W3CDTF">2021-05-21T04:01:00Z</dcterms:created>
  <dcterms:modified xsi:type="dcterms:W3CDTF">2021-05-21T05:29:00Z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ies>
</file>