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EBA1" w14:textId="481985E2" w:rsidR="00E50279" w:rsidRPr="00181A36" w:rsidRDefault="00144C43">
      <w:pPr>
        <w:pStyle w:val="af1"/>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f1"/>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f1"/>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f1"/>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f1"/>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f1"/>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f1"/>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b"/>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b"/>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f0"/>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f0"/>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b"/>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9"/>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an a-priori BBWP planning can be used to allocate the BWP to each beam. Or a dynamic allocation can be performed by the </w:t>
            </w:r>
            <w:proofErr w:type="spellStart"/>
            <w:r w:rsidRPr="00181A36">
              <w:rPr>
                <w:b/>
                <w:lang w:eastAsia="zh-TW"/>
              </w:rPr>
              <w:t>gNB</w:t>
            </w:r>
            <w:proofErr w:type="spellEnd"/>
            <w:r w:rsidRPr="00181A36">
              <w:rPr>
                <w:b/>
                <w:lang w:eastAsia="zh-TW"/>
              </w:rPr>
              <w:t xml:space="preserve">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f0"/>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f0"/>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b"/>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b"/>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07" w:history="1">
              <w:r w:rsidR="00DC4C37" w:rsidRPr="00181A36">
                <w:rPr>
                  <w:rStyle w:val="afd"/>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08" w:history="1">
              <w:r w:rsidR="00DC4C37" w:rsidRPr="00181A36">
                <w:rPr>
                  <w:rStyle w:val="afd"/>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d"/>
                  <w:rFonts w:ascii="Times New Roman" w:hAnsi="Times New Roman" w:cs="Times New Roman"/>
                  <w:noProof/>
                </w:rPr>
                <w:lastRenderedPageBreak/>
                <w:t>switching in both DL and UL.</w:t>
              </w:r>
            </w:hyperlink>
          </w:p>
          <w:p w14:paraId="343D514E"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09" w:history="1">
              <w:r w:rsidR="00DC4C37" w:rsidRPr="00181A36">
                <w:rPr>
                  <w:rStyle w:val="afd"/>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10" w:history="1">
              <w:r w:rsidR="00DC4C37" w:rsidRPr="00181A36">
                <w:rPr>
                  <w:rStyle w:val="afd"/>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11" w:history="1">
              <w:r w:rsidR="00DC4C37" w:rsidRPr="00181A36">
                <w:rPr>
                  <w:rStyle w:val="afd"/>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12" w:history="1">
              <w:r w:rsidR="00DC4C37" w:rsidRPr="00181A36">
                <w:rPr>
                  <w:rStyle w:val="afd"/>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#6 is not valid, because it is unclear what this issue is in the first place.</w:t>
              </w:r>
            </w:hyperlink>
          </w:p>
          <w:p w14:paraId="3D6328B8" w14:textId="77777777" w:rsidR="00DC4C37" w:rsidRPr="00181A36" w:rsidRDefault="00E62609" w:rsidP="00DC4C37">
            <w:pPr>
              <w:pStyle w:val="aff2"/>
              <w:tabs>
                <w:tab w:val="right" w:leader="dot" w:pos="9629"/>
              </w:tabs>
              <w:rPr>
                <w:rFonts w:ascii="Times New Roman" w:hAnsi="Times New Roman" w:cs="Times New Roman"/>
                <w:b w:val="0"/>
                <w:noProof/>
              </w:rPr>
            </w:pPr>
            <w:hyperlink w:anchor="_Toc71640613" w:history="1">
              <w:r w:rsidR="00DC4C37" w:rsidRPr="00181A36">
                <w:rPr>
                  <w:rStyle w:val="afd"/>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#7 is not valid, because the need of group switching is not motivated.</w:t>
              </w:r>
            </w:hyperlink>
          </w:p>
          <w:p w14:paraId="6B7A8778" w14:textId="77777777" w:rsidR="00BA76F4" w:rsidRPr="00181A36" w:rsidRDefault="00E62609" w:rsidP="00BA76F4">
            <w:pPr>
              <w:pStyle w:val="aff2"/>
              <w:tabs>
                <w:tab w:val="right" w:leader="dot" w:pos="9629"/>
              </w:tabs>
              <w:rPr>
                <w:rFonts w:ascii="Times New Roman" w:hAnsi="Times New Roman" w:cs="Times New Roman"/>
                <w:b w:val="0"/>
                <w:noProof/>
                <w:sz w:val="18"/>
                <w:szCs w:val="18"/>
              </w:rPr>
            </w:pPr>
            <w:hyperlink w:anchor="_Toc71640615" w:history="1">
              <w:r w:rsidR="00BA76F4" w:rsidRPr="00181A36">
                <w:rPr>
                  <w:rStyle w:val="afd"/>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 xml:space="preserve">RAN1 to discuss the scope of beam management, i.e., whether </w:t>
              </w:r>
              <w:r w:rsidR="00BA76F4" w:rsidRPr="00181A36">
                <w:rPr>
                  <w:rStyle w:val="afd"/>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d"/>
                  <w:rFonts w:ascii="Times New Roman" w:hAnsi="Times New Roman" w:cs="Times New Roman"/>
                  <w:noProof/>
                  <w:sz w:val="18"/>
                  <w:szCs w:val="18"/>
                </w:rPr>
                <w:t>.</w:t>
              </w:r>
            </w:hyperlink>
          </w:p>
          <w:p w14:paraId="1DB092C3" w14:textId="77777777" w:rsidR="00BA76F4" w:rsidRPr="00181A36" w:rsidRDefault="00E62609" w:rsidP="00BA76F4">
            <w:pPr>
              <w:pStyle w:val="aff2"/>
              <w:tabs>
                <w:tab w:val="right" w:leader="dot" w:pos="9629"/>
              </w:tabs>
              <w:rPr>
                <w:rFonts w:ascii="Times New Roman" w:hAnsi="Times New Roman" w:cs="Times New Roman"/>
                <w:b w:val="0"/>
                <w:noProof/>
                <w:sz w:val="18"/>
                <w:szCs w:val="18"/>
              </w:rPr>
            </w:pPr>
            <w:hyperlink w:anchor="_Toc71640618" w:history="1">
              <w:r w:rsidR="00BA76F4" w:rsidRPr="00181A36">
                <w:rPr>
                  <w:rStyle w:val="afd"/>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b"/>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b"/>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b"/>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b"/>
              <w:rPr>
                <w:b/>
                <w:bCs/>
              </w:rPr>
            </w:pPr>
            <w:r w:rsidRPr="00181A36">
              <w:rPr>
                <w:b/>
                <w:bCs/>
              </w:rPr>
              <w:t xml:space="preserve">Observation 4: Issue#4 for beam management is not a valid issue. </w:t>
            </w:r>
          </w:p>
          <w:p w14:paraId="438B646A" w14:textId="77777777" w:rsidR="00ED5FDE" w:rsidRPr="00181A36" w:rsidRDefault="00ED5FDE" w:rsidP="00ED5FDE">
            <w:pPr>
              <w:pStyle w:val="ab"/>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b"/>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b"/>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b"/>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b"/>
              <w:rPr>
                <w:b/>
              </w:rPr>
            </w:pPr>
          </w:p>
          <w:p w14:paraId="02B381D6" w14:textId="77777777" w:rsidR="00ED5FDE" w:rsidRPr="00181A36" w:rsidRDefault="00ED5FDE" w:rsidP="00ED5FDE">
            <w:pPr>
              <w:pStyle w:val="ab"/>
              <w:rPr>
                <w:b/>
                <w:bCs/>
              </w:rPr>
            </w:pPr>
            <w:r w:rsidRPr="00181A36">
              <w:rPr>
                <w:b/>
                <w:bCs/>
              </w:rPr>
              <w:t>Proposal 1: Rephase the Issue #5 for beam management as following:</w:t>
            </w:r>
          </w:p>
          <w:p w14:paraId="3B889F85" w14:textId="77777777" w:rsidR="00ED5FDE" w:rsidRPr="00181A36" w:rsidRDefault="00ED5FDE" w:rsidP="00ED5FDE">
            <w:pPr>
              <w:pStyle w:val="ab"/>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b"/>
              <w:rPr>
                <w:b/>
                <w:bCs/>
              </w:rPr>
            </w:pPr>
            <w:r w:rsidRPr="00181A36">
              <w:rPr>
                <w:b/>
                <w:bCs/>
              </w:rPr>
              <w:t>Proposal 2: Agree on Issue #8 before discussing Issues #5 and #7.</w:t>
            </w:r>
          </w:p>
          <w:p w14:paraId="11C075C9" w14:textId="77777777" w:rsidR="00ED5FDE" w:rsidRPr="00181A36" w:rsidRDefault="00ED5FDE" w:rsidP="00ED5FDE">
            <w:pPr>
              <w:pStyle w:val="ab"/>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w:t>
            </w:r>
            <w:proofErr w:type="spellStart"/>
            <w:r w:rsidRPr="00181A36">
              <w:rPr>
                <w:b/>
                <w:bCs/>
                <w:sz w:val="20"/>
                <w:szCs w:val="20"/>
                <w:lang w:eastAsia="zh-CN"/>
              </w:rPr>
              <w:t>gNB</w:t>
            </w:r>
            <w:proofErr w:type="spellEnd"/>
            <w:r w:rsidRPr="00181A36">
              <w:rPr>
                <w:b/>
                <w:bCs/>
                <w:sz w:val="20"/>
                <w:szCs w:val="20"/>
                <w:lang w:eastAsia="zh-CN"/>
              </w:rPr>
              <w:t xml:space="preserve">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w:t>
            </w:r>
            <w:proofErr w:type="spellStart"/>
            <w:r w:rsidRPr="00181A36">
              <w:rPr>
                <w:b/>
                <w:bCs/>
                <w:sz w:val="20"/>
                <w:szCs w:val="20"/>
                <w:lang w:eastAsia="zh-CN"/>
              </w:rPr>
              <w:t>gNB</w:t>
            </w:r>
            <w:proofErr w:type="spellEnd"/>
            <w:r w:rsidRPr="00181A36">
              <w:rPr>
                <w:b/>
                <w:bCs/>
                <w:sz w:val="20"/>
                <w:szCs w:val="20"/>
                <w:lang w:eastAsia="zh-CN"/>
              </w:rPr>
              <w:t xml:space="preserve">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xml:space="preserve">: Support signalling a list of TCI-states based on the predictable serving beams for the UE and the beam switching is triggered by the </w:t>
            </w:r>
            <w:proofErr w:type="spellStart"/>
            <w:r w:rsidRPr="00181A36">
              <w:rPr>
                <w:i/>
                <w:color w:val="000000" w:themeColor="text1"/>
                <w:lang w:eastAsia="zh-CN"/>
              </w:rPr>
              <w:t>gNB</w:t>
            </w:r>
            <w:proofErr w:type="spellEnd"/>
            <w:r w:rsidRPr="00181A36">
              <w:rPr>
                <w:i/>
                <w:color w:val="000000" w:themeColor="text1"/>
                <w:lang w:eastAsia="zh-CN"/>
              </w:rPr>
              <w:t>.</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f0"/>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f0"/>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 xml:space="preserve">Additionally, the </w:t>
      </w:r>
      <w:proofErr w:type="spellStart"/>
      <w:r w:rsidRPr="00CD23CD">
        <w:rPr>
          <w:lang w:eastAsia="zh-CN"/>
        </w:rPr>
        <w:t>gNB</w:t>
      </w:r>
      <w:proofErr w:type="spellEnd"/>
      <w:r w:rsidRPr="00CD23CD">
        <w:rPr>
          <w:lang w:eastAsia="zh-CN"/>
        </w:rPr>
        <w:t xml:space="preserve">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w:t>
      </w:r>
      <w:proofErr w:type="spellStart"/>
      <w:r w:rsidRPr="00CD23CD">
        <w:rPr>
          <w:lang w:eastAsia="zh-CN"/>
        </w:rPr>
        <w:t>gNB</w:t>
      </w:r>
      <w:proofErr w:type="spellEnd"/>
      <w:r w:rsidRPr="00CD23CD">
        <w:rPr>
          <w:lang w:eastAsia="zh-CN"/>
        </w:rPr>
        <w:t xml:space="preserve">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proofErr w:type="gramStart"/>
      <w:r>
        <w:rPr>
          <w:rFonts w:eastAsia="宋体"/>
          <w:lang w:eastAsia="zh-CN"/>
        </w:rPr>
        <w:t xml:space="preserve">   </w:t>
      </w:r>
      <w:r>
        <w:rPr>
          <w:rFonts w:eastAsia="宋体" w:hint="eastAsia"/>
          <w:lang w:eastAsia="zh-CN"/>
        </w:rPr>
        <w:t>(</w:t>
      </w:r>
      <w:proofErr w:type="gramEnd"/>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w:t>
      </w:r>
      <w:proofErr w:type="spellStart"/>
      <w:r>
        <w:rPr>
          <w:rFonts w:hint="eastAsia"/>
          <w:lang w:eastAsia="zh-CN"/>
        </w:rPr>
        <w:t>gNB</w:t>
      </w:r>
      <w:proofErr w:type="spellEnd"/>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f0"/>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f0"/>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f0"/>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 xml:space="preserve">W.r.t the issue-1, it can also be considered with issue-7 together, but it may not </w:t>
            </w:r>
            <w:proofErr w:type="gramStart"/>
            <w:r>
              <w:rPr>
                <w:rFonts w:eastAsia="宋体"/>
                <w:lang w:eastAsia="zh-CN"/>
              </w:rPr>
              <w:t>aligned</w:t>
            </w:r>
            <w:proofErr w:type="gramEnd"/>
            <w:r>
              <w:rPr>
                <w:rFonts w:eastAsia="宋体"/>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w:t>
            </w:r>
            <w:proofErr w:type="spellStart"/>
            <w:r>
              <w:rPr>
                <w:rFonts w:eastAsia="宋体"/>
                <w:lang w:eastAsia="zh-CN"/>
              </w:rPr>
              <w:t>gNB</w:t>
            </w:r>
            <w:proofErr w:type="spellEnd"/>
            <w:r>
              <w:rPr>
                <w:rFonts w:eastAsia="宋体"/>
                <w:lang w:eastAsia="zh-CN"/>
              </w:rPr>
              <w:t xml:space="preserve">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b"/>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b"/>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 xml:space="preserve">The current NR supports dynamic BWP switching, so the </w:t>
            </w:r>
            <w:proofErr w:type="spellStart"/>
            <w:r>
              <w:rPr>
                <w:rFonts w:eastAsia="Malgun Gothic"/>
                <w:lang w:eastAsia="ko-KR"/>
              </w:rPr>
              <w:t>gNB</w:t>
            </w:r>
            <w:proofErr w:type="spellEnd"/>
            <w:r>
              <w:rPr>
                <w:rFonts w:eastAsia="Malgun Gothic"/>
                <w:lang w:eastAsia="ko-KR"/>
              </w:rPr>
              <w:t xml:space="preserve">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E62609">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w:t>
            </w:r>
            <w:r>
              <w:rPr>
                <w:rFonts w:eastAsia="宋体"/>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coreset is changed, there isn’t DCI to carry BWP id update. So we prefer a relationship between BWP and beam id is constructed and maintained between </w:t>
            </w:r>
            <w:proofErr w:type="spellStart"/>
            <w:r>
              <w:rPr>
                <w:rFonts w:eastAsia="宋体"/>
                <w:lang w:eastAsia="zh-CN"/>
              </w:rPr>
              <w:t>gNB</w:t>
            </w:r>
            <w:proofErr w:type="spellEnd"/>
            <w:r>
              <w:rPr>
                <w:rFonts w:eastAsia="宋体"/>
                <w:lang w:eastAsia="zh-CN"/>
              </w:rPr>
              <w:t xml:space="preserve">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So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w:t>
            </w:r>
            <w:proofErr w:type="spellStart"/>
            <w:r>
              <w:rPr>
                <w:rFonts w:eastAsia="宋体"/>
                <w:lang w:eastAsia="zh-CN"/>
              </w:rPr>
              <w:t>signaling</w:t>
            </w:r>
            <w:proofErr w:type="spellEnd"/>
            <w:r>
              <w:rPr>
                <w:rFonts w:eastAsia="宋体"/>
                <w:lang w:eastAsia="zh-CN"/>
              </w:rPr>
              <w:t xml:space="preserve">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w:t>
            </w:r>
            <w:proofErr w:type="spellStart"/>
            <w:r>
              <w:rPr>
                <w:rFonts w:eastAsia="宋体"/>
                <w:lang w:eastAsia="zh-CN"/>
              </w:rPr>
              <w:t>gNB</w:t>
            </w:r>
            <w:proofErr w:type="spellEnd"/>
            <w:r>
              <w:rPr>
                <w:rFonts w:eastAsia="宋体"/>
                <w:lang w:eastAsia="zh-CN"/>
              </w:rPr>
              <w:t xml:space="preserve"> and UE.</w:t>
            </w:r>
          </w:p>
          <w:p w14:paraId="0368A598"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 xml:space="preserve">Our view is that if multiple NZP CSI-RS resources can be transmitted in multiple BWPs for a single </w:t>
            </w:r>
            <w:proofErr w:type="gramStart"/>
            <w:r>
              <w:rPr>
                <w:rFonts w:eastAsia="宋体"/>
                <w:bCs/>
                <w:lang w:eastAsia="zh-CN"/>
              </w:rPr>
              <w:t>measurement,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w:t>
            </w:r>
            <w:proofErr w:type="gramStart"/>
            <w:r>
              <w:rPr>
                <w:rFonts w:eastAsia="宋体"/>
                <w:lang w:eastAsia="zh-CN"/>
              </w:rPr>
              <w:t>procedure(</w:t>
            </w:r>
            <w:proofErr w:type="gramEnd"/>
            <w:r>
              <w:rPr>
                <w:rFonts w:eastAsia="宋体"/>
                <w:lang w:eastAsia="zh-CN"/>
              </w:rPr>
              <w:t xml:space="preserv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E62609">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w:t>
            </w:r>
            <w:proofErr w:type="gramStart"/>
            <w:r>
              <w:rPr>
                <w:rFonts w:eastAsia="Malgun Gothic"/>
                <w:lang w:eastAsia="ko-KR"/>
              </w:rPr>
              <w:t>solution,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宋体"/>
                <w:lang w:eastAsia="zh-CN"/>
              </w:rPr>
              <w:t>center</w:t>
            </w:r>
            <w:proofErr w:type="spellEnd"/>
            <w:r>
              <w:rPr>
                <w:rFonts w:eastAsia="宋体"/>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w:t>
            </w:r>
            <w:proofErr w:type="gramStart"/>
            <w:r>
              <w:rPr>
                <w:rFonts w:eastAsia="宋体"/>
                <w:lang w:eastAsia="zh-CN"/>
              </w:rPr>
              <w:t>RS,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lastRenderedPageBreak/>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 xml:space="preserve">In current NR specification, beam switching and BWP switching are two independent procedures. </w:t>
            </w:r>
            <w:proofErr w:type="gramStart"/>
            <w:r>
              <w:rPr>
                <w:color w:val="000000" w:themeColor="text1"/>
                <w:lang w:eastAsia="zh-CN"/>
              </w:rPr>
              <w:t>However</w:t>
            </w:r>
            <w:proofErr w:type="gramEnd"/>
            <w:r>
              <w:rPr>
                <w:color w:val="000000" w:themeColor="text1"/>
                <w:lang w:eastAsia="zh-CN"/>
              </w:rPr>
              <w:t xml:space="preserve">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f0"/>
              <w:numPr>
                <w:ilvl w:val="0"/>
                <w:numId w:val="37"/>
              </w:numPr>
              <w:rPr>
                <w:lang w:eastAsia="zh-CN"/>
              </w:rPr>
            </w:pPr>
            <w:r>
              <w:rPr>
                <w:lang w:eastAsia="zh-CN"/>
              </w:rPr>
              <w:t xml:space="preserve">As a first alternative, the </w:t>
            </w:r>
            <w:proofErr w:type="spellStart"/>
            <w:r>
              <w:rPr>
                <w:lang w:eastAsia="zh-CN"/>
              </w:rPr>
              <w:t>gNB</w:t>
            </w:r>
            <w:proofErr w:type="spellEnd"/>
            <w:r>
              <w:rPr>
                <w:lang w:eastAsia="zh-CN"/>
              </w:rPr>
              <w:t xml:space="preserve"> can determine the beam for the UE based on the beam topology, satellite movement and UE location information. When UE approaches the beam edge, it will be informed by </w:t>
            </w:r>
            <w:proofErr w:type="spellStart"/>
            <w:r>
              <w:rPr>
                <w:lang w:eastAsia="zh-CN"/>
              </w:rPr>
              <w:t>gNB</w:t>
            </w:r>
            <w:proofErr w:type="spellEnd"/>
            <w:r>
              <w:rPr>
                <w:lang w:eastAsia="zh-CN"/>
              </w:rPr>
              <w:t xml:space="preserve">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f0"/>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w:t>
            </w:r>
            <w:proofErr w:type="spellStart"/>
            <w:r>
              <w:rPr>
                <w:rFonts w:eastAsia="宋体"/>
                <w:lang w:eastAsia="zh-CN"/>
              </w:rPr>
              <w:t>signaling</w:t>
            </w:r>
            <w:proofErr w:type="spellEnd"/>
            <w:r>
              <w:rPr>
                <w:rFonts w:eastAsia="宋体"/>
                <w:lang w:eastAsia="zh-CN"/>
              </w:rPr>
              <w:t xml:space="preserve"> for beam switching can be considered to save </w:t>
            </w:r>
            <w:proofErr w:type="spellStart"/>
            <w:r>
              <w:rPr>
                <w:rFonts w:eastAsia="宋体"/>
                <w:lang w:eastAsia="zh-CN"/>
              </w:rPr>
              <w:t>signaling</w:t>
            </w:r>
            <w:proofErr w:type="spellEnd"/>
            <w:r>
              <w:rPr>
                <w:rFonts w:eastAsia="宋体"/>
                <w:lang w:eastAsia="zh-CN"/>
              </w:rPr>
              <w:t xml:space="preserve"> overhead. However, UEs in the same group could have the different best timing </w:t>
            </w:r>
            <w:r>
              <w:rPr>
                <w:rFonts w:eastAsia="宋体"/>
                <w:lang w:eastAsia="zh-CN"/>
              </w:rPr>
              <w:lastRenderedPageBreak/>
              <w:t xml:space="preserve">for beam switching. Thus, this group common </w:t>
            </w:r>
            <w:proofErr w:type="spellStart"/>
            <w:r>
              <w:rPr>
                <w:rFonts w:eastAsia="宋体"/>
                <w:lang w:eastAsia="zh-CN"/>
              </w:rPr>
              <w:t>signaling</w:t>
            </w:r>
            <w:proofErr w:type="spellEnd"/>
            <w:r>
              <w:rPr>
                <w:rFonts w:eastAsia="宋体"/>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宋体"/>
                <w:lang w:eastAsia="zh-CN"/>
              </w:rPr>
            </w:pPr>
            <w:r>
              <w:rPr>
                <w:rFonts w:eastAsia="宋体"/>
                <w:lang w:eastAsia="zh-CN"/>
              </w:rPr>
              <w:lastRenderedPageBreak/>
              <w:t>Fraunhofer IIS,</w:t>
            </w:r>
          </w:p>
          <w:p w14:paraId="6D0E1B2D" w14:textId="1D326D14" w:rsidR="00116D23" w:rsidRDefault="00116D23" w:rsidP="009035DE">
            <w:pPr>
              <w:rPr>
                <w:rFonts w:eastAsia="宋体"/>
                <w:lang w:eastAsia="zh-CN"/>
              </w:rPr>
            </w:pPr>
            <w:r>
              <w:rPr>
                <w:rFonts w:eastAsia="宋体"/>
                <w:lang w:eastAsia="zh-CN"/>
              </w:rPr>
              <w:t>Fraunhofer HHI</w:t>
            </w:r>
          </w:p>
        </w:tc>
        <w:tc>
          <w:tcPr>
            <w:tcW w:w="7651" w:type="dxa"/>
          </w:tcPr>
          <w:p w14:paraId="513578F2" w14:textId="3D344FF1" w:rsidR="00116D23" w:rsidRDefault="00116D23" w:rsidP="009035DE">
            <w:pPr>
              <w:rPr>
                <w:rFonts w:eastAsia="宋体"/>
                <w:lang w:eastAsia="zh-CN"/>
              </w:rPr>
            </w:pPr>
            <w:r>
              <w:rPr>
                <w:rFonts w:eastAsia="宋体"/>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宋体"/>
                <w:lang w:eastAsia="zh-CN"/>
              </w:rPr>
            </w:pPr>
            <w:r>
              <w:rPr>
                <w:rFonts w:eastAsia="宋体"/>
                <w:lang w:eastAsia="zh-CN"/>
              </w:rPr>
              <w:t>Qualcomm</w:t>
            </w:r>
          </w:p>
        </w:tc>
        <w:tc>
          <w:tcPr>
            <w:tcW w:w="7651" w:type="dxa"/>
          </w:tcPr>
          <w:p w14:paraId="2D9F2786" w14:textId="19CECF27" w:rsidR="009D7100" w:rsidRDefault="00A04753" w:rsidP="009035DE">
            <w:pPr>
              <w:rPr>
                <w:rFonts w:eastAsia="宋体"/>
                <w:lang w:eastAsia="zh-CN"/>
              </w:rPr>
            </w:pPr>
            <w:r>
              <w:rPr>
                <w:rFonts w:eastAsia="宋体"/>
                <w:lang w:eastAsia="zh-CN"/>
              </w:rPr>
              <w:t xml:space="preserve">Support the proposal. </w:t>
            </w:r>
            <w:r w:rsidR="00F55A04">
              <w:rPr>
                <w:rFonts w:eastAsia="宋体"/>
                <w:lang w:eastAsia="zh-CN"/>
              </w:rPr>
              <w:t>It’s very clear that in NTN satellite beam switching leads to a BWP switch unless FRF=1 is assumed</w:t>
            </w:r>
            <w:r w:rsidR="00BC7B59">
              <w:rPr>
                <w:rFonts w:eastAsia="宋体"/>
                <w:lang w:eastAsia="zh-CN"/>
              </w:rPr>
              <w:t>.</w:t>
            </w:r>
            <w:r w:rsidR="004456AB">
              <w:rPr>
                <w:rFonts w:eastAsia="宋体"/>
                <w:lang w:eastAsia="zh-CN"/>
              </w:rPr>
              <w:t xml:space="preserve"> </w:t>
            </w:r>
            <w:r w:rsidR="00184BD8">
              <w:rPr>
                <w:rFonts w:eastAsia="宋体"/>
                <w:lang w:eastAsia="zh-CN"/>
              </w:rPr>
              <w:t xml:space="preserve">And </w:t>
            </w:r>
            <w:proofErr w:type="spellStart"/>
            <w:r w:rsidR="00184BD8">
              <w:rPr>
                <w:rFonts w:eastAsia="宋体"/>
                <w:lang w:eastAsia="zh-CN"/>
              </w:rPr>
              <w:t>stallite</w:t>
            </w:r>
            <w:proofErr w:type="spellEnd"/>
            <w:r w:rsidR="00184BD8">
              <w:rPr>
                <w:rFonts w:eastAsia="宋体"/>
                <w:lang w:eastAsia="zh-CN"/>
              </w:rPr>
              <w:t xml:space="preserve"> beam switch differs from traditional beam switch in TN in that receive and transmit spatial direction from UE point of view doesn’t change </w:t>
            </w:r>
            <w:r w:rsidR="000E0DE7">
              <w:rPr>
                <w:rFonts w:eastAsia="宋体"/>
                <w:lang w:eastAsia="zh-CN"/>
              </w:rPr>
              <w:t xml:space="preserve">at the time of satellite beam switch. </w:t>
            </w:r>
            <w:r w:rsidR="00184BD8">
              <w:rPr>
                <w:rFonts w:eastAsia="宋体"/>
                <w:lang w:eastAsia="zh-CN"/>
              </w:rPr>
              <w:t xml:space="preserve"> </w:t>
            </w:r>
            <w:r w:rsidR="004456AB">
              <w:rPr>
                <w:rFonts w:eastAsia="宋体"/>
                <w:lang w:eastAsia="zh-CN"/>
              </w:rPr>
              <w:t xml:space="preserve">Hence Issues 1, </w:t>
            </w:r>
            <w:r w:rsidR="005D0CA3">
              <w:rPr>
                <w:rFonts w:eastAsia="宋体"/>
                <w:lang w:eastAsia="zh-CN"/>
              </w:rPr>
              <w:t xml:space="preserve">5, and 7 are valid issues. </w:t>
            </w:r>
          </w:p>
          <w:p w14:paraId="41D07638" w14:textId="13785311" w:rsidR="005D0CA3" w:rsidRPr="00776EEF" w:rsidRDefault="005D0CA3" w:rsidP="009035DE">
            <w:pPr>
              <w:rPr>
                <w:rFonts w:eastAsia="宋体"/>
                <w:b/>
                <w:bCs/>
                <w:lang w:eastAsia="zh-CN"/>
              </w:rPr>
            </w:pPr>
            <w:r w:rsidRPr="00776EEF">
              <w:rPr>
                <w:rFonts w:eastAsia="宋体"/>
                <w:b/>
                <w:bCs/>
                <w:color w:val="000000" w:themeColor="text1"/>
                <w:lang w:eastAsia="zh-CN"/>
              </w:rPr>
              <w:t>Com</w:t>
            </w:r>
            <w:r w:rsidR="00FE0B19" w:rsidRPr="00776EEF">
              <w:rPr>
                <w:rFonts w:eastAsia="宋体"/>
                <w:b/>
                <w:bCs/>
                <w:color w:val="000000" w:themeColor="text1"/>
                <w:lang w:eastAsia="zh-CN"/>
              </w:rPr>
              <w:t>panies believe that issue 1 is not valid, please explain if they beli</w:t>
            </w:r>
            <w:r w:rsidR="001D1D02" w:rsidRPr="00776EEF">
              <w:rPr>
                <w:rFonts w:eastAsia="宋体"/>
                <w:b/>
                <w:bCs/>
                <w:color w:val="000000" w:themeColor="text1"/>
                <w:lang w:eastAsia="zh-CN"/>
              </w:rPr>
              <w:t>e</w:t>
            </w:r>
            <w:r w:rsidR="00FE0B19" w:rsidRPr="00776EEF">
              <w:rPr>
                <w:rFonts w:eastAsia="宋体"/>
                <w:b/>
                <w:bCs/>
                <w:color w:val="000000" w:themeColor="text1"/>
                <w:lang w:eastAsia="zh-CN"/>
              </w:rPr>
              <w:t xml:space="preserve">ve FRF&gt;1 is not needed or </w:t>
            </w:r>
            <w:r w:rsidR="001D1D02" w:rsidRPr="00776EEF">
              <w:rPr>
                <w:rFonts w:eastAsia="宋体"/>
                <w:b/>
                <w:bCs/>
                <w:color w:val="000000" w:themeColor="text1"/>
                <w:lang w:eastAsia="zh-CN"/>
              </w:rPr>
              <w:t>for some other reasons.</w:t>
            </w:r>
            <w:r w:rsidR="00AD0FFC" w:rsidRPr="00776EEF">
              <w:rPr>
                <w:rFonts w:eastAsia="宋体"/>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宋体"/>
                <w:lang w:eastAsia="zh-CN"/>
              </w:rPr>
            </w:pPr>
            <w:r>
              <w:rPr>
                <w:rFonts w:eastAsia="宋体" w:hint="eastAsia"/>
                <w:lang w:eastAsia="zh-CN"/>
              </w:rPr>
              <w:t>X</w:t>
            </w:r>
            <w:r>
              <w:rPr>
                <w:rFonts w:eastAsia="宋体"/>
                <w:lang w:eastAsia="zh-CN"/>
              </w:rPr>
              <w:t>iaomi</w:t>
            </w:r>
          </w:p>
        </w:tc>
        <w:tc>
          <w:tcPr>
            <w:tcW w:w="7651" w:type="dxa"/>
          </w:tcPr>
          <w:p w14:paraId="6FAD287A" w14:textId="77777777" w:rsidR="00E62609" w:rsidRDefault="00E62609" w:rsidP="009035DE">
            <w:pPr>
              <w:rPr>
                <w:rFonts w:eastAsia="宋体"/>
                <w:lang w:eastAsia="zh-CN"/>
              </w:rPr>
            </w:pPr>
            <w:r>
              <w:rPr>
                <w:rFonts w:eastAsia="宋体"/>
                <w:lang w:eastAsia="zh-CN"/>
              </w:rPr>
              <w:t>We support the proposal.</w:t>
            </w:r>
          </w:p>
          <w:p w14:paraId="610D80EE" w14:textId="05019E90" w:rsidR="00E62609" w:rsidRDefault="00E62609" w:rsidP="009035DE">
            <w:pPr>
              <w:rPr>
                <w:rFonts w:eastAsia="宋体"/>
                <w:lang w:eastAsia="zh-CN"/>
              </w:rPr>
            </w:pPr>
            <w:r>
              <w:rPr>
                <w:rFonts w:eastAsia="宋体"/>
                <w:lang w:eastAsia="zh-CN"/>
              </w:rPr>
              <w:t xml:space="preserve">We also think the FRF&gt;1 is a typical deployment choice to avoid the interference. </w:t>
            </w:r>
            <w:r w:rsidR="00B54038">
              <w:rPr>
                <w:rFonts w:eastAsia="宋体"/>
                <w:lang w:eastAsia="zh-CN"/>
              </w:rPr>
              <w:t xml:space="preserve">Thus it is reasonable to work on the association between beam and BWP. </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f0"/>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f0"/>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f0"/>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f0"/>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9"/>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f0"/>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f0"/>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lastRenderedPageBreak/>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E62609" w:rsidP="00584F20">
            <w:pPr>
              <w:pStyle w:val="aff2"/>
              <w:tabs>
                <w:tab w:val="right" w:leader="dot" w:pos="9629"/>
              </w:tabs>
              <w:rPr>
                <w:rFonts w:ascii="Times New Roman" w:hAnsi="Times New Roman" w:cs="Times New Roman"/>
                <w:b w:val="0"/>
                <w:noProof/>
                <w:sz w:val="18"/>
                <w:szCs w:val="18"/>
              </w:rPr>
            </w:pPr>
            <w:hyperlink w:anchor="_Toc71640603" w:history="1">
              <w:r w:rsidR="00584F20" w:rsidRPr="00181A36">
                <w:rPr>
                  <w:rStyle w:val="afd"/>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d"/>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f2"/>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E62609">
            <w:pPr>
              <w:rPr>
                <w:rFonts w:eastAsia="宋体"/>
                <w:bCs/>
                <w:lang w:eastAsia="zh-CN"/>
              </w:rPr>
            </w:pPr>
            <w:r>
              <w:rPr>
                <w:rFonts w:eastAsia="宋体" w:hint="eastAsia"/>
                <w:bCs/>
                <w:lang w:eastAsia="zh-CN"/>
              </w:rPr>
              <w:t>A</w:t>
            </w:r>
            <w:r>
              <w:rPr>
                <w:rFonts w:eastAsia="宋体"/>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lastRenderedPageBreak/>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宋体"/>
                <w:lang w:eastAsia="zh-CN"/>
              </w:rPr>
            </w:pPr>
            <w:r>
              <w:rPr>
                <w:rFonts w:eastAsia="宋体"/>
                <w:lang w:eastAsia="zh-CN"/>
              </w:rPr>
              <w:t>Fraunhofer IIS,</w:t>
            </w:r>
          </w:p>
          <w:p w14:paraId="2939D11D" w14:textId="30B8A93E" w:rsidR="00116D23" w:rsidRDefault="00116D23" w:rsidP="009035DE">
            <w:pPr>
              <w:rPr>
                <w:rFonts w:eastAsia="宋体"/>
                <w:lang w:eastAsia="zh-CN"/>
              </w:rPr>
            </w:pPr>
            <w:r>
              <w:rPr>
                <w:rFonts w:eastAsia="宋体"/>
                <w:lang w:eastAsia="zh-CN"/>
              </w:rPr>
              <w:t>Fraunhofer HHI</w:t>
            </w:r>
          </w:p>
        </w:tc>
        <w:tc>
          <w:tcPr>
            <w:tcW w:w="7651" w:type="dxa"/>
          </w:tcPr>
          <w:p w14:paraId="2A180261" w14:textId="137F73FC" w:rsidR="00116D23" w:rsidRDefault="00116D23" w:rsidP="009035DE">
            <w:pPr>
              <w:rPr>
                <w:rFonts w:eastAsia="宋体"/>
                <w:bCs/>
                <w:lang w:eastAsia="zh-CN"/>
              </w:rPr>
            </w:pPr>
            <w:r>
              <w:rPr>
                <w:rFonts w:eastAsia="宋体"/>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宋体"/>
                <w:lang w:eastAsia="zh-CN"/>
              </w:rPr>
            </w:pPr>
            <w:r>
              <w:rPr>
                <w:rFonts w:eastAsia="宋体"/>
                <w:lang w:eastAsia="zh-CN"/>
              </w:rPr>
              <w:t>Qualcomm</w:t>
            </w:r>
          </w:p>
        </w:tc>
        <w:tc>
          <w:tcPr>
            <w:tcW w:w="7651" w:type="dxa"/>
          </w:tcPr>
          <w:p w14:paraId="341CC9F3" w14:textId="31DBCA04" w:rsidR="00E34A7F" w:rsidRDefault="00E34A7F" w:rsidP="009035DE">
            <w:pPr>
              <w:rPr>
                <w:rFonts w:eastAsia="宋体"/>
                <w:bCs/>
                <w:lang w:eastAsia="zh-CN"/>
              </w:rPr>
            </w:pPr>
            <w:r>
              <w:rPr>
                <w:rFonts w:eastAsia="宋体"/>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宋体"/>
                <w:lang w:eastAsia="zh-CN"/>
              </w:rPr>
            </w:pPr>
            <w:r>
              <w:rPr>
                <w:rFonts w:eastAsia="宋体"/>
                <w:lang w:eastAsia="zh-CN"/>
              </w:rPr>
              <w:t>Xiaomi</w:t>
            </w:r>
          </w:p>
        </w:tc>
        <w:tc>
          <w:tcPr>
            <w:tcW w:w="7651" w:type="dxa"/>
          </w:tcPr>
          <w:p w14:paraId="6497F2E1" w14:textId="530E7F53" w:rsidR="007B7BB1" w:rsidRDefault="007B7BB1" w:rsidP="009035DE">
            <w:pPr>
              <w:rPr>
                <w:rFonts w:eastAsia="宋体"/>
                <w:bCs/>
                <w:lang w:eastAsia="zh-CN"/>
              </w:rPr>
            </w:pPr>
            <w:r>
              <w:rPr>
                <w:rFonts w:eastAsia="宋体"/>
                <w:bCs/>
                <w:lang w:eastAsia="zh-CN"/>
              </w:rPr>
              <w:t>We agree that both options can be supported by current spec. but we have a concern on the capacity for option 2. This may be started later to see if enhancement is needed or</w:t>
            </w:r>
            <w:r w:rsidR="00A17E66">
              <w:rPr>
                <w:rFonts w:eastAsia="宋体"/>
                <w:bCs/>
                <w:lang w:eastAsia="zh-CN"/>
              </w:rPr>
              <w:t xml:space="preserve"> </w:t>
            </w:r>
            <w:bookmarkStart w:id="7" w:name="_GoBack"/>
            <w:bookmarkEnd w:id="7"/>
            <w:r>
              <w:rPr>
                <w:rFonts w:eastAsia="宋体"/>
                <w:bCs/>
                <w:lang w:eastAsia="zh-CN"/>
              </w:rPr>
              <w:t>not.</w:t>
            </w:r>
          </w:p>
        </w:tc>
      </w:tr>
    </w:tbl>
    <w:p w14:paraId="3D11295F" w14:textId="77777777" w:rsidR="00C912FB" w:rsidRPr="00380CB2" w:rsidRDefault="00C912FB" w:rsidP="00C912FB">
      <w:pPr>
        <w:rPr>
          <w:rFonts w:eastAsia="Malgun Gothic"/>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9"/>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 xml:space="preserve">Proposal 3: </w:t>
            </w:r>
            <w:proofErr w:type="spellStart"/>
            <w:r w:rsidRPr="00181A36">
              <w:rPr>
                <w:b/>
                <w:i/>
                <w:sz w:val="18"/>
                <w:szCs w:val="18"/>
              </w:rPr>
              <w:t>gNB</w:t>
            </w:r>
            <w:proofErr w:type="spellEnd"/>
            <w:r w:rsidRPr="00181A36">
              <w:rPr>
                <w:b/>
                <w:i/>
                <w:sz w:val="18"/>
                <w:szCs w:val="18"/>
              </w:rPr>
              <w:t xml:space="preserve">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lastRenderedPageBreak/>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f0"/>
        <w:numPr>
          <w:ilvl w:val="0"/>
          <w:numId w:val="23"/>
        </w:numPr>
        <w:ind w:left="284" w:hanging="284"/>
      </w:pPr>
      <w:r>
        <w:t>Measurement gap for BWP switching when measured CSI-RS is outside active BWP</w:t>
      </w:r>
    </w:p>
    <w:p w14:paraId="53911157" w14:textId="0B77330B"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f0"/>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lastRenderedPageBreak/>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f0"/>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f0"/>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f0"/>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f0"/>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w:t>
            </w:r>
            <w:proofErr w:type="spellStart"/>
            <w:r>
              <w:rPr>
                <w:rFonts w:eastAsia="宋体"/>
                <w:lang w:eastAsia="zh-CN"/>
              </w:rPr>
              <w:t>summaried</w:t>
            </w:r>
            <w:proofErr w:type="spellEnd"/>
            <w:r>
              <w:rPr>
                <w:rFonts w:eastAsia="宋体"/>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E62609">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宋体"/>
                <w:lang w:eastAsia="zh-CN"/>
              </w:rPr>
            </w:pPr>
            <w:r>
              <w:rPr>
                <w:rFonts w:eastAsia="宋体" w:hint="eastAsia"/>
                <w:lang w:eastAsia="zh-CN"/>
              </w:rPr>
              <w:t>W</w:t>
            </w:r>
            <w:r>
              <w:rPr>
                <w:rFonts w:eastAsia="宋体"/>
                <w:lang w:eastAsia="zh-CN"/>
              </w:rPr>
              <w:t xml:space="preserve">e also support to define mechanism for power saving and </w:t>
            </w:r>
            <w:proofErr w:type="spellStart"/>
            <w:r>
              <w:rPr>
                <w:rFonts w:eastAsia="宋体"/>
                <w:lang w:eastAsia="zh-CN"/>
              </w:rPr>
              <w:t>signaling</w:t>
            </w:r>
            <w:proofErr w:type="spellEnd"/>
            <w:r>
              <w:rPr>
                <w:rFonts w:eastAsia="宋体"/>
                <w:lang w:eastAsia="zh-CN"/>
              </w:rPr>
              <w:t xml:space="preserve">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lastRenderedPageBreak/>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宋体"/>
                <w:lang w:eastAsia="zh-CN"/>
              </w:rPr>
            </w:pPr>
            <w:r>
              <w:rPr>
                <w:rFonts w:eastAsia="宋体"/>
                <w:lang w:eastAsia="zh-CN"/>
              </w:rPr>
              <w:t>Fraunhofer IIS,</w:t>
            </w:r>
          </w:p>
          <w:p w14:paraId="02954E2E" w14:textId="7FE2F25F" w:rsidR="00116D23" w:rsidRDefault="00116D23" w:rsidP="009035DE">
            <w:pPr>
              <w:rPr>
                <w:rFonts w:eastAsia="宋体"/>
                <w:lang w:eastAsia="zh-CN"/>
              </w:rPr>
            </w:pPr>
            <w:r>
              <w:rPr>
                <w:rFonts w:eastAsia="宋体"/>
                <w:lang w:eastAsia="zh-CN"/>
              </w:rPr>
              <w:t>Fraunhofer HHI</w:t>
            </w:r>
          </w:p>
        </w:tc>
        <w:tc>
          <w:tcPr>
            <w:tcW w:w="7651" w:type="dxa"/>
          </w:tcPr>
          <w:p w14:paraId="34E4F934" w14:textId="353F1D63" w:rsidR="00116D23" w:rsidRDefault="00116D23" w:rsidP="009035DE">
            <w:pPr>
              <w:rPr>
                <w:rFonts w:eastAsia="宋体"/>
                <w:lang w:eastAsia="zh-CN"/>
              </w:rPr>
            </w:pPr>
            <w:r>
              <w:rPr>
                <w:rFonts w:eastAsia="宋体"/>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宋体"/>
                <w:lang w:eastAsia="zh-CN"/>
              </w:rPr>
            </w:pPr>
            <w:r>
              <w:rPr>
                <w:rFonts w:eastAsia="宋体"/>
                <w:lang w:eastAsia="zh-CN"/>
              </w:rPr>
              <w:t>Qualcomm</w:t>
            </w:r>
          </w:p>
        </w:tc>
        <w:tc>
          <w:tcPr>
            <w:tcW w:w="7651" w:type="dxa"/>
          </w:tcPr>
          <w:p w14:paraId="7180EC7E" w14:textId="0BFF1038" w:rsidR="00B43AF9" w:rsidRDefault="00235B17" w:rsidP="009035DE">
            <w:pPr>
              <w:rPr>
                <w:rFonts w:eastAsia="宋体"/>
                <w:lang w:eastAsia="zh-CN"/>
              </w:rPr>
            </w:pPr>
            <w:r>
              <w:rPr>
                <w:rFonts w:eastAsia="宋体"/>
                <w:lang w:eastAsia="zh-CN"/>
              </w:rPr>
              <w:t>S</w:t>
            </w:r>
            <w:r w:rsidR="00776EEF">
              <w:rPr>
                <w:rFonts w:eastAsia="宋体"/>
                <w:lang w:eastAsia="zh-CN"/>
              </w:rPr>
              <w:t>upportive</w:t>
            </w:r>
            <w:r>
              <w:rPr>
                <w:rFonts w:eastAsia="宋体"/>
                <w:lang w:eastAsia="zh-CN"/>
              </w:rPr>
              <w:t xml:space="preserve">. </w:t>
            </w: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w:t>
      </w:r>
      <w:r w:rsidRPr="00181A36">
        <w:rPr>
          <w:bCs/>
          <w:iCs/>
        </w:rPr>
        <w:lastRenderedPageBreak/>
        <w:t xml:space="preserve">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 xml:space="preserve">gree with moderator’s view. Agree that there are association between BWP and beam, and we prefer that the relationship between </w:t>
            </w:r>
            <w:proofErr w:type="spellStart"/>
            <w:r>
              <w:rPr>
                <w:rFonts w:eastAsia="宋体"/>
                <w:lang w:eastAsia="zh-CN"/>
              </w:rPr>
              <w:t>bwp</w:t>
            </w:r>
            <w:proofErr w:type="spellEnd"/>
            <w:r>
              <w:rPr>
                <w:rFonts w:eastAsia="宋体"/>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宋体"/>
                <w:lang w:eastAsia="zh-CN"/>
              </w:rPr>
            </w:pPr>
            <w:r>
              <w:rPr>
                <w:rFonts w:eastAsia="宋体"/>
                <w:lang w:eastAsia="zh-CN"/>
              </w:rPr>
              <w:t>Fraunhofer IIS,</w:t>
            </w:r>
          </w:p>
          <w:p w14:paraId="7A1E7350" w14:textId="0A23F91A" w:rsidR="00116D23" w:rsidRDefault="00116D23" w:rsidP="009035DE">
            <w:pPr>
              <w:rPr>
                <w:rFonts w:eastAsia="宋体"/>
                <w:lang w:eastAsia="zh-CN"/>
              </w:rPr>
            </w:pPr>
            <w:r>
              <w:rPr>
                <w:rFonts w:eastAsia="宋体"/>
                <w:lang w:eastAsia="zh-CN"/>
              </w:rPr>
              <w:t>Fraunhofer HHI</w:t>
            </w:r>
          </w:p>
        </w:tc>
        <w:tc>
          <w:tcPr>
            <w:tcW w:w="7651" w:type="dxa"/>
          </w:tcPr>
          <w:p w14:paraId="7D3ACEE7" w14:textId="2AA273C0" w:rsidR="00116D23" w:rsidRDefault="00116D23" w:rsidP="009035DE">
            <w:pPr>
              <w:rPr>
                <w:rFonts w:eastAsia="宋体"/>
                <w:lang w:eastAsia="zh-CN"/>
              </w:rPr>
            </w:pPr>
            <w:r>
              <w:rPr>
                <w:rFonts w:eastAsia="宋体"/>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宋体"/>
                <w:lang w:eastAsia="zh-CN"/>
              </w:rPr>
            </w:pPr>
            <w:r>
              <w:rPr>
                <w:rFonts w:eastAsia="宋体"/>
                <w:lang w:eastAsia="zh-CN"/>
              </w:rPr>
              <w:t>Qualcomm</w:t>
            </w:r>
          </w:p>
        </w:tc>
        <w:tc>
          <w:tcPr>
            <w:tcW w:w="7651" w:type="dxa"/>
          </w:tcPr>
          <w:p w14:paraId="28A19E3E" w14:textId="7E1FD83D" w:rsidR="00B058B9" w:rsidRDefault="00B058B9" w:rsidP="009035DE">
            <w:pPr>
              <w:rPr>
                <w:rFonts w:eastAsia="宋体"/>
                <w:lang w:eastAsia="zh-CN"/>
              </w:rPr>
            </w:pPr>
            <w:r>
              <w:rPr>
                <w:rFonts w:eastAsia="宋体"/>
                <w:lang w:eastAsia="zh-CN"/>
              </w:rPr>
              <w:t>Support</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lastRenderedPageBreak/>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9"/>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f0"/>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f0"/>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f0"/>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4A2E3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5pt;height:143.15pt;mso-width-percent:0;mso-height-percent:0;mso-width-percent:0;mso-height-percent:0" o:ole="">
            <v:imagedata r:id="rId21" o:title=""/>
          </v:shape>
          <o:OLEObject Type="Embed" ProgID="Visio.Drawing.15" ShapeID="_x0000_i1025" DrawAspect="Content" ObjectID="_1683086856"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9"/>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lastRenderedPageBreak/>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宋体" w:hint="eastAsia"/>
                <w:lang w:eastAsia="zh-CN"/>
              </w:rPr>
              <w:t>v</w:t>
            </w:r>
            <w:r>
              <w:rPr>
                <w:rFonts w:eastAsia="宋体"/>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宋体"/>
                <w:lang w:eastAsia="zh-CN"/>
              </w:rPr>
            </w:pPr>
            <w:r>
              <w:rPr>
                <w:rFonts w:eastAsia="宋体"/>
                <w:lang w:eastAsia="zh-CN"/>
              </w:rPr>
              <w:t>Fraunhofer IIS,</w:t>
            </w:r>
          </w:p>
          <w:p w14:paraId="02713A6C" w14:textId="3D45A5AC" w:rsidR="00116D23" w:rsidRDefault="00116D23" w:rsidP="005131B1">
            <w:pPr>
              <w:rPr>
                <w:rFonts w:eastAsia="宋体"/>
                <w:lang w:eastAsia="zh-CN"/>
              </w:rPr>
            </w:pPr>
            <w:r>
              <w:rPr>
                <w:rFonts w:eastAsia="宋体"/>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b"/>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b"/>
      </w:pPr>
    </w:p>
    <w:p w14:paraId="3EA2AF0C" w14:textId="1E8DA19A" w:rsidR="007326F7" w:rsidRPr="00181A36" w:rsidRDefault="007326F7">
      <w:pPr>
        <w:pStyle w:val="ab"/>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b"/>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lastRenderedPageBreak/>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b"/>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b"/>
      </w:pPr>
      <w:r w:rsidRPr="00181A36">
        <w:t xml:space="preserve">Company’s contribution </w:t>
      </w:r>
    </w:p>
    <w:tbl>
      <w:tblPr>
        <w:tblStyle w:val="af9"/>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 xml:space="preserve">Proposal 5: Polarization indication can be signalled by </w:t>
            </w:r>
            <w:proofErr w:type="spellStart"/>
            <w:r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lastRenderedPageBreak/>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E62609" w:rsidP="00E30630">
            <w:pPr>
              <w:pStyle w:val="aff2"/>
              <w:tabs>
                <w:tab w:val="right" w:leader="dot" w:pos="9629"/>
              </w:tabs>
              <w:rPr>
                <w:rFonts w:ascii="Times New Roman" w:hAnsi="Times New Roman" w:cs="Times New Roman"/>
                <w:b w:val="0"/>
                <w:noProof/>
                <w:sz w:val="20"/>
                <w:szCs w:val="20"/>
              </w:rPr>
            </w:pPr>
            <w:hyperlink w:anchor="_Toc71640619" w:history="1">
              <w:r w:rsidR="00E30630" w:rsidRPr="00521BC9">
                <w:rPr>
                  <w:rStyle w:val="afd"/>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E62609" w:rsidP="00E30630">
            <w:pPr>
              <w:pStyle w:val="aff2"/>
              <w:tabs>
                <w:tab w:val="right" w:leader="dot" w:pos="9629"/>
              </w:tabs>
              <w:rPr>
                <w:rFonts w:ascii="Times New Roman" w:hAnsi="Times New Roman" w:cs="Times New Roman"/>
                <w:b w:val="0"/>
                <w:noProof/>
                <w:sz w:val="20"/>
                <w:szCs w:val="20"/>
              </w:rPr>
            </w:pPr>
            <w:hyperlink w:anchor="_Toc71640620" w:history="1">
              <w:r w:rsidR="00E30630" w:rsidRPr="00521BC9">
                <w:rPr>
                  <w:rStyle w:val="afd"/>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E62609" w:rsidP="00E30630">
            <w:pPr>
              <w:pStyle w:val="aff2"/>
              <w:tabs>
                <w:tab w:val="right" w:leader="dot" w:pos="9629"/>
              </w:tabs>
              <w:rPr>
                <w:rFonts w:ascii="Times New Roman" w:hAnsi="Times New Roman" w:cs="Times New Roman"/>
                <w:b w:val="0"/>
                <w:noProof/>
                <w:sz w:val="20"/>
                <w:szCs w:val="20"/>
              </w:rPr>
            </w:pPr>
            <w:hyperlink w:anchor="_Toc71640621" w:history="1">
              <w:r w:rsidR="00E30630" w:rsidRPr="00521BC9">
                <w:rPr>
                  <w:rStyle w:val="afd"/>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f0"/>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b"/>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Pr="00521BC9">
              <w:rPr>
                <w:rFonts w:eastAsia="宋体"/>
                <w:b/>
                <w:bCs/>
                <w:lang w:eastAsia="ko-KR"/>
              </w:rPr>
              <w:t>gNB</w:t>
            </w:r>
            <w:proofErr w:type="spellEnd"/>
            <w:r w:rsidRPr="00521BC9">
              <w:rPr>
                <w:rFonts w:eastAsia="宋体"/>
                <w:b/>
                <w:bCs/>
                <w:lang w:eastAsia="ko-KR"/>
              </w:rPr>
              <w:t xml:space="preserve">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w:t>
            </w:r>
            <w:proofErr w:type="spellStart"/>
            <w:r w:rsidRPr="00521BC9">
              <w:rPr>
                <w:rFonts w:eastAsia="宋体"/>
                <w:b/>
                <w:bCs/>
                <w:lang w:eastAsia="ko-KR"/>
              </w:rPr>
              <w:t>gNB</w:t>
            </w:r>
            <w:proofErr w:type="spellEnd"/>
            <w:r w:rsidRPr="00521BC9">
              <w:rPr>
                <w:rFonts w:eastAsia="宋体"/>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lastRenderedPageBreak/>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b"/>
      </w:pPr>
    </w:p>
    <w:p w14:paraId="0747FEF0" w14:textId="046363F9" w:rsidR="008236B5" w:rsidRPr="00181A36" w:rsidRDefault="008236B5">
      <w:pPr>
        <w:pStyle w:val="ab"/>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b"/>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b"/>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b"/>
      </w:pPr>
      <w:r>
        <w:t>Companies supporting beam-level polarization indication:</w:t>
      </w:r>
      <w:r w:rsidRPr="00796083">
        <w:t xml:space="preserve"> </w:t>
      </w:r>
      <w:r>
        <w:t>ZTE, Huawei, vivo, CATT</w:t>
      </w:r>
    </w:p>
    <w:p w14:paraId="6F823D4C" w14:textId="130D3869" w:rsidR="00796083" w:rsidRDefault="00796083">
      <w:pPr>
        <w:pStyle w:val="ab"/>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b"/>
      </w:pPr>
      <w:r>
        <w:t xml:space="preserve">Qualcomm proposes to have BWP-wise polarization indication. </w:t>
      </w:r>
    </w:p>
    <w:p w14:paraId="6E75E20A" w14:textId="1A5FC1A8" w:rsidR="00796083" w:rsidRDefault="00796083">
      <w:pPr>
        <w:pStyle w:val="ab"/>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b"/>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b"/>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b"/>
      </w:pPr>
      <w:r>
        <w:t xml:space="preserve">No reporting: CATT, Apple, LG, HW, </w:t>
      </w:r>
      <w:proofErr w:type="spellStart"/>
      <w:r>
        <w:t>spreadtrum</w:t>
      </w:r>
      <w:proofErr w:type="spellEnd"/>
    </w:p>
    <w:p w14:paraId="79FE58AC" w14:textId="77777777" w:rsidR="00A233D5" w:rsidRDefault="00A233D5">
      <w:pPr>
        <w:pStyle w:val="ab"/>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b"/>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f0"/>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lastRenderedPageBreak/>
        <w:t>Company view first round</w:t>
      </w:r>
    </w:p>
    <w:tbl>
      <w:tblPr>
        <w:tblStyle w:val="af9"/>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b"/>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f0"/>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lastRenderedPageBreak/>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 xml:space="preserve">egarding DP 5-2, we think no restriction on same polarization type between DL and UL depending on different UE </w:t>
            </w:r>
            <w:proofErr w:type="spellStart"/>
            <w:r>
              <w:rPr>
                <w:rFonts w:eastAsia="宋体"/>
                <w:lang w:eastAsia="zh-CN"/>
              </w:rPr>
              <w:t>implemenatation</w:t>
            </w:r>
            <w:proofErr w:type="spellEnd"/>
            <w:r>
              <w:rPr>
                <w:rFonts w:eastAsia="宋体"/>
                <w:lang w:eastAsia="zh-CN"/>
              </w:rPr>
              <w:t>.</w:t>
            </w:r>
          </w:p>
          <w:p w14:paraId="2F54EA65" w14:textId="58F90E90" w:rsidR="00012247" w:rsidRPr="00FC6F81" w:rsidRDefault="00012247" w:rsidP="00012247">
            <w:pPr>
              <w:rPr>
                <w:rFonts w:eastAsia="MS Mincho"/>
              </w:rPr>
            </w:pPr>
            <w:r>
              <w:rPr>
                <w:rFonts w:eastAsia="宋体" w:hint="eastAsia"/>
                <w:lang w:eastAsia="zh-CN"/>
              </w:rPr>
              <w:t>R</w:t>
            </w:r>
            <w:r>
              <w:rPr>
                <w:rFonts w:eastAsia="宋体"/>
                <w:lang w:eastAsia="zh-CN"/>
              </w:rPr>
              <w:t xml:space="preserve">egarding DP 5-3, we think polarization type reporting is beneficial for </w:t>
            </w:r>
            <w:proofErr w:type="spellStart"/>
            <w:r>
              <w:rPr>
                <w:rFonts w:eastAsia="宋体"/>
                <w:lang w:eastAsia="zh-CN"/>
              </w:rPr>
              <w:t>gNB</w:t>
            </w:r>
            <w:proofErr w:type="spellEnd"/>
            <w:r>
              <w:rPr>
                <w:rFonts w:eastAsia="宋体"/>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宋体"/>
                <w:lang w:eastAsia="zh-CN"/>
              </w:rPr>
            </w:pPr>
            <w:r>
              <w:rPr>
                <w:rFonts w:eastAsia="宋体"/>
                <w:lang w:eastAsia="zh-CN"/>
              </w:rPr>
              <w:t>Supportive of FL initial proposal-DP5-1</w:t>
            </w:r>
          </w:p>
          <w:p w14:paraId="585521F4" w14:textId="77777777" w:rsidR="00B151F7" w:rsidRDefault="00B151F7" w:rsidP="00B151F7">
            <w:pPr>
              <w:rPr>
                <w:rFonts w:eastAsia="宋体"/>
                <w:lang w:eastAsia="zh-CN"/>
              </w:rPr>
            </w:pPr>
            <w:r>
              <w:rPr>
                <w:rFonts w:eastAsia="宋体"/>
                <w:lang w:eastAsia="zh-CN"/>
              </w:rPr>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651" w:type="dxa"/>
          </w:tcPr>
          <w:p w14:paraId="69F32B7D" w14:textId="77777777" w:rsidR="00AC64C7" w:rsidRDefault="00AC64C7" w:rsidP="00AC64C7">
            <w:pPr>
              <w:pStyle w:val="ab"/>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b"/>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宋体" w:hint="eastAsia"/>
                <w:lang w:eastAsia="zh-CN"/>
              </w:rPr>
              <w:t>v</w:t>
            </w:r>
            <w:r>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t>A</w:t>
            </w:r>
            <w:r w:rsidRPr="00BF0A38">
              <w:rPr>
                <w:rFonts w:eastAsia="宋体"/>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宋体"/>
                <w:bCs/>
                <w:color w:val="000000" w:themeColor="text1"/>
                <w:lang w:eastAsia="zh-CN"/>
              </w:rPr>
              <w:t>resue</w:t>
            </w:r>
            <w:proofErr w:type="spellEnd"/>
            <w:r w:rsidRPr="00BF0A38">
              <w:rPr>
                <w:rFonts w:eastAsia="宋体"/>
                <w:bCs/>
                <w:color w:val="000000" w:themeColor="text1"/>
                <w:lang w:eastAsia="zh-CN"/>
              </w:rPr>
              <w:t xml:space="preserve"> in Rel-17.</w:t>
            </w:r>
          </w:p>
          <w:p w14:paraId="7ACC5C74" w14:textId="77777777" w:rsidR="00BF0A38" w:rsidRPr="00E45C1E" w:rsidRDefault="00BF0A38" w:rsidP="00BF0A38">
            <w:pPr>
              <w:ind w:left="57"/>
              <w:rPr>
                <w:rFonts w:eastAsia="宋体"/>
                <w:bCs/>
                <w:color w:val="FF0000"/>
                <w:lang w:eastAsia="zh-CN"/>
              </w:rPr>
            </w:pPr>
            <w:r w:rsidRPr="00BF0A38">
              <w:rPr>
                <w:rFonts w:eastAsia="宋体" w:hint="eastAsia"/>
                <w:bCs/>
                <w:color w:val="000000" w:themeColor="text1"/>
                <w:lang w:eastAsia="zh-CN"/>
              </w:rPr>
              <w:lastRenderedPageBreak/>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宋体"/>
                <w:b/>
                <w:color w:val="000000" w:themeColor="text1"/>
                <w:lang w:val="en-US" w:eastAsia="zh-CN"/>
              </w:rPr>
              <w:t xml:space="preserve">For the polarization used for multiplexing, if supported, UE should report the polarization capability to </w:t>
            </w:r>
            <w:proofErr w:type="spellStart"/>
            <w:r w:rsidRPr="00BF0A38">
              <w:rPr>
                <w:rFonts w:eastAsia="宋体"/>
                <w:b/>
                <w:color w:val="000000" w:themeColor="text1"/>
                <w:lang w:val="en-US" w:eastAsia="zh-CN"/>
              </w:rPr>
              <w:t>gNB</w:t>
            </w:r>
            <w:proofErr w:type="spellEnd"/>
            <w:r w:rsidRPr="00BF0A38">
              <w:rPr>
                <w:rFonts w:eastAsia="宋体"/>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宋体"/>
                <w:lang w:eastAsia="zh-CN"/>
              </w:rPr>
            </w:pPr>
            <w:r>
              <w:rPr>
                <w:rFonts w:eastAsia="宋体"/>
                <w:lang w:eastAsia="zh-CN"/>
              </w:rPr>
              <w:lastRenderedPageBreak/>
              <w:t>Qualcomm</w:t>
            </w:r>
          </w:p>
        </w:tc>
        <w:tc>
          <w:tcPr>
            <w:tcW w:w="7651" w:type="dxa"/>
          </w:tcPr>
          <w:p w14:paraId="7B63FDB6" w14:textId="1D5FD277" w:rsidR="009932F3" w:rsidRPr="005C7C8F" w:rsidRDefault="004C68AE" w:rsidP="00BF0A38">
            <w:pPr>
              <w:rPr>
                <w:rFonts w:eastAsia="宋体"/>
                <w:color w:val="000000"/>
                <w:lang w:eastAsia="zh-CN"/>
              </w:rPr>
            </w:pPr>
            <w:r>
              <w:rPr>
                <w:rFonts w:eastAsia="宋体"/>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宋体"/>
                <w:lang w:eastAsia="zh-CN"/>
              </w:rPr>
            </w:pPr>
            <w:r>
              <w:rPr>
                <w:rFonts w:eastAsia="宋体" w:hint="eastAsia"/>
                <w:lang w:eastAsia="zh-CN"/>
              </w:rPr>
              <w:t>X</w:t>
            </w:r>
            <w:r>
              <w:rPr>
                <w:rFonts w:eastAsia="宋体"/>
                <w:lang w:eastAsia="zh-CN"/>
              </w:rPr>
              <w:t>iaomi</w:t>
            </w:r>
          </w:p>
        </w:tc>
        <w:tc>
          <w:tcPr>
            <w:tcW w:w="7651" w:type="dxa"/>
          </w:tcPr>
          <w:p w14:paraId="38287003" w14:textId="77777777" w:rsidR="00E62609" w:rsidRPr="009645CD" w:rsidRDefault="00E62609" w:rsidP="00E62609">
            <w:pPr>
              <w:rPr>
                <w:rFonts w:eastAsia="宋体"/>
                <w:bCs/>
                <w:lang w:eastAsia="zh-CN"/>
              </w:rPr>
            </w:pPr>
            <w:r w:rsidRPr="009645CD">
              <w:rPr>
                <w:rFonts w:eastAsia="宋体"/>
                <w:bCs/>
                <w:lang w:eastAsia="zh-CN"/>
              </w:rPr>
              <w:t>Support proposal-DP5-1;</w:t>
            </w:r>
          </w:p>
          <w:p w14:paraId="025DF8A9" w14:textId="77777777" w:rsidR="00E62609" w:rsidRDefault="00E62609" w:rsidP="00E62609">
            <w:pPr>
              <w:rPr>
                <w:rFonts w:eastAsia="宋体"/>
                <w:bCs/>
                <w:lang w:eastAsia="zh-CN"/>
              </w:rPr>
            </w:pPr>
            <w:r>
              <w:rPr>
                <w:rFonts w:eastAsia="宋体"/>
                <w:bCs/>
                <w:lang w:eastAsia="zh-CN"/>
              </w:rPr>
              <w:t xml:space="preserve">For proposal </w:t>
            </w:r>
            <w:r w:rsidRPr="009645CD">
              <w:rPr>
                <w:rFonts w:eastAsia="宋体"/>
                <w:bCs/>
                <w:lang w:eastAsia="zh-CN"/>
              </w:rPr>
              <w:t>DP5-</w:t>
            </w:r>
            <w:r>
              <w:rPr>
                <w:rFonts w:eastAsia="宋体"/>
                <w:bCs/>
                <w:lang w:eastAsia="zh-CN"/>
              </w:rPr>
              <w:t xml:space="preserve">2, we tend to share the view that limitation is </w:t>
            </w:r>
            <w:proofErr w:type="spellStart"/>
            <w:r>
              <w:rPr>
                <w:rFonts w:eastAsia="宋体"/>
                <w:bCs/>
                <w:lang w:eastAsia="zh-CN"/>
              </w:rPr>
              <w:t>unneccesary</w:t>
            </w:r>
            <w:proofErr w:type="spellEnd"/>
            <w:r>
              <w:rPr>
                <w:rFonts w:eastAsia="宋体"/>
                <w:bCs/>
                <w:lang w:eastAsia="zh-CN"/>
              </w:rPr>
              <w:t>;</w:t>
            </w:r>
          </w:p>
          <w:p w14:paraId="655B2A26" w14:textId="6A192F81" w:rsidR="00E62609" w:rsidRDefault="00E62609" w:rsidP="00E62609">
            <w:pPr>
              <w:rPr>
                <w:rFonts w:eastAsia="宋体"/>
                <w:color w:val="000000"/>
                <w:lang w:eastAsia="zh-CN"/>
              </w:rPr>
            </w:pPr>
            <w:r>
              <w:rPr>
                <w:rFonts w:eastAsia="宋体"/>
                <w:bCs/>
                <w:lang w:eastAsia="zh-CN"/>
              </w:rPr>
              <w:t xml:space="preserve">For proposal DP5-3, we support to report the </w:t>
            </w:r>
            <w:r>
              <w:rPr>
                <w:rFonts w:eastAsia="Batang"/>
                <w:color w:val="000000"/>
              </w:rPr>
              <w:t>polarization capability, as it can help the network to proper set the polarization scheme</w:t>
            </w: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proofErr w:type="spellStart"/>
      <w:r w:rsidRPr="00181A36">
        <w:rPr>
          <w:lang w:eastAsia="ko-KR"/>
        </w:rPr>
        <w:t>gNB</w:t>
      </w:r>
      <w:proofErr w:type="spellEnd"/>
      <w:r w:rsidRPr="00181A36">
        <w:rPr>
          <w:lang w:eastAsia="ko-KR"/>
        </w:rPr>
        <w:t xml:space="preserve"> can assign separate PRACH resources to GNSS-aware UEs and GNSS-challenged UEs.</w:t>
      </w:r>
    </w:p>
    <w:p w14:paraId="6F177E10" w14:textId="77777777" w:rsidR="00E50279" w:rsidRPr="00181A36" w:rsidRDefault="00144C43">
      <w:pPr>
        <w:rPr>
          <w:lang w:eastAsia="ko-KR"/>
        </w:rPr>
      </w:pPr>
      <w:r w:rsidRPr="00181A36">
        <w:rPr>
          <w:lang w:eastAsia="ko-KR"/>
        </w:rPr>
        <w:lastRenderedPageBreak/>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E62609" w:rsidRDefault="00E62609"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E62609" w:rsidRDefault="00E62609"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E62609" w:rsidRDefault="00E62609"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E62609" w:rsidRDefault="00E62609"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 xml:space="preserve">Nokia propose that RAN1 define the feeder and service link type of amplification for </w:t>
      </w:r>
      <w:proofErr w:type="spellStart"/>
      <w:r w:rsidRPr="00181A36">
        <w:rPr>
          <w:lang w:eastAsia="ko-KR"/>
        </w:rPr>
        <w:t>gNB</w:t>
      </w:r>
      <w:proofErr w:type="spellEnd"/>
      <w:r w:rsidRPr="00181A36">
        <w:rPr>
          <w:lang w:eastAsia="ko-KR"/>
        </w:rPr>
        <w:t xml:space="preserve"> interpretation of measurement reports and configuration of UE uplink transmit power control with three options considered:</w:t>
      </w:r>
    </w:p>
    <w:p w14:paraId="5A7E4EB2" w14:textId="77777777" w:rsidR="00E50279" w:rsidRPr="00181A36" w:rsidRDefault="00144C43" w:rsidP="00CD1032">
      <w:pPr>
        <w:pStyle w:val="aff0"/>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f0"/>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f0"/>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w:t>
      </w:r>
      <w:proofErr w:type="spellStart"/>
      <w:r w:rsidRPr="00181A36">
        <w:rPr>
          <w:lang w:eastAsia="ko-KR"/>
        </w:rPr>
        <w:t>gNB</w:t>
      </w:r>
      <w:proofErr w:type="spellEnd"/>
      <w:r w:rsidRPr="00181A36">
        <w:rPr>
          <w:lang w:eastAsia="ko-KR"/>
        </w:rPr>
        <w:t xml:space="preserve">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w:t>
      </w:r>
      <w:proofErr w:type="spellStart"/>
      <w:r w:rsidRPr="00181A36">
        <w:rPr>
          <w:lang w:eastAsia="ko-KR"/>
        </w:rPr>
        <w:t>gNB</w:t>
      </w:r>
      <w:proofErr w:type="spellEnd"/>
      <w:r w:rsidRPr="00181A36">
        <w:rPr>
          <w:lang w:eastAsia="ko-KR"/>
        </w:rPr>
        <w:t xml:space="preserve"> location relative to the NTN-GW may impact the NTN user experience and propose RAN1 defines an assumption of the maximum tolerable </w:t>
      </w:r>
      <w:proofErr w:type="spellStart"/>
      <w:r w:rsidRPr="00181A36">
        <w:rPr>
          <w:lang w:eastAsia="ko-KR"/>
        </w:rPr>
        <w:t>gNB</w:t>
      </w:r>
      <w:proofErr w:type="spellEnd"/>
      <w:r w:rsidRPr="00181A36">
        <w:rPr>
          <w:lang w:eastAsia="ko-KR"/>
        </w:rPr>
        <w:t xml:space="preserve">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 xml:space="preserve">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w:t>
      </w:r>
      <w:proofErr w:type="spellStart"/>
      <w:r w:rsidRPr="00181A36">
        <w:rPr>
          <w:lang w:eastAsia="ko-KR"/>
        </w:rPr>
        <w:t>gNB</w:t>
      </w:r>
      <w:proofErr w:type="spellEnd"/>
      <w:r w:rsidRPr="00181A36">
        <w:rPr>
          <w:lang w:eastAsia="ko-KR"/>
        </w:rPr>
        <w:t>/satellite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9"/>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lastRenderedPageBreak/>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b"/>
      </w:pPr>
      <w:r w:rsidRPr="00181A36">
        <w:t xml:space="preserve">Samsung proposed that open loop power control, UE should be allowed to predict its own transmission power not only based on DL measurement, e.g., pathloss measurement but also other available information, such as </w:t>
      </w:r>
      <w:proofErr w:type="spellStart"/>
      <w:r w:rsidRPr="00181A36">
        <w:t>gNB</w:t>
      </w:r>
      <w:proofErr w:type="spellEnd"/>
      <w:r w:rsidRPr="00181A36">
        <w:t xml:space="preserve"> ephemeris and UE trajectory. Samsung proposed closed loop power control should be supported in NTN and a mechanism to disable closed loop power control should be considered.</w:t>
      </w:r>
    </w:p>
    <w:p w14:paraId="363767C6" w14:textId="77777777" w:rsidR="00E50279" w:rsidRDefault="00144C43">
      <w:pPr>
        <w:pStyle w:val="ab"/>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b"/>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b"/>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b"/>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f0"/>
        <w:numPr>
          <w:ilvl w:val="0"/>
          <w:numId w:val="32"/>
        </w:numPr>
        <w:spacing w:beforeLines="50" w:before="120" w:afterLines="50" w:after="120"/>
        <w:rPr>
          <w:bCs/>
          <w:iCs/>
        </w:rPr>
      </w:pPr>
      <w:r w:rsidRPr="001E056B">
        <w:rPr>
          <w:bCs/>
          <w:iCs/>
        </w:rPr>
        <w:lastRenderedPageBreak/>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b"/>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b"/>
      </w:pPr>
      <w:r w:rsidRPr="001103A3">
        <w:rPr>
          <w:highlight w:val="yellow"/>
        </w:rPr>
        <w:t>Companies are encouraged to provide views.</w:t>
      </w:r>
      <w:r>
        <w:t xml:space="preserve"> </w:t>
      </w:r>
    </w:p>
    <w:p w14:paraId="181EC092" w14:textId="77777777" w:rsidR="00E50279" w:rsidRPr="00181A36" w:rsidRDefault="00E50279">
      <w:pPr>
        <w:pStyle w:val="ab"/>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b"/>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b"/>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f1"/>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f1"/>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E62609" w:rsidP="00873379">
      <w:pPr>
        <w:rPr>
          <w:lang w:eastAsia="x-none"/>
        </w:rPr>
      </w:pPr>
      <w:hyperlink r:id="rId26" w:history="1">
        <w:r w:rsidR="00873379">
          <w:rPr>
            <w:rStyle w:val="afd"/>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E62609" w:rsidP="00873379">
      <w:pPr>
        <w:rPr>
          <w:lang w:eastAsia="x-none"/>
        </w:rPr>
      </w:pPr>
      <w:hyperlink r:id="rId27" w:history="1">
        <w:r w:rsidR="00873379">
          <w:rPr>
            <w:rStyle w:val="afd"/>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E62609" w:rsidP="00873379">
      <w:pPr>
        <w:rPr>
          <w:lang w:eastAsia="x-none"/>
        </w:rPr>
      </w:pPr>
      <w:hyperlink r:id="rId28" w:history="1">
        <w:r w:rsidR="00873379">
          <w:rPr>
            <w:rStyle w:val="afd"/>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E62609" w:rsidP="00873379">
      <w:pPr>
        <w:rPr>
          <w:lang w:eastAsia="x-none"/>
        </w:rPr>
      </w:pPr>
      <w:hyperlink r:id="rId29" w:history="1">
        <w:r w:rsidR="00873379">
          <w:rPr>
            <w:rStyle w:val="afd"/>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E62609" w:rsidP="00873379">
      <w:pPr>
        <w:rPr>
          <w:lang w:eastAsia="x-none"/>
        </w:rPr>
      </w:pPr>
      <w:hyperlink r:id="rId30" w:history="1">
        <w:r w:rsidR="00873379">
          <w:rPr>
            <w:rStyle w:val="afd"/>
            <w:lang w:eastAsia="x-none"/>
          </w:rPr>
          <w:t>R1-2104610</w:t>
        </w:r>
      </w:hyperlink>
      <w:r w:rsidR="00873379">
        <w:rPr>
          <w:lang w:eastAsia="x-none"/>
        </w:rPr>
        <w:tab/>
        <w:t>Other Aspects for NTN</w:t>
      </w:r>
      <w:r w:rsidR="00873379">
        <w:rPr>
          <w:lang w:eastAsia="x-none"/>
        </w:rPr>
        <w:tab/>
        <w:t>CMCC</w:t>
      </w:r>
    </w:p>
    <w:p w14:paraId="4669F857" w14:textId="77777777" w:rsidR="00873379" w:rsidRDefault="00E62609" w:rsidP="00873379">
      <w:pPr>
        <w:rPr>
          <w:lang w:eastAsia="x-none"/>
        </w:rPr>
      </w:pPr>
      <w:hyperlink r:id="rId31" w:history="1">
        <w:r w:rsidR="00873379">
          <w:rPr>
            <w:rStyle w:val="afd"/>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E62609" w:rsidP="00873379">
      <w:pPr>
        <w:rPr>
          <w:lang w:eastAsia="x-none"/>
        </w:rPr>
      </w:pPr>
      <w:hyperlink r:id="rId32" w:history="1">
        <w:r w:rsidR="00873379">
          <w:rPr>
            <w:rStyle w:val="afd"/>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E62609" w:rsidP="00873379">
      <w:pPr>
        <w:rPr>
          <w:lang w:eastAsia="x-none"/>
        </w:rPr>
      </w:pPr>
      <w:hyperlink r:id="rId33" w:history="1">
        <w:r w:rsidR="00873379">
          <w:rPr>
            <w:rStyle w:val="afd"/>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E62609" w:rsidP="00873379">
      <w:pPr>
        <w:rPr>
          <w:lang w:eastAsia="x-none"/>
        </w:rPr>
      </w:pPr>
      <w:hyperlink r:id="rId34" w:history="1">
        <w:r w:rsidR="00873379">
          <w:rPr>
            <w:rStyle w:val="afd"/>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E62609" w:rsidP="00873379">
      <w:pPr>
        <w:rPr>
          <w:lang w:eastAsia="x-none"/>
        </w:rPr>
      </w:pPr>
      <w:hyperlink r:id="rId35" w:history="1">
        <w:r w:rsidR="00873379">
          <w:rPr>
            <w:rStyle w:val="afd"/>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E62609" w:rsidP="00873379">
      <w:pPr>
        <w:rPr>
          <w:lang w:eastAsia="x-none"/>
        </w:rPr>
      </w:pPr>
      <w:hyperlink r:id="rId36" w:history="1">
        <w:r w:rsidR="00873379">
          <w:rPr>
            <w:rStyle w:val="afd"/>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E62609" w:rsidP="00873379">
      <w:pPr>
        <w:rPr>
          <w:lang w:eastAsia="x-none"/>
        </w:rPr>
      </w:pPr>
      <w:hyperlink r:id="rId37" w:history="1">
        <w:r w:rsidR="00873379">
          <w:rPr>
            <w:rStyle w:val="afd"/>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E62609" w:rsidP="00873379">
      <w:pPr>
        <w:rPr>
          <w:lang w:eastAsia="x-none"/>
        </w:rPr>
      </w:pPr>
      <w:hyperlink r:id="rId38" w:history="1">
        <w:r w:rsidR="00873379">
          <w:rPr>
            <w:rStyle w:val="afd"/>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E62609" w:rsidP="00873379">
      <w:pPr>
        <w:rPr>
          <w:lang w:eastAsia="x-none"/>
        </w:rPr>
      </w:pPr>
      <w:hyperlink r:id="rId39" w:history="1">
        <w:r w:rsidR="00873379">
          <w:rPr>
            <w:rStyle w:val="afd"/>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E62609" w:rsidP="00873379">
      <w:pPr>
        <w:rPr>
          <w:lang w:eastAsia="x-none"/>
        </w:rPr>
      </w:pPr>
      <w:hyperlink r:id="rId40" w:history="1">
        <w:r w:rsidR="00873379">
          <w:rPr>
            <w:rStyle w:val="afd"/>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E62609" w:rsidP="00873379">
      <w:pPr>
        <w:rPr>
          <w:lang w:eastAsia="x-none"/>
        </w:rPr>
      </w:pPr>
      <w:hyperlink r:id="rId41" w:history="1">
        <w:r w:rsidR="00873379">
          <w:rPr>
            <w:rStyle w:val="afd"/>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E62609" w:rsidP="00873379">
      <w:pPr>
        <w:rPr>
          <w:lang w:eastAsia="x-none"/>
        </w:rPr>
      </w:pPr>
      <w:hyperlink r:id="rId42" w:history="1">
        <w:r w:rsidR="00873379">
          <w:rPr>
            <w:rStyle w:val="afd"/>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E62609" w:rsidP="00873379">
      <w:pPr>
        <w:rPr>
          <w:lang w:eastAsia="x-none"/>
        </w:rPr>
      </w:pPr>
      <w:hyperlink r:id="rId43" w:history="1">
        <w:r w:rsidR="00873379">
          <w:rPr>
            <w:rStyle w:val="afd"/>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E62609" w:rsidP="00873379">
      <w:pPr>
        <w:rPr>
          <w:lang w:eastAsia="x-none"/>
        </w:rPr>
      </w:pPr>
      <w:hyperlink r:id="rId44" w:history="1">
        <w:r w:rsidR="00873379">
          <w:rPr>
            <w:rStyle w:val="afd"/>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E62609" w:rsidP="00873379">
      <w:pPr>
        <w:rPr>
          <w:lang w:eastAsia="x-none"/>
        </w:rPr>
      </w:pPr>
      <w:hyperlink r:id="rId45" w:history="1">
        <w:r w:rsidR="00873379">
          <w:rPr>
            <w:rStyle w:val="afd"/>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E62609" w:rsidP="00873379">
      <w:pPr>
        <w:rPr>
          <w:lang w:eastAsia="x-none"/>
        </w:rPr>
      </w:pPr>
      <w:hyperlink r:id="rId46" w:history="1">
        <w:r w:rsidR="00873379">
          <w:rPr>
            <w:rStyle w:val="afd"/>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E46E" w14:textId="77777777" w:rsidR="0018549B" w:rsidRDefault="0018549B" w:rsidP="00A07EC5">
      <w:pPr>
        <w:spacing w:after="0"/>
      </w:pPr>
      <w:r>
        <w:separator/>
      </w:r>
    </w:p>
  </w:endnote>
  <w:endnote w:type="continuationSeparator" w:id="0">
    <w:p w14:paraId="36770C93" w14:textId="77777777" w:rsidR="0018549B" w:rsidRDefault="0018549B" w:rsidP="00A07EC5">
      <w:pPr>
        <w:spacing w:after="0"/>
      </w:pPr>
      <w:r>
        <w:continuationSeparator/>
      </w:r>
    </w:p>
  </w:endnote>
  <w:endnote w:type="continuationNotice" w:id="1">
    <w:p w14:paraId="3F90644A" w14:textId="77777777" w:rsidR="0018549B" w:rsidRDefault="001854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33D7" w14:textId="77777777" w:rsidR="00E62609" w:rsidRDefault="00E62609">
    <w:pPr>
      <w:pStyle w:val="af0"/>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E62609" w:rsidRPr="00F927BE" w:rsidRDefault="00E62609"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600F01" w:rsidRPr="00F927BE" w:rsidRDefault="00600F0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7D4B" w14:textId="77777777" w:rsidR="0018549B" w:rsidRDefault="0018549B" w:rsidP="00A07EC5">
      <w:pPr>
        <w:spacing w:after="0"/>
      </w:pPr>
      <w:r>
        <w:separator/>
      </w:r>
    </w:p>
  </w:footnote>
  <w:footnote w:type="continuationSeparator" w:id="0">
    <w:p w14:paraId="742710EF" w14:textId="77777777" w:rsidR="0018549B" w:rsidRDefault="0018549B" w:rsidP="00A07EC5">
      <w:pPr>
        <w:spacing w:after="0"/>
      </w:pPr>
      <w:r>
        <w:continuationSeparator/>
      </w:r>
    </w:p>
  </w:footnote>
  <w:footnote w:type="continuationNotice" w:id="1">
    <w:p w14:paraId="34BB7652" w14:textId="77777777" w:rsidR="0018549B" w:rsidRDefault="0018549B">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4"/>
  </w:num>
  <w:num w:numId="21">
    <w:abstractNumId w:val="15"/>
  </w:num>
  <w:num w:numId="22">
    <w:abstractNumId w:val="27"/>
  </w:num>
  <w:num w:numId="23">
    <w:abstractNumId w:val="6"/>
  </w:num>
  <w:num w:numId="24">
    <w:abstractNumId w:val="1"/>
  </w:num>
  <w:num w:numId="25">
    <w:abstractNumId w:val="22"/>
  </w:num>
  <w:num w:numId="26">
    <w:abstractNumId w:val="33"/>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2"/>
  </w:num>
  <w:num w:numId="35">
    <w:abstractNumId w:val="21"/>
  </w:num>
  <w:num w:numId="36">
    <w:abstractNumId w:val="28"/>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9"/>
    <w:next w:val="a9"/>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FollowedHyperlink"/>
    <w:rPr>
      <w:color w:val="800080"/>
      <w:u w:val="single"/>
    </w:rPr>
  </w:style>
  <w:style w:type="character" w:styleId="afc">
    <w:name w:val="Emphasis"/>
    <w:basedOn w:val="a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0">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aff1"/>
    <w:uiPriority w:val="34"/>
    <w:qFormat/>
    <w:pPr>
      <w:ind w:left="720"/>
    </w:pPr>
  </w:style>
  <w:style w:type="character" w:customStyle="1" w:styleId="af5">
    <w:name w:val="脚注文本 字符"/>
    <w:link w:val="af4"/>
    <w:semiHidden/>
    <w:rPr>
      <w:sz w:val="16"/>
      <w:lang w:val="en-GB" w:eastAsia="en-US"/>
    </w:rPr>
  </w:style>
  <w:style w:type="character" w:customStyle="1" w:styleId="aff1">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0"/>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0">
    <w:name w:val="标题 3 字符"/>
    <w:basedOn w:val="a0"/>
    <w:link w:val="3"/>
    <w:qFormat/>
    <w:rPr>
      <w:rFonts w:ascii="Arial" w:hAnsi="Arial"/>
      <w:sz w:val="28"/>
      <w:lang w:val="en-GB" w:eastAsia="en-US"/>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f0"/>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f0"/>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f2">
    <w:name w:val="table of figures"/>
    <w:basedOn w:val="ab"/>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890EE814-2F91-409D-8940-8CE38FDB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33</Pages>
  <Words>12969</Words>
  <Characters>73924</Characters>
  <Application>Microsoft Office Word</Application>
  <DocSecurity>0</DocSecurity>
  <Lines>616</Lines>
  <Paragraphs>173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Microsoft</cp:lastModifiedBy>
  <cp:revision>5</cp:revision>
  <cp:lastPrinted>2017-11-03T15:53:00Z</cp:lastPrinted>
  <dcterms:created xsi:type="dcterms:W3CDTF">2021-05-20T22:50:00Z</dcterms:created>
  <dcterms:modified xsi:type="dcterms:W3CDTF">2021-05-20T23:20:00Z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ies>
</file>