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395D7F"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395D7F"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395D7F"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hint="eastAsia"/>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395D7F"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hint="eastAsia"/>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bl>
    <w:p w14:paraId="3D11295F" w14:textId="77777777" w:rsidR="00C912FB" w:rsidRPr="00181A36" w:rsidRDefault="00C912FB" w:rsidP="00C912FB">
      <w:pPr>
        <w:rPr>
          <w:rFonts w:eastAsia="Malgun Gothic"/>
          <w:lang w:eastAsia="ko-KR"/>
        </w:rPr>
      </w:pPr>
    </w:p>
    <w:p w14:paraId="2BBA56FA" w14:textId="7CF5D8E9"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lastRenderedPageBreak/>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lastRenderedPageBreak/>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hint="eastAsia"/>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hint="eastAsia"/>
                <w:lang w:eastAsia="zh-CN"/>
              </w:rPr>
            </w:pPr>
            <w:r>
              <w:rPr>
                <w:rFonts w:eastAsia="Malgun Gothic"/>
                <w:lang w:eastAsia="ko-KR"/>
              </w:rPr>
              <w:t xml:space="preserve">We are open to further discuss to reduce UE power consumption by frequent beam measurement, although we think some enhancement can rely on </w:t>
            </w:r>
            <w:proofErr w:type="spellStart"/>
            <w:r>
              <w:rPr>
                <w:rFonts w:eastAsia="Malgun Gothic"/>
                <w:lang w:eastAsia="ko-KR"/>
              </w:rPr>
              <w:t>gNB</w:t>
            </w:r>
            <w:proofErr w:type="spellEnd"/>
            <w:r>
              <w:rPr>
                <w:rFonts w:eastAsia="Malgun Gothic"/>
                <w:lang w:eastAsia="ko-KR"/>
              </w:rPr>
              <w:t xml:space="preserve"> implementation. </w:t>
            </w:r>
          </w:p>
        </w:tc>
      </w:tr>
    </w:tbl>
    <w:p w14:paraId="4C4E0A2B"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lastRenderedPageBreak/>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hint="eastAsia"/>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hint="eastAsia"/>
                <w:lang w:eastAsia="zh-CN"/>
              </w:rPr>
            </w:pPr>
            <w:r>
              <w:rPr>
                <w:rFonts w:eastAsia="Malgun Gothic"/>
                <w:lang w:eastAsia="ko-KR"/>
              </w:rPr>
              <w:t>Support FL suggestion.</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lastRenderedPageBreak/>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lastRenderedPageBreak/>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143.5pt;mso-width-percent:0;mso-height-percent:0;mso-width-percent:0;mso-height-percent:0" o:ole="">
            <v:imagedata r:id="rId21" o:title=""/>
          </v:shape>
          <o:OLEObject Type="Embed" ProgID="Visio.Drawing.15" ShapeID="_x0000_i1025" DrawAspect="Content" ObjectID="_1682942896" r:id="rId22"/>
        </w:object>
      </w:r>
    </w:p>
    <w:p w14:paraId="292C7F5B" w14:textId="77777777" w:rsidR="00547EB0" w:rsidRPr="00181A36" w:rsidRDefault="00547EB0" w:rsidP="00C61AA1">
      <w:pPr>
        <w:jc w:val="both"/>
      </w:pPr>
    </w:p>
    <w:p w14:paraId="2B1E8021" w14:textId="75F11D74" w:rsidR="00547EB0" w:rsidRPr="00181A36" w:rsidRDefault="00387A86" w:rsidP="00C61AA1">
      <w:pPr>
        <w:jc w:val="both"/>
      </w:pPr>
      <w:r w:rsidRPr="00181A36">
        <w:t xml:space="preserve">This topic has been discussed several meetings and there does not seem to have more support for alt-2. In this case, the FL suspects that the company's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hint="eastAsia"/>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hint="eastAsia"/>
                <w:lang w:eastAsia="zh-CN"/>
              </w:rPr>
            </w:pPr>
            <w:r>
              <w:rPr>
                <w:rFonts w:eastAsia="Malgun Gothic"/>
                <w:lang w:eastAsia="ko-KR"/>
              </w:rPr>
              <w:t>Support FL suggestion.</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lastRenderedPageBreak/>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lastRenderedPageBreak/>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395D7F"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395D7F"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395D7F"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lastRenderedPageBreak/>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lastRenderedPageBreak/>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lastRenderedPageBreak/>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lastRenderedPageBreak/>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hint="eastAsia"/>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bookmarkStart w:id="7" w:name="_GoBack"/>
            <w:bookmarkEnd w:id="7"/>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hint="eastAsia"/>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bl>
    <w:p w14:paraId="5B5E2F07"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GLONASS,Galileo</w:t>
      </w:r>
      <w:proofErr w:type="spell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43766F" w:rsidRDefault="0043766F"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43766F" w:rsidRDefault="0043766F"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43766F" w:rsidRDefault="0043766F"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43766F" w:rsidRDefault="0043766F"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lastRenderedPageBreak/>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lastRenderedPageBreak/>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395D7F" w:rsidP="00873379">
      <w:pPr>
        <w:rPr>
          <w:lang w:eastAsia="x-none"/>
        </w:rPr>
      </w:pPr>
      <w:hyperlink r:id="rId26"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395D7F" w:rsidP="00873379">
      <w:pPr>
        <w:rPr>
          <w:lang w:eastAsia="x-none"/>
        </w:rPr>
      </w:pPr>
      <w:hyperlink r:id="rId27"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395D7F" w:rsidP="00873379">
      <w:pPr>
        <w:rPr>
          <w:lang w:eastAsia="x-none"/>
        </w:rPr>
      </w:pPr>
      <w:hyperlink r:id="rId28"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395D7F" w:rsidP="00873379">
      <w:pPr>
        <w:rPr>
          <w:lang w:eastAsia="x-none"/>
        </w:rPr>
      </w:pPr>
      <w:hyperlink r:id="rId29"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395D7F" w:rsidP="00873379">
      <w:pPr>
        <w:rPr>
          <w:lang w:eastAsia="x-none"/>
        </w:rPr>
      </w:pPr>
      <w:hyperlink r:id="rId30"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395D7F" w:rsidP="00873379">
      <w:pPr>
        <w:rPr>
          <w:lang w:eastAsia="x-none"/>
        </w:rPr>
      </w:pPr>
      <w:hyperlink r:id="rId31"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395D7F" w:rsidP="00873379">
      <w:pPr>
        <w:rPr>
          <w:lang w:eastAsia="x-none"/>
        </w:rPr>
      </w:pPr>
      <w:hyperlink r:id="rId32"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395D7F" w:rsidP="00873379">
      <w:pPr>
        <w:rPr>
          <w:lang w:eastAsia="x-none"/>
        </w:rPr>
      </w:pPr>
      <w:hyperlink r:id="rId33"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395D7F" w:rsidP="00873379">
      <w:pPr>
        <w:rPr>
          <w:lang w:eastAsia="x-none"/>
        </w:rPr>
      </w:pPr>
      <w:hyperlink r:id="rId34"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395D7F" w:rsidP="00873379">
      <w:pPr>
        <w:rPr>
          <w:lang w:eastAsia="x-none"/>
        </w:rPr>
      </w:pPr>
      <w:hyperlink r:id="rId35"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395D7F" w:rsidP="00873379">
      <w:pPr>
        <w:rPr>
          <w:lang w:eastAsia="x-none"/>
        </w:rPr>
      </w:pPr>
      <w:hyperlink r:id="rId36" w:history="1">
        <w:r w:rsidR="00873379">
          <w:rPr>
            <w:rStyle w:val="Hyperlink"/>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395D7F" w:rsidP="00873379">
      <w:pPr>
        <w:rPr>
          <w:lang w:eastAsia="x-none"/>
        </w:rPr>
      </w:pPr>
      <w:hyperlink r:id="rId37"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395D7F" w:rsidP="00873379">
      <w:pPr>
        <w:rPr>
          <w:lang w:eastAsia="x-none"/>
        </w:rPr>
      </w:pPr>
      <w:hyperlink r:id="rId38"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395D7F" w:rsidP="00873379">
      <w:pPr>
        <w:rPr>
          <w:lang w:eastAsia="x-none"/>
        </w:rPr>
      </w:pPr>
      <w:hyperlink r:id="rId39"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395D7F" w:rsidP="00873379">
      <w:pPr>
        <w:rPr>
          <w:lang w:eastAsia="x-none"/>
        </w:rPr>
      </w:pPr>
      <w:hyperlink r:id="rId40"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395D7F" w:rsidP="00873379">
      <w:pPr>
        <w:rPr>
          <w:lang w:eastAsia="x-none"/>
        </w:rPr>
      </w:pPr>
      <w:hyperlink r:id="rId41"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395D7F" w:rsidP="00873379">
      <w:pPr>
        <w:rPr>
          <w:lang w:eastAsia="x-none"/>
        </w:rPr>
      </w:pPr>
      <w:hyperlink r:id="rId42"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395D7F" w:rsidP="00873379">
      <w:pPr>
        <w:rPr>
          <w:lang w:eastAsia="x-none"/>
        </w:rPr>
      </w:pPr>
      <w:hyperlink r:id="rId43"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395D7F" w:rsidP="00873379">
      <w:pPr>
        <w:rPr>
          <w:lang w:eastAsia="x-none"/>
        </w:rPr>
      </w:pPr>
      <w:hyperlink r:id="rId44" w:history="1">
        <w:r w:rsidR="00873379">
          <w:rPr>
            <w:rStyle w:val="Hyperlink"/>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395D7F" w:rsidP="00873379">
      <w:pPr>
        <w:rPr>
          <w:lang w:eastAsia="x-none"/>
        </w:rPr>
      </w:pPr>
      <w:hyperlink r:id="rId45"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395D7F" w:rsidP="00873379">
      <w:pPr>
        <w:rPr>
          <w:lang w:eastAsia="x-none"/>
        </w:rPr>
      </w:pPr>
      <w:hyperlink r:id="rId46" w:history="1">
        <w:r w:rsidR="00873379">
          <w:rPr>
            <w:rStyle w:val="Hyperlink"/>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3783" w14:textId="77777777" w:rsidR="00395D7F" w:rsidRDefault="00395D7F" w:rsidP="00A07EC5">
      <w:pPr>
        <w:spacing w:after="0"/>
      </w:pPr>
      <w:r>
        <w:separator/>
      </w:r>
    </w:p>
  </w:endnote>
  <w:endnote w:type="continuationSeparator" w:id="0">
    <w:p w14:paraId="3700030F" w14:textId="77777777" w:rsidR="00395D7F" w:rsidRDefault="00395D7F" w:rsidP="00A07EC5">
      <w:pPr>
        <w:spacing w:after="0"/>
      </w:pPr>
      <w:r>
        <w:continuationSeparator/>
      </w:r>
    </w:p>
  </w:endnote>
  <w:endnote w:type="continuationNotice" w:id="1">
    <w:p w14:paraId="193EB2AE" w14:textId="77777777" w:rsidR="00395D7F" w:rsidRDefault="00395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33D7" w14:textId="77777777" w:rsidR="0043766F" w:rsidRDefault="0043766F">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43766F" w:rsidRPr="00F927BE" w:rsidRDefault="0043766F"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28C12" w14:textId="77777777" w:rsidR="00395D7F" w:rsidRDefault="00395D7F" w:rsidP="00A07EC5">
      <w:pPr>
        <w:spacing w:after="0"/>
      </w:pPr>
      <w:r>
        <w:separator/>
      </w:r>
    </w:p>
  </w:footnote>
  <w:footnote w:type="continuationSeparator" w:id="0">
    <w:p w14:paraId="6D9120AB" w14:textId="77777777" w:rsidR="00395D7F" w:rsidRDefault="00395D7F" w:rsidP="00A07EC5">
      <w:pPr>
        <w:spacing w:after="0"/>
      </w:pPr>
      <w:r>
        <w:continuationSeparator/>
      </w:r>
    </w:p>
  </w:footnote>
  <w:footnote w:type="continuationNotice" w:id="1">
    <w:p w14:paraId="3EB2EA7D" w14:textId="77777777" w:rsidR="00395D7F" w:rsidRDefault="00395D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3"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3"/>
  </w:num>
  <w:num w:numId="21">
    <w:abstractNumId w:val="15"/>
  </w:num>
  <w:num w:numId="22">
    <w:abstractNumId w:val="27"/>
  </w:num>
  <w:num w:numId="23">
    <w:abstractNumId w:val="6"/>
  </w:num>
  <w:num w:numId="24">
    <w:abstractNumId w:val="1"/>
  </w:num>
  <w:num w:numId="25">
    <w:abstractNumId w:val="22"/>
  </w:num>
  <w:num w:numId="26">
    <w:abstractNumId w:val="32"/>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1"/>
  </w:num>
  <w:num w:numId="35">
    <w:abstractNumId w:val="21"/>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락,リスト段落,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5\Docs\R1-2104519.zip" TargetMode="External"/><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EE496F-0C13-498E-A286-831314AF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9559</Words>
  <Characters>54492</Characters>
  <Application>Microsoft Office Word</Application>
  <DocSecurity>0</DocSecurity>
  <Lines>454</Lines>
  <Paragraphs>127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Kuang, Quan</cp:lastModifiedBy>
  <cp:revision>5</cp:revision>
  <cp:lastPrinted>2017-11-03T15:53:00Z</cp:lastPrinted>
  <dcterms:created xsi:type="dcterms:W3CDTF">2021-05-19T13:14:00Z</dcterms:created>
  <dcterms:modified xsi:type="dcterms:W3CDTF">2021-05-19T13:18:00Z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