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9BBB1BB" w:rsidR="00EC2AB3" w:rsidRDefault="007F7F24" w:rsidP="00891CE6">
      <w:pPr>
        <w:pStyle w:val="BodyText"/>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84"/>
        <w:gridCol w:w="1230"/>
        <w:gridCol w:w="2029"/>
        <w:gridCol w:w="2173"/>
        <w:gridCol w:w="1884"/>
        <w:gridCol w:w="1986"/>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1D95D0E2"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2E7E9F55"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0F8154EB"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CB31F2">
            <w:pPr>
              <w:pStyle w:val="ListParagraph"/>
              <w:numPr>
                <w:ilvl w:val="0"/>
                <w:numId w:val="74"/>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65pt;height:117.9pt;mso-width-percent:0;mso-height-percent:0;mso-width-percent:0;mso-height-percent:0" o:ole="">
                  <v:imagedata r:id="rId16" o:title=""/>
                </v:shape>
                <o:OLEObject Type="Embed" ProgID="Visio.Drawing.15" ShapeID="_x0000_i1025" DrawAspect="Content" ObjectID="_1683040301"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15pt;height:138.1pt;mso-width-percent:0;mso-height-percent:0;mso-width-percent:0;mso-height-percent:0" o:ole="">
                  <v:imagedata r:id="rId18" o:title=""/>
                </v:shape>
                <o:OLEObject Type="Embed" ProgID="Visio.Drawing.15" ShapeID="_x0000_i1026" DrawAspect="Content" ObjectID="_1683040302"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w:t>
            </w:r>
            <w:r>
              <w:rPr>
                <w:bCs/>
                <w:color w:val="000000" w:themeColor="text1"/>
                <w:lang w:eastAsia="zh-CN"/>
              </w:rPr>
              <w:t xml:space="preserve">. But </w:t>
            </w:r>
            <w:r>
              <w:rPr>
                <w:bCs/>
                <w:color w:val="000000" w:themeColor="text1"/>
                <w:lang w:eastAsia="zh-CN"/>
              </w:rPr>
              <w:t>we should merge the two to avoid inconsistency between between proposals 1 and 2.</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1.8pt;height:187.35pt;mso-width-percent:0;mso-height-percent:0;mso-width-percent:0;mso-height-percent:0" o:ole="">
            <v:imagedata r:id="rId20" o:title=""/>
          </v:shape>
          <o:OLEObject Type="Embed" ProgID="Visio.Drawing.15" ShapeID="_x0000_i1027" DrawAspect="Content" ObjectID="_1683040303"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3pt;height:163.35pt;mso-width-percent:0;mso-height-percent:0;mso-width-percent:0;mso-height-percent:0" o:ole="">
                  <v:imagedata r:id="rId20" o:title=""/>
                </v:shape>
                <o:OLEObject Type="Embed" ProgID="Visio.Drawing.15" ShapeID="_x0000_i1028" DrawAspect="Content" ObjectID="_1683040304"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AD26A3">
            <w:pPr>
              <w:pStyle w:val="ListParagraph"/>
              <w:numPr>
                <w:ilvl w:val="0"/>
                <w:numId w:val="29"/>
              </w:numPr>
              <w:snapToGrid w:val="0"/>
            </w:pPr>
            <w:r w:rsidRPr="005538B9">
              <w:t>different transmit parameters and/or configurations per HARQ process or per HARQ process</w:t>
            </w:r>
          </w:p>
          <w:p w14:paraId="7E82E142" w14:textId="17A989D7" w:rsidR="00637027" w:rsidRPr="00CB31F2" w:rsidRDefault="00AD26A3" w:rsidP="00AD26A3">
            <w:pPr>
              <w:pStyle w:val="ListParagraph"/>
              <w:numPr>
                <w:ilvl w:val="0"/>
                <w:numId w:val="29"/>
              </w:numPr>
              <w:snapToGrid w:val="0"/>
            </w:pPr>
            <w:r>
              <w:t xml:space="preserve">UCI </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AD26A3"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AD26A3"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AD26A3"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AD26A3"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AD26A3"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AD26A3"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AD26A3"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0508C0" w:rsidRDefault="000508C0">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508C0" w:rsidRDefault="000508C0">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508C0" w:rsidRDefault="000508C0">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508C0" w:rsidRDefault="000508C0">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C9D4A" w14:textId="77777777" w:rsidR="0099586D" w:rsidRDefault="0099586D">
      <w:pPr>
        <w:spacing w:after="0"/>
      </w:pPr>
      <w:r>
        <w:separator/>
      </w:r>
    </w:p>
  </w:endnote>
  <w:endnote w:type="continuationSeparator" w:id="0">
    <w:p w14:paraId="4FC97430" w14:textId="77777777" w:rsidR="0099586D" w:rsidRDefault="00995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508C0" w:rsidRDefault="0005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508C0" w:rsidRDefault="00050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F46FCB9" w:rsidR="000508C0" w:rsidRDefault="000508C0">
    <w:pPr>
      <w:pStyle w:val="Footer"/>
      <w:ind w:right="360"/>
    </w:pPr>
    <w:r>
      <w:rPr>
        <w:rStyle w:val="PageNumber"/>
      </w:rPr>
      <w:fldChar w:fldCharType="begin"/>
    </w:r>
    <w:r>
      <w:rPr>
        <w:rStyle w:val="PageNumber"/>
      </w:rPr>
      <w:instrText xml:space="preserve"> PAGE </w:instrText>
    </w:r>
    <w:r>
      <w:rPr>
        <w:rStyle w:val="PageNumber"/>
      </w:rPr>
      <w:fldChar w:fldCharType="separate"/>
    </w:r>
    <w:r w:rsidR="000D485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485B">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33700" w14:textId="77777777" w:rsidR="0099586D" w:rsidRDefault="0099586D">
      <w:pPr>
        <w:spacing w:after="0"/>
      </w:pPr>
      <w:r>
        <w:separator/>
      </w:r>
    </w:p>
  </w:footnote>
  <w:footnote w:type="continuationSeparator" w:id="0">
    <w:p w14:paraId="04307444" w14:textId="77777777" w:rsidR="0099586D" w:rsidRDefault="009958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508C0" w:rsidRDefault="000508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2"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3"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4"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1"/>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4"/>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2"/>
  </w:num>
  <w:num w:numId="12">
    <w:abstractNumId w:val="64"/>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3"/>
  </w:num>
  <w:num w:numId="21">
    <w:abstractNumId w:val="48"/>
  </w:num>
  <w:num w:numId="22">
    <w:abstractNumId w:val="7"/>
  </w:num>
  <w:num w:numId="23">
    <w:abstractNumId w:val="21"/>
  </w:num>
  <w:num w:numId="24">
    <w:abstractNumId w:val="72"/>
  </w:num>
  <w:num w:numId="25">
    <w:abstractNumId w:val="69"/>
  </w:num>
  <w:num w:numId="26">
    <w:abstractNumId w:val="32"/>
  </w:num>
  <w:num w:numId="27">
    <w:abstractNumId w:val="63"/>
  </w:num>
  <w:num w:numId="28">
    <w:abstractNumId w:val="9"/>
  </w:num>
  <w:num w:numId="29">
    <w:abstractNumId w:val="14"/>
  </w:num>
  <w:num w:numId="30">
    <w:abstractNumId w:val="60"/>
  </w:num>
  <w:num w:numId="31">
    <w:abstractNumId w:val="66"/>
  </w:num>
  <w:num w:numId="32">
    <w:abstractNumId w:val="27"/>
  </w:num>
  <w:num w:numId="33">
    <w:abstractNumId w:val="15"/>
  </w:num>
  <w:num w:numId="34">
    <w:abstractNumId w:val="59"/>
  </w:num>
  <w:num w:numId="35">
    <w:abstractNumId w:val="10"/>
  </w:num>
  <w:num w:numId="36">
    <w:abstractNumId w:val="33"/>
  </w:num>
  <w:num w:numId="37">
    <w:abstractNumId w:val="52"/>
  </w:num>
  <w:num w:numId="38">
    <w:abstractNumId w:val="38"/>
  </w:num>
  <w:num w:numId="39">
    <w:abstractNumId w:val="41"/>
  </w:num>
  <w:num w:numId="40">
    <w:abstractNumId w:val="8"/>
  </w:num>
  <w:num w:numId="41">
    <w:abstractNumId w:val="55"/>
  </w:num>
  <w:num w:numId="42">
    <w:abstractNumId w:val="47"/>
  </w:num>
  <w:num w:numId="43">
    <w:abstractNumId w:val="20"/>
  </w:num>
  <w:num w:numId="44">
    <w:abstractNumId w:val="29"/>
  </w:num>
  <w:num w:numId="45">
    <w:abstractNumId w:val="57"/>
  </w:num>
  <w:num w:numId="46">
    <w:abstractNumId w:val="49"/>
  </w:num>
  <w:num w:numId="47">
    <w:abstractNumId w:val="36"/>
  </w:num>
  <w:num w:numId="48">
    <w:abstractNumId w:val="5"/>
  </w:num>
  <w:num w:numId="49">
    <w:abstractNumId w:val="24"/>
  </w:num>
  <w:num w:numId="50">
    <w:abstractNumId w:val="56"/>
  </w:num>
  <w:num w:numId="51">
    <w:abstractNumId w:val="44"/>
  </w:num>
  <w:num w:numId="52">
    <w:abstractNumId w:val="53"/>
  </w:num>
  <w:num w:numId="53">
    <w:abstractNumId w:val="58"/>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70"/>
  </w:num>
  <w:num w:numId="68">
    <w:abstractNumId w:val="65"/>
  </w:num>
  <w:num w:numId="69">
    <w:abstractNumId w:val="45"/>
  </w:num>
  <w:num w:numId="70">
    <w:abstractNumId w:val="67"/>
  </w:num>
  <w:num w:numId="71">
    <w:abstractNumId w:val="68"/>
  </w:num>
  <w:num w:numId="72">
    <w:abstractNumId w:val="3"/>
  </w:num>
  <w:num w:numId="73">
    <w:abstractNumId w:val="26"/>
  </w:num>
  <w:num w:numId="74">
    <w:abstractNumId w:val="6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7108EC0-3251-47B3-8A87-C00C521F32C5}">
  <ds:schemaRefs>
    <ds:schemaRef ds:uri="http://schemas.openxmlformats.org/officeDocument/2006/bibliography"/>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36</Pages>
  <Words>13863</Words>
  <Characters>79021</Characters>
  <Application>Microsoft Office Word</Application>
  <DocSecurity>0</DocSecurity>
  <Lines>658</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Xiao feng Wang</cp:lastModifiedBy>
  <cp:revision>23</cp:revision>
  <cp:lastPrinted>2011-11-09T07:49:00Z</cp:lastPrinted>
  <dcterms:created xsi:type="dcterms:W3CDTF">2021-05-20T15:55:00Z</dcterms:created>
  <dcterms:modified xsi:type="dcterms:W3CDTF">2021-05-20T23:06:00Z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