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9BBB1BB" w:rsidR="00EC2AB3" w:rsidRDefault="007F7F24" w:rsidP="00891CE6">
      <w:pPr>
        <w:pStyle w:val="BodyText"/>
      </w:pPr>
      <w:bookmarkStart w:id="0" w:name="OLE_LINK1"/>
      <w:bookmarkStart w:id="1" w:name="OLE_LINK2"/>
      <w:r>
        <w:t xml:space="preserve">3GPP TSG RAN WG1 </w:t>
      </w:r>
      <w:r>
        <w:rPr>
          <w:rFonts w:hint="eastAsia"/>
        </w:rPr>
        <w:t>#</w:t>
      </w:r>
      <w:r>
        <w:t>10</w:t>
      </w:r>
      <w:r w:rsidR="00234035">
        <w:t>5</w:t>
      </w:r>
      <w:r w:rsidR="00CD7F02">
        <w:t xml:space="preserve">e  </w:t>
      </w:r>
      <w:r w:rsidR="000A50D3">
        <w:t xml:space="preserve">                                                                                                </w:t>
      </w:r>
      <w:r w:rsidR="00D425F2">
        <w:t>R1-</w:t>
      </w:r>
      <w:r>
        <w:t>2</w:t>
      </w:r>
      <w:r w:rsidR="00CD7F02">
        <w:t>1</w:t>
      </w:r>
      <w:r w:rsidR="000A2EEC">
        <w:t>0</w:t>
      </w:r>
      <w:r w:rsidR="00B32579">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322292">
      <w:pPr>
        <w:pStyle w:val="ListParagraph"/>
        <w:numPr>
          <w:ilvl w:val="0"/>
          <w:numId w:val="6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ListParagraph"/>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8405A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322292">
      <w:pPr>
        <w:numPr>
          <w:ilvl w:val="0"/>
          <w:numId w:val="28"/>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8472C0">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322292">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TableGrid"/>
        <w:tblW w:w="5000" w:type="pct"/>
        <w:jc w:val="center"/>
        <w:tblLook w:val="04A0" w:firstRow="1" w:lastRow="0" w:firstColumn="1" w:lastColumn="0" w:noHBand="0" w:noVBand="1"/>
      </w:tblPr>
      <w:tblGrid>
        <w:gridCol w:w="1084"/>
        <w:gridCol w:w="1230"/>
        <w:gridCol w:w="2029"/>
        <w:gridCol w:w="2173"/>
        <w:gridCol w:w="1884"/>
        <w:gridCol w:w="1986"/>
      </w:tblGrid>
      <w:tr w:rsidR="00EC2B26" w14:paraId="60CC9398" w14:textId="68F7C0AF" w:rsidTr="00CF7777">
        <w:trPr>
          <w:trHeight w:val="522"/>
          <w:jc w:val="center"/>
        </w:trPr>
        <w:tc>
          <w:tcPr>
            <w:tcW w:w="1114" w:type="pct"/>
            <w:gridSpan w:val="2"/>
          </w:tcPr>
          <w:p w14:paraId="3AD42BFB" w14:textId="04F5BB5B"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AD264E">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Huawei/HiSilicon</w:t>
            </w:r>
          </w:p>
        </w:tc>
        <w:tc>
          <w:tcPr>
            <w:tcW w:w="1046" w:type="pct"/>
          </w:tcPr>
          <w:p w14:paraId="0D4BC5C5" w14:textId="293858CF" w:rsidR="00EC2B26" w:rsidRDefault="007707A2" w:rsidP="00AD264E">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AD264E">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Spreadtrum</w:t>
            </w:r>
            <w:r w:rsidR="007B6DC2">
              <w:rPr>
                <w:iCs/>
                <w:lang w:eastAsia="zh-CN"/>
              </w:rPr>
              <w:t>, vivo</w:t>
            </w:r>
          </w:p>
        </w:tc>
        <w:tc>
          <w:tcPr>
            <w:tcW w:w="956" w:type="pct"/>
          </w:tcPr>
          <w:p w14:paraId="49A2F495" w14:textId="1D95D0E2" w:rsidR="00EC2B26" w:rsidRDefault="004C7BD4" w:rsidP="00AD264E">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CommentReference"/>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p>
        </w:tc>
      </w:tr>
      <w:tr w:rsidR="00CF7777" w14:paraId="012DC7A2" w14:textId="0B8DD066" w:rsidTr="00CF7777">
        <w:trPr>
          <w:trHeight w:val="532"/>
          <w:jc w:val="center"/>
        </w:trPr>
        <w:tc>
          <w:tcPr>
            <w:tcW w:w="522" w:type="pct"/>
            <w:vMerge/>
          </w:tcPr>
          <w:p w14:paraId="2A9E4B2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Huawei/HiSilicon</w:t>
            </w:r>
          </w:p>
        </w:tc>
        <w:tc>
          <w:tcPr>
            <w:tcW w:w="1046" w:type="pct"/>
          </w:tcPr>
          <w:p w14:paraId="1C5C1C0E" w14:textId="059D9C25" w:rsidR="00EC2B26" w:rsidRDefault="007707A2" w:rsidP="00AD264E">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Spreadtrum</w:t>
            </w:r>
          </w:p>
        </w:tc>
        <w:tc>
          <w:tcPr>
            <w:tcW w:w="956" w:type="pct"/>
          </w:tcPr>
          <w:p w14:paraId="5A808B7B" w14:textId="71B1F3AC"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CAICT</w:t>
            </w:r>
            <w:r w:rsidR="007B6DC2">
              <w:rPr>
                <w:iCs/>
                <w:lang w:eastAsia="zh-CN"/>
              </w:rPr>
              <w:t>,vivo</w:t>
            </w:r>
            <w:r w:rsidR="00560EF1">
              <w:rPr>
                <w:iCs/>
                <w:lang w:eastAsia="zh-CN"/>
              </w:rPr>
              <w:t>, Sharp</w:t>
            </w:r>
          </w:p>
        </w:tc>
      </w:tr>
      <w:tr w:rsidR="00CF7777" w14:paraId="4077F17A" w14:textId="1073D0E4" w:rsidTr="00CF7777">
        <w:trPr>
          <w:trHeight w:val="532"/>
          <w:jc w:val="center"/>
        </w:trPr>
        <w:tc>
          <w:tcPr>
            <w:tcW w:w="522" w:type="pct"/>
            <w:vMerge/>
          </w:tcPr>
          <w:p w14:paraId="545050C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56" w:type="pct"/>
          </w:tcPr>
          <w:p w14:paraId="46218130" w14:textId="388C4A13" w:rsidR="00EC2B26" w:rsidRDefault="0070261C" w:rsidP="00AD264E">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CommentReference"/>
                <w:rFonts w:ascii="Times New Roman" w:hAnsi="Times New Roman"/>
              </w:rPr>
              <w:commentReference w:id="3"/>
            </w:r>
            <w:r w:rsidR="00AD264E">
              <w:rPr>
                <w:iCs/>
                <w:lang w:eastAsia="zh-CN"/>
              </w:rPr>
              <w:t>, Thales</w:t>
            </w:r>
            <w:r w:rsidR="00AC0360">
              <w:rPr>
                <w:iCs/>
                <w:lang w:eastAsia="zh-CN"/>
              </w:rPr>
              <w:t>, CAICT</w:t>
            </w:r>
            <w:r w:rsidR="007B6DC2">
              <w:rPr>
                <w:iCs/>
                <w:lang w:eastAsia="zh-CN"/>
              </w:rPr>
              <w:t>,vivo</w:t>
            </w:r>
            <w:r w:rsidR="00560EF1">
              <w:rPr>
                <w:iCs/>
                <w:lang w:eastAsia="zh-CN"/>
              </w:rPr>
              <w:t>, Sharp</w:t>
            </w:r>
          </w:p>
        </w:tc>
      </w:tr>
      <w:tr w:rsidR="00CF7777" w14:paraId="49671F37" w14:textId="0E65D76C" w:rsidTr="00CF7777">
        <w:trPr>
          <w:trHeight w:val="522"/>
          <w:jc w:val="center"/>
        </w:trPr>
        <w:tc>
          <w:tcPr>
            <w:tcW w:w="522" w:type="pct"/>
            <w:vMerge w:val="restart"/>
          </w:tcPr>
          <w:p w14:paraId="5477B501" w14:textId="0BAEEA38"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CommentReference"/>
                <w:rFonts w:ascii="Times New Roman" w:hAnsi="Times New Roman"/>
              </w:rPr>
              <w:commentReference w:id="4"/>
            </w:r>
            <w:r w:rsidR="000D485B">
              <w:rPr>
                <w:iCs/>
                <w:lang w:eastAsia="zh-CN"/>
              </w:rPr>
              <w:t>, Huawei/HiSilicon</w:t>
            </w:r>
            <w:r w:rsidR="00560EF1">
              <w:rPr>
                <w:iCs/>
                <w:lang w:eastAsia="zh-CN"/>
              </w:rPr>
              <w:t>, Sharp</w:t>
            </w:r>
          </w:p>
        </w:tc>
        <w:tc>
          <w:tcPr>
            <w:tcW w:w="956" w:type="pct"/>
          </w:tcPr>
          <w:p w14:paraId="7405FA8F"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AD264E">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CommentReference"/>
                <w:rFonts w:ascii="Times New Roman" w:hAnsi="Times New Roman"/>
              </w:rPr>
              <w:commentReference w:id="5"/>
            </w:r>
            <w:r w:rsidR="000D485B">
              <w:rPr>
                <w:iCs/>
                <w:lang w:eastAsia="zh-CN"/>
              </w:rPr>
              <w:t>, Huawei/HiSilicon</w:t>
            </w:r>
            <w:r w:rsidR="007B6DC2">
              <w:rPr>
                <w:iCs/>
                <w:lang w:eastAsia="zh-CN"/>
              </w:rPr>
              <w:t>, vivo</w:t>
            </w:r>
            <w:r w:rsidR="00560EF1">
              <w:rPr>
                <w:iCs/>
                <w:lang w:eastAsia="zh-CN"/>
              </w:rPr>
              <w:t>, Sharp</w:t>
            </w:r>
          </w:p>
        </w:tc>
        <w:tc>
          <w:tcPr>
            <w:tcW w:w="956" w:type="pct"/>
          </w:tcPr>
          <w:p w14:paraId="1C14BF5E"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AD264E">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AD264E">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AD264E">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AD264E">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AD264E">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49977AB0"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CommentReference"/>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p>
        </w:tc>
        <w:tc>
          <w:tcPr>
            <w:tcW w:w="1046" w:type="pct"/>
          </w:tcPr>
          <w:p w14:paraId="04352599" w14:textId="76AC431C" w:rsidR="00EC2B26" w:rsidRDefault="008E16E2" w:rsidP="00AD264E">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p>
        </w:tc>
        <w:tc>
          <w:tcPr>
            <w:tcW w:w="907" w:type="pct"/>
          </w:tcPr>
          <w:p w14:paraId="1CAB0B12" w14:textId="2B849D45" w:rsidR="00EC2B26" w:rsidRDefault="0039498E" w:rsidP="00AD264E">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CommentReference"/>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p>
        </w:tc>
        <w:tc>
          <w:tcPr>
            <w:tcW w:w="956" w:type="pct"/>
          </w:tcPr>
          <w:p w14:paraId="6ACD7856" w14:textId="77777777" w:rsidR="00EC2B26" w:rsidRDefault="00C6251F" w:rsidP="00AD264E">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AD264E">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Huawei/HiSilicon</w:t>
            </w:r>
            <w:r>
              <w:rPr>
                <w:iCs/>
                <w:lang w:eastAsia="zh-CN"/>
              </w:rPr>
              <w:t xml:space="preserve"> </w:t>
            </w:r>
          </w:p>
        </w:tc>
      </w:tr>
    </w:tbl>
    <w:p w14:paraId="196EEE24" w14:textId="4A892E31" w:rsidR="00CF0639" w:rsidRDefault="00576067"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lastRenderedPageBreak/>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673C7">
      <w:pPr>
        <w:numPr>
          <w:ilvl w:val="0"/>
          <w:numId w:val="57"/>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D258C1">
      <w:pPr>
        <w:pStyle w:val="ListParagraph"/>
        <w:numPr>
          <w:ilvl w:val="0"/>
          <w:numId w:val="48"/>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Xiaomi</w:t>
      </w:r>
      <w:r w:rsidR="00AF41D0">
        <w:rPr>
          <w:rFonts w:ascii="Times New Roman" w:eastAsiaTheme="minorEastAsia" w:hAnsi="Times New Roman"/>
          <w:sz w:val="20"/>
          <w:szCs w:val="20"/>
          <w:lang w:eastAsia="zh-CN"/>
        </w:rPr>
        <w:t>,Panasonic</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D258C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ListParagraph"/>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ListParagraph"/>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68490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D258C1">
      <w:pPr>
        <w:pStyle w:val="ListParagraph"/>
        <w:numPr>
          <w:ilvl w:val="2"/>
          <w:numId w:val="57"/>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D258C1">
      <w:pPr>
        <w:pStyle w:val="ListParagraph"/>
        <w:numPr>
          <w:ilvl w:val="2"/>
          <w:numId w:val="57"/>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D258C1">
      <w:pPr>
        <w:pStyle w:val="ListParagraph"/>
        <w:numPr>
          <w:ilvl w:val="0"/>
          <w:numId w:val="26"/>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D258C1">
      <w:pPr>
        <w:pStyle w:val="ListParagraph"/>
        <w:numPr>
          <w:ilvl w:val="2"/>
          <w:numId w:val="26"/>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D258C1">
      <w:pPr>
        <w:pStyle w:val="ListParagraph"/>
        <w:numPr>
          <w:ilvl w:val="1"/>
          <w:numId w:val="26"/>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374650">
      <w:pPr>
        <w:pStyle w:val="ListParagraph"/>
        <w:numPr>
          <w:ilvl w:val="0"/>
          <w:numId w:val="5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374650">
      <w:pPr>
        <w:pStyle w:val="ListParagraph"/>
        <w:numPr>
          <w:ilvl w:val="1"/>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ListParagraph"/>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D258C1">
      <w:pPr>
        <w:pStyle w:val="ListParagraph"/>
        <w:numPr>
          <w:ilvl w:val="2"/>
          <w:numId w:val="5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D258C1">
      <w:pPr>
        <w:pStyle w:val="ListParagraph"/>
        <w:numPr>
          <w:ilvl w:val="0"/>
          <w:numId w:val="58"/>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D258C1">
      <w:pPr>
        <w:pStyle w:val="ListParagraph"/>
        <w:numPr>
          <w:ilvl w:val="0"/>
          <w:numId w:val="58"/>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D258C1">
      <w:pPr>
        <w:pStyle w:val="ListParagraph"/>
        <w:numPr>
          <w:ilvl w:val="0"/>
          <w:numId w:val="57"/>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D258C1">
      <w:pPr>
        <w:pStyle w:val="ListParagraph"/>
        <w:numPr>
          <w:ilvl w:val="1"/>
          <w:numId w:val="57"/>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D258C1">
      <w:pPr>
        <w:pStyle w:val="ListParagraph"/>
        <w:numPr>
          <w:ilvl w:val="1"/>
          <w:numId w:val="57"/>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D258C1">
      <w:pPr>
        <w:pStyle w:val="ListParagraph"/>
        <w:numPr>
          <w:ilvl w:val="0"/>
          <w:numId w:val="57"/>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D258C1">
      <w:pPr>
        <w:pStyle w:val="ListParagraph"/>
        <w:numPr>
          <w:ilvl w:val="1"/>
          <w:numId w:val="57"/>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lastRenderedPageBreak/>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ListParagraph"/>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Tdoc,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Generally agree with proposal 2-1, but we would propose the following modification because UE can not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feedback-disabled HARQ process.</w:t>
            </w:r>
          </w:p>
          <w:p w14:paraId="120D8FC6" w14:textId="77777777" w:rsidR="004C7BD4" w:rsidRPr="004F3740" w:rsidRDefault="004C7BD4" w:rsidP="004C7BD4">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lastRenderedPageBreak/>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lastRenderedPageBreak/>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Malgun Gothic"/>
                <w:lang w:eastAsia="ko-KR"/>
              </w:rPr>
            </w:pPr>
            <w:r>
              <w:rPr>
                <w:rFonts w:eastAsia="Malgun Gothic"/>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2E0D06">
            <w:pPr>
              <w:pStyle w:val="ListParagraph"/>
              <w:numPr>
                <w:ilvl w:val="0"/>
                <w:numId w:val="73"/>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2E0D06">
            <w:pPr>
              <w:pStyle w:val="ListParagraph"/>
              <w:numPr>
                <w:ilvl w:val="0"/>
                <w:numId w:val="73"/>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r>
              <w:rPr>
                <w:rFonts w:hint="eastAsia"/>
                <w:iCs/>
                <w:lang w:eastAsia="zh-CN"/>
              </w:rPr>
              <w:t>Spreadtrum</w:t>
            </w:r>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Huawei, HiSilicon</w:t>
            </w:r>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 xml:space="preserve">in a Type-2 HARQ-ACK codebook that is in response to a detection of a DCI format that does not include a </w:t>
      </w:r>
      <w:r w:rsidRPr="001B395F">
        <w:rPr>
          <w:lang w:eastAsia="zh-TW"/>
        </w:rPr>
        <w:lastRenderedPageBreak/>
        <w:t>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feedback-enabled HARQ processes, the C-DAI and T-DAI are given their true values (i.e., the count of feedback-enabled processes)</w:t>
      </w:r>
    </w:p>
    <w:p w14:paraId="6BAD9244" w14:textId="77777777" w:rsidR="0061236F" w:rsidRPr="00965230" w:rsidRDefault="0061236F"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D258C1">
      <w:pPr>
        <w:pStyle w:val="ListParagraph"/>
        <w:numPr>
          <w:ilvl w:val="2"/>
          <w:numId w:val="70"/>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D258C1">
      <w:pPr>
        <w:pStyle w:val="ListParagraph"/>
        <w:numPr>
          <w:ilvl w:val="1"/>
          <w:numId w:val="58"/>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3E3957" w:rsidP="00C6251F">
            <w:pPr>
              <w:spacing w:after="160" w:line="256" w:lineRule="auto"/>
              <w:contextualSpacing/>
              <w:jc w:val="center"/>
              <w:rPr>
                <w:rFonts w:ascii="Times" w:eastAsiaTheme="minorEastAsia" w:hAnsi="Times"/>
              </w:rPr>
            </w:pPr>
            <w:r>
              <w:rPr>
                <w:noProof/>
              </w:rPr>
              <w:object w:dxaOrig="13801" w:dyaOrig="7321" w14:anchorId="759F0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8pt;height:117.6pt;mso-width-percent:0;mso-height-percent:0;mso-width-percent:0;mso-height-percent:0" o:ole="">
                  <v:imagedata r:id="rId16" o:title=""/>
                </v:shape>
                <o:OLEObject Type="Embed" ProgID="Visio.Drawing.15" ShapeID="_x0000_i1025" DrawAspect="Content" ObjectID="_1683028288" r:id="rId17"/>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C6251F">
            <w:pPr>
              <w:pStyle w:val="ListParagraph"/>
              <w:numPr>
                <w:ilvl w:val="0"/>
                <w:numId w:val="72"/>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3E3957" w:rsidP="00C6251F">
            <w:pPr>
              <w:spacing w:after="120"/>
              <w:contextualSpacing/>
              <w:jc w:val="both"/>
              <w:rPr>
                <w:rFonts w:ascii="Times" w:eastAsiaTheme="minorEastAsia" w:hAnsi="Times"/>
              </w:rPr>
            </w:pPr>
            <w:r>
              <w:rPr>
                <w:noProof/>
              </w:rPr>
              <w:object w:dxaOrig="27121" w:dyaOrig="9025" w14:anchorId="709D74B5">
                <v:shape id="_x0000_i1026" type="#_x0000_t75" alt="" style="width:415.2pt;height:138pt;mso-width-percent:0;mso-height-percent:0;mso-width-percent:0;mso-height-percent:0" o:ole="">
                  <v:imagedata r:id="rId18" o:title=""/>
                </v:shape>
                <o:OLEObject Type="Embed" ProgID="Visio.Drawing.15" ShapeID="_x0000_i1026" DrawAspect="Content" ObjectID="_1683028289" r:id="rId19"/>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6FB21AC0" w:rsidR="00A60588" w:rsidRDefault="00A60588" w:rsidP="00A60588">
            <w:pPr>
              <w:jc w:val="center"/>
              <w:rPr>
                <w:iCs/>
                <w:lang w:eastAsia="zh-CN"/>
              </w:rPr>
            </w:pPr>
            <w:r>
              <w:rPr>
                <w:rFonts w:cs="Arial"/>
                <w:lang w:eastAsia="zh-CN"/>
              </w:rPr>
              <w:t>vivo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bl>
    <w:p w14:paraId="58197E2B" w14:textId="4F0C46DC" w:rsidR="005F2788" w:rsidRPr="00687220"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965230">
      <w:pPr>
        <w:numPr>
          <w:ilvl w:val="0"/>
          <w:numId w:val="59"/>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965230">
      <w:pPr>
        <w:numPr>
          <w:ilvl w:val="0"/>
          <w:numId w:val="59"/>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2E44C8">
      <w:pPr>
        <w:numPr>
          <w:ilvl w:val="0"/>
          <w:numId w:val="27"/>
        </w:numPr>
        <w:overflowPunct/>
        <w:autoSpaceDE/>
        <w:autoSpaceDN/>
        <w:adjustRightInd/>
        <w:spacing w:beforeLines="50" w:before="120" w:afterLines="50" w:after="120"/>
        <w:textAlignment w:val="auto"/>
        <w:rPr>
          <w:lang w:eastAsia="x-none"/>
        </w:rPr>
      </w:pPr>
      <w:r>
        <w:rPr>
          <w:lang w:eastAsia="x-none"/>
        </w:rPr>
        <w:lastRenderedPageBreak/>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965230">
      <w:pPr>
        <w:numPr>
          <w:ilvl w:val="0"/>
          <w:numId w:val="27"/>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BodyText"/>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BodyText"/>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A56B86">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965230">
      <w:pPr>
        <w:pStyle w:val="ListParagraph"/>
        <w:widowControl w:val="0"/>
        <w:numPr>
          <w:ilvl w:val="0"/>
          <w:numId w:val="50"/>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BodyText"/>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BodyText"/>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BodyText"/>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hint="eastAsia"/>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3E3957" w:rsidP="00965230">
      <w:pPr>
        <w:spacing w:beforeLines="50" w:before="120" w:after="120"/>
        <w:ind w:leftChars="100" w:left="200"/>
        <w:jc w:val="center"/>
        <w:rPr>
          <w:rFonts w:eastAsiaTheme="minorEastAsia"/>
          <w:lang w:eastAsia="zh-CN"/>
        </w:rPr>
      </w:pPr>
      <w:r>
        <w:rPr>
          <w:noProof/>
        </w:rPr>
        <w:object w:dxaOrig="9649" w:dyaOrig="4813" w14:anchorId="5B775145">
          <v:shape id="_x0000_i1027" type="#_x0000_t75" alt="" style="width:372pt;height:187.2pt;mso-width-percent:0;mso-height-percent:0;mso-width-percent:0;mso-height-percent:0" o:ole="">
            <v:imagedata r:id="rId20" o:title=""/>
          </v:shape>
          <o:OLEObject Type="Embed" ProgID="Visio.Drawing.15" ShapeID="_x0000_i1027" DrawAspect="Content" ObjectID="_1683028290" r:id="rId21"/>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lastRenderedPageBreak/>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BodyText"/>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TableGrid"/>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856844">
            <w:pPr>
              <w:numPr>
                <w:ilvl w:val="0"/>
                <w:numId w:val="71"/>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BodyText"/>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3E3957" w:rsidP="000F1B4D">
            <w:pPr>
              <w:snapToGrid w:val="0"/>
              <w:ind w:left="360"/>
            </w:pPr>
            <w:r>
              <w:rPr>
                <w:noProof/>
              </w:rPr>
              <w:object w:dxaOrig="9649" w:dyaOrig="4813" w14:anchorId="53D4D086">
                <v:shape id="_x0000_i1028" type="#_x0000_t75" alt="" style="width:326.4pt;height:163.2pt;mso-width-percent:0;mso-height-percent:0;mso-width-percent:0;mso-height-percent:0" o:ole="">
                  <v:imagedata r:id="rId20" o:title=""/>
                </v:shape>
                <o:OLEObject Type="Embed" ProgID="Visio.Drawing.15" ShapeID="_x0000_i1028" DrawAspect="Content" ObjectID="_1683028291" r:id="rId22"/>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lastRenderedPageBreak/>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bl>
    <w:p w14:paraId="6D51585A" w14:textId="1A6A9BC3" w:rsid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8057DF">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lastRenderedPageBreak/>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Malgun Gothic" w:hint="eastAsia"/>
                <w:lang w:eastAsia="ko-KR"/>
              </w:rPr>
              <w:t xml:space="preserve">       </w:t>
            </w:r>
            <w:r>
              <w:rPr>
                <w:rFonts w:eastAsia="Malgun Gothic"/>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Malgun Gothic"/>
                <w:lang w:eastAsia="ko-KR"/>
              </w:rPr>
            </w:pPr>
            <w:r>
              <w:rPr>
                <w:rFonts w:eastAsia="Malgun Gothic" w:hint="eastAsia"/>
                <w:lang w:eastAsia="ko-KR"/>
              </w:rPr>
              <w:t xml:space="preserve">       </w:t>
            </w:r>
            <w:r>
              <w:rPr>
                <w:rFonts w:eastAsia="Malgun Gothic"/>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Malgun Gothic"/>
                <w:lang w:eastAsia="ko-KR"/>
              </w:rPr>
            </w:pPr>
            <w:r w:rsidRPr="00C319E8">
              <w:rPr>
                <w:rFonts w:eastAsia="Malgun Gothic"/>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Malgun Gothic"/>
                <w:lang w:eastAsia="ko-KR"/>
              </w:rPr>
            </w:pPr>
            <w:r>
              <w:rPr>
                <w:rFonts w:eastAsia="Malgun Gothic"/>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Malgun Gothic"/>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hint="eastAsia"/>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rFonts w:hint="eastAsia"/>
                <w:lang w:eastAsia="zh-CN"/>
              </w:rPr>
            </w:pPr>
            <w:r>
              <w:rPr>
                <w:lang w:eastAsia="zh-CN"/>
              </w:rPr>
              <w:t>We do not support the proposal. It is up to network implementation.</w:t>
            </w:r>
          </w:p>
        </w:tc>
      </w:tr>
    </w:tbl>
    <w:p w14:paraId="2FC1B16E" w14:textId="55F3417B" w:rsidR="00687220" w:rsidRPr="005F2788" w:rsidRDefault="00576067"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lastRenderedPageBreak/>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 xml:space="preserve">This being a work item, the initial proposal stating “study” is confusing since RAN WG1 is expected to consider what to add to the specifications as CRs. </w:t>
            </w:r>
            <w:r>
              <w:rPr>
                <w:lang w:eastAsia="zh-CN"/>
              </w:rPr>
              <w:lastRenderedPageBreak/>
              <w:t>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lastRenderedPageBreak/>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E81D9B">
            <w:pPr>
              <w:pStyle w:val="Eqn"/>
              <w:numPr>
                <w:ilvl w:val="0"/>
                <w:numId w:val="55"/>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E81D9B">
            <w:pPr>
              <w:pStyle w:val="Eqn"/>
              <w:numPr>
                <w:ilvl w:val="0"/>
                <w:numId w:val="55"/>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1: Re-interpret existing DCI field to indicate the extension of HARQ process ID.</w:t>
            </w:r>
          </w:p>
          <w:p w14:paraId="1494D58D"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Option 2: Use some dedicated RNTIs or extend the number of scrambled CRC </w:t>
            </w:r>
            <w:r w:rsidRPr="002F09DC">
              <w:rPr>
                <w:rFonts w:ascii="Times New Roman" w:hAnsi="Times New Roman"/>
                <w:sz w:val="20"/>
                <w:szCs w:val="20"/>
                <w:lang w:val="en-GB"/>
              </w:rPr>
              <w:lastRenderedPageBreak/>
              <w:t>bits to indicate the extension of HARQ process ID.</w:t>
            </w:r>
          </w:p>
          <w:p w14:paraId="2CD14A88" w14:textId="77777777" w:rsidR="00A70EDB" w:rsidRPr="002F09DC" w:rsidRDefault="00A70EDB" w:rsidP="00A70EDB">
            <w:pPr>
              <w:pStyle w:val="BodyText"/>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val="en-GB" w:eastAsia="ja-JP"/>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val="en-GB" w:eastAsia="ja-JP"/>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A70EDB">
            <w:pPr>
              <w:pStyle w:val="ListParagraph"/>
              <w:numPr>
                <w:ilvl w:val="2"/>
                <w:numId w:val="33"/>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A70EDB">
            <w:pPr>
              <w:pStyle w:val="ListParagraph"/>
              <w:numPr>
                <w:ilvl w:val="0"/>
                <w:numId w:val="33"/>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A70EDB">
            <w:pPr>
              <w:pStyle w:val="ListParagraph"/>
              <w:numPr>
                <w:ilvl w:val="1"/>
                <w:numId w:val="33"/>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A70EDB">
            <w:pPr>
              <w:pStyle w:val="ListParagraph"/>
              <w:numPr>
                <w:ilvl w:val="0"/>
                <w:numId w:val="33"/>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lastRenderedPageBreak/>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825FF">
            <w:pPr>
              <w:pStyle w:val="ListParagraph"/>
              <w:numPr>
                <w:ilvl w:val="0"/>
                <w:numId w:val="32"/>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825FF">
            <w:pPr>
              <w:pStyle w:val="ListParagraph"/>
              <w:numPr>
                <w:ilvl w:val="0"/>
                <w:numId w:val="32"/>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825FF">
            <w:pPr>
              <w:pStyle w:val="ListParagraph"/>
              <w:widowControl w:val="0"/>
              <w:numPr>
                <w:ilvl w:val="0"/>
                <w:numId w:val="32"/>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BodyText"/>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BodyText"/>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907A5E">
            <w:pPr>
              <w:pStyle w:val="ListParagraph"/>
              <w:numPr>
                <w:ilvl w:val="0"/>
                <w:numId w:val="40"/>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lastRenderedPageBreak/>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D27109">
            <w:pPr>
              <w:pStyle w:val="ListParagraph"/>
              <w:numPr>
                <w:ilvl w:val="0"/>
                <w:numId w:val="36"/>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ListParagraph"/>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D27109">
            <w:pPr>
              <w:numPr>
                <w:ilvl w:val="0"/>
                <w:numId w:val="59"/>
              </w:numPr>
              <w:overflowPunct/>
              <w:autoSpaceDE/>
              <w:autoSpaceDN/>
              <w:adjustRightInd/>
              <w:spacing w:after="0"/>
              <w:ind w:left="1008"/>
              <w:textAlignment w:val="auto"/>
              <w:rPr>
                <w:iCs/>
                <w:color w:val="FF0000"/>
                <w:lang w:eastAsia="zh-CN"/>
              </w:rPr>
            </w:pPr>
            <w:r w:rsidRPr="002F09DC">
              <w:rPr>
                <w:iCs/>
                <w:strike/>
                <w:color w:val="FF0000"/>
                <w:lang w:eastAsia="zh-CN"/>
              </w:rPr>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lastRenderedPageBreak/>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D27109">
            <w:pPr>
              <w:numPr>
                <w:ilvl w:val="0"/>
                <w:numId w:val="59"/>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ListParagraph"/>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ListParagraph"/>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ListParagraph"/>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D27109">
            <w:pPr>
              <w:pStyle w:val="ListParagraph"/>
              <w:numPr>
                <w:ilvl w:val="0"/>
                <w:numId w:val="61"/>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D27109">
            <w:pPr>
              <w:pStyle w:val="ListParagraph"/>
              <w:numPr>
                <w:ilvl w:val="0"/>
                <w:numId w:val="38"/>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ListParagraph"/>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ListParagraph"/>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ListParagraph"/>
              <w:ind w:left="1008"/>
              <w:rPr>
                <w:rFonts w:ascii="Times New Roman" w:hAnsi="Times New Roman"/>
                <w:bCs/>
                <w:sz w:val="20"/>
                <w:szCs w:val="20"/>
              </w:rPr>
            </w:pPr>
          </w:p>
          <w:p w14:paraId="534DE211" w14:textId="77777777" w:rsidR="00D27109" w:rsidRPr="002F09DC" w:rsidRDefault="00D27109" w:rsidP="00D27109">
            <w:pPr>
              <w:pStyle w:val="ListParagraph"/>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0604E8" w:rsidP="00764EA0">
            <w:pPr>
              <w:snapToGrid w:val="0"/>
              <w:spacing w:after="0"/>
              <w:jc w:val="center"/>
              <w:rPr>
                <w:lang w:eastAsia="x-none"/>
              </w:rPr>
            </w:pPr>
            <w:hyperlink r:id="rId24" w:history="1">
              <w:r w:rsidR="00EE7420" w:rsidRPr="002F09DC">
                <w:rPr>
                  <w:rStyle w:val="Hyperlink"/>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t xml:space="preserve">Proposal 2: Configure two subsets of HARQ processes for enabled HARQ processes and disabled HARQ processes respectively via RRC signaling. To decide the HARQ disable/enable state with HARQ process </w:t>
            </w:r>
            <w:r w:rsidRPr="002F09DC">
              <w:lastRenderedPageBreak/>
              <w:t>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lastRenderedPageBreak/>
              <w:t>R1-</w:t>
            </w:r>
            <w:r w:rsidR="00495280" w:rsidRPr="002F09DC">
              <w:t>2104772 OPPO</w:t>
            </w:r>
          </w:p>
        </w:tc>
        <w:tc>
          <w:tcPr>
            <w:tcW w:w="8744" w:type="dxa"/>
            <w:vAlign w:val="center"/>
          </w:tcPr>
          <w:p w14:paraId="29FC40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BodyText"/>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95280">
            <w:pPr>
              <w:pStyle w:val="BodyText"/>
              <w:numPr>
                <w:ilvl w:val="0"/>
                <w:numId w:val="62"/>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BodyText"/>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Hyperlink"/>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53" w:history="1">
              <w:r w:rsidR="004A170E" w:rsidRPr="002F09DC">
                <w:rPr>
                  <w:rStyle w:val="Hyperlink"/>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54" w:history="1">
              <w:r w:rsidR="004A170E" w:rsidRPr="002F09DC">
                <w:rPr>
                  <w:rStyle w:val="Hyperlink"/>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55" w:history="1">
              <w:r w:rsidR="004A170E" w:rsidRPr="002F09DC">
                <w:rPr>
                  <w:rStyle w:val="Hyperlink"/>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56" w:history="1">
              <w:r w:rsidR="004A170E" w:rsidRPr="002F09DC">
                <w:rPr>
                  <w:rStyle w:val="Hyperlink"/>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57" w:history="1">
              <w:r w:rsidR="004A170E" w:rsidRPr="002F09DC">
                <w:rPr>
                  <w:rStyle w:val="Hyperlink"/>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58" w:history="1">
              <w:r w:rsidR="004A170E" w:rsidRPr="002F09DC">
                <w:rPr>
                  <w:rStyle w:val="Hyperlink"/>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If the network schedules a PDSCH on a HARQ process with feedback disabled, it is </w:t>
              </w:r>
              <w:r w:rsidR="004A170E" w:rsidRPr="002F09DC">
                <w:rPr>
                  <w:rStyle w:val="Hyperlink"/>
                  <w:rFonts w:ascii="Times New Roman" w:hAnsi="Times New Roman" w:cs="Times New Roman"/>
                  <w:b w:val="0"/>
                  <w:noProof/>
                  <w:sz w:val="20"/>
                  <w:szCs w:val="20"/>
                </w:rPr>
                <w:lastRenderedPageBreak/>
                <w:t>clear that the network is not interested in receiving the feedback.</w:t>
              </w:r>
            </w:hyperlink>
          </w:p>
          <w:p w14:paraId="66A52673"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59" w:history="1">
              <w:r w:rsidR="004A170E" w:rsidRPr="002F09DC">
                <w:rPr>
                  <w:rStyle w:val="Hyperlink"/>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60" w:history="1">
              <w:r w:rsidR="004A170E" w:rsidRPr="002F09DC">
                <w:rPr>
                  <w:rStyle w:val="Hyperlink"/>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61" w:history="1">
              <w:r w:rsidR="004A170E" w:rsidRPr="002F09DC">
                <w:rPr>
                  <w:rStyle w:val="Hyperlink"/>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62" w:history="1">
              <w:r w:rsidR="004A170E" w:rsidRPr="002F09DC">
                <w:rPr>
                  <w:rStyle w:val="Hyperlink"/>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63" w:history="1">
              <w:r w:rsidR="004A170E" w:rsidRPr="002F09DC">
                <w:rPr>
                  <w:rStyle w:val="Hyperlink"/>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BodyText"/>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TableofFigures"/>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Hyperlink"/>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Hyperlink"/>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65" w:history="1">
              <w:r w:rsidR="004A170E" w:rsidRPr="002F09DC">
                <w:rPr>
                  <w:rStyle w:val="Hyperlink"/>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66" w:history="1">
              <w:r w:rsidR="004A170E" w:rsidRPr="002F09DC">
                <w:rPr>
                  <w:rStyle w:val="Hyperlink"/>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67" w:history="1">
              <w:r w:rsidR="004A170E" w:rsidRPr="002F09DC">
                <w:rPr>
                  <w:rStyle w:val="Hyperlink"/>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68" w:history="1">
              <w:r w:rsidR="004A170E" w:rsidRPr="002F09DC">
                <w:rPr>
                  <w:rStyle w:val="Hyperlink"/>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69" w:history="1">
              <w:r w:rsidR="004A170E" w:rsidRPr="002F09DC">
                <w:rPr>
                  <w:rStyle w:val="Hyperlink"/>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70" w:history="1">
              <w:r w:rsidR="004A170E" w:rsidRPr="002F09DC">
                <w:rPr>
                  <w:rStyle w:val="Hyperlink"/>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71" w:history="1">
              <w:r w:rsidR="004A170E" w:rsidRPr="002F09DC">
                <w:rPr>
                  <w:rStyle w:val="Hyperlink"/>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72" w:history="1">
              <w:r w:rsidR="004A170E" w:rsidRPr="002F09DC">
                <w:rPr>
                  <w:rStyle w:val="Hyperlink"/>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73" w:history="1">
              <w:r w:rsidR="004A170E" w:rsidRPr="002F09DC">
                <w:rPr>
                  <w:rStyle w:val="Hyperlink"/>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74" w:history="1">
              <w:r w:rsidR="004A170E" w:rsidRPr="002F09DC">
                <w:rPr>
                  <w:rStyle w:val="Hyperlink"/>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 xml:space="preserve">Confirm the working assumption that X = T_proc,1 when the PDSCH is scheduled </w:t>
              </w:r>
              <w:r w:rsidR="004A170E" w:rsidRPr="002F09DC">
                <w:rPr>
                  <w:rStyle w:val="Hyperlink"/>
                  <w:rFonts w:ascii="Times New Roman" w:hAnsi="Times New Roman" w:cs="Times New Roman"/>
                  <w:b w:val="0"/>
                  <w:noProof/>
                  <w:sz w:val="20"/>
                  <w:szCs w:val="20"/>
                </w:rPr>
                <w:lastRenderedPageBreak/>
                <w:t>on a HARQ process with feedback disabled.</w:t>
              </w:r>
            </w:hyperlink>
          </w:p>
          <w:p w14:paraId="151407A4" w14:textId="77777777" w:rsidR="004A170E" w:rsidRPr="002F09DC" w:rsidRDefault="000604E8" w:rsidP="004A170E">
            <w:pPr>
              <w:pStyle w:val="TableofFigures"/>
              <w:tabs>
                <w:tab w:val="right" w:leader="dot" w:pos="9629"/>
              </w:tabs>
              <w:rPr>
                <w:rFonts w:ascii="Times New Roman" w:hAnsi="Times New Roman" w:cs="Times New Roman"/>
                <w:b w:val="0"/>
                <w:noProof/>
                <w:sz w:val="20"/>
                <w:szCs w:val="20"/>
              </w:rPr>
            </w:pPr>
            <w:hyperlink w:anchor="_Toc71641875" w:history="1">
              <w:r w:rsidR="004A170E" w:rsidRPr="002F09DC">
                <w:rPr>
                  <w:rStyle w:val="Hyperlink"/>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Hyperlink"/>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0033FC">
            <w:pPr>
              <w:numPr>
                <w:ilvl w:val="0"/>
                <w:numId w:val="48"/>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enabled HARQ processes, C-DAI and T-DAI are given their true values.</w:t>
            </w:r>
          </w:p>
          <w:p w14:paraId="66E5FEA7" w14:textId="77777777" w:rsidR="008714B6" w:rsidRPr="002F09DC" w:rsidRDefault="008714B6" w:rsidP="008714B6">
            <w:pPr>
              <w:pStyle w:val="ListParagraph"/>
              <w:numPr>
                <w:ilvl w:val="0"/>
                <w:numId w:val="39"/>
              </w:numPr>
              <w:jc w:val="both"/>
              <w:rPr>
                <w:rFonts w:ascii="Times New Roman" w:eastAsia="Malgun Gothic" w:hAnsi="Times New Roman"/>
                <w:sz w:val="20"/>
                <w:szCs w:val="20"/>
                <w:lang w:eastAsia="zh-CN"/>
              </w:rPr>
            </w:pPr>
            <w:r w:rsidRPr="002F09DC">
              <w:rPr>
                <w:rFonts w:ascii="Times New Roman" w:eastAsia="Malgun Gothic"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w:t>
            </w:r>
            <w:r w:rsidRPr="002F09DC">
              <w:rPr>
                <w:kern w:val="2"/>
              </w:rPr>
              <w:lastRenderedPageBreak/>
              <w:t>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1947FA">
            <w:pPr>
              <w:pStyle w:val="ListParagraph"/>
              <w:numPr>
                <w:ilvl w:val="0"/>
                <w:numId w:val="41"/>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1947FA">
            <w:pPr>
              <w:pStyle w:val="ListParagraph"/>
              <w:numPr>
                <w:ilvl w:val="0"/>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1947FA">
            <w:pPr>
              <w:pStyle w:val="ListParagraph"/>
              <w:numPr>
                <w:ilvl w:val="1"/>
                <w:numId w:val="43"/>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lastRenderedPageBreak/>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A868E6">
            <w:pPr>
              <w:numPr>
                <w:ilvl w:val="0"/>
                <w:numId w:val="57"/>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 xml:space="preserve">Proposal 7: Enlarged aggregation factor and reduced DM-RS density should be supported to improve the </w:t>
            </w:r>
            <w:r w:rsidRPr="002F09DC">
              <w:rPr>
                <w:lang w:eastAsia="zh-CN"/>
              </w:rPr>
              <w:lastRenderedPageBreak/>
              <w:t>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A868E6">
            <w:pPr>
              <w:pStyle w:val="ListParagraph"/>
              <w:numPr>
                <w:ilvl w:val="1"/>
                <w:numId w:val="25"/>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A868E6">
            <w:pPr>
              <w:pStyle w:val="ListParagraph"/>
              <w:numPr>
                <w:ilvl w:val="2"/>
                <w:numId w:val="25"/>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TableofFigures"/>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lastRenderedPageBreak/>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316635">
            <w:pPr>
              <w:pStyle w:val="ListParagraph"/>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316635">
            <w:pPr>
              <w:pStyle w:val="ListParagraph"/>
              <w:numPr>
                <w:ilvl w:val="0"/>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316635">
            <w:pPr>
              <w:pStyle w:val="ListParagraph"/>
              <w:numPr>
                <w:ilvl w:val="1"/>
                <w:numId w:val="6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316635">
            <w:pPr>
              <w:pStyle w:val="ListParagraph"/>
              <w:numPr>
                <w:ilvl w:val="0"/>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316635">
            <w:pPr>
              <w:pStyle w:val="ListParagraph"/>
              <w:numPr>
                <w:ilvl w:val="1"/>
                <w:numId w:val="6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316635">
            <w:pPr>
              <w:pStyle w:val="ListParagraph"/>
              <w:numPr>
                <w:ilvl w:val="0"/>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316635">
            <w:pPr>
              <w:pStyle w:val="ListParagraph"/>
              <w:numPr>
                <w:ilvl w:val="1"/>
                <w:numId w:val="24"/>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lastRenderedPageBreak/>
              <w:t xml:space="preserve">Observation 15 : The value of aggregation factor should be determined properly if slot aggregation is used. </w:t>
            </w:r>
          </w:p>
          <w:p w14:paraId="5335CC14"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316635">
            <w:pPr>
              <w:pStyle w:val="ListParagraph"/>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316635">
            <w:pPr>
              <w:pStyle w:val="ListParagraph"/>
              <w:numPr>
                <w:ilvl w:val="0"/>
                <w:numId w:val="23"/>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316635">
            <w:pPr>
              <w:pStyle w:val="ListParagraph"/>
              <w:numPr>
                <w:ilvl w:val="1"/>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316635">
            <w:pPr>
              <w:pStyle w:val="ListParagraph"/>
              <w:numPr>
                <w:ilvl w:val="0"/>
                <w:numId w:val="22"/>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316635">
            <w:pPr>
              <w:pStyle w:val="ListParagraph"/>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the followings might be a start point for configuring different aggregation factors</w:t>
            </w:r>
          </w:p>
          <w:p w14:paraId="000AED93"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(a group of) RNTI type (or search space)</w:t>
            </w:r>
          </w:p>
          <w:p w14:paraId="08B08A8A"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316635">
            <w:pPr>
              <w:pStyle w:val="ListParagraph"/>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316635">
            <w:pPr>
              <w:pStyle w:val="ListParagraph"/>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316635">
            <w:pPr>
              <w:pStyle w:val="ListParagraph"/>
              <w:numPr>
                <w:ilvl w:val="1"/>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ListParagraph"/>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ListParagraph"/>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Malgun Gothic"/>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ListParagraph"/>
              <w:numPr>
                <w:ilvl w:val="0"/>
                <w:numId w:val="14"/>
              </w:numPr>
              <w:jc w:val="both"/>
              <w:rPr>
                <w:rFonts w:ascii="Times New Roman" w:hAnsi="Times New Roman"/>
                <w:sz w:val="20"/>
                <w:szCs w:val="20"/>
              </w:rPr>
            </w:pPr>
            <w:r w:rsidRPr="002F09DC">
              <w:rPr>
                <w:rFonts w:ascii="Times New Roman" w:hAnsi="Times New Roman"/>
                <w:sz w:val="20"/>
                <w:szCs w:val="20"/>
              </w:rPr>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A151A">
            <w:pPr>
              <w:pStyle w:val="ListParagraph"/>
              <w:numPr>
                <w:ilvl w:val="0"/>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A151A">
            <w:pPr>
              <w:pStyle w:val="ListParagraph"/>
              <w:numPr>
                <w:ilvl w:val="1"/>
                <w:numId w:val="65"/>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A151A">
            <w:pPr>
              <w:pStyle w:val="ListParagraph"/>
              <w:numPr>
                <w:ilvl w:val="0"/>
                <w:numId w:val="66"/>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9D5362">
            <w:pPr>
              <w:pStyle w:val="ListParagraph"/>
              <w:numPr>
                <w:ilvl w:val="0"/>
                <w:numId w:val="67"/>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9D5362">
            <w:pPr>
              <w:pStyle w:val="ListParagraph"/>
              <w:numPr>
                <w:ilvl w:val="0"/>
                <w:numId w:val="67"/>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Batang"/>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w:t>
            </w:r>
            <w:r w:rsidRPr="002F09DC">
              <w:rPr>
                <w:rFonts w:eastAsiaTheme="minorEastAsia"/>
              </w:rPr>
              <w:lastRenderedPageBreak/>
              <w:t xml:space="preserve">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0604E8" w:rsidP="00764EA0">
            <w:pPr>
              <w:snapToGrid w:val="0"/>
              <w:spacing w:after="0"/>
              <w:jc w:val="center"/>
            </w:pPr>
            <w:hyperlink r:id="rId25" w:history="1">
              <w:r w:rsidR="00902533" w:rsidRPr="002F09DC">
                <w:rPr>
                  <w:rStyle w:val="Hyperlink"/>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3936CD">
            <w:pPr>
              <w:numPr>
                <w:ilvl w:val="0"/>
                <w:numId w:val="68"/>
              </w:numPr>
              <w:jc w:val="both"/>
              <w:rPr>
                <w:bCs/>
                <w:lang w:eastAsia="zh-TW"/>
              </w:rPr>
            </w:pPr>
            <w:r w:rsidRPr="002F09DC">
              <w:rPr>
                <w:bCs/>
                <w:lang w:eastAsia="zh-TW"/>
              </w:rPr>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3936CD">
            <w:pPr>
              <w:numPr>
                <w:ilvl w:val="0"/>
                <w:numId w:val="68"/>
              </w:numPr>
              <w:jc w:val="both"/>
              <w:rPr>
                <w:bCs/>
                <w:lang w:eastAsia="zh-TW"/>
              </w:rPr>
            </w:pPr>
            <w:r w:rsidRPr="002F09DC">
              <w:rPr>
                <w:bCs/>
                <w:lang w:eastAsia="zh-TW"/>
              </w:rPr>
              <w:lastRenderedPageBreak/>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C6FC4">
            <w:pPr>
              <w:numPr>
                <w:ilvl w:val="0"/>
                <w:numId w:val="68"/>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lastRenderedPageBreak/>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0604E8"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0604E8"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0604E8"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0604E8"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6"/>
      <w:footerReference w:type="even" r:id="rId27"/>
      <w:footerReference w:type="default" r:id="rId28"/>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Nokia, Frank" w:date="2021-05-20T00:53:00Z" w:initials="FF">
    <w:p w14:paraId="3BD1E3D1" w14:textId="30A1E86F" w:rsidR="000508C0" w:rsidRDefault="000508C0">
      <w:pPr>
        <w:pStyle w:val="CommentText"/>
      </w:pPr>
      <w:r>
        <w:rPr>
          <w:rStyle w:val="CommentReference"/>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508C0" w:rsidRDefault="000508C0">
      <w:pPr>
        <w:pStyle w:val="CommentText"/>
        <w:rPr>
          <w:lang w:eastAsia="zh-CN"/>
        </w:rPr>
      </w:pPr>
      <w:r>
        <w:rPr>
          <w:rStyle w:val="CommentReference"/>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AC0360" w:rsidRDefault="00AC0360" w:rsidP="00AC0360">
      <w:pPr>
        <w:pStyle w:val="CommentText"/>
      </w:pPr>
      <w:r>
        <w:rPr>
          <w:rStyle w:val="CommentReference"/>
        </w:rPr>
        <w:annotationRef/>
      </w:r>
      <w:r>
        <w:rPr>
          <w:iCs/>
          <w:lang w:eastAsia="zh-CN"/>
        </w:rPr>
        <w:t>The bit field of TPC command for PUCCH/PUSCH could be considered</w:t>
      </w:r>
    </w:p>
  </w:comment>
  <w:comment w:id="5" w:author="CAICT" w:date="2021-05-20T21:39:00Z" w:initials="CAICT">
    <w:p w14:paraId="2ED6A63C" w14:textId="77777777" w:rsidR="00AC0360" w:rsidRDefault="00AC0360" w:rsidP="00AC0360">
      <w:pPr>
        <w:pStyle w:val="CommentText"/>
      </w:pPr>
      <w:r>
        <w:rPr>
          <w:rStyle w:val="CommentReference"/>
        </w:rPr>
        <w:annotationRef/>
      </w:r>
      <w:r>
        <w:rPr>
          <w:iCs/>
          <w:lang w:eastAsia="zh-CN"/>
        </w:rPr>
        <w:t>The bit field of TPC command for PUCCH/PUSCH could be considered</w:t>
      </w:r>
    </w:p>
  </w:comment>
  <w:comment w:id="6" w:author="Nokia, Frank" w:date="2021-05-20T00:54:00Z" w:initials="FF">
    <w:p w14:paraId="1EDFC73B" w14:textId="153F04BB" w:rsidR="000508C0" w:rsidRDefault="000508C0">
      <w:pPr>
        <w:pStyle w:val="CommentText"/>
      </w:pPr>
      <w:r>
        <w:rPr>
          <w:rStyle w:val="CommentReference"/>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508C0" w:rsidRDefault="000508C0">
      <w:pPr>
        <w:pStyle w:val="CommentText"/>
      </w:pPr>
      <w:r>
        <w:rPr>
          <w:rStyle w:val="CommentReference"/>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382B4" w14:textId="77777777" w:rsidR="000604E8" w:rsidRDefault="000604E8">
      <w:pPr>
        <w:spacing w:after="0"/>
      </w:pPr>
      <w:r>
        <w:separator/>
      </w:r>
    </w:p>
  </w:endnote>
  <w:endnote w:type="continuationSeparator" w:id="0">
    <w:p w14:paraId="2AAEC7AB" w14:textId="77777777" w:rsidR="000604E8" w:rsidRDefault="000604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0508C0" w:rsidRDefault="0005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0508C0" w:rsidRDefault="000508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F46FCB9" w:rsidR="000508C0" w:rsidRDefault="000508C0">
    <w:pPr>
      <w:pStyle w:val="Footer"/>
      <w:ind w:right="360"/>
    </w:pPr>
    <w:r>
      <w:rPr>
        <w:rStyle w:val="PageNumber"/>
      </w:rPr>
      <w:fldChar w:fldCharType="begin"/>
    </w:r>
    <w:r>
      <w:rPr>
        <w:rStyle w:val="PageNumber"/>
      </w:rPr>
      <w:instrText xml:space="preserve"> PAGE </w:instrText>
    </w:r>
    <w:r>
      <w:rPr>
        <w:rStyle w:val="PageNumber"/>
      </w:rPr>
      <w:fldChar w:fldCharType="separate"/>
    </w:r>
    <w:r w:rsidR="000D485B">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485B">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44ED7" w14:textId="77777777" w:rsidR="000604E8" w:rsidRDefault="000604E8">
      <w:pPr>
        <w:spacing w:after="0"/>
      </w:pPr>
      <w:r>
        <w:separator/>
      </w:r>
    </w:p>
  </w:footnote>
  <w:footnote w:type="continuationSeparator" w:id="0">
    <w:p w14:paraId="367784EE" w14:textId="77777777" w:rsidR="000604E8" w:rsidRDefault="000604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0508C0" w:rsidRDefault="000508C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5"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5"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FFD4081"/>
    <w:multiLevelType w:val="hybridMultilevel"/>
    <w:tmpl w:val="B212F5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32C4E30"/>
    <w:multiLevelType w:val="hybridMultilevel"/>
    <w:tmpl w:val="9DA4188A"/>
    <w:lvl w:ilvl="0" w:tplc="0142A03C">
      <w:numFmt w:val="bullet"/>
      <w:lvlText w:val="-"/>
      <w:lvlJc w:val="left"/>
      <w:pPr>
        <w:ind w:left="648" w:hanging="360"/>
      </w:pPr>
      <w:rPr>
        <w:rFonts w:ascii="Times New Roman" w:eastAsia="PMingLiU"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A450868"/>
    <w:multiLevelType w:val="hybridMultilevel"/>
    <w:tmpl w:val="7D52516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01">
      <w:start w:val="1"/>
      <w:numFmt w:val="bullet"/>
      <w:lvlText w:val=""/>
      <w:lvlJc w:val="left"/>
      <w:pPr>
        <w:ind w:left="1460" w:hanging="420"/>
      </w:pPr>
      <w:rPr>
        <w:rFonts w:ascii="Wingdings" w:hAnsi="Wingdings"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3"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0"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2"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3"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4" w15:restartNumberingAfterBreak="0">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65"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7"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3"/>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4"/>
  </w:num>
  <w:num w:numId="6">
    <w:abstractNumId w:val="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7"/>
  </w:num>
  <w:num w:numId="10">
    <w:abstractNumId w:val="16"/>
  </w:num>
  <w:num w:numId="11">
    <w:abstractNumId w:val="61"/>
  </w:num>
  <w:num w:numId="12">
    <w:abstractNumId w:val="63"/>
  </w:num>
  <w:num w:numId="13">
    <w:abstractNumId w:val="43"/>
  </w:num>
  <w:num w:numId="14">
    <w:abstractNumId w:val="19"/>
  </w:num>
  <w:num w:numId="15">
    <w:abstractNumId w:val="13"/>
  </w:num>
  <w:num w:numId="16">
    <w:abstractNumId w:val="25"/>
  </w:num>
  <w:num w:numId="17">
    <w:abstractNumId w:val="35"/>
  </w:num>
  <w:num w:numId="18">
    <w:abstractNumId w:val="39"/>
  </w:num>
  <w:num w:numId="19">
    <w:abstractNumId w:val="18"/>
  </w:num>
  <w:num w:numId="20">
    <w:abstractNumId w:val="72"/>
  </w:num>
  <w:num w:numId="21">
    <w:abstractNumId w:val="48"/>
  </w:num>
  <w:num w:numId="22">
    <w:abstractNumId w:val="7"/>
  </w:num>
  <w:num w:numId="23">
    <w:abstractNumId w:val="21"/>
  </w:num>
  <w:num w:numId="24">
    <w:abstractNumId w:val="71"/>
  </w:num>
  <w:num w:numId="25">
    <w:abstractNumId w:val="68"/>
  </w:num>
  <w:num w:numId="26">
    <w:abstractNumId w:val="32"/>
  </w:num>
  <w:num w:numId="27">
    <w:abstractNumId w:val="62"/>
  </w:num>
  <w:num w:numId="28">
    <w:abstractNumId w:val="9"/>
  </w:num>
  <w:num w:numId="29">
    <w:abstractNumId w:val="14"/>
  </w:num>
  <w:num w:numId="30">
    <w:abstractNumId w:val="60"/>
  </w:num>
  <w:num w:numId="31">
    <w:abstractNumId w:val="65"/>
  </w:num>
  <w:num w:numId="32">
    <w:abstractNumId w:val="27"/>
  </w:num>
  <w:num w:numId="33">
    <w:abstractNumId w:val="15"/>
  </w:num>
  <w:num w:numId="34">
    <w:abstractNumId w:val="59"/>
  </w:num>
  <w:num w:numId="35">
    <w:abstractNumId w:val="10"/>
  </w:num>
  <w:num w:numId="36">
    <w:abstractNumId w:val="33"/>
  </w:num>
  <w:num w:numId="37">
    <w:abstractNumId w:val="52"/>
  </w:num>
  <w:num w:numId="38">
    <w:abstractNumId w:val="38"/>
  </w:num>
  <w:num w:numId="39">
    <w:abstractNumId w:val="41"/>
  </w:num>
  <w:num w:numId="40">
    <w:abstractNumId w:val="8"/>
  </w:num>
  <w:num w:numId="41">
    <w:abstractNumId w:val="55"/>
  </w:num>
  <w:num w:numId="42">
    <w:abstractNumId w:val="47"/>
  </w:num>
  <w:num w:numId="43">
    <w:abstractNumId w:val="20"/>
  </w:num>
  <w:num w:numId="44">
    <w:abstractNumId w:val="29"/>
  </w:num>
  <w:num w:numId="45">
    <w:abstractNumId w:val="57"/>
  </w:num>
  <w:num w:numId="46">
    <w:abstractNumId w:val="49"/>
  </w:num>
  <w:num w:numId="47">
    <w:abstractNumId w:val="36"/>
  </w:num>
  <w:num w:numId="48">
    <w:abstractNumId w:val="5"/>
  </w:num>
  <w:num w:numId="49">
    <w:abstractNumId w:val="24"/>
  </w:num>
  <w:num w:numId="50">
    <w:abstractNumId w:val="56"/>
  </w:num>
  <w:num w:numId="51">
    <w:abstractNumId w:val="44"/>
  </w:num>
  <w:num w:numId="52">
    <w:abstractNumId w:val="53"/>
  </w:num>
  <w:num w:numId="53">
    <w:abstractNumId w:val="58"/>
  </w:num>
  <w:num w:numId="54">
    <w:abstractNumId w:val="2"/>
  </w:num>
  <w:num w:numId="55">
    <w:abstractNumId w:val="12"/>
  </w:num>
  <w:num w:numId="56">
    <w:abstractNumId w:val="28"/>
  </w:num>
  <w:num w:numId="57">
    <w:abstractNumId w:val="46"/>
  </w:num>
  <w:num w:numId="58">
    <w:abstractNumId w:val="37"/>
  </w:num>
  <w:num w:numId="59">
    <w:abstractNumId w:val="42"/>
  </w:num>
  <w:num w:numId="60">
    <w:abstractNumId w:val="22"/>
  </w:num>
  <w:num w:numId="61">
    <w:abstractNumId w:val="4"/>
  </w:num>
  <w:num w:numId="62">
    <w:abstractNumId w:val="6"/>
  </w:num>
  <w:num w:numId="63">
    <w:abstractNumId w:val="11"/>
  </w:num>
  <w:num w:numId="64">
    <w:abstractNumId w:val="51"/>
  </w:num>
  <w:num w:numId="65">
    <w:abstractNumId w:val="30"/>
  </w:num>
  <w:num w:numId="66">
    <w:abstractNumId w:val="31"/>
  </w:num>
  <w:num w:numId="67">
    <w:abstractNumId w:val="69"/>
  </w:num>
  <w:num w:numId="68">
    <w:abstractNumId w:val="64"/>
  </w:num>
  <w:num w:numId="69">
    <w:abstractNumId w:val="45"/>
  </w:num>
  <w:num w:numId="70">
    <w:abstractNumId w:val="66"/>
  </w:num>
  <w:num w:numId="71">
    <w:abstractNumId w:val="67"/>
  </w:num>
  <w:num w:numId="72">
    <w:abstractNumId w:val="3"/>
  </w:num>
  <w:num w:numId="73">
    <w:abstractNumId w:val="2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65A"/>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CE2"/>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401E657D-ADCA-45C5-96AC-E7118B53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C:\Users\wanshic\OneDrive%20-%20Qualcomm\Documents\Standards\3GPP%20Standards\Meeting%20Documents\TSGR1_105\Docs\R1-210562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5\Docs\R1-2104723.zip"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4.w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108EC0-3251-47B3-8A87-C00C521F32C5}">
  <ds:schemaRefs>
    <ds:schemaRef ds:uri="http://schemas.openxmlformats.org/officeDocument/2006/bibliography"/>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35</Pages>
  <Words>13539</Words>
  <Characters>77173</Characters>
  <Application>Microsoft Office Word</Application>
  <DocSecurity>0</DocSecurity>
  <Lines>643</Lines>
  <Paragraphs>181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90531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Ying, Kai</cp:lastModifiedBy>
  <cp:revision>11</cp:revision>
  <cp:lastPrinted>2011-11-09T07:49:00Z</cp:lastPrinted>
  <dcterms:created xsi:type="dcterms:W3CDTF">2021-05-20T15:55:00Z</dcterms:created>
  <dcterms:modified xsi:type="dcterms:W3CDTF">2021-05-20T21:32:00Z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