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84"/>
        <w:gridCol w:w="1230"/>
        <w:gridCol w:w="2029"/>
        <w:gridCol w:w="2173"/>
        <w:gridCol w:w="1884"/>
        <w:gridCol w:w="1986"/>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7341E754"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p>
        </w:tc>
        <w:tc>
          <w:tcPr>
            <w:tcW w:w="956" w:type="pct"/>
          </w:tcPr>
          <w:p w14:paraId="49A2F495" w14:textId="4724EC40"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xml:space="preserve">, </w:t>
            </w:r>
            <w:r w:rsidR="000D485B">
              <w:rPr>
                <w:iCs/>
                <w:lang w:eastAsia="zh-CN"/>
              </w:rPr>
              <w:t>Huawei/HiSilicon</w:t>
            </w:r>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435161BE"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50A9F16C"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CAICT</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070DCFF"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xml:space="preserve">, </w:t>
            </w:r>
            <w:r w:rsidR="000D485B">
              <w:rPr>
                <w:iCs/>
                <w:lang w:eastAsia="zh-CN"/>
              </w:rPr>
              <w:t>Huawei/HiSilicon</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575EB586"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xml:space="preserve">, </w:t>
            </w:r>
            <w:r w:rsidR="000D485B">
              <w:rPr>
                <w:iCs/>
                <w:lang w:eastAsia="zh-CN"/>
              </w:rPr>
              <w:t>Huawei/HiSilicon</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49977AB0"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p>
        </w:tc>
        <w:tc>
          <w:tcPr>
            <w:tcW w:w="1046" w:type="pct"/>
          </w:tcPr>
          <w:p w14:paraId="04352599" w14:textId="76AC431C"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p>
        </w:tc>
        <w:tc>
          <w:tcPr>
            <w:tcW w:w="907" w:type="pct"/>
          </w:tcPr>
          <w:p w14:paraId="1CAB0B12" w14:textId="2B849D4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 xml:space="preserve">0/0_1/1_1) should be kept fixed, </w:t>
            </w:r>
            <w:r w:rsidR="000D485B">
              <w:rPr>
                <w:iCs/>
                <w:lang w:eastAsia="zh-CN"/>
              </w:rPr>
              <w:t>Huawei/HiSilicon</w:t>
            </w:r>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lastRenderedPageBreak/>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lastRenderedPageBreak/>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lastRenderedPageBreak/>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w:t>
            </w:r>
            <w:r>
              <w:lastRenderedPageBreak/>
              <w:t xml:space="preserve">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lastRenderedPageBreak/>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w:t>
            </w:r>
            <w:r>
              <w:lastRenderedPageBreak/>
              <w:t xml:space="preserve">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lastRenderedPageBreak/>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rFonts w:hint="eastAsia"/>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7pt;height:118pt;mso-width-percent:0;mso-height-percent:0;mso-width-percent:0;mso-height-percent:0" o:ole="">
                  <v:imagedata r:id="rId14" o:title=""/>
                </v:shape>
                <o:OLEObject Type="Embed" ProgID="Visio.Drawing.15" ShapeID="_x0000_i1025" DrawAspect="Content" ObjectID="_1683035299"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1pt;height:138.05pt;mso-width-percent:0;mso-height-percent:0;mso-width-percent:0;mso-height-percent:0" o:ole="">
                  <v:imagedata r:id="rId16" o:title=""/>
                </v:shape>
                <o:OLEObject Type="Embed" ProgID="Visio.Drawing.15" ShapeID="_x0000_i1026" DrawAspect="Content" ObjectID="_1683035300"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w:t>
            </w:r>
            <w:r>
              <w:rPr>
                <w:rFonts w:ascii="Times" w:eastAsiaTheme="minorEastAsia" w:hAnsi="Times"/>
              </w:rPr>
              <w:lastRenderedPageBreak/>
              <w:t xml:space="preserve">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 xml:space="preserve">For the FFS part of SPS issue, we think is has not been fully discussed in RAN1. For example, whether disabled HARQ process ID and enabled HARQ process ID can be configured in one SPS </w:t>
            </w:r>
            <w:r>
              <w:rPr>
                <w:lang w:eastAsia="zh-CN"/>
              </w:rPr>
              <w:lastRenderedPageBreak/>
              <w:t>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lastRenderedPageBreak/>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rFonts w:hint="eastAsia"/>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lastRenderedPageBreak/>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w:t>
            </w:r>
            <w:r>
              <w:rPr>
                <w:lang w:eastAsia="zh-CN"/>
              </w:rPr>
              <w:t>s</w:t>
            </w:r>
            <w:r>
              <w:rPr>
                <w:lang w:eastAsia="zh-CN"/>
              </w:rPr>
              <w:t xml:space="preserve"> 3-1 and 3-2.</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1.9pt;height:186.9pt;mso-width-percent:0;mso-height-percent:0;mso-width-percent:0;mso-height-percent:0" o:ole="">
            <v:imagedata r:id="rId18" o:title=""/>
          </v:shape>
          <o:OLEObject Type="Embed" ProgID="Visio.Drawing.15" ShapeID="_x0000_i1027" DrawAspect="Content" ObjectID="_1683035301"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lastRenderedPageBreak/>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2pt;height:162.8pt;mso-width-percent:0;mso-height-percent:0;mso-width-percent:0;mso-height-percent:0" o:ole="">
                  <v:imagedata r:id="rId18" o:title=""/>
                </v:shape>
                <o:OLEObject Type="Embed" ProgID="Visio.Drawing.15" ShapeID="_x0000_i1028" DrawAspect="Content" ObjectID="_1683035302"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rFonts w:hint="eastAsia"/>
                <w:lang w:eastAsia="zh-CN"/>
              </w:rPr>
            </w:pPr>
            <w:r w:rsidRPr="001D23E3">
              <w:t xml:space="preserve">We agree with </w:t>
            </w:r>
            <w:r>
              <w:t>the analysis</w:t>
            </w:r>
            <w:r w:rsidRPr="001D23E3">
              <w:t xml:space="preserve"> proposed by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w:t>
            </w:r>
            <w:r>
              <w:rPr>
                <w:rFonts w:eastAsia="MS Mincho"/>
                <w:lang w:eastAsia="zh-CN"/>
              </w:rPr>
              <w:lastRenderedPageBreak/>
              <w:t xml:space="preserve">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rFonts w:hint="eastAsia"/>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w:t>
            </w:r>
            <w:r>
              <w:t>upport Initial Proposal 4-1.</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lastRenderedPageBreak/>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bookmarkStart w:id="10" w:name="_GoBack"/>
            <w:bookmarkEnd w:id="10"/>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 xml:space="preserve">This being a work item, the initial proposal stating “study” is confusing since </w:t>
            </w:r>
            <w:r>
              <w:rPr>
                <w:lang w:eastAsia="zh-CN"/>
              </w:rPr>
              <w:lastRenderedPageBreak/>
              <w:t>RAN WG1 is expected to consider what to add to the specifications as CRs. As such, we support prioritizing aggregated transmission.</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 xml:space="preserve">Proposal 2: The functionality of enabling/disabling HARQ feedback per HARQ process can be semi-static </w:t>
            </w:r>
            <w:r w:rsidRPr="002F09DC">
              <w:rPr>
                <w:rFonts w:ascii="Times New Roman" w:eastAsiaTheme="minorEastAsia" w:hAnsi="Times New Roman"/>
                <w:iCs/>
                <w:szCs w:val="20"/>
                <w:lang w:eastAsia="zh-CN"/>
              </w:rPr>
              <w:lastRenderedPageBreak/>
              <w:t>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lastRenderedPageBreak/>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lastRenderedPageBreak/>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lastRenderedPageBreak/>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5B3609" w:rsidP="00764EA0">
            <w:pPr>
              <w:snapToGrid w:val="0"/>
              <w:spacing w:after="0"/>
              <w:jc w:val="center"/>
              <w:rPr>
                <w:lang w:eastAsia="x-none"/>
              </w:rPr>
            </w:pPr>
            <w:hyperlink r:id="rId22"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lastRenderedPageBreak/>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5B3609"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w:t>
            </w:r>
            <w:r w:rsidRPr="002F09DC">
              <w:lastRenderedPageBreak/>
              <w:t>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 xml:space="preserve">Proposal 7: Enlarged aggregation factor and reduced DM-RS density should be supported to improve the </w:t>
            </w:r>
            <w:r w:rsidRPr="002F09DC">
              <w:rPr>
                <w:lang w:eastAsia="zh-CN"/>
              </w:rPr>
              <w:lastRenderedPageBreak/>
              <w:t>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lastRenderedPageBreak/>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w:t>
            </w:r>
            <w:r w:rsidRPr="002F09DC">
              <w:rPr>
                <w:rFonts w:eastAsiaTheme="minorEastAsia"/>
              </w:rPr>
              <w:lastRenderedPageBreak/>
              <w:t xml:space="preserve">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5B3609" w:rsidP="00764EA0">
            <w:pPr>
              <w:snapToGrid w:val="0"/>
              <w:spacing w:after="0"/>
              <w:jc w:val="center"/>
            </w:pPr>
            <w:hyperlink r:id="rId23"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lastRenderedPageBreak/>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5B3609"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5B3609"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5B3609"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5B3609"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0508C0" w:rsidRDefault="000508C0">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508C0" w:rsidRDefault="000508C0">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508C0" w:rsidRDefault="000508C0">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508C0" w:rsidRDefault="000508C0">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8B22" w14:textId="77777777" w:rsidR="005B3609" w:rsidRDefault="005B3609">
      <w:pPr>
        <w:spacing w:after="0"/>
      </w:pPr>
      <w:r>
        <w:separator/>
      </w:r>
    </w:p>
  </w:endnote>
  <w:endnote w:type="continuationSeparator" w:id="0">
    <w:p w14:paraId="6738CAA5" w14:textId="77777777" w:rsidR="005B3609" w:rsidRDefault="005B3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SimHei">
    <w:altName w:val="Arial Unicode MS"/>
    <w:panose1 w:val="02010600030101010101"/>
    <w:charset w:val="86"/>
    <w:family w:val="modern"/>
    <w:notTrueType/>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0508C0" w:rsidRDefault="0005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508C0" w:rsidRDefault="000508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F46FCB9" w:rsidR="000508C0" w:rsidRDefault="000508C0">
    <w:pPr>
      <w:pStyle w:val="Footer"/>
      <w:ind w:right="360"/>
    </w:pPr>
    <w:r>
      <w:rPr>
        <w:rStyle w:val="PageNumber"/>
      </w:rPr>
      <w:fldChar w:fldCharType="begin"/>
    </w:r>
    <w:r>
      <w:rPr>
        <w:rStyle w:val="PageNumber"/>
      </w:rPr>
      <w:instrText xml:space="preserve"> PAGE </w:instrText>
    </w:r>
    <w:r>
      <w:rPr>
        <w:rStyle w:val="PageNumber"/>
      </w:rPr>
      <w:fldChar w:fldCharType="separate"/>
    </w:r>
    <w:r w:rsidR="000D485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485B">
      <w:rPr>
        <w:rStyle w:val="PageNumber"/>
        <w:noProof/>
      </w:rPr>
      <w:t>34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A6058" w14:textId="77777777" w:rsidR="005B3609" w:rsidRDefault="005B3609">
      <w:pPr>
        <w:spacing w:after="0"/>
      </w:pPr>
      <w:r>
        <w:separator/>
      </w:r>
    </w:p>
  </w:footnote>
  <w:footnote w:type="continuationSeparator" w:id="0">
    <w:p w14:paraId="136877BC" w14:textId="77777777" w:rsidR="005B3609" w:rsidRDefault="005B36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3"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5"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7"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1"/>
  </w:num>
  <w:num w:numId="12">
    <w:abstractNumId w:val="63"/>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2"/>
  </w:num>
  <w:num w:numId="21">
    <w:abstractNumId w:val="48"/>
  </w:num>
  <w:num w:numId="22">
    <w:abstractNumId w:val="7"/>
  </w:num>
  <w:num w:numId="23">
    <w:abstractNumId w:val="21"/>
  </w:num>
  <w:num w:numId="24">
    <w:abstractNumId w:val="71"/>
  </w:num>
  <w:num w:numId="25">
    <w:abstractNumId w:val="68"/>
  </w:num>
  <w:num w:numId="26">
    <w:abstractNumId w:val="32"/>
  </w:num>
  <w:num w:numId="27">
    <w:abstractNumId w:val="62"/>
  </w:num>
  <w:num w:numId="28">
    <w:abstractNumId w:val="9"/>
  </w:num>
  <w:num w:numId="29">
    <w:abstractNumId w:val="14"/>
  </w:num>
  <w:num w:numId="30">
    <w:abstractNumId w:val="60"/>
  </w:num>
  <w:num w:numId="31">
    <w:abstractNumId w:val="65"/>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69"/>
  </w:num>
  <w:num w:numId="68">
    <w:abstractNumId w:val="64"/>
  </w:num>
  <w:num w:numId="69">
    <w:abstractNumId w:val="45"/>
  </w:num>
  <w:num w:numId="70">
    <w:abstractNumId w:val="66"/>
  </w:num>
  <w:num w:numId="71">
    <w:abstractNumId w:val="67"/>
  </w:num>
  <w:num w:numId="72">
    <w:abstractNumId w:val="3"/>
  </w:num>
  <w:num w:numId="73">
    <w:abstractNumId w:val="2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22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4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package" Target="embeddings/Microsoft_Visio___11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333.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7108EC0-3251-47B3-8A87-C00C521F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34</Pages>
  <Words>13283</Words>
  <Characters>75717</Characters>
  <Application>Microsoft Office Word</Application>
  <DocSecurity>0</DocSecurity>
  <Lines>630</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88823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Jussi Kahtava</cp:lastModifiedBy>
  <cp:revision>3</cp:revision>
  <cp:lastPrinted>2011-11-09T07:49:00Z</cp:lastPrinted>
  <dcterms:created xsi:type="dcterms:W3CDTF">2021-05-20T15:55:00Z</dcterms:created>
  <dcterms:modified xsi:type="dcterms:W3CDTF">2021-05-20T16:00:00Z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